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FE6170" w14:textId="77777777" w:rsidR="001F4068" w:rsidRPr="00F039D2" w:rsidRDefault="001F4068" w:rsidP="001F4068">
      <w:pPr>
        <w:jc w:val="both"/>
      </w:pPr>
      <w:bookmarkStart w:id="0" w:name="_Hlk488154642"/>
      <w:bookmarkEnd w:id="0"/>
    </w:p>
    <w:p w14:paraId="39ECB32C" w14:textId="553B8AD5" w:rsidR="001F4068" w:rsidRPr="00F920FB" w:rsidRDefault="00A676E5" w:rsidP="001F4068">
      <w:pPr>
        <w:pStyle w:val="Author"/>
        <w:ind w:right="-46"/>
        <w:rPr>
          <w:rFonts w:asciiTheme="minorHAnsi" w:hAnsiTheme="minorHAnsi"/>
          <w:b/>
          <w:smallCaps w:val="0"/>
          <w:color w:val="auto"/>
          <w:kern w:val="28"/>
          <w:sz w:val="36"/>
          <w:szCs w:val="36"/>
          <w:lang w:val="en-GB"/>
        </w:rPr>
      </w:pPr>
      <w:r w:rsidRPr="00F920FB">
        <w:rPr>
          <w:rFonts w:asciiTheme="minorHAnsi" w:hAnsiTheme="minorHAnsi"/>
          <w:b/>
          <w:smallCaps w:val="0"/>
          <w:color w:val="auto"/>
          <w:kern w:val="28"/>
          <w:sz w:val="36"/>
          <w:szCs w:val="36"/>
          <w:lang w:val="en-GB"/>
        </w:rPr>
        <w:t>H</w:t>
      </w:r>
      <w:r w:rsidR="001F4068" w:rsidRPr="00F920FB">
        <w:rPr>
          <w:rFonts w:asciiTheme="minorHAnsi" w:hAnsiTheme="minorHAnsi"/>
          <w:b/>
          <w:smallCaps w:val="0"/>
          <w:color w:val="auto"/>
          <w:kern w:val="28"/>
          <w:sz w:val="36"/>
          <w:szCs w:val="36"/>
          <w:lang w:val="en-GB"/>
        </w:rPr>
        <w:t xml:space="preserve">ousing affordability: is new local supply the key? </w:t>
      </w:r>
    </w:p>
    <w:p w14:paraId="5AE3E136" w14:textId="11293D46" w:rsidR="00332CC1" w:rsidRPr="00F920FB" w:rsidRDefault="00F920FB" w:rsidP="00332CC1">
      <w:pPr>
        <w:jc w:val="center"/>
        <w:rPr>
          <w:i/>
          <w:sz w:val="24"/>
          <w:szCs w:val="24"/>
        </w:rPr>
      </w:pPr>
      <w:r w:rsidRPr="00F920FB">
        <w:rPr>
          <w:i/>
          <w:sz w:val="24"/>
          <w:szCs w:val="24"/>
        </w:rPr>
        <w:t>Bernard Fingleton</w:t>
      </w:r>
    </w:p>
    <w:p w14:paraId="46D415DD" w14:textId="7966C7CB" w:rsidR="00332CC1" w:rsidRPr="00F920FB" w:rsidRDefault="00F920FB" w:rsidP="00332CC1">
      <w:pPr>
        <w:jc w:val="center"/>
        <w:rPr>
          <w:i/>
          <w:sz w:val="24"/>
          <w:szCs w:val="24"/>
        </w:rPr>
      </w:pPr>
      <w:r w:rsidRPr="00F920FB">
        <w:rPr>
          <w:i/>
          <w:sz w:val="24"/>
          <w:szCs w:val="24"/>
        </w:rPr>
        <w:t>Franz Fuerst</w:t>
      </w:r>
    </w:p>
    <w:p w14:paraId="26BFE7A3" w14:textId="6C062C0A" w:rsidR="00332CC1" w:rsidRPr="00F920FB" w:rsidRDefault="00F920FB" w:rsidP="00332CC1">
      <w:pPr>
        <w:jc w:val="center"/>
        <w:rPr>
          <w:i/>
          <w:sz w:val="24"/>
          <w:szCs w:val="24"/>
        </w:rPr>
      </w:pPr>
      <w:r w:rsidRPr="00F920FB">
        <w:rPr>
          <w:i/>
          <w:sz w:val="24"/>
          <w:szCs w:val="24"/>
        </w:rPr>
        <w:t>Nikodem Szumilo</w:t>
      </w:r>
    </w:p>
    <w:p w14:paraId="729DE216" w14:textId="77777777" w:rsidR="00F920FB" w:rsidRDefault="00F920FB" w:rsidP="001F4068">
      <w:pPr>
        <w:pStyle w:val="Abstract"/>
        <w:spacing w:after="0"/>
        <w:ind w:left="0" w:right="-46"/>
        <w:rPr>
          <w:rFonts w:asciiTheme="minorHAnsi" w:hAnsiTheme="minorHAnsi"/>
          <w:b/>
          <w:color w:val="auto"/>
          <w:lang w:val="en-GB"/>
        </w:rPr>
      </w:pPr>
    </w:p>
    <w:p w14:paraId="48A27346" w14:textId="48515104" w:rsidR="001F4068" w:rsidRPr="00C33576" w:rsidRDefault="001F4068" w:rsidP="001F4068">
      <w:pPr>
        <w:pStyle w:val="Abstract"/>
        <w:spacing w:after="0"/>
        <w:ind w:left="0" w:right="-46"/>
        <w:rPr>
          <w:rFonts w:asciiTheme="minorHAnsi" w:hAnsiTheme="minorHAnsi"/>
          <w:color w:val="auto"/>
          <w:lang w:val="en-GB"/>
        </w:rPr>
      </w:pPr>
      <w:r w:rsidRPr="00C33576">
        <w:rPr>
          <w:rFonts w:asciiTheme="minorHAnsi" w:hAnsiTheme="minorHAnsi"/>
          <w:b/>
          <w:color w:val="auto"/>
          <w:lang w:val="en-GB"/>
        </w:rPr>
        <w:t>Abstract:</w:t>
      </w:r>
      <w:r w:rsidRPr="00C33576">
        <w:rPr>
          <w:rFonts w:asciiTheme="minorHAnsi" w:hAnsiTheme="minorHAnsi"/>
          <w:color w:val="auto"/>
          <w:lang w:val="en-GB"/>
        </w:rPr>
        <w:t xml:space="preserve"> </w:t>
      </w:r>
      <w:r w:rsidR="00A07615" w:rsidRPr="00C33576">
        <w:rPr>
          <w:color w:val="auto"/>
        </w:rPr>
        <w:t>This paper seeks to predict the impact of future housing supply on the affordability of residential space in the United Kingdom, using quantitative model-based simulation methods. Our spatially disaggregated analysis focuses on the greater South East region, approximately within 1.5 hours commuting time from central London. A dynamic spatial panel model is applied to account for observed temporal variations in property prices and housing affordability across districts. The dynamic structure of this model allows us to assess the s</w:t>
      </w:r>
      <w:bookmarkStart w:id="1" w:name="_GoBack"/>
      <w:bookmarkEnd w:id="1"/>
      <w:r w:rsidR="00A07615" w:rsidRPr="00C33576">
        <w:rPr>
          <w:color w:val="auto"/>
        </w:rPr>
        <w:t>cale and extent of knock-on effects of local supply shocks in one district on other districts in the region. These complex spatial effects have been largely ignored in local or regional housing market forecasting models to date. Applying this model, we are able to demonstrate that local house prices and affordability are not only determined by the underlying supply and demand conditions in the market in question but also depends crucially on conditions in neighbouring housing markets whose properties can be considered close substitutes within a larger regional housing market</w:t>
      </w:r>
      <w:r w:rsidRPr="00C33576">
        <w:rPr>
          <w:color w:val="auto"/>
        </w:rPr>
        <w:t xml:space="preserve">. </w:t>
      </w:r>
      <w:r w:rsidR="00A07615" w:rsidRPr="00C33576">
        <w:rPr>
          <w:color w:val="auto"/>
        </w:rPr>
        <w:t xml:space="preserve">We also show that increasing housing supply in the most critical areas has little impact on </w:t>
      </w:r>
      <w:r w:rsidR="00656AEB" w:rsidRPr="00C33576">
        <w:rPr>
          <w:color w:val="auto"/>
        </w:rPr>
        <w:t>(</w:t>
      </w:r>
      <w:r w:rsidR="00A07615" w:rsidRPr="00C33576">
        <w:rPr>
          <w:color w:val="auto"/>
        </w:rPr>
        <w:t>both local and regional</w:t>
      </w:r>
      <w:r w:rsidR="00656AEB" w:rsidRPr="00C33576">
        <w:rPr>
          <w:color w:val="auto"/>
        </w:rPr>
        <w:t>)</w:t>
      </w:r>
      <w:r w:rsidR="00A07615" w:rsidRPr="00C33576">
        <w:rPr>
          <w:color w:val="auto"/>
        </w:rPr>
        <w:t xml:space="preserve"> affordability</w:t>
      </w:r>
      <w:r w:rsidR="00A9513F" w:rsidRPr="00C33576">
        <w:rPr>
          <w:color w:val="auto"/>
        </w:rPr>
        <w:t xml:space="preserve"> even if wages do not change in response to an increase in employment.</w:t>
      </w:r>
      <w:r w:rsidR="00A9513F" w:rsidRPr="00C33576">
        <w:rPr>
          <w:rFonts w:asciiTheme="minorHAnsi" w:hAnsiTheme="minorHAnsi"/>
          <w:color w:val="auto"/>
          <w:lang w:val="en-GB"/>
        </w:rPr>
        <w:t xml:space="preserve"> </w:t>
      </w:r>
    </w:p>
    <w:p w14:paraId="1B2D186D" w14:textId="77777777" w:rsidR="001F4068" w:rsidRPr="00C33576" w:rsidRDefault="001F4068" w:rsidP="001F4068">
      <w:pPr>
        <w:pStyle w:val="Abstract"/>
        <w:spacing w:after="0"/>
        <w:ind w:left="0" w:right="-46"/>
        <w:rPr>
          <w:rFonts w:asciiTheme="minorHAnsi" w:hAnsiTheme="minorHAnsi"/>
          <w:color w:val="auto"/>
          <w:lang w:val="en-GB"/>
        </w:rPr>
      </w:pPr>
      <w:r w:rsidRPr="00C33576">
        <w:rPr>
          <w:rFonts w:asciiTheme="minorHAnsi" w:hAnsiTheme="minorHAnsi"/>
          <w:color w:val="auto"/>
          <w:lang w:val="en-GB"/>
        </w:rPr>
        <w:t xml:space="preserve"> </w:t>
      </w:r>
      <w:r w:rsidRPr="00C33576">
        <w:rPr>
          <w:rFonts w:asciiTheme="minorHAnsi" w:hAnsiTheme="minorHAnsi"/>
          <w:b/>
          <w:color w:val="auto"/>
          <w:lang w:val="en-GB"/>
        </w:rPr>
        <w:t>Keywords:</w:t>
      </w:r>
      <w:r w:rsidRPr="00C33576">
        <w:rPr>
          <w:rFonts w:asciiTheme="minorHAnsi" w:hAnsiTheme="minorHAnsi"/>
          <w:i w:val="0"/>
          <w:color w:val="auto"/>
          <w:lang w:val="en-GB"/>
        </w:rPr>
        <w:t xml:space="preserve"> </w:t>
      </w:r>
      <w:r w:rsidRPr="00C33576">
        <w:rPr>
          <w:rFonts w:asciiTheme="minorHAnsi" w:hAnsiTheme="minorHAnsi"/>
          <w:color w:val="auto"/>
          <w:lang w:val="en-GB"/>
        </w:rPr>
        <w:t>Local supply shocks, dynamic spatial panel analysis, housing affordability, house price forecasts</w:t>
      </w:r>
    </w:p>
    <w:p w14:paraId="2C0ED8D4" w14:textId="77777777" w:rsidR="001F4068" w:rsidRPr="00CB37D3" w:rsidRDefault="001F4068" w:rsidP="001F4068">
      <w:pPr>
        <w:jc w:val="both"/>
      </w:pPr>
    </w:p>
    <w:p w14:paraId="50A0FE94" w14:textId="77777777" w:rsidR="001F4068" w:rsidRPr="00CB37D3" w:rsidRDefault="001F4068" w:rsidP="001F4068">
      <w:pPr>
        <w:pStyle w:val="Heading2"/>
      </w:pPr>
      <w:r w:rsidRPr="00CB37D3">
        <w:t>Introduction</w:t>
      </w:r>
    </w:p>
    <w:p w14:paraId="4B534B22" w14:textId="77777777" w:rsidR="00506CB4" w:rsidRPr="00CB37D3" w:rsidRDefault="003379E6" w:rsidP="00080C04">
      <w:pPr>
        <w:spacing w:line="480" w:lineRule="auto"/>
        <w:jc w:val="both"/>
      </w:pPr>
      <w:r w:rsidRPr="00CB37D3">
        <w:t xml:space="preserve">Although there is no consensus on the causes of unaffordable housing or even whether its existence prove that markets are imperfect, the detrimental social and financial impact to the large number of individuals and households negatively affected by it are virtually undisputed. In the US, government and business leaders struggle to agree on strategies for combating the issue (Glaeser and Gyourko </w:t>
      </w:r>
      <w:r w:rsidRPr="00CB37D3">
        <w:lastRenderedPageBreak/>
        <w:t xml:space="preserve">2003) while in the UK, the principal government policy is to increase the supply of housing in key areas to improve affordability. </w:t>
      </w:r>
      <w:r w:rsidR="00970A37" w:rsidRPr="00CB37D3">
        <w:t xml:space="preserve">This simple approach is based on the fundamental assumption that increasing supply would reduce prices. However, Crook et al. (2010) show that providing new homes in the most critical areas seems to have little effect on affordability. </w:t>
      </w:r>
      <w:r w:rsidR="000840F0" w:rsidRPr="00CB37D3">
        <w:t xml:space="preserve">Although, </w:t>
      </w:r>
      <w:r w:rsidR="00506CB4" w:rsidRPr="00CB37D3">
        <w:t>Glaeser et al. (200</w:t>
      </w:r>
      <w:r w:rsidR="000277C9">
        <w:t>6</w:t>
      </w:r>
      <w:r w:rsidR="00506CB4" w:rsidRPr="00CB37D3">
        <w:t xml:space="preserve">) </w:t>
      </w:r>
      <w:r w:rsidR="000840F0" w:rsidRPr="00CB37D3">
        <w:t>argue</w:t>
      </w:r>
      <w:r w:rsidR="00506CB4" w:rsidRPr="00CB37D3">
        <w:t xml:space="preserve"> that this may be due to higher </w:t>
      </w:r>
      <w:r w:rsidR="000840F0" w:rsidRPr="00CB37D3">
        <w:t>wages</w:t>
      </w:r>
      <w:r w:rsidR="00506CB4" w:rsidRPr="00CB37D3">
        <w:t xml:space="preserve"> </w:t>
      </w:r>
      <w:r w:rsidR="000840F0" w:rsidRPr="00CB37D3">
        <w:t xml:space="preserve">offered to new residents, we show that even with exogenous wages new supply has a very small effect on local affordability.  </w:t>
      </w:r>
    </w:p>
    <w:p w14:paraId="5576293F" w14:textId="77777777" w:rsidR="001F4068" w:rsidRPr="00CB37D3" w:rsidRDefault="001F4068" w:rsidP="00080C04">
      <w:pPr>
        <w:spacing w:line="480" w:lineRule="auto"/>
        <w:jc w:val="both"/>
      </w:pPr>
      <w:r w:rsidRPr="00CB37D3">
        <w:t>This paper explores how dynamic spatial panel data modelling and simulation methodology can be used to assess the extent to which new housing stock makes housing more affordable, following the work of Meen et al. (2005) and Fingleton (2008) in particular. The approach is somewhat different from the complex modelling carried out by Meen et al (2005), and more in line with the simpler approach of Fingleton (2008), which allows an element of theoretical coherence throughout. Although there are alternatives that have been suggested in the literature, we measure affordability simply as the ratio of house prices to mean annual wage levels. Other measures include the median house price to median income ratio, which can be ad</w:t>
      </w:r>
      <w:r w:rsidR="0024624E">
        <w:t>a</w:t>
      </w:r>
      <w:r w:rsidRPr="00CB37D3">
        <w:t>pted to focus on access to housing by using the lowest quartile house price to lowest quartile income ratio, or the proportion of households that can only afford acceptable accommodation with assistance</w:t>
      </w:r>
      <w:r w:rsidRPr="00CB37D3">
        <w:rPr>
          <w:rStyle w:val="FootnoteReference"/>
        </w:rPr>
        <w:footnoteReference w:id="2"/>
      </w:r>
      <w:r w:rsidRPr="00CB37D3">
        <w:t xml:space="preserve">. However, the price to wage ratio is </w:t>
      </w:r>
      <w:r w:rsidR="0024624E">
        <w:t>easy</w:t>
      </w:r>
      <w:r w:rsidRPr="00CB37D3">
        <w:t xml:space="preserve"> to implement and is the measure that has captured the attention of politicians</w:t>
      </w:r>
      <w:r w:rsidRPr="00CB37D3">
        <w:rPr>
          <w:rStyle w:val="FootnoteReference"/>
        </w:rPr>
        <w:footnoteReference w:id="3"/>
      </w:r>
      <w:r w:rsidRPr="00CB37D3">
        <w:t xml:space="preserve">.  It is also commonly used to examine the wider impact of housing affordability. </w:t>
      </w:r>
      <w:r w:rsidR="00970A37" w:rsidRPr="00CB37D3">
        <w:t>For example, there is an important environmental aspect to the issue of affordability since</w:t>
      </w:r>
      <w:r w:rsidR="007D148A">
        <w:t>,</w:t>
      </w:r>
      <w:r w:rsidR="00970A37" w:rsidRPr="00CB37D3">
        <w:t xml:space="preserve"> if housing is largely unaffordable where people work</w:t>
      </w:r>
      <w:r w:rsidR="007D148A">
        <w:t>,</w:t>
      </w:r>
      <w:r w:rsidR="00970A37" w:rsidRPr="00CB37D3">
        <w:t xml:space="preserve"> high volumes of commuting are likely to occur (Sultana 2002).</w:t>
      </w:r>
    </w:p>
    <w:p w14:paraId="3119442F" w14:textId="77777777" w:rsidR="001F4068" w:rsidRPr="00CB37D3" w:rsidRDefault="001F4068" w:rsidP="00080C04">
      <w:pPr>
        <w:spacing w:line="480" w:lineRule="auto"/>
        <w:jc w:val="both"/>
      </w:pPr>
      <w:r w:rsidRPr="00CB37D3">
        <w:t xml:space="preserve">The focus of the analysis is the South East of England where lack of affordability is probably at its most acute in the UK. This includes Central London which is the major centre of employment and has house prices that are the highest in the country. As in many great cities, daily ebb and flow of commuters </w:t>
      </w:r>
      <w:r w:rsidRPr="00CB37D3">
        <w:lastRenderedPageBreak/>
        <w:t>from more affordable locations to employment centres has a costly financial impact on individual households and on local and global environments (Tse and Chan 2003). There are also additional macroeconom</w:t>
      </w:r>
      <w:r w:rsidR="001A5A94" w:rsidRPr="00CB37D3">
        <w:t>ic and regional economic issues</w:t>
      </w:r>
      <w:r w:rsidRPr="00CB37D3">
        <w:t xml:space="preserve"> because relatively low affordability in a core region with a high level of labour demand will inhibit the inward mobility of labour.</w:t>
      </w:r>
      <w:r w:rsidR="00380663" w:rsidRPr="00CB37D3">
        <w:t xml:space="preserve"> Naturally, this leads to feedback effects between house prices and local economies and other endogenous processes that influence them simultaneously. Our estimation approach adjusts for using a first difference model and instrumenting supply and demand indicators with their lagged values.  </w:t>
      </w:r>
      <w:r w:rsidR="00EF7095" w:rsidRPr="00CB37D3">
        <w:t xml:space="preserve">We test the validity of our estimates and the contribution of individual factors to price changes using </w:t>
      </w:r>
      <w:r w:rsidR="00EF7095" w:rsidRPr="00CB37D3">
        <w:rPr>
          <w:rFonts w:cstheme="minorHAnsi"/>
        </w:rPr>
        <w:t>on-step ahead predictions</w:t>
      </w:r>
      <w:r w:rsidR="00025A2F" w:rsidRPr="00CB37D3">
        <w:rPr>
          <w:rFonts w:cstheme="minorHAnsi"/>
        </w:rPr>
        <w:t xml:space="preserve">. The results show that </w:t>
      </w:r>
      <w:r w:rsidR="00EF7095" w:rsidRPr="00CB37D3">
        <w:rPr>
          <w:rFonts w:cstheme="minorHAnsi"/>
        </w:rPr>
        <w:t>spatial and temporal lags are</w:t>
      </w:r>
      <w:r w:rsidR="00025A2F" w:rsidRPr="00CB37D3">
        <w:rPr>
          <w:rFonts w:cstheme="minorHAnsi"/>
        </w:rPr>
        <w:t xml:space="preserve"> critical </w:t>
      </w:r>
      <w:r w:rsidR="00736B36" w:rsidRPr="00CB37D3">
        <w:rPr>
          <w:rFonts w:cstheme="minorHAnsi"/>
        </w:rPr>
        <w:t>to increasing forecasting accuracy</w:t>
      </w:r>
      <w:r w:rsidR="00025A2F" w:rsidRPr="00CB37D3">
        <w:rPr>
          <w:rFonts w:cstheme="minorHAnsi"/>
        </w:rPr>
        <w:t>.</w:t>
      </w:r>
      <w:r w:rsidR="00EF7095" w:rsidRPr="00CB37D3">
        <w:rPr>
          <w:rFonts w:cstheme="minorHAnsi"/>
        </w:rPr>
        <w:t xml:space="preserve"> </w:t>
      </w:r>
    </w:p>
    <w:p w14:paraId="315980F0" w14:textId="77777777" w:rsidR="001F4068" w:rsidRPr="00CB37D3" w:rsidRDefault="001F4068" w:rsidP="00080C04">
      <w:pPr>
        <w:spacing w:line="480" w:lineRule="auto"/>
        <w:jc w:val="both"/>
      </w:pPr>
      <w:r w:rsidRPr="00CB37D3">
        <w:t xml:space="preserve">One of the suggested solutions to housing affordability issues is increasing local supply in the most problematic areas (Meen et al. 2005). The fundamental economic logic dictates that increasing supply should reduce prices. However, in the context of complex interaction effects between commutable areas caused by commuting flow patterns it is difficult to easily quantify the impact of new supply on house prices and their affordability. The overall impact depends not only on income but also on income elasticity of demand in the area where supply increases. In fact, many </w:t>
      </w:r>
      <w:r w:rsidR="001A5A94" w:rsidRPr="00CB37D3">
        <w:t>studies show</w:t>
      </w:r>
      <w:r w:rsidRPr="00CB37D3">
        <w:t xml:space="preserve"> that increasing housing supply may eventually lead to rising demand (Szumilo et al</w:t>
      </w:r>
      <w:r w:rsidR="00723A70">
        <w:t>.</w:t>
      </w:r>
      <w:r w:rsidRPr="00CB37D3">
        <w:t xml:space="preserve"> 201</w:t>
      </w:r>
      <w:r w:rsidR="00723A70">
        <w:t>7</w:t>
      </w:r>
      <w:r w:rsidRPr="00CB37D3">
        <w:t>; Ball et al 2010; Fingleton 2008). The objective of this study i</w:t>
      </w:r>
      <w:r w:rsidR="008B5CD9" w:rsidRPr="00CB37D3">
        <w:t>s to examine if new local supplies</w:t>
      </w:r>
      <w:r w:rsidRPr="00CB37D3">
        <w:t xml:space="preserve"> of dwellings can improve housing affordability both within the </w:t>
      </w:r>
      <w:r w:rsidR="001A5A94" w:rsidRPr="00CB37D3">
        <w:t xml:space="preserve">growing </w:t>
      </w:r>
      <w:r w:rsidRPr="00CB37D3">
        <w:t xml:space="preserve">location and in the region. To this aim, </w:t>
      </w:r>
      <w:r w:rsidR="00B71A84" w:rsidRPr="00CB37D3">
        <w:t xml:space="preserve">we develop a model of house prices </w:t>
      </w:r>
      <w:r w:rsidR="008C79DF" w:rsidRPr="00CB37D3">
        <w:t xml:space="preserve">that allows </w:t>
      </w:r>
      <w:r w:rsidR="00B71A84" w:rsidRPr="00CB37D3">
        <w:t xml:space="preserve">affordability to react differently to changes in wages and employment. By assuming that wages are </w:t>
      </w:r>
      <w:r w:rsidR="00EE18AA" w:rsidRPr="00CB37D3">
        <w:t>exogenous</w:t>
      </w:r>
      <w:r w:rsidR="00B71A84" w:rsidRPr="00CB37D3">
        <w:t xml:space="preserve"> but allowing employment to depend on housing </w:t>
      </w:r>
      <w:r w:rsidR="007947CD" w:rsidRPr="00CB37D3">
        <w:t>supply we</w:t>
      </w:r>
      <w:r w:rsidR="00B71A84" w:rsidRPr="00CB37D3">
        <w:t xml:space="preserve"> show how new housing may lead to lower affordability. Since allowing workers to travel between </w:t>
      </w:r>
      <w:r w:rsidR="007D148A">
        <w:t>districts</w:t>
      </w:r>
      <w:r w:rsidR="00B71A84" w:rsidRPr="00CB37D3">
        <w:t xml:space="preserve"> leads to demand interactions between locations, we also allow for a spatial effect in prices. </w:t>
      </w:r>
      <w:r w:rsidR="009E3EBC" w:rsidRPr="00CB37D3">
        <w:t xml:space="preserve">Our estimation approach is based on a reduced form equation which allows us </w:t>
      </w:r>
      <w:r w:rsidRPr="00CB37D3">
        <w:t xml:space="preserve">to simulate the impact of new supply on affordability ratios. </w:t>
      </w:r>
      <w:r w:rsidR="007D4B6F" w:rsidRPr="00C33576">
        <w:t xml:space="preserve">The advantage of this approach is that, unlike interpreting model coefficients, it allows </w:t>
      </w:r>
      <w:r w:rsidR="0024624E" w:rsidRPr="00C33576">
        <w:t xml:space="preserve">one to </w:t>
      </w:r>
      <w:r w:rsidR="007D4B6F" w:rsidRPr="00C33576">
        <w:t xml:space="preserve">quantify not only the magnitude but also spatial distribution of the impact of new supply on affordability. </w:t>
      </w:r>
      <w:r w:rsidRPr="00CB37D3">
        <w:t xml:space="preserve">Empirical </w:t>
      </w:r>
      <w:r w:rsidR="005E48D3">
        <w:t>predictions</w:t>
      </w:r>
      <w:r w:rsidRPr="00CB37D3">
        <w:t xml:space="preserve"> are </w:t>
      </w:r>
      <w:r w:rsidR="005E48D3">
        <w:t xml:space="preserve">made </w:t>
      </w:r>
      <w:r w:rsidRPr="00CB37D3">
        <w:t>for a</w:t>
      </w:r>
      <w:r w:rsidR="008B5CD9" w:rsidRPr="00CB37D3">
        <w:t xml:space="preserve"> hypothetical </w:t>
      </w:r>
      <w:r w:rsidRPr="00CB37D3">
        <w:t xml:space="preserve">increase in </w:t>
      </w:r>
      <w:r w:rsidRPr="00CB37D3">
        <w:lastRenderedPageBreak/>
        <w:t xml:space="preserve">housing stock of 5% and 15% in each of London’s </w:t>
      </w:r>
      <w:r w:rsidR="00EE18AA" w:rsidRPr="00CB37D3">
        <w:t>32 Boroughs</w:t>
      </w:r>
      <w:r w:rsidR="003704AE">
        <w:t>.</w:t>
      </w:r>
      <w:r w:rsidR="00AF737D">
        <w:t xml:space="preserve"> </w:t>
      </w:r>
      <w:r w:rsidR="003704AE">
        <w:t>W</w:t>
      </w:r>
      <w:r w:rsidR="00AF737D">
        <w:t>e</w:t>
      </w:r>
      <w:r w:rsidR="003704AE">
        <w:t xml:space="preserve"> also</w:t>
      </w:r>
      <w:r w:rsidR="00AF737D">
        <w:t xml:space="preserve"> examine</w:t>
      </w:r>
      <w:r w:rsidR="009E3EBC" w:rsidRPr="00CB37D3">
        <w:t xml:space="preserve"> Cheshire</w:t>
      </w:r>
      <w:r w:rsidR="00AF737D">
        <w:t>’s</w:t>
      </w:r>
      <w:r w:rsidR="009E3EBC" w:rsidRPr="00CB37D3">
        <w:t xml:space="preserve"> (</w:t>
      </w:r>
      <w:r w:rsidR="00536323" w:rsidRPr="00CB37D3">
        <w:t>2014</w:t>
      </w:r>
      <w:r w:rsidR="009E3EBC" w:rsidRPr="00CB37D3">
        <w:t>)  suggest</w:t>
      </w:r>
      <w:r w:rsidR="00AF737D">
        <w:t>ion</w:t>
      </w:r>
      <w:r w:rsidR="009E3EBC" w:rsidRPr="00CB37D3">
        <w:t xml:space="preserve"> that building 1.6m houses on London’s greenbelt would make housing more affordable. We analyse two different versions </w:t>
      </w:r>
      <w:r w:rsidR="0058469E" w:rsidRPr="00CB37D3">
        <w:t xml:space="preserve">of our </w:t>
      </w:r>
      <w:r w:rsidR="003704AE">
        <w:t>empirical predictions</w:t>
      </w:r>
      <w:r w:rsidR="003704AE" w:rsidRPr="00CB37D3">
        <w:t xml:space="preserve"> </w:t>
      </w:r>
      <w:r w:rsidR="0058469E" w:rsidRPr="00CB37D3">
        <w:t>assuming that</w:t>
      </w:r>
      <w:r w:rsidR="009E3EBC" w:rsidRPr="00CB37D3">
        <w:t xml:space="preserve"> increased supply either interacts with demand or ha</w:t>
      </w:r>
      <w:r w:rsidR="0058469E" w:rsidRPr="00CB37D3">
        <w:t xml:space="preserve">s no effect on it.  Overall, supply is found to have a much smaller </w:t>
      </w:r>
      <w:r w:rsidRPr="00CB37D3">
        <w:t>effect on affordabil</w:t>
      </w:r>
      <w:r w:rsidR="0058469E" w:rsidRPr="00CB37D3">
        <w:t>ity</w:t>
      </w:r>
      <w:r w:rsidRPr="00CB37D3">
        <w:t xml:space="preserve"> than expected. Furthermore, it appears that even if supply is increased in all areas by an equal margin, the impact on prices would not be distributed evenly across space.  </w:t>
      </w:r>
    </w:p>
    <w:p w14:paraId="51B44410" w14:textId="77777777" w:rsidR="000C5733" w:rsidRDefault="003704AE" w:rsidP="00080C04">
      <w:pPr>
        <w:spacing w:line="480" w:lineRule="auto"/>
        <w:jc w:val="both"/>
      </w:pPr>
      <w:r>
        <w:t xml:space="preserve">Section 2 reviews </w:t>
      </w:r>
      <w:r w:rsidR="001A5A94" w:rsidRPr="00CB37D3">
        <w:t xml:space="preserve">different definitions of affordability and the economic significance of the concept. </w:t>
      </w:r>
      <w:r w:rsidR="009F7142">
        <w:t>Section 3 summarizes</w:t>
      </w:r>
      <w:r w:rsidR="001A5A94" w:rsidRPr="00CB37D3">
        <w:t xml:space="preserve"> </w:t>
      </w:r>
      <w:r w:rsidR="009F7142">
        <w:t xml:space="preserve">our </w:t>
      </w:r>
      <w:r w:rsidR="001A5A94" w:rsidRPr="00CB37D3">
        <w:t xml:space="preserve">data. </w:t>
      </w:r>
      <w:r w:rsidR="009F7142">
        <w:t xml:space="preserve">Section 4 </w:t>
      </w:r>
      <w:r w:rsidR="001A5A94" w:rsidRPr="00CB37D3">
        <w:t xml:space="preserve">presents the rationale behind the research question and the economic logic that leads to it. </w:t>
      </w:r>
      <w:r w:rsidR="009F7142">
        <w:t xml:space="preserve">Section 5 discusses our estimation methods. Section 6 presents our empirical predictions and section 7 concludes. </w:t>
      </w:r>
      <w:r w:rsidR="001A5A94" w:rsidRPr="00CB37D3">
        <w:t xml:space="preserve"> </w:t>
      </w:r>
    </w:p>
    <w:p w14:paraId="0BA40197" w14:textId="77777777" w:rsidR="001F4068" w:rsidRDefault="00916CF3" w:rsidP="00080C04">
      <w:pPr>
        <w:pStyle w:val="Heading2"/>
        <w:spacing w:line="480" w:lineRule="auto"/>
      </w:pPr>
      <w:r>
        <w:t>Defining</w:t>
      </w:r>
      <w:r w:rsidR="001F4068" w:rsidRPr="00CB37D3">
        <w:t xml:space="preserve"> housing affordability </w:t>
      </w:r>
    </w:p>
    <w:p w14:paraId="2DDDC749" w14:textId="77777777" w:rsidR="001F4068" w:rsidRDefault="003379E6" w:rsidP="00080C04">
      <w:pPr>
        <w:spacing w:line="480" w:lineRule="auto"/>
        <w:jc w:val="both"/>
      </w:pPr>
      <w:r w:rsidRPr="00CB37D3">
        <w:t xml:space="preserve">Despite the fact that its analytical definition has evolved over the last two decades, affordability remains an elusive concept (Stone 2006). </w:t>
      </w:r>
      <w:r w:rsidR="001F4068" w:rsidRPr="00CB37D3">
        <w:t>In fact, designing a</w:t>
      </w:r>
      <w:r w:rsidR="00091F09">
        <w:t>n affordability</w:t>
      </w:r>
      <w:r w:rsidR="001F4068" w:rsidRPr="00CB37D3">
        <w:t xml:space="preserve"> policy </w:t>
      </w:r>
      <w:r w:rsidR="00091F09">
        <w:t>is hampered by the lack of a commonly accepted definition</w:t>
      </w:r>
      <w:r w:rsidR="001F4068" w:rsidRPr="00CB37D3">
        <w:t>. Reducing house prices appears to be a recurring recommendation of many researchers (Bramley, 1994; Hilber, 2016) but measuring the impact of this approach requires a sound definition of affordability</w:t>
      </w:r>
      <w:r w:rsidR="00CA5F88">
        <w:t xml:space="preserve"> as well as an understanding of the market mechanisms underlying house price formation</w:t>
      </w:r>
      <w:r w:rsidR="001F4068" w:rsidRPr="00CB37D3">
        <w:t xml:space="preserve">. </w:t>
      </w:r>
    </w:p>
    <w:p w14:paraId="303315A9" w14:textId="77777777" w:rsidR="001F4068" w:rsidRPr="00CB37D3" w:rsidRDefault="001F4068" w:rsidP="00080C04">
      <w:pPr>
        <w:pStyle w:val="Heading3"/>
        <w:spacing w:line="480" w:lineRule="auto"/>
      </w:pPr>
      <w:r w:rsidRPr="00CB37D3">
        <w:t>The concept</w:t>
      </w:r>
      <w:r w:rsidR="00CA5F88">
        <w:t xml:space="preserve"> of affordability </w:t>
      </w:r>
    </w:p>
    <w:p w14:paraId="32D2BB94" w14:textId="77777777" w:rsidR="001F4068" w:rsidRPr="00CB37D3" w:rsidRDefault="001F4068" w:rsidP="00080C04">
      <w:pPr>
        <w:spacing w:line="480" w:lineRule="auto"/>
        <w:jc w:val="both"/>
      </w:pPr>
      <w:r w:rsidRPr="00CB37D3">
        <w:t>The definition of affordability adopted in this article is</w:t>
      </w:r>
      <w:r w:rsidR="00091F09">
        <w:t xml:space="preserve"> simply</w:t>
      </w:r>
      <w:r w:rsidRPr="00CB37D3">
        <w:t xml:space="preserve"> the ratio of house prices to wages. However, </w:t>
      </w:r>
      <w:r w:rsidR="00091F09">
        <w:t xml:space="preserve">several other metrics have been proposed in the literature. </w:t>
      </w:r>
      <w:r w:rsidRPr="00CB37D3">
        <w:t xml:space="preserve">Stone (2006) </w:t>
      </w:r>
      <w:r w:rsidR="00321C82">
        <w:t xml:space="preserve">alludes to </w:t>
      </w:r>
      <w:r w:rsidR="00091F09">
        <w:t xml:space="preserve">four types of </w:t>
      </w:r>
      <w:r w:rsidRPr="00CB37D3">
        <w:t xml:space="preserve">affordability: relative, subjective, budget-standards-based and residual-income-based. Although they are conceptually very similar, small differences make each class appropriate for different applications. </w:t>
      </w:r>
    </w:p>
    <w:p w14:paraId="5972E5AB" w14:textId="77777777" w:rsidR="001F4068" w:rsidRPr="00CB37D3" w:rsidRDefault="001F4068" w:rsidP="00080C04">
      <w:pPr>
        <w:spacing w:line="480" w:lineRule="auto"/>
        <w:jc w:val="both"/>
      </w:pPr>
      <w:r w:rsidRPr="00CB37D3">
        <w:rPr>
          <w:bCs/>
        </w:rPr>
        <w:lastRenderedPageBreak/>
        <w:t xml:space="preserve">Relative affordability refers to </w:t>
      </w:r>
      <w:r w:rsidRPr="00CB37D3">
        <w:t xml:space="preserve">changes in the relationship between summary measures of house prices or costs and household incomes. At its core, this is a form of the price/wage ratio approach that allows </w:t>
      </w:r>
      <w:r w:rsidR="00EE18AA" w:rsidRPr="00CB37D3">
        <w:t>one to focus</w:t>
      </w:r>
      <w:r w:rsidRPr="00CB37D3">
        <w:t xml:space="preserve"> more on affordability to potential house buyers. This approach is clearly useful to lenders who focus on transactions but offers little information about affordability from the perspective of house owners.</w:t>
      </w:r>
    </w:p>
    <w:p w14:paraId="27E1C736" w14:textId="77777777" w:rsidR="001F4068" w:rsidRPr="00CB37D3" w:rsidRDefault="001F4068" w:rsidP="00080C04">
      <w:pPr>
        <w:spacing w:line="480" w:lineRule="auto"/>
        <w:jc w:val="both"/>
      </w:pPr>
      <w:r w:rsidRPr="00CB37D3">
        <w:t xml:space="preserve">Subjective affordability is based on market efficiency and the assumption that all households make rational decisions. In this context, all houses are occupied by people who have decided that they can afford it. Consequently, it makes little sense to define housing affordability as in efficient markets all households would sort themselves only into dwellings they can afford. However, as Stone (2006) points out, there is a considerable difference in the discretion of income allocation to housing costs versus other costs between high and low income households. This means that the subjective experience of affordability of housing between the two would differ considerably. </w:t>
      </w:r>
    </w:p>
    <w:p w14:paraId="1BA42049" w14:textId="77777777" w:rsidR="001F4068" w:rsidRPr="00CB37D3" w:rsidRDefault="001F4068" w:rsidP="00080C04">
      <w:pPr>
        <w:spacing w:line="480" w:lineRule="auto"/>
        <w:jc w:val="both"/>
      </w:pPr>
      <w:r w:rsidRPr="00CB37D3">
        <w:t>The family budget standards approach to housing affordability is based on an analysis of different measures of how much of it should be dedicated to housing costs. If a monetary amount necessary to achieve a certain standard of living is determined (for example the poverty threshold Bernstein et al. 2000), then the minimum income required to support a household in a certain area can be established. In the context of housing, this is very similar to the price/wage ratio approach as the two must stay in a certain relation to each other to ensure that households are not pushed into poverty. However, while the approach works well for perishable homogenous goods, it is difficult to establish universal poverty thresholds for housing. Even if physical standards could be established, the corresponding monetary amount would be very difficult to find (see Stone 2006 for more details).</w:t>
      </w:r>
    </w:p>
    <w:p w14:paraId="027756CE" w14:textId="77777777" w:rsidR="001F4068" w:rsidRPr="00CB37D3" w:rsidRDefault="001F4068" w:rsidP="00080C04">
      <w:pPr>
        <w:spacing w:line="480" w:lineRule="auto"/>
        <w:jc w:val="both"/>
      </w:pPr>
      <w:r w:rsidRPr="00CB37D3">
        <w:t>The residual income approach adopts a slightly different perspective on disposable income and recogni</w:t>
      </w:r>
      <w:r w:rsidR="00091F09">
        <w:t>s</w:t>
      </w:r>
      <w:r w:rsidRPr="00CB37D3">
        <w:t xml:space="preserve">es that housing costs are one of the largest and least flexible items in household budgets. This means that income adequacy should not be defined by its overall level but by the amount left after paying for adequate housing. This controls for different sizes and types of households which, with the </w:t>
      </w:r>
      <w:r w:rsidRPr="00CB37D3">
        <w:lastRenderedPageBreak/>
        <w:t xml:space="preserve">same level of disposable income, may require different amounts for non-shelter goods. Although this may be the most comprehensive indicator of affordability, its practical application requires defining a standard level of income that would be considered as adequate for non-housing goods. As this benchmark is likely to change over space and time the residual approach cannot be universally applied.  </w:t>
      </w:r>
    </w:p>
    <w:p w14:paraId="3749DED9" w14:textId="77777777" w:rsidR="00B828E9" w:rsidRPr="00CB37D3" w:rsidRDefault="00CA5F88" w:rsidP="00080C04">
      <w:pPr>
        <w:spacing w:line="480" w:lineRule="auto"/>
        <w:jc w:val="both"/>
      </w:pPr>
      <w:r>
        <w:t>The idea that housing cost should</w:t>
      </w:r>
      <w:r w:rsidR="001F4068" w:rsidRPr="00CB37D3">
        <w:t xml:space="preserve"> not exceed a certain proportion of </w:t>
      </w:r>
      <w:r>
        <w:t>household income is common to all of these metrics</w:t>
      </w:r>
      <w:r w:rsidR="001F4068" w:rsidRPr="00CB37D3">
        <w:t xml:space="preserve">. This allows the ratio approach to be a useful metric as the proportion of the budget taken up by housing costs can be changed by variations in either (or both) of the two variables. While the residual approach may be the most comprehensive, </w:t>
      </w:r>
      <w:r w:rsidR="00B828E9" w:rsidRPr="00CB37D3">
        <w:t xml:space="preserve">the focus of this study is on measuring changes of affordability over time and comparing them across different locations, rather than against a </w:t>
      </w:r>
      <w:r w:rsidR="00506CB4" w:rsidRPr="00CB37D3">
        <w:t xml:space="preserve">general </w:t>
      </w:r>
      <w:r w:rsidR="00B828E9" w:rsidRPr="00CB37D3">
        <w:t>benchmark. We do not define nor rely on defining affordable housing b</w:t>
      </w:r>
      <w:r w:rsidR="00506CB4" w:rsidRPr="00CB37D3">
        <w:t>ut use the ratio as its</w:t>
      </w:r>
      <w:r w:rsidR="00B828E9" w:rsidRPr="00CB37D3">
        <w:t xml:space="preserve"> measure to </w:t>
      </w:r>
      <w:r w:rsidR="00506CB4" w:rsidRPr="00CB37D3">
        <w:t xml:space="preserve">quantify its relation to other economic variables and responses to policy.  </w:t>
      </w:r>
      <w:r w:rsidR="00B828E9" w:rsidRPr="00CB37D3">
        <w:t xml:space="preserve">  </w:t>
      </w:r>
    </w:p>
    <w:p w14:paraId="27F705A6" w14:textId="77777777" w:rsidR="001F4068" w:rsidRPr="00CB37D3" w:rsidRDefault="001F4068" w:rsidP="00080C04">
      <w:pPr>
        <w:pStyle w:val="Heading3"/>
        <w:spacing w:line="480" w:lineRule="auto"/>
      </w:pPr>
      <w:r w:rsidRPr="00CB37D3">
        <w:t>Affordability and policy</w:t>
      </w:r>
    </w:p>
    <w:p w14:paraId="4AA0817A" w14:textId="77777777" w:rsidR="001F4068" w:rsidRPr="00CB37D3" w:rsidRDefault="001F4068" w:rsidP="00080C04">
      <w:pPr>
        <w:spacing w:line="480" w:lineRule="auto"/>
        <w:jc w:val="both"/>
      </w:pPr>
      <w:r w:rsidRPr="00CB37D3">
        <w:t>In the UK, the government policy is to increase the supply of housing in order to improve affordability in the greater South East. This appears to be a natural response to rising house prices and reports of housing shortages (Barker, 2004). With White and Allmendinger (2003) as well as Whitehead (2007) arguing that housing shortages are a result of strict planning policies, it appears that the government has a key role to play in resolving the housing crisis. As Gurran and Whitehead (2011) argue, new supply of affordable units is a function of planning regulations, development controls and fees. Since all of those factors can be affected by policy, it appears that the recipe for increasing housing affordability may be quite simple. However, despite policy design that supports provision of affordable housing and generous incentives for such developments (</w:t>
      </w:r>
      <w:r w:rsidR="007E4C54">
        <w:t>Morrison and Monk 2006</w:t>
      </w:r>
      <w:r w:rsidRPr="00CB37D3">
        <w:t>) the problem remains unresolved. In fact, Crook et al. (2010) show that existing policies produce</w:t>
      </w:r>
      <w:r w:rsidR="00EE18AA" w:rsidRPr="00CB37D3">
        <w:t xml:space="preserve"> a</w:t>
      </w:r>
      <w:r w:rsidRPr="00CB37D3">
        <w:t xml:space="preserve"> supply of dwellings that is lower than expected but also that building new homes in the most critical areas has little effect on affordability. </w:t>
      </w:r>
    </w:p>
    <w:p w14:paraId="0A940CCD" w14:textId="77777777" w:rsidR="001F4068" w:rsidRDefault="001F4068" w:rsidP="00080C04">
      <w:pPr>
        <w:spacing w:line="480" w:lineRule="auto"/>
        <w:jc w:val="both"/>
      </w:pPr>
      <w:r w:rsidRPr="00CB37D3">
        <w:lastRenderedPageBreak/>
        <w:t>More recent studies indicate that simply increasing supply may not be sufficient to reduce prices. Fingleton (2008) notes that both supply and demand factors need to be considered when trying to design polic</w:t>
      </w:r>
      <w:r w:rsidR="00CA5F88">
        <w:t>ies</w:t>
      </w:r>
      <w:r w:rsidRPr="00CB37D3">
        <w:t xml:space="preserve"> that affect house prices. </w:t>
      </w:r>
      <w:r w:rsidR="00CA5F88">
        <w:t>If</w:t>
      </w:r>
      <w:r w:rsidRPr="00CB37D3">
        <w:t xml:space="preserve"> the increase in </w:t>
      </w:r>
      <w:r w:rsidR="00CA5F88">
        <w:t xml:space="preserve">the </w:t>
      </w:r>
      <w:r w:rsidRPr="00CB37D3">
        <w:t>supply of housing is accompanied by expansion of employment there might be a feedback effect on demand for residential properties. This resonates with the argument presented by other researchers (Glaeser et al. 200</w:t>
      </w:r>
      <w:r w:rsidR="000277C9">
        <w:t>6</w:t>
      </w:r>
      <w:r w:rsidRPr="00CB37D3">
        <w:t xml:space="preserve">, Szumilo et al. 2017) who note a reciprocal relationship between city size, productivity and income. Gurran and Whitehead (2011) also </w:t>
      </w:r>
      <w:r w:rsidR="00CA5F88">
        <w:t>argue</w:t>
      </w:r>
      <w:r w:rsidRPr="00CB37D3">
        <w:t xml:space="preserve"> that </w:t>
      </w:r>
      <w:r w:rsidR="00CA5F88">
        <w:t xml:space="preserve">supply-focussed policies </w:t>
      </w:r>
      <w:r w:rsidRPr="00CB37D3">
        <w:t>may be misguided and that demand also needs to be</w:t>
      </w:r>
      <w:r w:rsidR="00CA5F88">
        <w:t xml:space="preserve"> addressed</w:t>
      </w:r>
      <w:r w:rsidRPr="00CB37D3">
        <w:t>. The key concept is that under certain conditions expansion of supply can increase demand and lead to higher prices</w:t>
      </w:r>
      <w:r w:rsidR="00CA5F88">
        <w:t xml:space="preserve"> </w:t>
      </w:r>
      <w:r w:rsidR="00CA5F88" w:rsidRPr="00CB37D3">
        <w:t>(Nelson et al. 2002).</w:t>
      </w:r>
      <w:r w:rsidRPr="00CB37D3">
        <w:t xml:space="preserve"> </w:t>
      </w:r>
    </w:p>
    <w:p w14:paraId="6CBBC207" w14:textId="77777777" w:rsidR="00916CF3" w:rsidRDefault="00916CF3" w:rsidP="00916CF3">
      <w:pPr>
        <w:pStyle w:val="Heading2"/>
        <w:spacing w:line="480" w:lineRule="auto"/>
      </w:pPr>
      <w:r>
        <w:t>Measuring housing affordability</w:t>
      </w:r>
    </w:p>
    <w:p w14:paraId="40340899" w14:textId="77777777" w:rsidR="0046179C" w:rsidRDefault="0046179C" w:rsidP="0046179C">
      <w:pPr>
        <w:spacing w:line="480" w:lineRule="auto"/>
        <w:jc w:val="both"/>
      </w:pPr>
      <w:r>
        <w:t xml:space="preserve">The previous section showed that an analysis using a simplistic definition of affordability is likely to yield misleading results due to the large variations in building stock, regional wealth and endowment with local amenities and production factors which are reflected in house prices. Therefore, a conceptual framework is required that takes these factors into account. An obvious starting point is the quintessential urban economics models of urban house price determinants, the Alonso-Muth-Mills model, which assumes that locations closer to an urban and/or major employment centre are more attractive due to greater accessibility and shorter commutes and will hence command higher land and house prices. Households maximise their utility by trading off the accessibility and other amenities of a given location with the cost of housing and transportation. The cost of housing is assumed to fall linearly as transport costs increase with distance to the centre which means that the sum of these two key costs is assumed to remain constant across space. However, households, particularly those with higher incomes, are able to gain higher utility by consuming more floorspace on larger parcels of land in more peripheral locations which may more than offset the additional cost of longer commutes and travel times. While the Alsonso-Muth-Mills model explains the general price distribution within a city, it fails to explain price differentials across cities. To this end, Rosen (1979) </w:t>
      </w:r>
      <w:r>
        <w:lastRenderedPageBreak/>
        <w:t xml:space="preserve">and Roback (1982) incorporate the role of wages and rents in household location choices. In the Rosen-Roback model, prices reflect wage levels and/or the aggregate value of amenities across cities. Roback’s empirical analysis infers the implicit willingness to pay for location amenities by comparing wages net of housing costs across cities and finds that workers accept lower real wages in areas with a high level of amenities. This finding was also confirmed for the UK housing market by Gibbons et al (2011 and 2014). </w:t>
      </w:r>
    </w:p>
    <w:p w14:paraId="159C24B3" w14:textId="77777777" w:rsidR="00916CF3" w:rsidRPr="00CB37D3" w:rsidRDefault="00916CF3" w:rsidP="00916CF3">
      <w:pPr>
        <w:pStyle w:val="Heading3"/>
        <w:spacing w:after="240"/>
      </w:pPr>
      <w:r>
        <w:t>Fundamental determinants of house prices</w:t>
      </w:r>
    </w:p>
    <w:p w14:paraId="22389975" w14:textId="77777777" w:rsidR="00916CF3" w:rsidRPr="00DE2782" w:rsidRDefault="00916CF3" w:rsidP="00916CF3">
      <w:pPr>
        <w:spacing w:line="480" w:lineRule="auto"/>
        <w:jc w:val="both"/>
      </w:pPr>
      <w:r w:rsidRPr="00DE2782">
        <w:t xml:space="preserve">Glaeser et al. (2006) demonstrate that new supply plays a crucial role in determining whether productivity increases will lead to urban expansion or just to more expensive homes and higher wages. The former is shown to occur in places with low regulation and low density while the latter is associated with cities marked by high density and strict planning regulations. Where housing supply is extremely inelastic, population size remains constant and wages increase to offset the accompanying rise in house prices following an increase in demand. However, these constraints can be partially circumvented by longer commutes from areas with more elastic supply and by pricing out and replacing existing low-skilled residents by highly-skilled, more productive incoming workers. This is not undisputed, however, as Ortalo-Magne and Rady (2008) demonstrate that established long-term homeowners typically remain in a neighbourhood even if they could afford a larger property elsewhere following sharp house price increases in their neighbourhood. Competition for available properties is then restricted to highly-skilled affluent newcomers. By contrast, pricing out may occur where households are mainly renters and not protected by strict regulations on rent increases. </w:t>
      </w:r>
    </w:p>
    <w:p w14:paraId="7063DA58" w14:textId="77777777" w:rsidR="00916CF3" w:rsidRPr="00CB37D3" w:rsidRDefault="00916CF3" w:rsidP="00916CF3">
      <w:pPr>
        <w:spacing w:line="480" w:lineRule="auto"/>
        <w:jc w:val="both"/>
      </w:pPr>
      <w:r>
        <w:t xml:space="preserve">Differences between short and long-run house price determinants are also expounded in the literature. For example, MacDonald and Taylor (1993) explore the long-run relationships between house prices in the UK and then work out potential ripple effects and short-term dynamics. More recently, Gallin (2006) investigated the long-run relationship between house prices and income and did not find a significant association. Generally, long-term house price determinants include </w:t>
      </w:r>
      <w:r>
        <w:lastRenderedPageBreak/>
        <w:t xml:space="preserve">demographic trends, household size, household income, taxation of home ownership as well as transportation cost and technology while short-term factors include unemployment, interest rates, access to mortgage debt and the financial performance of competing asset classes (Malpezzi 1999, Meen 2002, Weiner and Fuerst 2017). </w:t>
      </w:r>
    </w:p>
    <w:p w14:paraId="41BC4EB1" w14:textId="0E560CB1" w:rsidR="00916CF3" w:rsidRDefault="00916CF3" w:rsidP="00916CF3">
      <w:pPr>
        <w:spacing w:line="480" w:lineRule="auto"/>
        <w:jc w:val="both"/>
      </w:pPr>
      <w:r>
        <w:t>Inelastic</w:t>
      </w:r>
      <w:r w:rsidRPr="00CB37D3">
        <w:t xml:space="preserve"> supply of housing </w:t>
      </w:r>
      <w:r>
        <w:t>has been shown theoretically and empirically</w:t>
      </w:r>
      <w:r w:rsidRPr="00CB37D3">
        <w:t xml:space="preserve"> to </w:t>
      </w:r>
      <w:r>
        <w:t>inflate</w:t>
      </w:r>
      <w:r w:rsidRPr="00CB37D3">
        <w:t xml:space="preserve"> house prices </w:t>
      </w:r>
      <w:r>
        <w:t>in the presence of rising demand</w:t>
      </w:r>
      <w:r w:rsidRPr="00CB37D3">
        <w:t xml:space="preserve">. This may lead to </w:t>
      </w:r>
      <w:r>
        <w:t xml:space="preserve">house </w:t>
      </w:r>
      <w:r w:rsidRPr="00CB37D3">
        <w:t>prices growi</w:t>
      </w:r>
      <w:r>
        <w:t>ng faster than wages, thereby eroding affordability</w:t>
      </w:r>
      <w:r w:rsidRPr="00CB37D3">
        <w:t xml:space="preserve">. </w:t>
      </w:r>
      <w:r>
        <w:t xml:space="preserve">While this outcome is not desirable in terms from a policy and household purchasing power point of view, it could be argued that if </w:t>
      </w:r>
      <w:r w:rsidRPr="00CB37D3">
        <w:t>increased demand for housing is correlated</w:t>
      </w:r>
      <w:r>
        <w:t xml:space="preserve"> with growing demand for labour, the local economy still benefits from </w:t>
      </w:r>
      <w:r w:rsidRPr="00CB37D3">
        <w:t>lower unemployment rates and higher wages. While the benefit of highe</w:t>
      </w:r>
      <w:r>
        <w:t>r earnings would be offset partially or completely</w:t>
      </w:r>
      <w:r w:rsidRPr="00CB37D3">
        <w:t xml:space="preserve"> by the inflation of house prices, higher employment </w:t>
      </w:r>
      <w:r>
        <w:t>is expected to persist. This would also be</w:t>
      </w:r>
      <w:r w:rsidRPr="00CB37D3">
        <w:t xml:space="preserve"> true at a national level </w:t>
      </w:r>
      <w:r>
        <w:t>assuming</w:t>
      </w:r>
      <w:r w:rsidRPr="00CB37D3">
        <w:t xml:space="preserve"> that the size of the labour force is constant. In that case, if a growing economy wanted to sustain its development by increasing its total employment, it would have no c</w:t>
      </w:r>
      <w:r>
        <w:t xml:space="preserve">hoice but to hire and train previously </w:t>
      </w:r>
      <w:r w:rsidRPr="00CB37D3">
        <w:t xml:space="preserve">unemployed </w:t>
      </w:r>
      <w:r>
        <w:t xml:space="preserve">workers </w:t>
      </w:r>
      <w:r w:rsidRPr="00CB37D3">
        <w:t>(Aslund and Rooth 2007). However, at a regional level, the size of the labour force could evolve as the transport infrastructure changes. Given satisfactory transportation links, the labour force would not be constant despite the fact that local population in the centre of employment may remain unchanged and limited by an inelastic supply of housing (Haynes 1997). This shows that when analysing a particular housing market, its interaction with commutable areas also needs to be examined. Hence, the current study can be seen as an extension of the work presented by Glaeser et al. (200</w:t>
      </w:r>
      <w:r>
        <w:t>6</w:t>
      </w:r>
      <w:r w:rsidRPr="00CB37D3">
        <w:t xml:space="preserve">) who assume that there is no cross area commuting and model house prices based on within-area supply and demand. However, the present analysis relaxes the assumption that demand is only driven by local employment by also taking moving and commuting across areas into account. </w:t>
      </w:r>
    </w:p>
    <w:p w14:paraId="16319F12" w14:textId="30DA0411" w:rsidR="00DE2782" w:rsidRDefault="00DE2782" w:rsidP="00DE2782">
      <w:pPr>
        <w:pStyle w:val="Heading3"/>
        <w:spacing w:after="240"/>
      </w:pPr>
      <w:r>
        <w:lastRenderedPageBreak/>
        <w:t xml:space="preserve">Modelling the interaction between housing and labour markets </w:t>
      </w:r>
    </w:p>
    <w:p w14:paraId="7023A55A" w14:textId="77777777" w:rsidR="00916CF3" w:rsidRPr="00CB37D3" w:rsidRDefault="00916CF3" w:rsidP="00916CF3">
      <w:pPr>
        <w:spacing w:line="480" w:lineRule="auto"/>
        <w:jc w:val="both"/>
      </w:pPr>
      <w:r w:rsidRPr="00CB37D3">
        <w:t>Workers who purchase</w:t>
      </w:r>
      <w:r w:rsidRPr="00600223">
        <w:t xml:space="preserve"> or rent</w:t>
      </w:r>
      <w:r w:rsidRPr="00CB37D3">
        <w:t xml:space="preserve"> homes in expensive locations would be those with the highest utility derived from doing so. For example, senior workers whose opportunity cost of commuting is high could be more likely to live close to their workplace (</w:t>
      </w:r>
      <w:r w:rsidRPr="007E4C54">
        <w:t>Bissell</w:t>
      </w:r>
      <w:r>
        <w:t xml:space="preserve"> </w:t>
      </w:r>
      <w:r w:rsidRPr="007E4C54">
        <w:t>2014</w:t>
      </w:r>
      <w:r>
        <w:t xml:space="preserve">, </w:t>
      </w:r>
      <w:r w:rsidRPr="00CB37D3">
        <w:t xml:space="preserve">Eliasson, et al. 2003). In a competitive bidding process, prices would increase and houses would be more likely to be </w:t>
      </w:r>
      <w:r w:rsidRPr="00600223">
        <w:t>occupied by</w:t>
      </w:r>
      <w:r w:rsidRPr="00CB37D3">
        <w:t xml:space="preserve"> those who derive higher utility from living close to the centre. However, it is also important to consider that those who have the ability to pay more are likely to outbid those whose maximum price is constrained not by their utility but by their wage (Sa 2015). Consequently, house prices in any district are likely to be determined by wages offered to those who work there and the number of workers competing for housing in the location. While not everyone may prefer to live close to their workplace, those with higher wages can afford to pay higher prices in exchange for a less onerous commute. If income (</w:t>
      </w:r>
      <w:r w:rsidRPr="00CB37D3">
        <w:rPr>
          <w:i/>
        </w:rPr>
        <w:t>I</w:t>
      </w:r>
      <w:r w:rsidRPr="00CB37D3">
        <w:t>) in area</w:t>
      </w:r>
      <w:r w:rsidRPr="00CB37D3">
        <w:rPr>
          <w:i/>
        </w:rPr>
        <w:t xml:space="preserve"> i</w:t>
      </w:r>
      <w:r w:rsidRPr="00CB37D3">
        <w:t xml:space="preserve"> at time</w:t>
      </w:r>
      <w:r w:rsidRPr="00CB37D3">
        <w:rPr>
          <w:i/>
        </w:rPr>
        <w:t xml:space="preserve"> t</w:t>
      </w:r>
      <w:r w:rsidRPr="00CB37D3">
        <w:t xml:space="preserve"> is defined by the Hadamard (cell by cell ) product of the </w:t>
      </w:r>
      <w:r w:rsidRPr="00CB37D3">
        <w:rPr>
          <w:i/>
        </w:rPr>
        <w:t>N</w:t>
      </w:r>
      <w:r w:rsidRPr="00CB37D3">
        <w:t xml:space="preserve"> by 1 vector of mean employee mean wage rate  </w:t>
      </w:r>
      <w:r w:rsidRPr="00CB37D3">
        <w:rPr>
          <w:position w:val="-12"/>
        </w:rPr>
        <w:object w:dxaOrig="279" w:dyaOrig="360" w14:anchorId="284E82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pt;height:21pt" o:ole="">
            <v:imagedata r:id="rId8" o:title=""/>
          </v:shape>
          <o:OLEObject Type="Embed" ProgID="Equation.DSMT4" ShapeID="_x0000_i1025" DrawAspect="Content" ObjectID="_1617779939" r:id="rId9"/>
        </w:object>
      </w:r>
      <w:r>
        <w:t xml:space="preserve"> </w:t>
      </w:r>
      <w:r w:rsidRPr="00CB37D3">
        <w:t xml:space="preserve">and number of employees working in each District </w:t>
      </w:r>
      <w:r w:rsidRPr="00CB37D3">
        <w:rPr>
          <w:position w:val="-12"/>
        </w:rPr>
        <w:object w:dxaOrig="279" w:dyaOrig="360" w14:anchorId="66EA4E44">
          <v:shape id="_x0000_i1026" type="#_x0000_t75" style="width:15pt;height:21pt" o:ole="">
            <v:imagedata r:id="rId10" o:title=""/>
          </v:shape>
          <o:OLEObject Type="Embed" ProgID="Equation.DSMT4" ShapeID="_x0000_i1026" DrawAspect="Content" ObjectID="_1617779940" r:id="rId11"/>
        </w:object>
      </w:r>
      <w:r>
        <w:t xml:space="preserve">, hence </w:t>
      </w:r>
      <w:r w:rsidRPr="00CB37D3">
        <w:rPr>
          <w:position w:val="-12"/>
        </w:rPr>
        <w:object w:dxaOrig="1180" w:dyaOrig="360" w14:anchorId="45C975AC">
          <v:shape id="_x0000_i1027" type="#_x0000_t75" style="width:57pt;height:21pt" o:ole="">
            <v:imagedata r:id="rId12" o:title=""/>
          </v:shape>
          <o:OLEObject Type="Embed" ProgID="Equation.DSMT4" ShapeID="_x0000_i1027" DrawAspect="Content" ObjectID="_1617779941" r:id="rId13"/>
        </w:object>
      </w:r>
      <w:r w:rsidRPr="00CB37D3">
        <w:t xml:space="preserve">, then its growth can be driven by changes in either of those values. However, they are likely to have different effects on the affordability ratio defined as </w:t>
      </w:r>
      <m:oMath>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it</m:t>
                </m:r>
              </m:sub>
            </m:sSub>
          </m:num>
          <m:den>
            <m:sSub>
              <m:sSubPr>
                <m:ctrlPr>
                  <w:rPr>
                    <w:rFonts w:ascii="Cambria Math" w:hAnsi="Cambria Math"/>
                  </w:rPr>
                </m:ctrlPr>
              </m:sSubPr>
              <m:e>
                <m:acc>
                  <m:accPr>
                    <m:chr m:val="̅"/>
                    <m:ctrlPr>
                      <w:rPr>
                        <w:rFonts w:ascii="Cambria Math" w:hAnsi="Cambria Math"/>
                      </w:rPr>
                    </m:ctrlPr>
                  </m:accPr>
                  <m:e>
                    <m:r>
                      <w:rPr>
                        <w:rFonts w:ascii="Cambria Math" w:hAnsi="Cambria Math"/>
                      </w:rPr>
                      <m:t>w</m:t>
                    </m:r>
                  </m:e>
                </m:acc>
              </m:e>
              <m:sub>
                <m:r>
                  <w:rPr>
                    <w:rFonts w:ascii="Cambria Math" w:hAnsi="Cambria Math"/>
                  </w:rPr>
                  <m:t>it</m:t>
                </m:r>
              </m:sub>
            </m:sSub>
          </m:den>
        </m:f>
      </m:oMath>
      <w:r w:rsidRPr="00CB37D3">
        <w:t xml:space="preserve"> (where</w:t>
      </w:r>
      <w:r w:rsidRPr="00CB37D3">
        <w:rPr>
          <w:i/>
        </w:rPr>
        <w:t xml:space="preserve"> p</w:t>
      </w:r>
      <w:r w:rsidRPr="00CB37D3">
        <w:t xml:space="preserve"> is price). If residential demand (</w:t>
      </w:r>
      <m:oMath>
        <m:sSub>
          <m:sSubPr>
            <m:ctrlPr>
              <w:rPr>
                <w:rFonts w:ascii="Cambria Math" w:hAnsi="Cambria Math"/>
              </w:rPr>
            </m:ctrlPr>
          </m:sSubPr>
          <m:e>
            <m:r>
              <w:rPr>
                <w:rFonts w:ascii="Cambria Math" w:hAnsi="Cambria Math"/>
              </w:rPr>
              <m:t>q</m:t>
            </m:r>
          </m:e>
          <m:sub>
            <m:r>
              <w:rPr>
                <w:rFonts w:ascii="Cambria Math" w:hAnsi="Cambria Math"/>
              </w:rPr>
              <m:t>it</m:t>
            </m:r>
          </m:sub>
        </m:sSub>
      </m:oMath>
      <w:r w:rsidRPr="00CB37D3">
        <w:t xml:space="preserve">) is driven primarily by changes in income </w:t>
      </w:r>
      <m:oMath>
        <m:sSub>
          <m:sSubPr>
            <m:ctrlPr>
              <w:rPr>
                <w:rFonts w:ascii="Cambria Math" w:hAnsi="Cambria Math"/>
              </w:rPr>
            </m:ctrlPr>
          </m:sSubPr>
          <m:e>
            <m:r>
              <w:rPr>
                <w:rFonts w:ascii="Cambria Math" w:hAnsi="Cambria Math"/>
              </w:rPr>
              <m:t>q</m:t>
            </m:r>
          </m:e>
          <m:sub>
            <m:r>
              <w:rPr>
                <w:rFonts w:ascii="Cambria Math" w:hAnsi="Cambria Math"/>
              </w:rPr>
              <m:t>it</m:t>
            </m:r>
          </m:sub>
        </m:sSub>
        <m:r>
          <m:rPr>
            <m:sty m:val="p"/>
          </m:rPr>
          <w:rPr>
            <w:rFonts w:ascii="Cambria Math" w:hAnsi="Cambria Math"/>
          </w:rPr>
          <m:t>=</m:t>
        </m:r>
        <m:r>
          <w:rPr>
            <w:rFonts w:ascii="Cambria Math" w:hAnsi="Cambria Math"/>
          </w:rPr>
          <m:t>f</m:t>
        </m:r>
        <m:r>
          <m:rPr>
            <m:sty m:val="p"/>
          </m:rPr>
          <w:rPr>
            <w:rFonts w:ascii="Cambria Math" w:hAnsi="Cambria Math"/>
          </w:rPr>
          <m:t>(</m:t>
        </m:r>
        <m:sSub>
          <m:sSubPr>
            <m:ctrlPr>
              <w:rPr>
                <w:rFonts w:ascii="Cambria Math" w:hAnsi="Cambria Math"/>
              </w:rPr>
            </m:ctrlPr>
          </m:sSubPr>
          <m:e>
            <m:r>
              <w:rPr>
                <w:rFonts w:ascii="Cambria Math" w:hAnsi="Cambria Math"/>
              </w:rPr>
              <m:t>p</m:t>
            </m:r>
          </m:e>
          <m:sub>
            <m:r>
              <w:rPr>
                <w:rFonts w:ascii="Cambria Math" w:hAnsi="Cambria Math"/>
              </w:rPr>
              <m:t>it</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it</m:t>
            </m:r>
          </m:sub>
        </m:sSub>
        <m:r>
          <m:rPr>
            <m:sty m:val="p"/>
          </m:rPr>
          <w:rPr>
            <w:rFonts w:ascii="Cambria Math" w:hAnsi="Cambria Math"/>
          </w:rPr>
          <m:t>)</m:t>
        </m:r>
      </m:oMath>
      <w:r w:rsidRPr="00CB37D3">
        <w:t>, then as income grows, house prices increase accordingly (Goodman 1988). However, the impact of this process on the affordability ratio depends on whether the higher income is driven by employment or wages. While both can impact prices through demand, only wages can induce a corresponding change in the affordability ratio. In this light, an expansion of housing supply can be seen as an increase the number of local workers. This will increase income and house prices unless it is accompanied by a reduction in average wage levels. Glaeser et al. (200</w:t>
      </w:r>
      <w:r>
        <w:t>6</w:t>
      </w:r>
      <w:r w:rsidRPr="00CB37D3">
        <w:t xml:space="preserve">) present this process by introducing a wage model which assumes that agglomeration benefits have a positive effect while a negative reaction is caused by the increasing labour supply. We adopt a simpler approach in which we do not allow wages to be a function of the local labour force but assume that they are set exogenously for each district. </w:t>
      </w:r>
      <w:r w:rsidRPr="00C33576">
        <w:t xml:space="preserve">This focuses our </w:t>
      </w:r>
      <w:r>
        <w:t>study</w:t>
      </w:r>
      <w:r w:rsidRPr="00C33576">
        <w:t xml:space="preserve"> </w:t>
      </w:r>
      <w:r w:rsidRPr="00C33576">
        <w:lastRenderedPageBreak/>
        <w:t xml:space="preserve">on the housing demand created by the increase in employment levels and ignores the impact of additional density on wages. </w:t>
      </w:r>
      <w:r>
        <w:t>Omitting the density effect</w:t>
      </w:r>
      <w:r w:rsidRPr="00C33576">
        <w:t xml:space="preserve"> simplifies our analysis and assumes that the impact of new housing supply on demand is lower by ignoring one of the channels of its transmission. According to Fingleton (2008) doubling employment density in UK districts increases wages by 2.8%. This effect is unlikely to have a significant impact on our analysis as the highest changes in employment density in our simulation will not exceed 50% so changes in wages will be very small. Moreover, if this assumption has any effect on our estimates it would be a small downward bias in the impact of new supply on prices. </w:t>
      </w:r>
      <w:r w:rsidRPr="00CB37D3">
        <w:t xml:space="preserve">In </w:t>
      </w:r>
      <w:r>
        <w:t>our</w:t>
      </w:r>
      <w:r w:rsidRPr="00CB37D3">
        <w:t xml:space="preserve"> set up, new housing supply increases income by allowing more workers</w:t>
      </w:r>
      <w:r>
        <w:t xml:space="preserve"> (rather than higher wages)</w:t>
      </w:r>
      <w:r w:rsidRPr="00CB37D3">
        <w:t xml:space="preserve">. In turn, this is likely to lead to a higher housing demand. Ultimately, the impact of new supply on affordability will depend on income elasticity of demand and supply elasticities of both income and price. </w:t>
      </w:r>
    </w:p>
    <w:p w14:paraId="228B71B9" w14:textId="77777777" w:rsidR="00916CF3" w:rsidRPr="00CB37D3" w:rsidRDefault="00916CF3" w:rsidP="00916CF3">
      <w:pPr>
        <w:spacing w:line="480" w:lineRule="auto"/>
        <w:jc w:val="both"/>
      </w:pPr>
      <w:r w:rsidRPr="00CB37D3">
        <w:t>While a similar process has been shown by Glaeser et al. (200</w:t>
      </w:r>
      <w:r>
        <w:t>6</w:t>
      </w:r>
      <w:r w:rsidRPr="00CB37D3">
        <w:t xml:space="preserve">), their work has explicitly ignored any interactions between locations. If the demand for housing from residents of any district is allowed to depend on income earned by residents commuting to jobs located within commuting distance of that district, it becomes necessary to consider how this interaction may affect the impact of supply increases on prices. In other words, the jobs that determine local income are not local but distributed across commutable areas (Mulalic, et al. 2014). This means that the impact of increasing local supply in district </w:t>
      </w:r>
      <w:r w:rsidRPr="00CB37D3">
        <w:rPr>
          <w:i/>
        </w:rPr>
        <w:t>i</w:t>
      </w:r>
      <w:r w:rsidRPr="00CB37D3">
        <w:t xml:space="preserve"> will be affected by demand generated by commutable jobs which we denote by </w:t>
      </w:r>
      <w:r w:rsidRPr="00CB37D3">
        <w:rPr>
          <w:position w:val="-12"/>
        </w:rPr>
        <w:object w:dxaOrig="260" w:dyaOrig="380" w14:anchorId="5CB421B2">
          <v:shape id="_x0000_i1028" type="#_x0000_t75" style="width:15pt;height:15pt" o:ole="">
            <v:imagedata r:id="rId14" o:title=""/>
          </v:shape>
          <o:OLEObject Type="Embed" ProgID="Equation.DSMT4" ShapeID="_x0000_i1028" DrawAspect="Content" ObjectID="_1617779942" r:id="rId15"/>
        </w:object>
      </w:r>
      <w:r w:rsidRPr="00CB37D3">
        <w:t>, which is income within commuting distance. We also include a spatial price dependence elemen</w:t>
      </w:r>
      <w:r>
        <w:t xml:space="preserve">t </w:t>
      </w:r>
      <w:r w:rsidRPr="00CB37D3">
        <w:rPr>
          <w:i/>
          <w:position w:val="-14"/>
        </w:rPr>
        <w:object w:dxaOrig="720" w:dyaOrig="400" w14:anchorId="057D9E2E">
          <v:shape id="_x0000_i1029" type="#_x0000_t75" style="width:36pt;height:21pt" o:ole="">
            <v:imagedata r:id="rId16" o:title=""/>
          </v:shape>
          <o:OLEObject Type="Embed" ProgID="Equation.DSMT4" ShapeID="_x0000_i1029" DrawAspect="Content" ObjectID="_1617779943" r:id="rId17"/>
        </w:object>
      </w:r>
      <w:r>
        <w:rPr>
          <w:i/>
        </w:rPr>
        <w:t xml:space="preserve"> </w:t>
      </w:r>
      <w:r>
        <w:t xml:space="preserve">and two district-invariant variables </w:t>
      </w:r>
      <w:r w:rsidRPr="00C90609">
        <w:t>in</w:t>
      </w:r>
      <w:r w:rsidRPr="00CB37D3">
        <w:t xml:space="preserve"> the demand function</w:t>
      </w:r>
      <w:r>
        <w:t xml:space="preserve">, </w:t>
      </w:r>
      <w:r w:rsidRPr="008A45C7">
        <w:rPr>
          <w:position w:val="-12"/>
        </w:rPr>
        <w:object w:dxaOrig="260" w:dyaOrig="360" w14:anchorId="3F2A0F7F">
          <v:shape id="_x0000_i1030" type="#_x0000_t75" style="width:15pt;height:21pt" o:ole="">
            <v:imagedata r:id="rId18" o:title=""/>
          </v:shape>
          <o:OLEObject Type="Embed" ProgID="Equation.DSMT4" ShapeID="_x0000_i1030" DrawAspect="Content" ObjectID="_1617779944" r:id="rId19"/>
        </w:object>
      </w:r>
      <w:r>
        <w:t xml:space="preserve"> and </w:t>
      </w:r>
      <w:r w:rsidRPr="008A45C7">
        <w:rPr>
          <w:position w:val="-12"/>
        </w:rPr>
        <w:object w:dxaOrig="260" w:dyaOrig="360" w14:anchorId="4BA14B3C">
          <v:shape id="_x0000_i1031" type="#_x0000_t75" style="width:15pt;height:21pt" o:ole="">
            <v:imagedata r:id="rId20" o:title=""/>
          </v:shape>
          <o:OLEObject Type="Embed" ProgID="Equation.DSMT4" ShapeID="_x0000_i1031" DrawAspect="Content" ObjectID="_1617779945" r:id="rId21"/>
        </w:object>
      </w:r>
      <w:r>
        <w:t xml:space="preserve">, </w:t>
      </w:r>
      <w:r w:rsidRPr="00CB37D3">
        <w:t>which becomes</w:t>
      </w:r>
      <w:r>
        <w:t xml:space="preserve"> </w:t>
      </w:r>
      <w:r w:rsidRPr="00CB37D3">
        <w:rPr>
          <w:position w:val="-12"/>
        </w:rPr>
        <w:object w:dxaOrig="2659" w:dyaOrig="380" w14:anchorId="05D01D4F">
          <v:shape id="_x0000_i1032" type="#_x0000_t75" style="width:129pt;height:15pt" o:ole="">
            <v:imagedata r:id="rId22" o:title=""/>
          </v:shape>
          <o:OLEObject Type="Embed" ProgID="Equation.DSMT4" ShapeID="_x0000_i1032" DrawAspect="Content" ObjectID="_1617779946" r:id="rId23"/>
        </w:object>
      </w:r>
      <w:r w:rsidRPr="00CB37D3">
        <w:t xml:space="preserve">. This reflects the </w:t>
      </w:r>
      <w:r>
        <w:t>f</w:t>
      </w:r>
      <w:r w:rsidRPr="00CB37D3">
        <w:t xml:space="preserve">act that demand for property </w:t>
      </w:r>
      <w:r w:rsidRPr="00CB37D3">
        <w:rPr>
          <w:position w:val="-12"/>
        </w:rPr>
        <w:object w:dxaOrig="279" w:dyaOrig="360" w14:anchorId="1C011161">
          <v:shape id="_x0000_i1033" type="#_x0000_t75" style="width:15pt;height:21pt" o:ole="">
            <v:imagedata r:id="rId24" o:title=""/>
          </v:shape>
          <o:OLEObject Type="Embed" ProgID="Equation.DSMT4" ShapeID="_x0000_i1033" DrawAspect="Content" ObjectID="_1617779947" r:id="rId25"/>
        </w:object>
      </w:r>
      <w:r w:rsidRPr="00CB37D3">
        <w:t xml:space="preserve"> depends not only on local prices and income within commuting distance, but on prices in ‘nearby’ districts, where ’nearby’ means within commuting range</w:t>
      </w:r>
      <w:r>
        <w:t xml:space="preserve">, and on the Bank of England interest rate </w:t>
      </w:r>
      <w:r w:rsidRPr="00111018">
        <w:rPr>
          <w:position w:val="-12"/>
        </w:rPr>
        <w:object w:dxaOrig="260" w:dyaOrig="360" w14:anchorId="70047A1F">
          <v:shape id="_x0000_i1034" type="#_x0000_t75" style="width:15pt;height:21pt" o:ole="">
            <v:imagedata r:id="rId18" o:title=""/>
          </v:shape>
          <o:OLEObject Type="Embed" ProgID="Equation.DSMT4" ShapeID="_x0000_i1034" DrawAspect="Content" ObjectID="_1617779948" r:id="rId26"/>
        </w:object>
      </w:r>
      <w:r>
        <w:t xml:space="preserve">and the FTSE ALL SHARES </w:t>
      </w:r>
      <w:r>
        <w:lastRenderedPageBreak/>
        <w:t>index of share prices</w:t>
      </w:r>
      <w:r>
        <w:rPr>
          <w:rStyle w:val="FootnoteReference"/>
        </w:rPr>
        <w:footnoteReference w:id="4"/>
      </w:r>
      <w:r>
        <w:t xml:space="preserve"> </w:t>
      </w:r>
      <w:r w:rsidRPr="00111018">
        <w:rPr>
          <w:position w:val="-12"/>
        </w:rPr>
        <w:object w:dxaOrig="260" w:dyaOrig="360" w14:anchorId="76CDE6D4">
          <v:shape id="_x0000_i1035" type="#_x0000_t75" style="width:15pt;height:21pt" o:ole="">
            <v:imagedata r:id="rId20" o:title=""/>
          </v:shape>
          <o:OLEObject Type="Embed" ProgID="Equation.DSMT4" ShapeID="_x0000_i1035" DrawAspect="Content" ObjectID="_1617779949" r:id="rId27"/>
        </w:object>
      </w:r>
      <w:r w:rsidRPr="00CB37D3">
        <w:t>.</w:t>
      </w:r>
      <w:r>
        <w:t xml:space="preserve"> In order to calculate the mean Bank rate for each year, we take the mean of the rates applying in each month of the year. Bank interest rate is proposed to capture the effect on demand of (closely related) mortgage interest rates. It also reflects returns on investments held as Bank deposits, as an alternative to property investment.  The mean FTSE </w:t>
      </w:r>
      <w:r w:rsidRPr="00600223">
        <w:t xml:space="preserve">ALL SHARES </w:t>
      </w:r>
      <w:r>
        <w:t xml:space="preserve">index is similarly meant to capture competing investment </w:t>
      </w:r>
      <w:r w:rsidRPr="00600223">
        <w:t>opportunities. Its annual value is calculated as the average level of monthly closing values of the index as reported by Bloomberg</w:t>
      </w:r>
      <w:r>
        <w:t xml:space="preserve">. </w:t>
      </w:r>
    </w:p>
    <w:p w14:paraId="5A967BC8" w14:textId="77777777" w:rsidR="00916CF3" w:rsidRPr="00CB37D3" w:rsidRDefault="00916CF3" w:rsidP="00916CF3">
      <w:pPr>
        <w:spacing w:line="480" w:lineRule="auto"/>
        <w:jc w:val="both"/>
      </w:pPr>
      <w:r w:rsidRPr="00CB37D3">
        <w:t xml:space="preserve"> We assume that prices will be correlated contemporaneously across space. That means that prices will tend to be related in districts that are close together in space as well as in time. For example, two identical properties on either side of a street would undoubtedly see a convergence in price because of comparison effects. We can think of this as a displaced demand effect, whereby an initially more expensive property would displace demand to a closely comparable property thus lowering the price of one and raising the price of the other, until an equilibrium is reached. We envisage a similar process operating at the district level, where, having controlled for other factors affecting prices, including inter-district heterogeneity, there will be a tendency for prices to convergence in locations where price comparisons are being made. Critically however, we assume that those comparisons will be made based on commuting possibilities between zones as workers from each district affect the demand in its commutable areas.   </w:t>
      </w:r>
    </w:p>
    <w:p w14:paraId="5A177CA0" w14:textId="77777777" w:rsidR="00916CF3" w:rsidRPr="00CB37D3" w:rsidRDefault="00916CF3" w:rsidP="00916CF3">
      <w:pPr>
        <w:spacing w:line="480" w:lineRule="auto"/>
        <w:jc w:val="both"/>
      </w:pPr>
      <w:r w:rsidRPr="00CB37D3">
        <w:t xml:space="preserve">Introducing this regional price interaction between commutable areas needs to be put in the context of the imperfections of both real estate and labour markets that determine it. Both markets are characterized by long search times, sticky prices and high transaction costs (Lambson et al. 2004). This results in changes occurring slowly and current prices being highly dependent on their historical values. One way to visualize this is as an imperfection in the market, so that the full effect of a change in price is not felt immediately. One might imagine that the full effect of rising prices will be moderated by institutional rigidities in the housing market, so that consumers already locked into the purchasing </w:t>
      </w:r>
      <w:r w:rsidRPr="00CB37D3">
        <w:lastRenderedPageBreak/>
        <w:t>process will maintain their demand despite a price shock because of the costs of withdrawal due to commitments already entered into. Similarly, a delayed response to rising prices may be the outcome of imperfect knowledge of substitutes, for example there will be a cost of acquiring knowledge of</w:t>
      </w:r>
      <w:r>
        <w:t>,</w:t>
      </w:r>
      <w:r w:rsidRPr="00CB37D3">
        <w:t xml:space="preserve"> and access to</w:t>
      </w:r>
      <w:r>
        <w:t>,</w:t>
      </w:r>
      <w:r w:rsidRPr="00CB37D3">
        <w:t xml:space="preserve"> the rental market. We assume that the effect of a price adjustment is distributed over two years rather than being instantaneous</w:t>
      </w:r>
      <w:r w:rsidRPr="00C33576">
        <w:t xml:space="preserve">. Including lagged prices in both supply and demand is consistent with the work of Meen (2005) or Holly et al. (2011) for the UK and with the approach of Iacoviello (2005) for the US. </w:t>
      </w:r>
      <w:r w:rsidRPr="00CB37D3">
        <w:t>While this spatial dependency necessitates including a temporal lag factor (</w:t>
      </w:r>
      <m:oMath>
        <m:sSub>
          <m:sSubPr>
            <m:ctrlPr>
              <w:rPr>
                <w:rFonts w:ascii="Cambria Math" w:hAnsi="Cambria Math"/>
              </w:rPr>
            </m:ctrlPr>
          </m:sSubPr>
          <m:e>
            <m:r>
              <w:rPr>
                <w:rFonts w:ascii="Cambria Math" w:hAnsi="Cambria Math"/>
              </w:rPr>
              <m:t>P</m:t>
            </m:r>
          </m:e>
          <m:sub>
            <m:r>
              <w:rPr>
                <w:rFonts w:ascii="Cambria Math" w:hAnsi="Cambria Math"/>
              </w:rPr>
              <m:t>it</m:t>
            </m:r>
            <m:r>
              <m:rPr>
                <m:sty m:val="p"/>
              </m:rPr>
              <w:rPr>
                <w:rFonts w:ascii="Cambria Math" w:hAnsi="Cambria Math"/>
              </w:rPr>
              <m:t>-1</m:t>
            </m:r>
          </m:sub>
        </m:sSub>
      </m:oMath>
      <w:r w:rsidRPr="00CB37D3">
        <w:t xml:space="preserve">) into the demand equation it presents an interesting problem in the light of the spatial correlation in house prices. If district-specific demand effects are distributed over two time periods, then their spatial effects should not be assumed to occur instantly but follow the same temporal process. As suggested by </w:t>
      </w:r>
      <w:r>
        <w:t>Doran and Fingleton (2017)</w:t>
      </w:r>
      <w:r w:rsidRPr="00CB37D3">
        <w:t xml:space="preserve"> it appears that a temporal lag of the spatial lag (</w:t>
      </w:r>
      <m:oMath>
        <m:sSub>
          <m:sSubPr>
            <m:ctrlPr>
              <w:rPr>
                <w:rFonts w:ascii="Cambria Math" w:hAnsi="Cambria Math"/>
              </w:rPr>
            </m:ctrlPr>
          </m:sSubPr>
          <m:e>
            <m:r>
              <w:rPr>
                <w:rFonts w:ascii="Cambria Math" w:hAnsi="Cambria Math"/>
              </w:rPr>
              <m:t>WP</m:t>
            </m:r>
          </m:e>
          <m:sub>
            <m:r>
              <w:rPr>
                <w:rFonts w:ascii="Cambria Math" w:hAnsi="Cambria Math"/>
              </w:rPr>
              <m:t>it</m:t>
            </m:r>
            <m:r>
              <m:rPr>
                <m:sty m:val="p"/>
              </m:rPr>
              <w:rPr>
                <w:rFonts w:ascii="Cambria Math" w:hAnsi="Cambria Math"/>
              </w:rPr>
              <m:t>-1</m:t>
            </m:r>
          </m:sub>
        </m:sSub>
      </m:oMath>
      <w:r w:rsidRPr="00CB37D3">
        <w:t xml:space="preserve">) also needs to be included in the model to control for this process. </w:t>
      </w:r>
    </w:p>
    <w:p w14:paraId="5214DF37" w14:textId="77777777" w:rsidR="00916CF3" w:rsidRPr="00CB37D3" w:rsidRDefault="00916CF3" w:rsidP="00916CF3">
      <w:pPr>
        <w:spacing w:line="480" w:lineRule="auto"/>
        <w:jc w:val="both"/>
      </w:pPr>
      <w:r w:rsidRPr="00CB37D3">
        <w:t>There are also potentially additional unmeasured effects, such as demand coming from non-wage earners, local taxes and amenities and the likely returns from investing in a neighbourhood</w:t>
      </w:r>
      <w:r w:rsidRPr="00CB37D3">
        <w:rPr>
          <w:rStyle w:val="FootnoteReference"/>
        </w:rPr>
        <w:footnoteReference w:id="5"/>
      </w:r>
      <w:r w:rsidRPr="00CB37D3">
        <w:t xml:space="preserve">. These unmeasured effects, accounting for time-constant across-district heterogeneity together with additional transient effects, are represented in our model by random disturbances </w:t>
      </w:r>
      <w:r w:rsidRPr="00CB37D3">
        <w:rPr>
          <w:position w:val="-12"/>
        </w:rPr>
        <w:object w:dxaOrig="320" w:dyaOrig="360" w14:anchorId="541D3EB0">
          <v:shape id="_x0000_i1036" type="#_x0000_t75" style="width:21pt;height:21pt" o:ole="">
            <v:imagedata r:id="rId28" o:title=""/>
          </v:shape>
          <o:OLEObject Type="Embed" ProgID="Equation.DSMT4" ShapeID="_x0000_i1036" DrawAspect="Content" ObjectID="_1617779950" r:id="rId29"/>
        </w:object>
      </w:r>
      <w:r w:rsidRPr="00CB37D3">
        <w:t xml:space="preserve">.  Finally, for each of the Districts included in our analysis the proposed demand function can be formalized as: </w:t>
      </w:r>
    </w:p>
    <w:p w14:paraId="05C419B3" w14:textId="77777777" w:rsidR="00916CF3" w:rsidRPr="00CB37D3" w:rsidRDefault="00916CF3" w:rsidP="00916CF3">
      <w:pPr>
        <w:pStyle w:val="MTDisplayEquation"/>
        <w:spacing w:line="480" w:lineRule="auto"/>
      </w:pPr>
      <w:r>
        <w:tab/>
      </w:r>
      <w:r>
        <w:rPr>
          <w:noProof/>
          <w:position w:val="-16"/>
          <w:lang w:eastAsia="en-GB"/>
        </w:rPr>
        <w:drawing>
          <wp:inline distT="0" distB="0" distL="0" distR="0" wp14:anchorId="00FAC088" wp14:editId="2EB8C5AC">
            <wp:extent cx="2743200" cy="2857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43200" cy="285750"/>
                    </a:xfrm>
                    <a:prstGeom prst="rect">
                      <a:avLst/>
                    </a:prstGeom>
                    <a:noFill/>
                    <a:ln>
                      <a:noFill/>
                    </a:ln>
                  </pic:spPr>
                </pic:pic>
              </a:graphicData>
            </a:graphic>
          </wp:inline>
        </w:drawing>
      </w:r>
    </w:p>
    <w:p w14:paraId="4F1A9DE6" w14:textId="77777777" w:rsidR="00916CF3" w:rsidRPr="00CB37D3" w:rsidRDefault="00916CF3" w:rsidP="00916CF3">
      <w:pPr>
        <w:spacing w:line="480" w:lineRule="auto"/>
        <w:jc w:val="both"/>
      </w:pPr>
      <w:r w:rsidRPr="00CB37D3">
        <w:t xml:space="preserve">In which </w:t>
      </w:r>
      <w:r w:rsidRPr="00CB37D3">
        <w:rPr>
          <w:position w:val="-12"/>
        </w:rPr>
        <w:object w:dxaOrig="279" w:dyaOrig="360" w14:anchorId="01842E08">
          <v:shape id="_x0000_i1037" type="#_x0000_t75" style="width:15pt;height:21pt" o:ole="">
            <v:imagedata r:id="rId31" o:title=""/>
          </v:shape>
          <o:OLEObject Type="Embed" ProgID="Equation.DSMT4" ShapeID="_x0000_i1037" DrawAspect="Content" ObjectID="_1617779951" r:id="rId32"/>
        </w:object>
      </w:r>
      <w:r w:rsidRPr="00CB37D3">
        <w:t xml:space="preserve"> is the demand for housing in District </w:t>
      </w:r>
      <w:r w:rsidRPr="00CB37D3">
        <w:rPr>
          <w:i/>
        </w:rPr>
        <w:t>i</w:t>
      </w:r>
      <w:r w:rsidRPr="00CB37D3">
        <w:t xml:space="preserve"> (</w:t>
      </w:r>
      <w:r w:rsidRPr="00CB37D3">
        <w:rPr>
          <w:i/>
        </w:rPr>
        <w:t xml:space="preserve">i </w:t>
      </w:r>
      <w:r w:rsidRPr="00CB37D3">
        <w:t>= 1,…,</w:t>
      </w:r>
      <w:r w:rsidRPr="00CB37D3">
        <w:rPr>
          <w:i/>
        </w:rPr>
        <w:t>N</w:t>
      </w:r>
      <w:r w:rsidRPr="00CB37D3">
        <w:t xml:space="preserve">) at time </w:t>
      </w:r>
      <w:r w:rsidRPr="00CB37D3">
        <w:rPr>
          <w:i/>
        </w:rPr>
        <w:t>t</w:t>
      </w:r>
      <w:r w:rsidRPr="00CB37D3">
        <w:t xml:space="preserve">, </w:t>
      </w:r>
      <w:r w:rsidRPr="00CB37D3">
        <w:rPr>
          <w:position w:val="-12"/>
        </w:rPr>
        <w:object w:dxaOrig="260" w:dyaOrig="380" w14:anchorId="46E6A004">
          <v:shape id="_x0000_i1038" type="#_x0000_t75" style="width:15pt;height:15pt" o:ole="">
            <v:imagedata r:id="rId14" o:title=""/>
          </v:shape>
          <o:OLEObject Type="Embed" ProgID="Equation.DSMT4" ShapeID="_x0000_i1038" DrawAspect="Content" ObjectID="_1617779952" r:id="rId33"/>
        </w:object>
      </w:r>
      <w:r>
        <w:t xml:space="preserve"> </w:t>
      </w:r>
      <w:r w:rsidRPr="00CB37D3">
        <w:t xml:space="preserve">is  income within commuting distance, </w:t>
      </w:r>
      <w:r w:rsidRPr="00CB37D3">
        <w:rPr>
          <w:position w:val="-12"/>
        </w:rPr>
        <w:object w:dxaOrig="320" w:dyaOrig="360" w14:anchorId="18959701">
          <v:shape id="_x0000_i1039" type="#_x0000_t75" style="width:21pt;height:21pt" o:ole="">
            <v:imagedata r:id="rId34" o:title=""/>
          </v:shape>
          <o:OLEObject Type="Embed" ProgID="Equation.DSMT4" ShapeID="_x0000_i1039" DrawAspect="Content" ObjectID="_1617779953" r:id="rId35"/>
        </w:object>
      </w:r>
      <w:r>
        <w:t xml:space="preserve"> </w:t>
      </w:r>
      <w:r w:rsidRPr="00CB37D3">
        <w:t xml:space="preserve">and </w:t>
      </w:r>
      <w:r w:rsidRPr="00CB37D3">
        <w:rPr>
          <w:position w:val="-12"/>
        </w:rPr>
        <w:object w:dxaOrig="440" w:dyaOrig="360" w14:anchorId="3DCECB05">
          <v:shape id="_x0000_i1040" type="#_x0000_t75" style="width:21pt;height:21pt" o:ole="">
            <v:imagedata r:id="rId36" o:title=""/>
          </v:shape>
          <o:OLEObject Type="Embed" ProgID="Equation.DSMT4" ShapeID="_x0000_i1040" DrawAspect="Content" ObjectID="_1617779954" r:id="rId37"/>
        </w:object>
      </w:r>
      <w:r>
        <w:t xml:space="preserve"> </w:t>
      </w:r>
      <w:r w:rsidRPr="00CB37D3">
        <w:t xml:space="preserve">are prices and prices lagged by one year, </w:t>
      </w:r>
      <w:r w:rsidRPr="00CB37D3">
        <w:rPr>
          <w:position w:val="-12"/>
        </w:rPr>
        <w:object w:dxaOrig="600" w:dyaOrig="360" w14:anchorId="414F477F">
          <v:shape id="_x0000_i1041" type="#_x0000_t75" style="width:28.5pt;height:21pt" o:ole="">
            <v:imagedata r:id="rId38" o:title=""/>
          </v:shape>
          <o:OLEObject Type="Embed" ProgID="Equation.DSMT4" ShapeID="_x0000_i1041" DrawAspect="Content" ObjectID="_1617779955" r:id="rId39"/>
        </w:object>
      </w:r>
      <w:r>
        <w:t xml:space="preserve"> </w:t>
      </w:r>
      <w:r w:rsidRPr="00CB37D3">
        <w:t xml:space="preserve">is the spatial lag of prices, </w:t>
      </w:r>
      <w:r w:rsidRPr="008A45C7">
        <w:rPr>
          <w:position w:val="-12"/>
        </w:rPr>
        <w:object w:dxaOrig="260" w:dyaOrig="360" w14:anchorId="1976B452">
          <v:shape id="_x0000_i1042" type="#_x0000_t75" style="width:15pt;height:21pt" o:ole="">
            <v:imagedata r:id="rId40" o:title=""/>
          </v:shape>
          <o:OLEObject Type="Embed" ProgID="Equation.DSMT4" ShapeID="_x0000_i1042" DrawAspect="Content" ObjectID="_1617779956" r:id="rId41"/>
        </w:object>
      </w:r>
      <w:r>
        <w:t xml:space="preserve"> and </w:t>
      </w:r>
      <w:r w:rsidRPr="008A45C7">
        <w:rPr>
          <w:position w:val="-12"/>
        </w:rPr>
        <w:object w:dxaOrig="260" w:dyaOrig="360" w14:anchorId="79F077D1">
          <v:shape id="_x0000_i1043" type="#_x0000_t75" style="width:15pt;height:21pt" o:ole="">
            <v:imagedata r:id="rId42" o:title=""/>
          </v:shape>
          <o:OLEObject Type="Embed" ProgID="Equation.DSMT4" ShapeID="_x0000_i1043" DrawAspect="Content" ObjectID="_1617779957" r:id="rId43"/>
        </w:object>
      </w:r>
      <w:r>
        <w:t xml:space="preserve"> are the Bank rate and FTSE share index respectively, </w:t>
      </w:r>
      <w:r w:rsidRPr="00CB37D3">
        <w:rPr>
          <w:position w:val="-12"/>
        </w:rPr>
        <w:object w:dxaOrig="740" w:dyaOrig="360" w14:anchorId="19317873">
          <v:shape id="_x0000_i1044" type="#_x0000_t75" style="width:36pt;height:21pt" o:ole="">
            <v:imagedata r:id="rId44" o:title=""/>
          </v:shape>
          <o:OLEObject Type="Embed" ProgID="Equation.DSMT4" ShapeID="_x0000_i1044" DrawAspect="Content" ObjectID="_1617779958" r:id="rId45"/>
        </w:object>
      </w:r>
      <w:r>
        <w:t xml:space="preserve"> </w:t>
      </w:r>
      <w:r w:rsidRPr="00CB37D3">
        <w:t xml:space="preserve">is the spatial lag of the temporal </w:t>
      </w:r>
      <w:r w:rsidRPr="00CB37D3">
        <w:lastRenderedPageBreak/>
        <w:t xml:space="preserve">lag of prices and </w:t>
      </w:r>
      <w:r w:rsidRPr="00CB37D3">
        <w:rPr>
          <w:position w:val="-12"/>
        </w:rPr>
        <w:object w:dxaOrig="320" w:dyaOrig="360" w14:anchorId="19E6A06E">
          <v:shape id="_x0000_i1045" type="#_x0000_t75" style="width:21pt;height:21pt" o:ole="">
            <v:imagedata r:id="rId46" o:title=""/>
          </v:shape>
          <o:OLEObject Type="Embed" ProgID="Equation.DSMT4" ShapeID="_x0000_i1045" DrawAspect="Content" ObjectID="_1617779959" r:id="rId47"/>
        </w:object>
      </w:r>
      <w:r>
        <w:t xml:space="preserve"> </w:t>
      </w:r>
      <w:r w:rsidRPr="00CB37D3">
        <w:t xml:space="preserve">represents other unmeasurable factors. To obtain </w:t>
      </w:r>
      <w:r w:rsidRPr="00CB37D3">
        <w:rPr>
          <w:position w:val="-12"/>
        </w:rPr>
        <w:object w:dxaOrig="260" w:dyaOrig="380" w14:anchorId="3FA56ED5">
          <v:shape id="_x0000_i1046" type="#_x0000_t75" style="width:15pt;height:15pt" o:ole="">
            <v:imagedata r:id="rId14" o:title=""/>
          </v:shape>
          <o:OLEObject Type="Embed" ProgID="Equation.DSMT4" ShapeID="_x0000_i1046" DrawAspect="Content" ObjectID="_1617779960" r:id="rId48"/>
        </w:object>
      </w:r>
      <w:r w:rsidRPr="00CB37D3">
        <w:t xml:space="preserve"> we commence with income by District, </w:t>
      </w:r>
      <w:r w:rsidRPr="00CB37D3">
        <w:rPr>
          <w:position w:val="-12"/>
        </w:rPr>
        <w:object w:dxaOrig="260" w:dyaOrig="360" w14:anchorId="4899B72C">
          <v:shape id="_x0000_i1047" type="#_x0000_t75" style="width:15pt;height:21pt" o:ole="">
            <v:imagedata r:id="rId49" o:title=""/>
          </v:shape>
          <o:OLEObject Type="Embed" ProgID="Equation.DSMT4" ShapeID="_x0000_i1047" DrawAspect="Content" ObjectID="_1617779961" r:id="rId50"/>
        </w:object>
      </w:r>
      <w:r w:rsidRPr="00CB37D3">
        <w:t>, thus</w:t>
      </w:r>
    </w:p>
    <w:p w14:paraId="4B287165" w14:textId="77777777" w:rsidR="00916CF3" w:rsidRPr="00CB37D3" w:rsidRDefault="00916CF3" w:rsidP="00916CF3">
      <w:pPr>
        <w:pStyle w:val="MTDisplayEquation"/>
        <w:jc w:val="both"/>
      </w:pPr>
      <w:r w:rsidRPr="00CB37D3">
        <w:tab/>
      </w:r>
      <w:r w:rsidRPr="00CB37D3">
        <w:rPr>
          <w:position w:val="-12"/>
        </w:rPr>
        <w:object w:dxaOrig="1180" w:dyaOrig="360" w14:anchorId="4C14EC00">
          <v:shape id="_x0000_i1048" type="#_x0000_t75" style="width:57pt;height:21pt" o:ole="">
            <v:imagedata r:id="rId12" o:title=""/>
          </v:shape>
          <o:OLEObject Type="Embed" ProgID="Equation.DSMT4" ShapeID="_x0000_i1048" DrawAspect="Content" ObjectID="_1617779962" r:id="rId51"/>
        </w:object>
      </w:r>
    </w:p>
    <w:p w14:paraId="69931EA8" w14:textId="77777777" w:rsidR="00916CF3" w:rsidRPr="00CB37D3" w:rsidRDefault="00916CF3" w:rsidP="00916CF3">
      <w:pPr>
        <w:jc w:val="both"/>
      </w:pPr>
      <w:r w:rsidRPr="00CB37D3">
        <w:t>and this gives</w:t>
      </w:r>
    </w:p>
    <w:p w14:paraId="4C0C139C" w14:textId="77777777" w:rsidR="00916CF3" w:rsidRPr="00CB37D3" w:rsidRDefault="00916CF3" w:rsidP="00916CF3">
      <w:pPr>
        <w:pStyle w:val="MTDisplayEquation"/>
        <w:jc w:val="both"/>
      </w:pPr>
      <w:r w:rsidRPr="00CB37D3">
        <w:tab/>
      </w:r>
      <w:r w:rsidRPr="00CB37D3">
        <w:rPr>
          <w:position w:val="-28"/>
        </w:rPr>
        <w:object w:dxaOrig="1300" w:dyaOrig="680" w14:anchorId="59AE8DBF">
          <v:shape id="_x0000_i1049" type="#_x0000_t75" style="width:64.5pt;height:36pt" o:ole="">
            <v:imagedata r:id="rId52" o:title=""/>
          </v:shape>
          <o:OLEObject Type="Embed" ProgID="Equation.DSMT4" ShapeID="_x0000_i1049" DrawAspect="Content" ObjectID="_1617779963" r:id="rId53"/>
        </w:object>
      </w:r>
    </w:p>
    <w:p w14:paraId="065915D3" w14:textId="77777777" w:rsidR="00916CF3" w:rsidRPr="00CB37D3" w:rsidRDefault="00916CF3" w:rsidP="00916CF3">
      <w:pPr>
        <w:spacing w:line="480" w:lineRule="auto"/>
        <w:jc w:val="both"/>
      </w:pPr>
      <w:r w:rsidRPr="00CB37D3">
        <w:t xml:space="preserve">In which </w:t>
      </w:r>
      <w:r w:rsidRPr="00CB37D3">
        <w:rPr>
          <w:position w:val="-12"/>
        </w:rPr>
        <w:object w:dxaOrig="300" w:dyaOrig="400" w14:anchorId="1880B8BF">
          <v:shape id="_x0000_i1050" type="#_x0000_t75" style="width:21pt;height:21pt" o:ole="">
            <v:imagedata r:id="rId54" o:title=""/>
          </v:shape>
          <o:OLEObject Type="Embed" ProgID="Equation.DSMT4" ShapeID="_x0000_i1050" DrawAspect="Content" ObjectID="_1617779964" r:id="rId55"/>
        </w:object>
      </w:r>
      <w:r w:rsidRPr="00CB37D3">
        <w:t xml:space="preserve">in an </w:t>
      </w:r>
      <w:r w:rsidRPr="00CB37D3">
        <w:rPr>
          <w:i/>
        </w:rPr>
        <w:t>N</w:t>
      </w:r>
      <w:r w:rsidRPr="00CB37D3">
        <w:t xml:space="preserve"> by </w:t>
      </w:r>
      <w:r w:rsidRPr="00CB37D3">
        <w:rPr>
          <w:i/>
        </w:rPr>
        <w:t>N</w:t>
      </w:r>
      <w:r w:rsidRPr="00CB37D3">
        <w:t xml:space="preserve"> matrix in which row </w:t>
      </w:r>
      <w:r w:rsidRPr="00CB37D3">
        <w:rPr>
          <w:i/>
        </w:rPr>
        <w:t>i</w:t>
      </w:r>
      <w:r w:rsidRPr="00CB37D3">
        <w:t xml:space="preserve"> (</w:t>
      </w:r>
      <w:r w:rsidRPr="00CB37D3">
        <w:rPr>
          <w:i/>
        </w:rPr>
        <w:t xml:space="preserve">i </w:t>
      </w:r>
      <w:r w:rsidRPr="00CB37D3">
        <w:t>= 1,…,</w:t>
      </w:r>
      <w:r w:rsidRPr="00CB37D3">
        <w:rPr>
          <w:i/>
        </w:rPr>
        <w:t>N</w:t>
      </w:r>
      <w:r w:rsidRPr="00CB37D3">
        <w:t>) contains the proportions of commuters</w:t>
      </w:r>
      <w:r w:rsidRPr="00CB37D3">
        <w:rPr>
          <w:rStyle w:val="FootnoteReference"/>
        </w:rPr>
        <w:footnoteReference w:id="6"/>
      </w:r>
      <w:r w:rsidRPr="00CB37D3">
        <w:t xml:space="preserve"> travelling from District </w:t>
      </w:r>
      <w:r w:rsidRPr="00CB37D3">
        <w:rPr>
          <w:i/>
        </w:rPr>
        <w:t>i</w:t>
      </w:r>
      <w:r w:rsidRPr="00CB37D3">
        <w:t xml:space="preserve">  to work in each of the </w:t>
      </w:r>
      <w:r w:rsidRPr="00CB37D3">
        <w:rPr>
          <w:i/>
        </w:rPr>
        <w:t>N</w:t>
      </w:r>
      <w:r w:rsidRPr="00CB37D3">
        <w:t xml:space="preserve"> Districts. </w:t>
      </w:r>
    </w:p>
    <w:p w14:paraId="22A70470" w14:textId="77777777" w:rsidR="00916CF3" w:rsidRPr="00CB37D3" w:rsidRDefault="00916CF3" w:rsidP="00916CF3">
      <w:pPr>
        <w:spacing w:line="480" w:lineRule="auto"/>
        <w:jc w:val="both"/>
      </w:pPr>
      <w:r w:rsidRPr="00CB37D3">
        <w:t>We assume that price comparisons will involve Districts with similar locations with respect to the location of employment, and we measure this similarity by an</w:t>
      </w:r>
      <w:r w:rsidRPr="00CB37D3">
        <w:rPr>
          <w:i/>
        </w:rPr>
        <w:t xml:space="preserve"> N</w:t>
      </w:r>
      <w:r w:rsidRPr="00CB37D3">
        <w:t xml:space="preserve"> by </w:t>
      </w:r>
      <w:r w:rsidRPr="00CB37D3">
        <w:rPr>
          <w:i/>
        </w:rPr>
        <w:t xml:space="preserve">N </w:t>
      </w:r>
      <w:r w:rsidRPr="00CB37D3">
        <w:t xml:space="preserve">proximity matrix </w:t>
      </w:r>
      <w:r w:rsidRPr="00CB37D3">
        <w:rPr>
          <w:position w:val="-12"/>
        </w:rPr>
        <w:object w:dxaOrig="360" w:dyaOrig="360" w14:anchorId="1D3C417E">
          <v:shape id="_x0000_i1051" type="#_x0000_t75" style="width:21pt;height:21pt" o:ole="">
            <v:imagedata r:id="rId56" o:title=""/>
          </v:shape>
          <o:OLEObject Type="Embed" ProgID="Equation.DSMT4" ShapeID="_x0000_i1051" DrawAspect="Content" ObjectID="_1617779965" r:id="rId57"/>
        </w:object>
      </w:r>
      <w:r w:rsidRPr="00CB37D3">
        <w:t xml:space="preserve">. The effect of proximate prices is captured in the model by the vector </w:t>
      </w:r>
      <w:r w:rsidRPr="00CB37D3">
        <w:rPr>
          <w:position w:val="-12"/>
        </w:rPr>
        <w:object w:dxaOrig="560" w:dyaOrig="360" w14:anchorId="2BA94AE7">
          <v:shape id="_x0000_i1052" type="#_x0000_t75" style="width:21pt;height:21pt" o:ole="">
            <v:imagedata r:id="rId58" o:title=""/>
          </v:shape>
          <o:OLEObject Type="Embed" ProgID="Equation.DSMT4" ShapeID="_x0000_i1052" DrawAspect="Content" ObjectID="_1617779966" r:id="rId59"/>
        </w:object>
      </w:r>
      <w:r w:rsidRPr="00CB37D3">
        <w:t xml:space="preserve">, which is the matrix product of </w:t>
      </w:r>
      <w:r w:rsidRPr="00CB37D3">
        <w:rPr>
          <w:position w:val="-12"/>
        </w:rPr>
        <w:object w:dxaOrig="360" w:dyaOrig="360" w14:anchorId="18AB4860">
          <v:shape id="_x0000_i1053" type="#_x0000_t75" style="width:21pt;height:21pt" o:ole="">
            <v:imagedata r:id="rId56" o:title=""/>
          </v:shape>
          <o:OLEObject Type="Embed" ProgID="Equation.DSMT4" ShapeID="_x0000_i1053" DrawAspect="Content" ObjectID="_1617779967" r:id="rId60"/>
        </w:object>
      </w:r>
      <w:r w:rsidRPr="00CB37D3">
        <w:t xml:space="preserve"> and the price vector </w:t>
      </w:r>
      <w:r w:rsidRPr="00CB37D3">
        <w:rPr>
          <w:position w:val="-12"/>
        </w:rPr>
        <w:object w:dxaOrig="279" w:dyaOrig="360" w14:anchorId="7E045726">
          <v:shape id="_x0000_i1054" type="#_x0000_t75" style="width:15pt;height:21pt" o:ole="">
            <v:imagedata r:id="rId61" o:title=""/>
          </v:shape>
          <o:OLEObject Type="Embed" ProgID="Equation.DSMT4" ShapeID="_x0000_i1054" DrawAspect="Content" ObjectID="_1617779968" r:id="rId62"/>
        </w:object>
      </w:r>
      <w:r>
        <w:t xml:space="preserve"> </w:t>
      </w:r>
      <w:r w:rsidRPr="00CB37D3">
        <w:t xml:space="preserve">thus   </w:t>
      </w:r>
    </w:p>
    <w:p w14:paraId="7C620CC8" w14:textId="77777777" w:rsidR="00916CF3" w:rsidRPr="00CB37D3" w:rsidRDefault="00916CF3" w:rsidP="00916CF3">
      <w:pPr>
        <w:pStyle w:val="MTDisplayEquation"/>
        <w:spacing w:line="480" w:lineRule="auto"/>
        <w:jc w:val="both"/>
      </w:pPr>
      <w:r w:rsidRPr="00CB37D3">
        <w:tab/>
      </w:r>
      <w:r w:rsidRPr="00CB37D3">
        <w:rPr>
          <w:position w:val="-28"/>
        </w:rPr>
        <w:object w:dxaOrig="1680" w:dyaOrig="680" w14:anchorId="07904990">
          <v:shape id="_x0000_i1055" type="#_x0000_t75" style="width:87pt;height:36pt" o:ole="">
            <v:imagedata r:id="rId63" o:title=""/>
          </v:shape>
          <o:OLEObject Type="Embed" ProgID="Equation.DSMT4" ShapeID="_x0000_i1055" DrawAspect="Content" ObjectID="_1617779969" r:id="rId64"/>
        </w:object>
      </w:r>
    </w:p>
    <w:p w14:paraId="58915B87" w14:textId="77777777" w:rsidR="00916CF3" w:rsidRPr="00CB37D3" w:rsidRDefault="00916CF3" w:rsidP="00916CF3">
      <w:pPr>
        <w:spacing w:line="480" w:lineRule="auto"/>
        <w:jc w:val="both"/>
      </w:pPr>
      <w:r w:rsidRPr="00CB37D3">
        <w:t xml:space="preserve">Since large inter-District commuting flows are a good indicator of close proximity, the matrix </w:t>
      </w:r>
      <w:r w:rsidRPr="00CB37D3">
        <w:rPr>
          <w:position w:val="-12"/>
        </w:rPr>
        <w:object w:dxaOrig="360" w:dyaOrig="360" w14:anchorId="4562DD6C">
          <v:shape id="_x0000_i1056" type="#_x0000_t75" style="width:21pt;height:21pt" o:ole="">
            <v:imagedata r:id="rId56" o:title=""/>
          </v:shape>
          <o:OLEObject Type="Embed" ProgID="Equation.DSMT4" ShapeID="_x0000_i1056" DrawAspect="Content" ObjectID="_1617779970" r:id="rId65"/>
        </w:object>
      </w:r>
      <w:r w:rsidRPr="00CB37D3">
        <w:t xml:space="preserve"> is taken to be the same as the weighting matrix used to give </w:t>
      </w:r>
      <w:r w:rsidRPr="00CB37D3">
        <w:rPr>
          <w:position w:val="-12"/>
        </w:rPr>
        <w:object w:dxaOrig="260" w:dyaOrig="380" w14:anchorId="7CD55657">
          <v:shape id="_x0000_i1057" type="#_x0000_t75" style="width:15pt;height:15pt" o:ole="">
            <v:imagedata r:id="rId66" o:title=""/>
          </v:shape>
          <o:OLEObject Type="Embed" ProgID="Equation.DSMT4" ShapeID="_x0000_i1057" DrawAspect="Content" ObjectID="_1617779971" r:id="rId67"/>
        </w:object>
      </w:r>
      <w:r w:rsidRPr="00CB37D3">
        <w:t>, except that the leading diagonal cells are set to zero prior to standardisation</w:t>
      </w:r>
      <w:r w:rsidRPr="00CB37D3">
        <w:rPr>
          <w:rStyle w:val="FootnoteReference"/>
        </w:rPr>
        <w:footnoteReference w:id="7"/>
      </w:r>
      <w:r w:rsidRPr="00CB37D3">
        <w:t xml:space="preserve">.  Accordingly, cell </w:t>
      </w:r>
      <w:r w:rsidRPr="00CB37D3">
        <w:rPr>
          <w:i/>
        </w:rPr>
        <w:t>i</w:t>
      </w:r>
      <w:r w:rsidRPr="00CB37D3">
        <w:t xml:space="preserve"> of vector </w:t>
      </w:r>
      <w:r w:rsidRPr="00CB37D3">
        <w:rPr>
          <w:position w:val="-12"/>
        </w:rPr>
        <w:object w:dxaOrig="560" w:dyaOrig="360" w14:anchorId="1F5E4D34">
          <v:shape id="_x0000_i1058" type="#_x0000_t75" style="width:21pt;height:21pt" o:ole="">
            <v:imagedata r:id="rId68" o:title=""/>
          </v:shape>
          <o:OLEObject Type="Embed" ProgID="Equation.DSMT4" ShapeID="_x0000_i1058" DrawAspect="Content" ObjectID="_1617779972" r:id="rId69"/>
        </w:object>
      </w:r>
      <w:r>
        <w:t xml:space="preserve"> </w:t>
      </w:r>
      <w:r w:rsidRPr="00CB37D3">
        <w:t xml:space="preserve">is a weighted average of Districts in the vicinity of </w:t>
      </w:r>
      <w:r w:rsidRPr="00CB37D3">
        <w:rPr>
          <w:i/>
        </w:rPr>
        <w:t>i</w:t>
      </w:r>
      <w:r w:rsidRPr="00CB37D3">
        <w:t xml:space="preserve">, with weights determined by proximity as given by inter-District commuting frequencies. </w:t>
      </w:r>
      <w:r w:rsidRPr="00600223">
        <w:t>Moreover because</w:t>
      </w:r>
      <w:r w:rsidRPr="00CB37D3">
        <w:t xml:space="preserve"> of market imperfections there is also an effect of proximate prices in the previous period, hence we include </w:t>
      </w:r>
      <w:r w:rsidRPr="00CB37D3">
        <w:rPr>
          <w:position w:val="-12"/>
        </w:rPr>
        <w:object w:dxaOrig="700" w:dyaOrig="360" w14:anchorId="7FC498A2">
          <v:shape id="_x0000_i1059" type="#_x0000_t75" style="width:36pt;height:21pt" o:ole="">
            <v:imagedata r:id="rId70" o:title=""/>
          </v:shape>
          <o:OLEObject Type="Embed" ProgID="Equation.DSMT4" ShapeID="_x0000_i1059" DrawAspect="Content" ObjectID="_1617779973" r:id="rId71"/>
        </w:object>
      </w:r>
      <w:r>
        <w:t xml:space="preserve"> </w:t>
      </w:r>
      <w:r w:rsidRPr="00CB37D3">
        <w:t xml:space="preserve">in the specification. </w:t>
      </w:r>
    </w:p>
    <w:p w14:paraId="5B712215" w14:textId="77777777" w:rsidR="00916CF3" w:rsidRPr="00CB37D3" w:rsidRDefault="00916CF3" w:rsidP="00916CF3">
      <w:pPr>
        <w:spacing w:line="480" w:lineRule="auto"/>
        <w:jc w:val="both"/>
      </w:pPr>
      <w:r w:rsidRPr="00CB37D3">
        <w:lastRenderedPageBreak/>
        <w:t xml:space="preserve">We assume a linear demand function, with negative coefficients on price, except on the spatial lags of price where the displaced demand would tend to a negative relationship. However, in our reduced form, this is not identified so we do not explicitly test this hypothesis. </w:t>
      </w:r>
      <w:r>
        <w:t xml:space="preserve">We also anticipate that a higher bank rate with correspondingly higher mortgage rates and higher returns from savings will be associated with lower demand, and similarly a higher FTSE index indicates lower demand for housing with investment attracted to higher returns on investing in stocks and shares than property. </w:t>
      </w:r>
      <w:r w:rsidRPr="00CB37D3">
        <w:t xml:space="preserve"> </w:t>
      </w:r>
    </w:p>
    <w:p w14:paraId="1E3569E1" w14:textId="77777777" w:rsidR="00916CF3" w:rsidRPr="00CB37D3" w:rsidRDefault="00916CF3" w:rsidP="00916CF3">
      <w:pPr>
        <w:pStyle w:val="MTDisplayEquation"/>
        <w:spacing w:line="480" w:lineRule="auto"/>
        <w:ind w:left="720"/>
      </w:pPr>
      <w:r w:rsidRPr="00CB37D3">
        <w:rPr>
          <w:position w:val="-12"/>
        </w:rPr>
        <w:object w:dxaOrig="6140" w:dyaOrig="380" w14:anchorId="34206967">
          <v:shape id="_x0000_i1060" type="#_x0000_t75" style="width:309pt;height:15pt" o:ole="">
            <v:imagedata r:id="rId72" o:title=""/>
          </v:shape>
          <o:OLEObject Type="Embed" ProgID="Equation.DSMT4" ShapeID="_x0000_i1060" DrawAspect="Content" ObjectID="_1617779974" r:id="rId73"/>
        </w:object>
      </w:r>
      <w:r w:rsidRPr="00CB37D3">
        <w:t xml:space="preserve"> </w:t>
      </w:r>
      <w:r>
        <w:t xml:space="preserve">                      (1)</w:t>
      </w:r>
    </w:p>
    <w:p w14:paraId="022BA5F3" w14:textId="77777777" w:rsidR="00916CF3" w:rsidRPr="00CB37D3" w:rsidRDefault="00916CF3" w:rsidP="00916CF3">
      <w:pPr>
        <w:spacing w:line="480" w:lineRule="auto"/>
        <w:jc w:val="both"/>
      </w:pPr>
      <w:r w:rsidRPr="00CB37D3">
        <w:t xml:space="preserve">On the supply side, the variables are the same, except that we substitute the stock of dwellings </w:t>
      </w:r>
      <w:r>
        <w:t>(</w:t>
      </w:r>
      <w:r w:rsidRPr="002F4C43">
        <w:rPr>
          <w:position w:val="-12"/>
        </w:rPr>
        <w:object w:dxaOrig="300" w:dyaOrig="360" w14:anchorId="5A785348">
          <v:shape id="_x0000_i1061" type="#_x0000_t75" style="width:15pt;height:21pt" o:ole="">
            <v:imagedata r:id="rId74" o:title=""/>
          </v:shape>
          <o:OLEObject Type="Embed" ProgID="Equation.DSMT4" ShapeID="_x0000_i1061" DrawAspect="Content" ObjectID="_1617779975" r:id="rId75"/>
        </w:object>
      </w:r>
      <w:r>
        <w:t xml:space="preserve">) </w:t>
      </w:r>
      <w:r w:rsidRPr="00CB37D3">
        <w:t>for income within commuting distance, and there are different assumptions about the signs on the coefficients. This is apparent from equation (2),</w:t>
      </w:r>
    </w:p>
    <w:p w14:paraId="5F89FA25" w14:textId="77777777" w:rsidR="00916CF3" w:rsidRPr="00CB37D3" w:rsidRDefault="00916CF3" w:rsidP="00916CF3">
      <w:pPr>
        <w:pStyle w:val="MTDisplayEquation"/>
        <w:spacing w:line="480" w:lineRule="auto"/>
        <w:ind w:left="360"/>
        <w:jc w:val="center"/>
      </w:pPr>
      <w:r w:rsidRPr="00CB37D3">
        <w:rPr>
          <w:position w:val="-30"/>
        </w:rPr>
        <w:object w:dxaOrig="6000" w:dyaOrig="720" w14:anchorId="551FDA34">
          <v:shape id="_x0000_i1062" type="#_x0000_t75" style="width:303pt;height:36pt" o:ole="">
            <v:imagedata r:id="rId76" o:title=""/>
          </v:shape>
          <o:OLEObject Type="Embed" ProgID="Equation.DSMT4" ShapeID="_x0000_i1062" DrawAspect="Content" ObjectID="_1617779976" r:id="rId77"/>
        </w:object>
      </w:r>
      <w:r w:rsidRPr="00CB37D3">
        <w:t xml:space="preserve">  </w:t>
      </w:r>
      <w:r>
        <w:t xml:space="preserve">           </w:t>
      </w:r>
      <w:r w:rsidRPr="00CB37D3">
        <w:t xml:space="preserve">     </w:t>
      </w:r>
      <w:r>
        <w:t>(2)</w:t>
      </w:r>
      <w:r w:rsidRPr="00CB37D3">
        <w:t xml:space="preserve">                                             </w:t>
      </w:r>
    </w:p>
    <w:p w14:paraId="4B4E575A" w14:textId="77777777" w:rsidR="00916CF3" w:rsidRPr="00CB37D3" w:rsidRDefault="00916CF3" w:rsidP="00916CF3">
      <w:pPr>
        <w:spacing w:line="480" w:lineRule="auto"/>
        <w:jc w:val="both"/>
      </w:pPr>
      <w:r w:rsidRPr="00CB37D3">
        <w:t>Thus, the quantity supplied increases with price and lagged price, with an assumption that development and selling will be stimulated by rising prices. The presence of the lagged prices is again a reflection of presumed market imperfection, with a positive price shock taking time to create a supply response, due to institutional factors and the time and finance required to respond to the price signal. Supply is also assumed to be a positive function of the stock of dwellings in each District, with Districts with a large dwelling stock (the larger towns) naturally being associated with a large supply of properties on the market irrespective of prices.</w:t>
      </w:r>
      <w:r>
        <w:t xml:space="preserve"> Also we assume that supply will be lower if money is held as savings and investments and mortgages to finance development are expensive, hence the negative signs on </w:t>
      </w:r>
      <w:r w:rsidRPr="00111018">
        <w:rPr>
          <w:position w:val="-12"/>
        </w:rPr>
        <w:object w:dxaOrig="260" w:dyaOrig="360" w14:anchorId="4202F00E">
          <v:shape id="_x0000_i1063" type="#_x0000_t75" style="width:15pt;height:21pt" o:ole="">
            <v:imagedata r:id="rId40" o:title=""/>
          </v:shape>
          <o:OLEObject Type="Embed" ProgID="Equation.DSMT4" ShapeID="_x0000_i1063" DrawAspect="Content" ObjectID="_1617779977" r:id="rId78"/>
        </w:object>
      </w:r>
      <w:r>
        <w:t xml:space="preserve"> and </w:t>
      </w:r>
      <w:r w:rsidRPr="00111018">
        <w:rPr>
          <w:position w:val="-12"/>
        </w:rPr>
        <w:object w:dxaOrig="260" w:dyaOrig="360" w14:anchorId="05C029E6">
          <v:shape id="_x0000_i1064" type="#_x0000_t75" style="width:15pt;height:21pt" o:ole="">
            <v:imagedata r:id="rId42" o:title=""/>
          </v:shape>
          <o:OLEObject Type="Embed" ProgID="Equation.DSMT4" ShapeID="_x0000_i1064" DrawAspect="Content" ObjectID="_1617779978" r:id="rId79"/>
        </w:object>
      </w:r>
      <w:r>
        <w:t xml:space="preserve">. </w:t>
      </w:r>
      <w:r w:rsidRPr="00CB37D3">
        <w:t xml:space="preserve"> As with the demand function, we also include spatial lags </w:t>
      </w:r>
      <w:r w:rsidRPr="00CB37D3">
        <w:rPr>
          <w:position w:val="-12"/>
        </w:rPr>
        <w:object w:dxaOrig="560" w:dyaOrig="360" w14:anchorId="381403BE">
          <v:shape id="_x0000_i1065" type="#_x0000_t75" style="width:21pt;height:21pt" o:ole="">
            <v:imagedata r:id="rId80" o:title=""/>
          </v:shape>
          <o:OLEObject Type="Embed" ProgID="Equation.DSMT4" ShapeID="_x0000_i1065" DrawAspect="Content" ObjectID="_1617779979" r:id="rId81"/>
        </w:object>
      </w:r>
      <w:r>
        <w:t xml:space="preserve"> </w:t>
      </w:r>
      <w:r w:rsidRPr="00CB37D3">
        <w:t xml:space="preserve">and </w:t>
      </w:r>
      <w:r w:rsidRPr="00CB37D3">
        <w:rPr>
          <w:position w:val="-12"/>
        </w:rPr>
        <w:object w:dxaOrig="700" w:dyaOrig="360" w14:anchorId="72E069C9">
          <v:shape id="_x0000_i1066" type="#_x0000_t75" style="width:36pt;height:21pt" o:ole="">
            <v:imagedata r:id="rId82" o:title=""/>
          </v:shape>
          <o:OLEObject Type="Embed" ProgID="Equation.DSMT4" ShapeID="_x0000_i1066" DrawAspect="Content" ObjectID="_1617779980" r:id="rId83"/>
        </w:object>
      </w:r>
      <w:r>
        <w:t xml:space="preserve"> </w:t>
      </w:r>
      <w:r w:rsidRPr="00CB37D3">
        <w:t xml:space="preserve">to reflect a similar process of proximate price comparison in this case involving developers and sellers. For example, if prices are higher on one side of a street of identical properties, the residents and builders are more likely to place properties on the market, thus increasing supply and </w:t>
      </w:r>
      <w:r w:rsidRPr="00CB37D3">
        <w:lastRenderedPageBreak/>
        <w:t xml:space="preserve">reducing selling prices. On the other side of the street, reluctance to place properties on the market until prices rise will inhibit supply and cause prices to rise, until eventually we reach an equilibrium. Likewise, at the District level, high prices in nearby Districts will, ceteris paribus, tend to be negatively related to the quantity supplied in District </w:t>
      </w:r>
      <w:r w:rsidRPr="00CB37D3">
        <w:rPr>
          <w:i/>
        </w:rPr>
        <w:t xml:space="preserve">i </w:t>
      </w:r>
      <w:r w:rsidRPr="00CB37D3">
        <w:t xml:space="preserve">on an assumption that high prices ‘nearby’ encourage developers and builders who would otherwise increase the supply in District i to prefer to build or renovate in nearby Districts, and householders in </w:t>
      </w:r>
      <w:r w:rsidRPr="00CB37D3">
        <w:rPr>
          <w:i/>
        </w:rPr>
        <w:t xml:space="preserve">i </w:t>
      </w:r>
      <w:r w:rsidRPr="00CB37D3">
        <w:t>will be reluctant</w:t>
      </w:r>
      <w:r w:rsidRPr="00CB37D3">
        <w:rPr>
          <w:i/>
        </w:rPr>
        <w:t xml:space="preserve"> </w:t>
      </w:r>
      <w:r w:rsidRPr="00CB37D3">
        <w:t xml:space="preserve">to put their properties on the market until prices rise to the level in surrounding Districts. We refer to this as a displaced supply effect.  This rationale is reflected in the negative coefficients on the spatial lags </w:t>
      </w:r>
      <w:r w:rsidRPr="00CB37D3">
        <w:rPr>
          <w:position w:val="-12"/>
        </w:rPr>
        <w:object w:dxaOrig="560" w:dyaOrig="360" w14:anchorId="26473517">
          <v:shape id="_x0000_i1067" type="#_x0000_t75" style="width:21pt;height:21pt" o:ole="">
            <v:imagedata r:id="rId84" o:title=""/>
          </v:shape>
          <o:OLEObject Type="Embed" ProgID="Equation.DSMT4" ShapeID="_x0000_i1067" DrawAspect="Content" ObjectID="_1617779981" r:id="rId85"/>
        </w:object>
      </w:r>
      <w:r>
        <w:t xml:space="preserve"> </w:t>
      </w:r>
      <w:r w:rsidRPr="00CB37D3">
        <w:t xml:space="preserve">and </w:t>
      </w:r>
      <w:r w:rsidRPr="00CB37D3">
        <w:rPr>
          <w:position w:val="-12"/>
        </w:rPr>
        <w:object w:dxaOrig="700" w:dyaOrig="360" w14:anchorId="14CC6A95">
          <v:shape id="_x0000_i1068" type="#_x0000_t75" style="width:36pt;height:21pt" o:ole="">
            <v:imagedata r:id="rId86" o:title=""/>
          </v:shape>
          <o:OLEObject Type="Embed" ProgID="Equation.DSMT4" ShapeID="_x0000_i1068" DrawAspect="Content" ObjectID="_1617779982" r:id="rId87"/>
        </w:object>
      </w:r>
      <w:r>
        <w:t xml:space="preserve"> </w:t>
      </w:r>
      <w:r w:rsidRPr="00CB37D3">
        <w:t xml:space="preserve">in the supply function. For simplicity, </w:t>
      </w:r>
      <w:r w:rsidRPr="00CB37D3">
        <w:rPr>
          <w:position w:val="-12"/>
        </w:rPr>
        <w:object w:dxaOrig="360" w:dyaOrig="360" w14:anchorId="01218497">
          <v:shape id="_x0000_i1069" type="#_x0000_t75" style="width:21pt;height:21pt" o:ole="">
            <v:imagedata r:id="rId88" o:title=""/>
          </v:shape>
          <o:OLEObject Type="Embed" ProgID="Equation.DSMT4" ShapeID="_x0000_i1069" DrawAspect="Content" ObjectID="_1617779983" r:id="rId89"/>
        </w:object>
      </w:r>
      <w:r w:rsidRPr="00CB37D3">
        <w:t xml:space="preserve"> is the same as in the demand equation. The disturbances </w:t>
      </w:r>
      <w:r w:rsidRPr="00CB37D3">
        <w:rPr>
          <w:position w:val="-12"/>
        </w:rPr>
        <w:object w:dxaOrig="240" w:dyaOrig="360" w14:anchorId="7DE839A4">
          <v:shape id="_x0000_i1070" type="#_x0000_t75" style="width:15pt;height:21pt" o:ole="">
            <v:imagedata r:id="rId90" o:title=""/>
          </v:shape>
          <o:OLEObject Type="Embed" ProgID="Equation.DSMT4" ShapeID="_x0000_i1070" DrawAspect="Content" ObjectID="_1617779984" r:id="rId91"/>
        </w:object>
      </w:r>
      <w:r>
        <w:t xml:space="preserve"> </w:t>
      </w:r>
      <w:r w:rsidRPr="00CB37D3">
        <w:t>again capture unmeasured effects such as inter-District heterogeneity.</w:t>
      </w:r>
    </w:p>
    <w:p w14:paraId="1779F67B" w14:textId="77777777" w:rsidR="001F4068" w:rsidRPr="00CB37D3" w:rsidRDefault="00443100" w:rsidP="00080C04">
      <w:pPr>
        <w:pStyle w:val="Heading2"/>
        <w:spacing w:line="480" w:lineRule="auto"/>
      </w:pPr>
      <w:r w:rsidRPr="00CB37D3">
        <w:t>Data and p</w:t>
      </w:r>
      <w:r w:rsidR="001F4068" w:rsidRPr="00CB37D3">
        <w:t>reliminary analysis</w:t>
      </w:r>
    </w:p>
    <w:p w14:paraId="3CF19DE8" w14:textId="77777777" w:rsidR="00443100" w:rsidRDefault="001F4068" w:rsidP="00080C04">
      <w:pPr>
        <w:spacing w:line="480" w:lineRule="auto"/>
        <w:jc w:val="both"/>
        <w:rPr>
          <w:rFonts w:eastAsiaTheme="minorEastAsia"/>
        </w:rPr>
      </w:pPr>
      <w:r w:rsidRPr="00CB37D3">
        <w:t>The essential departure in this paper, compared with the purely cross-sectional approach in Fingleton (2008), is an emphasis on dynamics. To set the scene, let us look at wage and price data for the years 1998 and 2012, which is the period over which</w:t>
      </w:r>
      <w:r w:rsidR="00443100" w:rsidRPr="00CB37D3">
        <w:t xml:space="preserve"> we estimate our model.  Figure</w:t>
      </w:r>
      <w:r w:rsidRPr="00CB37D3">
        <w:t xml:space="preserve"> 1 give</w:t>
      </w:r>
      <w:r w:rsidR="00443100" w:rsidRPr="00CB37D3">
        <w:t>s a</w:t>
      </w:r>
      <w:r w:rsidRPr="00CB37D3">
        <w:t xml:space="preserve"> snapshots of the price to average wage ratio at the beginning and end of our estimation period. The data are taken from the UK’s Office of National Statistics and the Land Registry, and are means in each Unitary Authority and Local Authority District (hereafter referred to as Districts) taken across all types of property selling prices and all employees at places of work. </w:t>
      </w:r>
      <w:r w:rsidR="00443100" w:rsidRPr="00CB37D3">
        <w:rPr>
          <w:rFonts w:eastAsiaTheme="minorEastAsia"/>
        </w:rPr>
        <w:t>Districts are used because their internal housing markets are relatively uniform</w:t>
      </w:r>
      <w:r w:rsidR="00D04C1D" w:rsidRPr="00CB37D3">
        <w:rPr>
          <w:rFonts w:eastAsiaTheme="minorEastAsia"/>
        </w:rPr>
        <w:t xml:space="preserve"> and are divided into four different types (London Boroughs, Non-metropolitan Districts, Metropolitan districts and Unitary Authorities) based on their geography and population.</w:t>
      </w:r>
      <w:r w:rsidR="00443100" w:rsidRPr="00CB37D3">
        <w:rPr>
          <w:rFonts w:eastAsiaTheme="minorEastAsia"/>
        </w:rPr>
        <w:t xml:space="preserve"> Since each is governed by its own local authority, planning and housing policies are similar within those areas but differ across them. These are also the smallest </w:t>
      </w:r>
      <w:r w:rsidR="00D04C1D" w:rsidRPr="00CB37D3">
        <w:rPr>
          <w:rFonts w:eastAsiaTheme="minorEastAsia"/>
        </w:rPr>
        <w:t>geographical units</w:t>
      </w:r>
      <w:r w:rsidR="00443100" w:rsidRPr="00CB37D3">
        <w:rPr>
          <w:rFonts w:eastAsiaTheme="minorEastAsia"/>
        </w:rPr>
        <w:t xml:space="preserve"> for which data on wages is available. Naturally, because the areas are quite small (see table 1) there is a large amount of cross-commuting, especially in the Greater London area. Controlling for this effect is the cornerstone of this paper and commuting data from the 2001 census is used to model the </w:t>
      </w:r>
      <w:r w:rsidR="00443100" w:rsidRPr="00CB37D3">
        <w:rPr>
          <w:rFonts w:eastAsiaTheme="minorEastAsia"/>
        </w:rPr>
        <w:lastRenderedPageBreak/>
        <w:t xml:space="preserve">relationship between places of work and residence. This allows us to </w:t>
      </w:r>
      <w:r w:rsidR="00D04C1D" w:rsidRPr="00CB37D3">
        <w:rPr>
          <w:rFonts w:eastAsiaTheme="minorEastAsia"/>
        </w:rPr>
        <w:t>reflect</w:t>
      </w:r>
      <w:r w:rsidR="00443100" w:rsidRPr="00CB37D3">
        <w:rPr>
          <w:rFonts w:eastAsiaTheme="minorEastAsia"/>
        </w:rPr>
        <w:t xml:space="preserve"> </w:t>
      </w:r>
      <w:r w:rsidR="00D04C1D" w:rsidRPr="00CB37D3">
        <w:rPr>
          <w:rFonts w:eastAsiaTheme="minorEastAsia"/>
        </w:rPr>
        <w:t>in</w:t>
      </w:r>
      <w:r w:rsidR="00443100" w:rsidRPr="00CB37D3">
        <w:rPr>
          <w:rFonts w:eastAsiaTheme="minorEastAsia"/>
        </w:rPr>
        <w:t xml:space="preserve"> empirical analysis </w:t>
      </w:r>
      <w:r w:rsidR="00D04C1D" w:rsidRPr="00CB37D3">
        <w:rPr>
          <w:rFonts w:eastAsiaTheme="minorEastAsia"/>
        </w:rPr>
        <w:t>the fact that</w:t>
      </w:r>
      <w:r w:rsidR="00443100" w:rsidRPr="00CB37D3">
        <w:rPr>
          <w:rFonts w:eastAsiaTheme="minorEastAsia"/>
        </w:rPr>
        <w:t xml:space="preserve"> labour markets span multiple districts.   </w:t>
      </w:r>
    </w:p>
    <w:p w14:paraId="6A2BA098" w14:textId="7194A0AB" w:rsidR="0046179C" w:rsidRDefault="0046179C" w:rsidP="00080C04">
      <w:pPr>
        <w:spacing w:line="480" w:lineRule="auto"/>
        <w:jc w:val="both"/>
        <w:rPr>
          <w:rFonts w:eastAsiaTheme="minorEastAsia"/>
        </w:rPr>
      </w:pPr>
    </w:p>
    <w:p w14:paraId="6D1FA1F2" w14:textId="77777777" w:rsidR="0046179C" w:rsidRDefault="0046179C" w:rsidP="00080C04">
      <w:pPr>
        <w:spacing w:line="480" w:lineRule="auto"/>
        <w:jc w:val="both"/>
        <w:rPr>
          <w:rFonts w:eastAsiaTheme="minorEastAsia"/>
        </w:rPr>
      </w:pPr>
    </w:p>
    <w:p w14:paraId="760EADA7" w14:textId="77777777" w:rsidR="0046179C" w:rsidRDefault="0046179C" w:rsidP="00080C04">
      <w:pPr>
        <w:spacing w:line="480" w:lineRule="auto"/>
        <w:jc w:val="both"/>
        <w:rPr>
          <w:rFonts w:eastAsiaTheme="minorEastAsia"/>
        </w:rPr>
      </w:pPr>
    </w:p>
    <w:tbl>
      <w:tblPr>
        <w:tblW w:w="9020" w:type="dxa"/>
        <w:tblInd w:w="-142" w:type="dxa"/>
        <w:tblLook w:val="04A0" w:firstRow="1" w:lastRow="0" w:firstColumn="1" w:lastColumn="0" w:noHBand="0" w:noVBand="1"/>
      </w:tblPr>
      <w:tblGrid>
        <w:gridCol w:w="1376"/>
        <w:gridCol w:w="852"/>
        <w:gridCol w:w="743"/>
        <w:gridCol w:w="851"/>
        <w:gridCol w:w="634"/>
        <w:gridCol w:w="851"/>
        <w:gridCol w:w="634"/>
        <w:gridCol w:w="851"/>
        <w:gridCol w:w="743"/>
        <w:gridCol w:w="851"/>
        <w:gridCol w:w="634"/>
      </w:tblGrid>
      <w:tr w:rsidR="00D04C1D" w:rsidRPr="00CB37D3" w14:paraId="69D9A8A8" w14:textId="77777777" w:rsidTr="0089304C">
        <w:trPr>
          <w:trHeight w:val="300"/>
        </w:trPr>
        <w:tc>
          <w:tcPr>
            <w:tcW w:w="9020" w:type="dxa"/>
            <w:gridSpan w:val="11"/>
            <w:tcBorders>
              <w:top w:val="nil"/>
              <w:left w:val="nil"/>
              <w:bottom w:val="nil"/>
              <w:right w:val="nil"/>
            </w:tcBorders>
            <w:shd w:val="clear" w:color="auto" w:fill="auto"/>
            <w:noWrap/>
            <w:vAlign w:val="center"/>
          </w:tcPr>
          <w:p w14:paraId="1C43A33A" w14:textId="77777777" w:rsidR="00D04C1D" w:rsidRPr="00C33576" w:rsidRDefault="00D04C1D" w:rsidP="0089304C">
            <w:pPr>
              <w:spacing w:after="0" w:line="240" w:lineRule="auto"/>
              <w:jc w:val="center"/>
              <w:rPr>
                <w:rFonts w:ascii="Calibri" w:hAnsi="Calibri"/>
                <w:b/>
                <w:sz w:val="16"/>
              </w:rPr>
            </w:pPr>
            <w:r w:rsidRPr="00C33576">
              <w:rPr>
                <w:rFonts w:ascii="Calibri" w:hAnsi="Calibri"/>
                <w:b/>
                <w:sz w:val="16"/>
              </w:rPr>
              <w:t xml:space="preserve">Table 1. </w:t>
            </w:r>
            <w:r w:rsidR="0089304C" w:rsidRPr="00C33576">
              <w:rPr>
                <w:rFonts w:ascii="Calibri" w:hAnsi="Calibri"/>
                <w:b/>
                <w:sz w:val="16"/>
              </w:rPr>
              <w:t>Summary statistics and d</w:t>
            </w:r>
            <w:r w:rsidRPr="00C33576">
              <w:rPr>
                <w:rFonts w:ascii="Calibri" w:hAnsi="Calibri"/>
                <w:b/>
                <w:sz w:val="16"/>
              </w:rPr>
              <w:t>iff</w:t>
            </w:r>
            <w:r w:rsidR="0089304C" w:rsidRPr="00C33576">
              <w:rPr>
                <w:rFonts w:ascii="Calibri" w:hAnsi="Calibri"/>
                <w:b/>
                <w:sz w:val="16"/>
              </w:rPr>
              <w:t>erences between districts over time</w:t>
            </w:r>
            <w:r w:rsidRPr="00C33576">
              <w:rPr>
                <w:rFonts w:ascii="Calibri" w:hAnsi="Calibri"/>
                <w:b/>
                <w:sz w:val="16"/>
              </w:rPr>
              <w:t>.</w:t>
            </w:r>
          </w:p>
        </w:tc>
      </w:tr>
      <w:tr w:rsidR="0089304C" w:rsidRPr="00CB37D3" w14:paraId="3F32B842" w14:textId="77777777" w:rsidTr="0089304C">
        <w:trPr>
          <w:trHeight w:val="300"/>
        </w:trPr>
        <w:tc>
          <w:tcPr>
            <w:tcW w:w="1376" w:type="dxa"/>
            <w:tcBorders>
              <w:top w:val="nil"/>
              <w:left w:val="nil"/>
              <w:bottom w:val="nil"/>
              <w:right w:val="nil"/>
            </w:tcBorders>
            <w:shd w:val="clear" w:color="auto" w:fill="auto"/>
            <w:noWrap/>
            <w:vAlign w:val="bottom"/>
            <w:hideMark/>
          </w:tcPr>
          <w:p w14:paraId="5E2824E6" w14:textId="77777777" w:rsidR="00D04C1D" w:rsidRPr="00CB37D3" w:rsidRDefault="0089304C" w:rsidP="006C758F">
            <w:pPr>
              <w:spacing w:after="0" w:line="240" w:lineRule="auto"/>
              <w:jc w:val="center"/>
              <w:rPr>
                <w:rFonts w:ascii="Times New Roman" w:eastAsia="Times New Roman" w:hAnsi="Times New Roman" w:cs="Times New Roman"/>
                <w:sz w:val="24"/>
                <w:szCs w:val="24"/>
                <w:u w:val="single"/>
                <w:lang w:eastAsia="en-GB"/>
              </w:rPr>
            </w:pPr>
            <w:r w:rsidRPr="00C33576">
              <w:rPr>
                <w:rFonts w:ascii="Calibri" w:hAnsi="Calibri"/>
                <w:b/>
                <w:sz w:val="16"/>
                <w:u w:val="single"/>
              </w:rPr>
              <w:t>2008</w:t>
            </w:r>
          </w:p>
        </w:tc>
        <w:tc>
          <w:tcPr>
            <w:tcW w:w="1595" w:type="dxa"/>
            <w:gridSpan w:val="2"/>
            <w:tcBorders>
              <w:top w:val="nil"/>
              <w:left w:val="nil"/>
              <w:bottom w:val="nil"/>
              <w:right w:val="nil"/>
            </w:tcBorders>
            <w:shd w:val="clear" w:color="auto" w:fill="auto"/>
            <w:noWrap/>
            <w:vAlign w:val="center"/>
            <w:hideMark/>
          </w:tcPr>
          <w:p w14:paraId="451C6CA9" w14:textId="77777777" w:rsidR="00D04C1D" w:rsidRPr="00C33576" w:rsidRDefault="00D04C1D" w:rsidP="006C758F">
            <w:pPr>
              <w:spacing w:after="0" w:line="240" w:lineRule="auto"/>
              <w:jc w:val="center"/>
              <w:rPr>
                <w:rFonts w:ascii="Calibri" w:hAnsi="Calibri"/>
                <w:b/>
                <w:sz w:val="16"/>
              </w:rPr>
            </w:pPr>
            <w:r w:rsidRPr="00C33576">
              <w:rPr>
                <w:rFonts w:ascii="Calibri" w:hAnsi="Calibri"/>
                <w:b/>
                <w:sz w:val="16"/>
              </w:rPr>
              <w:t>House prices</w:t>
            </w:r>
          </w:p>
        </w:tc>
        <w:tc>
          <w:tcPr>
            <w:tcW w:w="1485" w:type="dxa"/>
            <w:gridSpan w:val="2"/>
            <w:tcBorders>
              <w:top w:val="nil"/>
              <w:left w:val="nil"/>
              <w:bottom w:val="nil"/>
              <w:right w:val="nil"/>
            </w:tcBorders>
            <w:shd w:val="clear" w:color="auto" w:fill="auto"/>
            <w:noWrap/>
            <w:vAlign w:val="center"/>
            <w:hideMark/>
          </w:tcPr>
          <w:p w14:paraId="6E8178D1" w14:textId="77777777" w:rsidR="00D04C1D" w:rsidRPr="00C33576" w:rsidRDefault="00D04C1D" w:rsidP="006C758F">
            <w:pPr>
              <w:spacing w:after="0" w:line="240" w:lineRule="auto"/>
              <w:jc w:val="center"/>
              <w:rPr>
                <w:rFonts w:ascii="Calibri" w:hAnsi="Calibri"/>
                <w:b/>
                <w:sz w:val="16"/>
              </w:rPr>
            </w:pPr>
            <w:r w:rsidRPr="00C33576">
              <w:rPr>
                <w:rFonts w:ascii="Calibri" w:hAnsi="Calibri"/>
                <w:b/>
                <w:sz w:val="16"/>
              </w:rPr>
              <w:t>Affordability</w:t>
            </w:r>
          </w:p>
        </w:tc>
        <w:tc>
          <w:tcPr>
            <w:tcW w:w="851" w:type="dxa"/>
            <w:tcBorders>
              <w:top w:val="nil"/>
              <w:left w:val="nil"/>
              <w:bottom w:val="nil"/>
              <w:right w:val="nil"/>
            </w:tcBorders>
            <w:shd w:val="clear" w:color="auto" w:fill="auto"/>
            <w:noWrap/>
            <w:vAlign w:val="center"/>
            <w:hideMark/>
          </w:tcPr>
          <w:p w14:paraId="7804D991" w14:textId="77777777" w:rsidR="00D04C1D" w:rsidRPr="00C33576" w:rsidRDefault="00D04C1D" w:rsidP="006C758F">
            <w:pPr>
              <w:spacing w:after="0" w:line="240" w:lineRule="auto"/>
              <w:jc w:val="center"/>
              <w:rPr>
                <w:rFonts w:ascii="Calibri" w:hAnsi="Calibri"/>
                <w:b/>
                <w:sz w:val="16"/>
              </w:rPr>
            </w:pPr>
            <w:r w:rsidRPr="00C33576">
              <w:rPr>
                <w:rFonts w:ascii="Calibri" w:hAnsi="Calibri"/>
                <w:b/>
                <w:sz w:val="16"/>
              </w:rPr>
              <w:t>Wages</w:t>
            </w:r>
          </w:p>
        </w:tc>
        <w:tc>
          <w:tcPr>
            <w:tcW w:w="634" w:type="dxa"/>
            <w:tcBorders>
              <w:top w:val="nil"/>
              <w:left w:val="nil"/>
              <w:bottom w:val="nil"/>
              <w:right w:val="nil"/>
            </w:tcBorders>
            <w:shd w:val="clear" w:color="auto" w:fill="auto"/>
            <w:noWrap/>
            <w:vAlign w:val="bottom"/>
            <w:hideMark/>
          </w:tcPr>
          <w:p w14:paraId="6D1B8263" w14:textId="77777777" w:rsidR="00D04C1D" w:rsidRPr="00C33576" w:rsidRDefault="00D04C1D" w:rsidP="006C758F">
            <w:pPr>
              <w:spacing w:after="0" w:line="240" w:lineRule="auto"/>
              <w:jc w:val="center"/>
              <w:rPr>
                <w:rFonts w:ascii="Calibri" w:hAnsi="Calibri"/>
                <w:b/>
                <w:sz w:val="16"/>
              </w:rPr>
            </w:pPr>
          </w:p>
        </w:tc>
        <w:tc>
          <w:tcPr>
            <w:tcW w:w="1594" w:type="dxa"/>
            <w:gridSpan w:val="2"/>
            <w:tcBorders>
              <w:top w:val="nil"/>
              <w:left w:val="nil"/>
              <w:bottom w:val="nil"/>
              <w:right w:val="nil"/>
            </w:tcBorders>
            <w:shd w:val="clear" w:color="auto" w:fill="auto"/>
            <w:noWrap/>
            <w:vAlign w:val="center"/>
            <w:hideMark/>
          </w:tcPr>
          <w:p w14:paraId="536613C3" w14:textId="77777777" w:rsidR="00D04C1D" w:rsidRPr="00C33576" w:rsidRDefault="00D04C1D" w:rsidP="006C758F">
            <w:pPr>
              <w:spacing w:after="0" w:line="240" w:lineRule="auto"/>
              <w:jc w:val="center"/>
              <w:rPr>
                <w:rFonts w:ascii="Calibri" w:hAnsi="Calibri"/>
                <w:b/>
                <w:sz w:val="16"/>
              </w:rPr>
            </w:pPr>
            <w:r w:rsidRPr="00C33576">
              <w:rPr>
                <w:rFonts w:ascii="Calibri" w:hAnsi="Calibri"/>
                <w:b/>
                <w:sz w:val="16"/>
              </w:rPr>
              <w:t>Population</w:t>
            </w:r>
          </w:p>
        </w:tc>
        <w:tc>
          <w:tcPr>
            <w:tcW w:w="1485" w:type="dxa"/>
            <w:gridSpan w:val="2"/>
            <w:tcBorders>
              <w:top w:val="nil"/>
              <w:left w:val="nil"/>
              <w:bottom w:val="nil"/>
              <w:right w:val="nil"/>
            </w:tcBorders>
            <w:shd w:val="clear" w:color="auto" w:fill="auto"/>
            <w:noWrap/>
            <w:vAlign w:val="center"/>
            <w:hideMark/>
          </w:tcPr>
          <w:p w14:paraId="0E110D2A" w14:textId="77777777" w:rsidR="00D04C1D" w:rsidRPr="00C33576" w:rsidRDefault="00D04C1D" w:rsidP="006C758F">
            <w:pPr>
              <w:spacing w:after="0" w:line="240" w:lineRule="auto"/>
              <w:jc w:val="center"/>
              <w:rPr>
                <w:rFonts w:ascii="Calibri" w:hAnsi="Calibri"/>
                <w:b/>
                <w:sz w:val="16"/>
              </w:rPr>
            </w:pPr>
            <w:r w:rsidRPr="00C33576">
              <w:rPr>
                <w:rFonts w:ascii="Calibri" w:hAnsi="Calibri"/>
                <w:b/>
                <w:sz w:val="16"/>
              </w:rPr>
              <w:t>Density</w:t>
            </w:r>
          </w:p>
        </w:tc>
      </w:tr>
      <w:tr w:rsidR="0089304C" w:rsidRPr="00CB37D3" w14:paraId="3F19F527" w14:textId="77777777" w:rsidTr="0089304C">
        <w:trPr>
          <w:trHeight w:val="300"/>
        </w:trPr>
        <w:tc>
          <w:tcPr>
            <w:tcW w:w="1376" w:type="dxa"/>
            <w:tcBorders>
              <w:top w:val="nil"/>
              <w:left w:val="nil"/>
              <w:bottom w:val="nil"/>
              <w:right w:val="nil"/>
            </w:tcBorders>
            <w:shd w:val="clear" w:color="auto" w:fill="auto"/>
            <w:noWrap/>
            <w:vAlign w:val="center"/>
            <w:hideMark/>
          </w:tcPr>
          <w:p w14:paraId="17D39811" w14:textId="77777777" w:rsidR="00D04C1D" w:rsidRPr="00C33576" w:rsidRDefault="00D04C1D" w:rsidP="006C758F">
            <w:pPr>
              <w:spacing w:after="0" w:line="240" w:lineRule="auto"/>
              <w:jc w:val="center"/>
              <w:rPr>
                <w:rFonts w:ascii="Calibri" w:hAnsi="Calibri"/>
                <w:b/>
                <w:sz w:val="16"/>
              </w:rPr>
            </w:pPr>
            <w:r w:rsidRPr="00C33576">
              <w:rPr>
                <w:rFonts w:ascii="Calibri" w:hAnsi="Calibri"/>
                <w:b/>
                <w:sz w:val="16"/>
              </w:rPr>
              <w:t>LA type</w:t>
            </w:r>
          </w:p>
        </w:tc>
        <w:tc>
          <w:tcPr>
            <w:tcW w:w="852" w:type="dxa"/>
            <w:tcBorders>
              <w:top w:val="nil"/>
              <w:left w:val="nil"/>
              <w:bottom w:val="nil"/>
              <w:right w:val="nil"/>
            </w:tcBorders>
            <w:shd w:val="clear" w:color="auto" w:fill="auto"/>
            <w:noWrap/>
            <w:vAlign w:val="center"/>
            <w:hideMark/>
          </w:tcPr>
          <w:p w14:paraId="2B7D80B8" w14:textId="77777777" w:rsidR="00D04C1D" w:rsidRPr="00C33576" w:rsidRDefault="00D04C1D" w:rsidP="006C758F">
            <w:pPr>
              <w:spacing w:after="0" w:line="240" w:lineRule="auto"/>
              <w:jc w:val="center"/>
              <w:rPr>
                <w:rFonts w:ascii="Calibri" w:hAnsi="Calibri"/>
                <w:sz w:val="16"/>
              </w:rPr>
            </w:pPr>
            <w:r w:rsidRPr="00C33576">
              <w:rPr>
                <w:rFonts w:ascii="Calibri" w:hAnsi="Calibri"/>
                <w:sz w:val="16"/>
              </w:rPr>
              <w:t>Average</w:t>
            </w:r>
          </w:p>
        </w:tc>
        <w:tc>
          <w:tcPr>
            <w:tcW w:w="743" w:type="dxa"/>
            <w:tcBorders>
              <w:top w:val="nil"/>
              <w:left w:val="nil"/>
              <w:bottom w:val="nil"/>
              <w:right w:val="nil"/>
            </w:tcBorders>
            <w:shd w:val="clear" w:color="auto" w:fill="auto"/>
            <w:noWrap/>
            <w:vAlign w:val="center"/>
            <w:hideMark/>
          </w:tcPr>
          <w:p w14:paraId="08BFE3B2" w14:textId="77777777" w:rsidR="00D04C1D" w:rsidRPr="00C33576" w:rsidRDefault="00D04C1D" w:rsidP="006C758F">
            <w:pPr>
              <w:spacing w:after="0" w:line="240" w:lineRule="auto"/>
              <w:jc w:val="center"/>
              <w:rPr>
                <w:rFonts w:ascii="Calibri" w:hAnsi="Calibri"/>
                <w:i/>
                <w:sz w:val="12"/>
              </w:rPr>
            </w:pPr>
            <w:r w:rsidRPr="00C33576">
              <w:rPr>
                <w:rFonts w:ascii="Calibri" w:hAnsi="Calibri"/>
                <w:i/>
                <w:sz w:val="12"/>
              </w:rPr>
              <w:t>StdDev</w:t>
            </w:r>
          </w:p>
        </w:tc>
        <w:tc>
          <w:tcPr>
            <w:tcW w:w="851" w:type="dxa"/>
            <w:tcBorders>
              <w:top w:val="nil"/>
              <w:left w:val="nil"/>
              <w:bottom w:val="nil"/>
              <w:right w:val="nil"/>
            </w:tcBorders>
            <w:shd w:val="clear" w:color="auto" w:fill="auto"/>
            <w:noWrap/>
            <w:vAlign w:val="center"/>
            <w:hideMark/>
          </w:tcPr>
          <w:p w14:paraId="448ED6C4" w14:textId="77777777" w:rsidR="00D04C1D" w:rsidRPr="00C33576" w:rsidRDefault="00D04C1D" w:rsidP="006C758F">
            <w:pPr>
              <w:spacing w:after="0" w:line="240" w:lineRule="auto"/>
              <w:jc w:val="center"/>
              <w:rPr>
                <w:rFonts w:ascii="Calibri" w:hAnsi="Calibri"/>
                <w:sz w:val="16"/>
              </w:rPr>
            </w:pPr>
            <w:r w:rsidRPr="00C33576">
              <w:rPr>
                <w:rFonts w:ascii="Calibri" w:hAnsi="Calibri"/>
                <w:sz w:val="16"/>
              </w:rPr>
              <w:t>Average</w:t>
            </w:r>
          </w:p>
        </w:tc>
        <w:tc>
          <w:tcPr>
            <w:tcW w:w="634" w:type="dxa"/>
            <w:tcBorders>
              <w:top w:val="nil"/>
              <w:left w:val="nil"/>
              <w:bottom w:val="nil"/>
              <w:right w:val="nil"/>
            </w:tcBorders>
            <w:shd w:val="clear" w:color="auto" w:fill="auto"/>
            <w:noWrap/>
            <w:vAlign w:val="center"/>
            <w:hideMark/>
          </w:tcPr>
          <w:p w14:paraId="36D1F266" w14:textId="77777777" w:rsidR="00D04C1D" w:rsidRPr="00C33576" w:rsidRDefault="00D04C1D" w:rsidP="006C758F">
            <w:pPr>
              <w:spacing w:after="0" w:line="240" w:lineRule="auto"/>
              <w:jc w:val="center"/>
              <w:rPr>
                <w:rFonts w:ascii="Calibri" w:hAnsi="Calibri"/>
                <w:i/>
                <w:sz w:val="12"/>
              </w:rPr>
            </w:pPr>
            <w:r w:rsidRPr="00C33576">
              <w:rPr>
                <w:rFonts w:ascii="Calibri" w:hAnsi="Calibri"/>
                <w:i/>
                <w:sz w:val="12"/>
              </w:rPr>
              <w:t>StdDev</w:t>
            </w:r>
          </w:p>
        </w:tc>
        <w:tc>
          <w:tcPr>
            <w:tcW w:w="851" w:type="dxa"/>
            <w:tcBorders>
              <w:top w:val="nil"/>
              <w:left w:val="nil"/>
              <w:bottom w:val="nil"/>
              <w:right w:val="nil"/>
            </w:tcBorders>
            <w:shd w:val="clear" w:color="auto" w:fill="auto"/>
            <w:noWrap/>
            <w:vAlign w:val="center"/>
            <w:hideMark/>
          </w:tcPr>
          <w:p w14:paraId="2F4CFAB0" w14:textId="77777777" w:rsidR="00D04C1D" w:rsidRPr="00C33576" w:rsidRDefault="00D04C1D" w:rsidP="006C758F">
            <w:pPr>
              <w:spacing w:after="0" w:line="240" w:lineRule="auto"/>
              <w:jc w:val="center"/>
              <w:rPr>
                <w:rFonts w:ascii="Calibri" w:hAnsi="Calibri"/>
                <w:sz w:val="16"/>
              </w:rPr>
            </w:pPr>
            <w:r w:rsidRPr="00C33576">
              <w:rPr>
                <w:rFonts w:ascii="Calibri" w:hAnsi="Calibri"/>
                <w:sz w:val="16"/>
              </w:rPr>
              <w:t>Average</w:t>
            </w:r>
          </w:p>
        </w:tc>
        <w:tc>
          <w:tcPr>
            <w:tcW w:w="634" w:type="dxa"/>
            <w:tcBorders>
              <w:top w:val="nil"/>
              <w:left w:val="nil"/>
              <w:bottom w:val="nil"/>
              <w:right w:val="nil"/>
            </w:tcBorders>
            <w:shd w:val="clear" w:color="auto" w:fill="auto"/>
            <w:noWrap/>
            <w:vAlign w:val="center"/>
            <w:hideMark/>
          </w:tcPr>
          <w:p w14:paraId="3739FE4A" w14:textId="77777777" w:rsidR="00D04C1D" w:rsidRPr="00C33576" w:rsidRDefault="00D04C1D" w:rsidP="006C758F">
            <w:pPr>
              <w:spacing w:after="0" w:line="240" w:lineRule="auto"/>
              <w:jc w:val="center"/>
              <w:rPr>
                <w:rFonts w:ascii="Calibri" w:hAnsi="Calibri"/>
                <w:i/>
                <w:sz w:val="12"/>
              </w:rPr>
            </w:pPr>
            <w:r w:rsidRPr="00C33576">
              <w:rPr>
                <w:rFonts w:ascii="Calibri" w:hAnsi="Calibri"/>
                <w:i/>
                <w:sz w:val="12"/>
              </w:rPr>
              <w:t>StdDev</w:t>
            </w:r>
          </w:p>
        </w:tc>
        <w:tc>
          <w:tcPr>
            <w:tcW w:w="851" w:type="dxa"/>
            <w:tcBorders>
              <w:top w:val="nil"/>
              <w:left w:val="nil"/>
              <w:bottom w:val="nil"/>
              <w:right w:val="nil"/>
            </w:tcBorders>
            <w:shd w:val="clear" w:color="auto" w:fill="auto"/>
            <w:noWrap/>
            <w:vAlign w:val="center"/>
            <w:hideMark/>
          </w:tcPr>
          <w:p w14:paraId="46DD3A3E" w14:textId="77777777" w:rsidR="00D04C1D" w:rsidRPr="00C33576" w:rsidRDefault="00D04C1D" w:rsidP="006C758F">
            <w:pPr>
              <w:spacing w:after="0" w:line="240" w:lineRule="auto"/>
              <w:jc w:val="center"/>
              <w:rPr>
                <w:rFonts w:ascii="Calibri" w:hAnsi="Calibri"/>
                <w:sz w:val="16"/>
              </w:rPr>
            </w:pPr>
            <w:r w:rsidRPr="00C33576">
              <w:rPr>
                <w:rFonts w:ascii="Calibri" w:hAnsi="Calibri"/>
                <w:sz w:val="16"/>
              </w:rPr>
              <w:t>Average</w:t>
            </w:r>
          </w:p>
        </w:tc>
        <w:tc>
          <w:tcPr>
            <w:tcW w:w="743" w:type="dxa"/>
            <w:tcBorders>
              <w:top w:val="nil"/>
              <w:left w:val="nil"/>
              <w:bottom w:val="nil"/>
              <w:right w:val="nil"/>
            </w:tcBorders>
            <w:shd w:val="clear" w:color="auto" w:fill="auto"/>
            <w:noWrap/>
            <w:vAlign w:val="center"/>
            <w:hideMark/>
          </w:tcPr>
          <w:p w14:paraId="301042CD" w14:textId="77777777" w:rsidR="00D04C1D" w:rsidRPr="00C33576" w:rsidRDefault="00D04C1D" w:rsidP="006C758F">
            <w:pPr>
              <w:spacing w:after="0" w:line="240" w:lineRule="auto"/>
              <w:jc w:val="center"/>
              <w:rPr>
                <w:rFonts w:ascii="Calibri" w:hAnsi="Calibri"/>
                <w:i/>
                <w:sz w:val="12"/>
              </w:rPr>
            </w:pPr>
            <w:r w:rsidRPr="00C33576">
              <w:rPr>
                <w:rFonts w:ascii="Calibri" w:hAnsi="Calibri"/>
                <w:i/>
                <w:sz w:val="12"/>
              </w:rPr>
              <w:t>StdDev</w:t>
            </w:r>
          </w:p>
        </w:tc>
        <w:tc>
          <w:tcPr>
            <w:tcW w:w="851" w:type="dxa"/>
            <w:tcBorders>
              <w:top w:val="nil"/>
              <w:left w:val="nil"/>
              <w:bottom w:val="nil"/>
              <w:right w:val="nil"/>
            </w:tcBorders>
            <w:shd w:val="clear" w:color="auto" w:fill="auto"/>
            <w:noWrap/>
            <w:vAlign w:val="center"/>
            <w:hideMark/>
          </w:tcPr>
          <w:p w14:paraId="7ADF89FC" w14:textId="77777777" w:rsidR="00D04C1D" w:rsidRPr="00C33576" w:rsidRDefault="00D04C1D" w:rsidP="006C758F">
            <w:pPr>
              <w:spacing w:after="0" w:line="240" w:lineRule="auto"/>
              <w:jc w:val="center"/>
              <w:rPr>
                <w:rFonts w:ascii="Calibri" w:hAnsi="Calibri"/>
                <w:sz w:val="16"/>
              </w:rPr>
            </w:pPr>
            <w:r w:rsidRPr="00C33576">
              <w:rPr>
                <w:rFonts w:ascii="Calibri" w:hAnsi="Calibri"/>
                <w:sz w:val="16"/>
              </w:rPr>
              <w:t>Average</w:t>
            </w:r>
          </w:p>
        </w:tc>
        <w:tc>
          <w:tcPr>
            <w:tcW w:w="634" w:type="dxa"/>
            <w:tcBorders>
              <w:top w:val="nil"/>
              <w:left w:val="nil"/>
              <w:bottom w:val="nil"/>
              <w:right w:val="nil"/>
            </w:tcBorders>
            <w:shd w:val="clear" w:color="auto" w:fill="auto"/>
            <w:noWrap/>
            <w:vAlign w:val="center"/>
            <w:hideMark/>
          </w:tcPr>
          <w:p w14:paraId="6CBD8EBE" w14:textId="77777777" w:rsidR="00D04C1D" w:rsidRPr="00C33576" w:rsidRDefault="00D04C1D" w:rsidP="006C758F">
            <w:pPr>
              <w:spacing w:after="0" w:line="240" w:lineRule="auto"/>
              <w:jc w:val="center"/>
              <w:rPr>
                <w:rFonts w:ascii="Calibri" w:hAnsi="Calibri"/>
                <w:i/>
                <w:sz w:val="12"/>
              </w:rPr>
            </w:pPr>
            <w:r w:rsidRPr="00C33576">
              <w:rPr>
                <w:rFonts w:ascii="Calibri" w:hAnsi="Calibri"/>
                <w:i/>
                <w:sz w:val="12"/>
              </w:rPr>
              <w:t>StdDev</w:t>
            </w:r>
          </w:p>
        </w:tc>
      </w:tr>
      <w:tr w:rsidR="0089304C" w:rsidRPr="00CB37D3" w14:paraId="29351C1D" w14:textId="77777777" w:rsidTr="0089304C">
        <w:trPr>
          <w:trHeight w:val="300"/>
        </w:trPr>
        <w:tc>
          <w:tcPr>
            <w:tcW w:w="1376" w:type="dxa"/>
            <w:tcBorders>
              <w:top w:val="nil"/>
              <w:left w:val="nil"/>
              <w:bottom w:val="nil"/>
              <w:right w:val="nil"/>
            </w:tcBorders>
            <w:shd w:val="clear" w:color="auto" w:fill="auto"/>
            <w:noWrap/>
            <w:vAlign w:val="center"/>
            <w:hideMark/>
          </w:tcPr>
          <w:p w14:paraId="61DEA2D2" w14:textId="77777777" w:rsidR="0089304C" w:rsidRPr="00C33576" w:rsidRDefault="0089304C" w:rsidP="0089304C">
            <w:pPr>
              <w:spacing w:after="0" w:line="240" w:lineRule="auto"/>
              <w:jc w:val="center"/>
              <w:rPr>
                <w:rFonts w:ascii="Calibri" w:hAnsi="Calibri"/>
                <w:sz w:val="16"/>
              </w:rPr>
            </w:pPr>
            <w:r w:rsidRPr="00C33576">
              <w:rPr>
                <w:rFonts w:ascii="Calibri" w:hAnsi="Calibri"/>
                <w:sz w:val="16"/>
              </w:rPr>
              <w:t>London Borough</w:t>
            </w:r>
          </w:p>
        </w:tc>
        <w:tc>
          <w:tcPr>
            <w:tcW w:w="852" w:type="dxa"/>
            <w:tcBorders>
              <w:top w:val="nil"/>
              <w:left w:val="nil"/>
              <w:bottom w:val="nil"/>
              <w:right w:val="nil"/>
            </w:tcBorders>
            <w:shd w:val="clear" w:color="auto" w:fill="auto"/>
            <w:noWrap/>
            <w:vAlign w:val="bottom"/>
            <w:hideMark/>
          </w:tcPr>
          <w:p w14:paraId="35194155" w14:textId="77777777" w:rsidR="0089304C" w:rsidRPr="00CB37D3" w:rsidRDefault="0089304C" w:rsidP="0089304C">
            <w:pPr>
              <w:pStyle w:val="NoSpacing"/>
              <w:jc w:val="center"/>
              <w:rPr>
                <w:sz w:val="16"/>
                <w:szCs w:val="16"/>
              </w:rPr>
            </w:pPr>
            <w:r w:rsidRPr="00CB37D3">
              <w:rPr>
                <w:sz w:val="16"/>
                <w:szCs w:val="16"/>
              </w:rPr>
              <w:t>296,881</w:t>
            </w:r>
          </w:p>
        </w:tc>
        <w:tc>
          <w:tcPr>
            <w:tcW w:w="743" w:type="dxa"/>
            <w:tcBorders>
              <w:top w:val="nil"/>
              <w:left w:val="nil"/>
              <w:bottom w:val="nil"/>
              <w:right w:val="nil"/>
            </w:tcBorders>
            <w:shd w:val="clear" w:color="auto" w:fill="auto"/>
            <w:noWrap/>
            <w:vAlign w:val="bottom"/>
            <w:hideMark/>
          </w:tcPr>
          <w:p w14:paraId="24EC3B10" w14:textId="77777777" w:rsidR="0089304C" w:rsidRPr="00CB37D3" w:rsidRDefault="0089304C" w:rsidP="0089304C">
            <w:pPr>
              <w:pStyle w:val="NoSpacing"/>
              <w:jc w:val="center"/>
              <w:rPr>
                <w:sz w:val="16"/>
                <w:szCs w:val="16"/>
              </w:rPr>
            </w:pPr>
            <w:r w:rsidRPr="00CB37D3">
              <w:rPr>
                <w:sz w:val="16"/>
                <w:szCs w:val="16"/>
              </w:rPr>
              <w:t>7,733</w:t>
            </w:r>
          </w:p>
        </w:tc>
        <w:tc>
          <w:tcPr>
            <w:tcW w:w="851" w:type="dxa"/>
            <w:tcBorders>
              <w:top w:val="nil"/>
              <w:left w:val="nil"/>
              <w:bottom w:val="nil"/>
              <w:right w:val="nil"/>
            </w:tcBorders>
            <w:shd w:val="clear" w:color="auto" w:fill="auto"/>
            <w:noWrap/>
            <w:vAlign w:val="bottom"/>
            <w:hideMark/>
          </w:tcPr>
          <w:p w14:paraId="15A29ED8" w14:textId="77777777" w:rsidR="0089304C" w:rsidRPr="00CB37D3" w:rsidRDefault="0089304C" w:rsidP="0089304C">
            <w:pPr>
              <w:pStyle w:val="NoSpacing"/>
              <w:jc w:val="center"/>
              <w:rPr>
                <w:sz w:val="16"/>
                <w:szCs w:val="16"/>
              </w:rPr>
            </w:pPr>
            <w:r w:rsidRPr="00CB37D3">
              <w:rPr>
                <w:sz w:val="16"/>
                <w:szCs w:val="16"/>
              </w:rPr>
              <w:t>9.12</w:t>
            </w:r>
          </w:p>
        </w:tc>
        <w:tc>
          <w:tcPr>
            <w:tcW w:w="634" w:type="dxa"/>
            <w:tcBorders>
              <w:top w:val="nil"/>
              <w:left w:val="nil"/>
              <w:bottom w:val="nil"/>
              <w:right w:val="nil"/>
            </w:tcBorders>
            <w:shd w:val="clear" w:color="auto" w:fill="auto"/>
            <w:noWrap/>
            <w:vAlign w:val="bottom"/>
            <w:hideMark/>
          </w:tcPr>
          <w:p w14:paraId="1AB489A1" w14:textId="77777777" w:rsidR="0089304C" w:rsidRPr="00CB37D3" w:rsidRDefault="0089304C" w:rsidP="0089304C">
            <w:pPr>
              <w:pStyle w:val="NoSpacing"/>
              <w:jc w:val="center"/>
              <w:rPr>
                <w:sz w:val="16"/>
                <w:szCs w:val="16"/>
              </w:rPr>
            </w:pPr>
            <w:r w:rsidRPr="00CB37D3">
              <w:rPr>
                <w:sz w:val="16"/>
                <w:szCs w:val="16"/>
              </w:rPr>
              <w:t>1.72</w:t>
            </w:r>
          </w:p>
        </w:tc>
        <w:tc>
          <w:tcPr>
            <w:tcW w:w="851" w:type="dxa"/>
            <w:tcBorders>
              <w:top w:val="nil"/>
              <w:left w:val="nil"/>
              <w:bottom w:val="nil"/>
              <w:right w:val="nil"/>
            </w:tcBorders>
            <w:shd w:val="clear" w:color="auto" w:fill="auto"/>
            <w:noWrap/>
            <w:vAlign w:val="bottom"/>
            <w:hideMark/>
          </w:tcPr>
          <w:p w14:paraId="1B10B211" w14:textId="77777777" w:rsidR="0089304C" w:rsidRPr="00CB37D3" w:rsidRDefault="0089304C" w:rsidP="0089304C">
            <w:pPr>
              <w:pStyle w:val="NoSpacing"/>
              <w:jc w:val="center"/>
              <w:rPr>
                <w:sz w:val="16"/>
                <w:szCs w:val="16"/>
              </w:rPr>
            </w:pPr>
            <w:r w:rsidRPr="00CB37D3">
              <w:rPr>
                <w:sz w:val="16"/>
                <w:szCs w:val="16"/>
              </w:rPr>
              <w:t>593.1</w:t>
            </w:r>
          </w:p>
        </w:tc>
        <w:tc>
          <w:tcPr>
            <w:tcW w:w="634" w:type="dxa"/>
            <w:tcBorders>
              <w:top w:val="nil"/>
              <w:left w:val="nil"/>
              <w:bottom w:val="nil"/>
              <w:right w:val="nil"/>
            </w:tcBorders>
            <w:shd w:val="clear" w:color="auto" w:fill="auto"/>
            <w:noWrap/>
            <w:vAlign w:val="bottom"/>
            <w:hideMark/>
          </w:tcPr>
          <w:p w14:paraId="6A8C0213" w14:textId="77777777" w:rsidR="0089304C" w:rsidRPr="00CB37D3" w:rsidRDefault="0089304C" w:rsidP="0089304C">
            <w:pPr>
              <w:pStyle w:val="NoSpacing"/>
              <w:jc w:val="center"/>
              <w:rPr>
                <w:sz w:val="16"/>
                <w:szCs w:val="16"/>
              </w:rPr>
            </w:pPr>
            <w:r w:rsidRPr="00CB37D3">
              <w:rPr>
                <w:sz w:val="16"/>
                <w:szCs w:val="16"/>
              </w:rPr>
              <w:t>80.4</w:t>
            </w:r>
          </w:p>
        </w:tc>
        <w:tc>
          <w:tcPr>
            <w:tcW w:w="851" w:type="dxa"/>
            <w:tcBorders>
              <w:top w:val="nil"/>
              <w:left w:val="nil"/>
              <w:bottom w:val="nil"/>
              <w:right w:val="nil"/>
            </w:tcBorders>
            <w:shd w:val="clear" w:color="auto" w:fill="auto"/>
            <w:noWrap/>
            <w:vAlign w:val="bottom"/>
            <w:hideMark/>
          </w:tcPr>
          <w:p w14:paraId="1838932F" w14:textId="77777777" w:rsidR="0089304C" w:rsidRPr="00CB37D3" w:rsidRDefault="0089304C" w:rsidP="0089304C">
            <w:pPr>
              <w:pStyle w:val="NoSpacing"/>
              <w:jc w:val="center"/>
              <w:rPr>
                <w:sz w:val="16"/>
                <w:szCs w:val="16"/>
              </w:rPr>
            </w:pPr>
            <w:r w:rsidRPr="00CB37D3">
              <w:rPr>
                <w:sz w:val="16"/>
                <w:szCs w:val="16"/>
              </w:rPr>
              <w:t>243,906</w:t>
            </w:r>
          </w:p>
        </w:tc>
        <w:tc>
          <w:tcPr>
            <w:tcW w:w="743" w:type="dxa"/>
            <w:tcBorders>
              <w:top w:val="nil"/>
              <w:left w:val="nil"/>
              <w:bottom w:val="nil"/>
              <w:right w:val="nil"/>
            </w:tcBorders>
            <w:shd w:val="clear" w:color="auto" w:fill="auto"/>
            <w:noWrap/>
            <w:vAlign w:val="bottom"/>
            <w:hideMark/>
          </w:tcPr>
          <w:p w14:paraId="4D73245A" w14:textId="77777777" w:rsidR="0089304C" w:rsidRPr="00CB37D3" w:rsidRDefault="0089304C" w:rsidP="0089304C">
            <w:pPr>
              <w:pStyle w:val="NoSpacing"/>
              <w:jc w:val="center"/>
              <w:rPr>
                <w:sz w:val="16"/>
                <w:szCs w:val="16"/>
              </w:rPr>
            </w:pPr>
            <w:r w:rsidRPr="00CB37D3">
              <w:rPr>
                <w:sz w:val="16"/>
                <w:szCs w:val="16"/>
              </w:rPr>
              <w:t>51,485</w:t>
            </w:r>
          </w:p>
        </w:tc>
        <w:tc>
          <w:tcPr>
            <w:tcW w:w="851" w:type="dxa"/>
            <w:tcBorders>
              <w:top w:val="nil"/>
              <w:left w:val="nil"/>
              <w:bottom w:val="nil"/>
              <w:right w:val="nil"/>
            </w:tcBorders>
            <w:shd w:val="clear" w:color="auto" w:fill="auto"/>
            <w:noWrap/>
            <w:vAlign w:val="bottom"/>
            <w:hideMark/>
          </w:tcPr>
          <w:p w14:paraId="554665F6" w14:textId="77777777" w:rsidR="0089304C" w:rsidRPr="00CB37D3" w:rsidRDefault="0089304C" w:rsidP="0089304C">
            <w:pPr>
              <w:pStyle w:val="NoSpacing"/>
              <w:jc w:val="center"/>
              <w:rPr>
                <w:sz w:val="16"/>
                <w:szCs w:val="16"/>
              </w:rPr>
            </w:pPr>
            <w:r w:rsidRPr="00CB37D3">
              <w:rPr>
                <w:sz w:val="16"/>
                <w:szCs w:val="16"/>
              </w:rPr>
              <w:t>66.86</w:t>
            </w:r>
          </w:p>
        </w:tc>
        <w:tc>
          <w:tcPr>
            <w:tcW w:w="634" w:type="dxa"/>
            <w:tcBorders>
              <w:top w:val="nil"/>
              <w:left w:val="nil"/>
              <w:bottom w:val="nil"/>
              <w:right w:val="nil"/>
            </w:tcBorders>
            <w:shd w:val="clear" w:color="auto" w:fill="auto"/>
            <w:noWrap/>
            <w:vAlign w:val="bottom"/>
            <w:hideMark/>
          </w:tcPr>
          <w:p w14:paraId="08C28355" w14:textId="77777777" w:rsidR="0089304C" w:rsidRPr="00CB37D3" w:rsidRDefault="0089304C" w:rsidP="0089304C">
            <w:pPr>
              <w:pStyle w:val="NoSpacing"/>
              <w:jc w:val="center"/>
              <w:rPr>
                <w:sz w:val="16"/>
                <w:szCs w:val="16"/>
              </w:rPr>
            </w:pPr>
            <w:r w:rsidRPr="00CB37D3">
              <w:rPr>
                <w:sz w:val="16"/>
                <w:szCs w:val="16"/>
              </w:rPr>
              <w:t>33.76</w:t>
            </w:r>
          </w:p>
        </w:tc>
      </w:tr>
      <w:tr w:rsidR="0089304C" w:rsidRPr="00CB37D3" w14:paraId="348064B2" w14:textId="77777777" w:rsidTr="0089304C">
        <w:trPr>
          <w:trHeight w:val="300"/>
        </w:trPr>
        <w:tc>
          <w:tcPr>
            <w:tcW w:w="1376" w:type="dxa"/>
            <w:tcBorders>
              <w:top w:val="nil"/>
              <w:left w:val="nil"/>
              <w:bottom w:val="nil"/>
              <w:right w:val="nil"/>
            </w:tcBorders>
            <w:shd w:val="clear" w:color="auto" w:fill="auto"/>
            <w:noWrap/>
            <w:vAlign w:val="center"/>
            <w:hideMark/>
          </w:tcPr>
          <w:p w14:paraId="75843BE7" w14:textId="77777777" w:rsidR="0089304C" w:rsidRPr="00C33576" w:rsidRDefault="0089304C" w:rsidP="0089304C">
            <w:pPr>
              <w:spacing w:after="0" w:line="240" w:lineRule="auto"/>
              <w:jc w:val="center"/>
              <w:rPr>
                <w:rFonts w:ascii="Calibri" w:hAnsi="Calibri"/>
                <w:sz w:val="16"/>
              </w:rPr>
            </w:pPr>
            <w:r w:rsidRPr="00C33576">
              <w:rPr>
                <w:rFonts w:ascii="Calibri" w:hAnsi="Calibri"/>
                <w:sz w:val="16"/>
              </w:rPr>
              <w:t>Metropolitan District</w:t>
            </w:r>
          </w:p>
        </w:tc>
        <w:tc>
          <w:tcPr>
            <w:tcW w:w="852" w:type="dxa"/>
            <w:tcBorders>
              <w:top w:val="nil"/>
              <w:left w:val="nil"/>
              <w:bottom w:val="nil"/>
              <w:right w:val="nil"/>
            </w:tcBorders>
            <w:shd w:val="clear" w:color="auto" w:fill="auto"/>
            <w:noWrap/>
            <w:vAlign w:val="bottom"/>
            <w:hideMark/>
          </w:tcPr>
          <w:p w14:paraId="6CFB1609" w14:textId="77777777" w:rsidR="0089304C" w:rsidRPr="00CB37D3" w:rsidRDefault="0089304C" w:rsidP="0089304C">
            <w:pPr>
              <w:pStyle w:val="NoSpacing"/>
              <w:jc w:val="center"/>
              <w:rPr>
                <w:sz w:val="16"/>
                <w:szCs w:val="16"/>
              </w:rPr>
            </w:pPr>
            <w:r w:rsidRPr="00CB37D3">
              <w:rPr>
                <w:sz w:val="16"/>
                <w:szCs w:val="16"/>
              </w:rPr>
              <w:t>130,330</w:t>
            </w:r>
          </w:p>
        </w:tc>
        <w:tc>
          <w:tcPr>
            <w:tcW w:w="743" w:type="dxa"/>
            <w:tcBorders>
              <w:top w:val="nil"/>
              <w:left w:val="nil"/>
              <w:bottom w:val="nil"/>
              <w:right w:val="nil"/>
            </w:tcBorders>
            <w:shd w:val="clear" w:color="auto" w:fill="auto"/>
            <w:noWrap/>
            <w:vAlign w:val="bottom"/>
            <w:hideMark/>
          </w:tcPr>
          <w:p w14:paraId="778940B1" w14:textId="77777777" w:rsidR="0089304C" w:rsidRPr="00CB37D3" w:rsidRDefault="0089304C" w:rsidP="0089304C">
            <w:pPr>
              <w:pStyle w:val="NoSpacing"/>
              <w:jc w:val="center"/>
              <w:rPr>
                <w:sz w:val="16"/>
                <w:szCs w:val="16"/>
              </w:rPr>
            </w:pPr>
            <w:r w:rsidRPr="00CB37D3">
              <w:rPr>
                <w:sz w:val="16"/>
                <w:szCs w:val="16"/>
              </w:rPr>
              <w:t>18,923</w:t>
            </w:r>
          </w:p>
        </w:tc>
        <w:tc>
          <w:tcPr>
            <w:tcW w:w="851" w:type="dxa"/>
            <w:tcBorders>
              <w:top w:val="nil"/>
              <w:left w:val="nil"/>
              <w:bottom w:val="nil"/>
              <w:right w:val="nil"/>
            </w:tcBorders>
            <w:shd w:val="clear" w:color="auto" w:fill="auto"/>
            <w:noWrap/>
            <w:vAlign w:val="bottom"/>
            <w:hideMark/>
          </w:tcPr>
          <w:p w14:paraId="6783B604" w14:textId="77777777" w:rsidR="0089304C" w:rsidRPr="00CB37D3" w:rsidRDefault="0089304C" w:rsidP="0089304C">
            <w:pPr>
              <w:pStyle w:val="NoSpacing"/>
              <w:jc w:val="center"/>
              <w:rPr>
                <w:sz w:val="16"/>
                <w:szCs w:val="16"/>
              </w:rPr>
            </w:pPr>
            <w:r w:rsidRPr="00CB37D3">
              <w:rPr>
                <w:sz w:val="16"/>
                <w:szCs w:val="16"/>
              </w:rPr>
              <w:t>5.49</w:t>
            </w:r>
          </w:p>
        </w:tc>
        <w:tc>
          <w:tcPr>
            <w:tcW w:w="634" w:type="dxa"/>
            <w:tcBorders>
              <w:top w:val="nil"/>
              <w:left w:val="nil"/>
              <w:bottom w:val="nil"/>
              <w:right w:val="nil"/>
            </w:tcBorders>
            <w:shd w:val="clear" w:color="auto" w:fill="auto"/>
            <w:noWrap/>
            <w:vAlign w:val="bottom"/>
            <w:hideMark/>
          </w:tcPr>
          <w:p w14:paraId="42EAB110" w14:textId="77777777" w:rsidR="0089304C" w:rsidRPr="00CB37D3" w:rsidRDefault="0089304C" w:rsidP="0089304C">
            <w:pPr>
              <w:pStyle w:val="NoSpacing"/>
              <w:jc w:val="center"/>
              <w:rPr>
                <w:sz w:val="16"/>
                <w:szCs w:val="16"/>
              </w:rPr>
            </w:pPr>
            <w:r w:rsidRPr="00CB37D3">
              <w:rPr>
                <w:sz w:val="16"/>
                <w:szCs w:val="16"/>
              </w:rPr>
              <w:t>0.51</w:t>
            </w:r>
          </w:p>
        </w:tc>
        <w:tc>
          <w:tcPr>
            <w:tcW w:w="851" w:type="dxa"/>
            <w:tcBorders>
              <w:top w:val="nil"/>
              <w:left w:val="nil"/>
              <w:bottom w:val="nil"/>
              <w:right w:val="nil"/>
            </w:tcBorders>
            <w:shd w:val="clear" w:color="auto" w:fill="auto"/>
            <w:noWrap/>
            <w:vAlign w:val="bottom"/>
            <w:hideMark/>
          </w:tcPr>
          <w:p w14:paraId="40978516" w14:textId="77777777" w:rsidR="0089304C" w:rsidRPr="00CB37D3" w:rsidRDefault="0089304C" w:rsidP="0089304C">
            <w:pPr>
              <w:pStyle w:val="NoSpacing"/>
              <w:jc w:val="center"/>
              <w:rPr>
                <w:sz w:val="16"/>
                <w:szCs w:val="16"/>
              </w:rPr>
            </w:pPr>
            <w:r w:rsidRPr="00CB37D3">
              <w:rPr>
                <w:sz w:val="16"/>
                <w:szCs w:val="16"/>
              </w:rPr>
              <w:t>438.4</w:t>
            </w:r>
          </w:p>
        </w:tc>
        <w:tc>
          <w:tcPr>
            <w:tcW w:w="634" w:type="dxa"/>
            <w:tcBorders>
              <w:top w:val="nil"/>
              <w:left w:val="nil"/>
              <w:bottom w:val="nil"/>
              <w:right w:val="nil"/>
            </w:tcBorders>
            <w:shd w:val="clear" w:color="auto" w:fill="auto"/>
            <w:noWrap/>
            <w:vAlign w:val="bottom"/>
            <w:hideMark/>
          </w:tcPr>
          <w:p w14:paraId="0FD96168" w14:textId="77777777" w:rsidR="0089304C" w:rsidRPr="00CB37D3" w:rsidRDefault="0089304C" w:rsidP="0089304C">
            <w:pPr>
              <w:pStyle w:val="NoSpacing"/>
              <w:jc w:val="center"/>
              <w:rPr>
                <w:sz w:val="16"/>
                <w:szCs w:val="16"/>
              </w:rPr>
            </w:pPr>
            <w:r w:rsidRPr="00CB37D3">
              <w:rPr>
                <w:sz w:val="16"/>
                <w:szCs w:val="16"/>
              </w:rPr>
              <w:t>30.2</w:t>
            </w:r>
          </w:p>
        </w:tc>
        <w:tc>
          <w:tcPr>
            <w:tcW w:w="851" w:type="dxa"/>
            <w:tcBorders>
              <w:top w:val="nil"/>
              <w:left w:val="nil"/>
              <w:bottom w:val="nil"/>
              <w:right w:val="nil"/>
            </w:tcBorders>
            <w:shd w:val="clear" w:color="auto" w:fill="auto"/>
            <w:noWrap/>
            <w:vAlign w:val="bottom"/>
            <w:hideMark/>
          </w:tcPr>
          <w:p w14:paraId="217A800A" w14:textId="77777777" w:rsidR="0089304C" w:rsidRPr="00CB37D3" w:rsidRDefault="0089304C" w:rsidP="0089304C">
            <w:pPr>
              <w:pStyle w:val="NoSpacing"/>
              <w:jc w:val="center"/>
              <w:rPr>
                <w:sz w:val="16"/>
                <w:szCs w:val="16"/>
              </w:rPr>
            </w:pPr>
            <w:r w:rsidRPr="00CB37D3">
              <w:rPr>
                <w:sz w:val="16"/>
                <w:szCs w:val="16"/>
              </w:rPr>
              <w:t>312,408</w:t>
            </w:r>
          </w:p>
        </w:tc>
        <w:tc>
          <w:tcPr>
            <w:tcW w:w="743" w:type="dxa"/>
            <w:tcBorders>
              <w:top w:val="nil"/>
              <w:left w:val="nil"/>
              <w:bottom w:val="nil"/>
              <w:right w:val="nil"/>
            </w:tcBorders>
            <w:shd w:val="clear" w:color="auto" w:fill="auto"/>
            <w:noWrap/>
            <w:vAlign w:val="bottom"/>
            <w:hideMark/>
          </w:tcPr>
          <w:p w14:paraId="738ECE61" w14:textId="77777777" w:rsidR="0089304C" w:rsidRPr="00CB37D3" w:rsidRDefault="0089304C" w:rsidP="0089304C">
            <w:pPr>
              <w:pStyle w:val="NoSpacing"/>
              <w:jc w:val="center"/>
              <w:rPr>
                <w:sz w:val="16"/>
                <w:szCs w:val="16"/>
              </w:rPr>
            </w:pPr>
            <w:r w:rsidRPr="00CB37D3">
              <w:rPr>
                <w:sz w:val="16"/>
                <w:szCs w:val="16"/>
              </w:rPr>
              <w:t>174,472</w:t>
            </w:r>
          </w:p>
        </w:tc>
        <w:tc>
          <w:tcPr>
            <w:tcW w:w="851" w:type="dxa"/>
            <w:tcBorders>
              <w:top w:val="nil"/>
              <w:left w:val="nil"/>
              <w:bottom w:val="nil"/>
              <w:right w:val="nil"/>
            </w:tcBorders>
            <w:shd w:val="clear" w:color="auto" w:fill="auto"/>
            <w:noWrap/>
            <w:vAlign w:val="bottom"/>
            <w:hideMark/>
          </w:tcPr>
          <w:p w14:paraId="48905BC5" w14:textId="77777777" w:rsidR="0089304C" w:rsidRPr="00CB37D3" w:rsidRDefault="0089304C" w:rsidP="0089304C">
            <w:pPr>
              <w:pStyle w:val="NoSpacing"/>
              <w:jc w:val="center"/>
              <w:rPr>
                <w:sz w:val="16"/>
                <w:szCs w:val="16"/>
              </w:rPr>
            </w:pPr>
            <w:r w:rsidRPr="00CB37D3">
              <w:rPr>
                <w:sz w:val="16"/>
                <w:szCs w:val="16"/>
              </w:rPr>
              <w:t>20.06</w:t>
            </w:r>
          </w:p>
        </w:tc>
        <w:tc>
          <w:tcPr>
            <w:tcW w:w="634" w:type="dxa"/>
            <w:tcBorders>
              <w:top w:val="nil"/>
              <w:left w:val="nil"/>
              <w:bottom w:val="nil"/>
              <w:right w:val="nil"/>
            </w:tcBorders>
            <w:shd w:val="clear" w:color="auto" w:fill="auto"/>
            <w:noWrap/>
            <w:vAlign w:val="bottom"/>
            <w:hideMark/>
          </w:tcPr>
          <w:p w14:paraId="651D6A35" w14:textId="77777777" w:rsidR="0089304C" w:rsidRPr="00CB37D3" w:rsidRDefault="0089304C" w:rsidP="0089304C">
            <w:pPr>
              <w:pStyle w:val="NoSpacing"/>
              <w:jc w:val="center"/>
              <w:rPr>
                <w:sz w:val="16"/>
                <w:szCs w:val="16"/>
              </w:rPr>
            </w:pPr>
            <w:r w:rsidRPr="00CB37D3">
              <w:rPr>
                <w:sz w:val="16"/>
                <w:szCs w:val="16"/>
              </w:rPr>
              <w:t>9.75</w:t>
            </w:r>
          </w:p>
        </w:tc>
      </w:tr>
      <w:tr w:rsidR="0089304C" w:rsidRPr="00CB37D3" w14:paraId="5482F36D" w14:textId="77777777" w:rsidTr="0089304C">
        <w:trPr>
          <w:trHeight w:val="300"/>
        </w:trPr>
        <w:tc>
          <w:tcPr>
            <w:tcW w:w="1376" w:type="dxa"/>
            <w:tcBorders>
              <w:top w:val="nil"/>
              <w:left w:val="nil"/>
              <w:bottom w:val="nil"/>
              <w:right w:val="nil"/>
            </w:tcBorders>
            <w:shd w:val="clear" w:color="auto" w:fill="auto"/>
            <w:noWrap/>
            <w:vAlign w:val="center"/>
            <w:hideMark/>
          </w:tcPr>
          <w:p w14:paraId="3CA3DAA7" w14:textId="77777777" w:rsidR="0089304C" w:rsidRPr="00C33576" w:rsidRDefault="0089304C" w:rsidP="0089304C">
            <w:pPr>
              <w:spacing w:after="0" w:line="240" w:lineRule="auto"/>
              <w:jc w:val="center"/>
              <w:rPr>
                <w:rFonts w:ascii="Calibri" w:hAnsi="Calibri"/>
                <w:sz w:val="16"/>
              </w:rPr>
            </w:pPr>
            <w:r w:rsidRPr="00C33576">
              <w:rPr>
                <w:rFonts w:ascii="Calibri" w:hAnsi="Calibri"/>
                <w:sz w:val="16"/>
              </w:rPr>
              <w:t>Non metro</w:t>
            </w:r>
          </w:p>
        </w:tc>
        <w:tc>
          <w:tcPr>
            <w:tcW w:w="852" w:type="dxa"/>
            <w:tcBorders>
              <w:top w:val="nil"/>
              <w:left w:val="nil"/>
              <w:bottom w:val="nil"/>
              <w:right w:val="nil"/>
            </w:tcBorders>
            <w:shd w:val="clear" w:color="auto" w:fill="auto"/>
            <w:noWrap/>
            <w:vAlign w:val="bottom"/>
            <w:hideMark/>
          </w:tcPr>
          <w:p w14:paraId="75081846" w14:textId="77777777" w:rsidR="0089304C" w:rsidRPr="00CB37D3" w:rsidRDefault="0089304C" w:rsidP="0089304C">
            <w:pPr>
              <w:pStyle w:val="NoSpacing"/>
              <w:jc w:val="center"/>
              <w:rPr>
                <w:sz w:val="16"/>
                <w:szCs w:val="16"/>
              </w:rPr>
            </w:pPr>
            <w:r w:rsidRPr="00CB37D3">
              <w:rPr>
                <w:sz w:val="16"/>
                <w:szCs w:val="16"/>
              </w:rPr>
              <w:t>193,004</w:t>
            </w:r>
          </w:p>
        </w:tc>
        <w:tc>
          <w:tcPr>
            <w:tcW w:w="743" w:type="dxa"/>
            <w:tcBorders>
              <w:top w:val="nil"/>
              <w:left w:val="nil"/>
              <w:bottom w:val="nil"/>
              <w:right w:val="nil"/>
            </w:tcBorders>
            <w:shd w:val="clear" w:color="auto" w:fill="auto"/>
            <w:noWrap/>
            <w:vAlign w:val="bottom"/>
            <w:hideMark/>
          </w:tcPr>
          <w:p w14:paraId="52982CF1" w14:textId="77777777" w:rsidR="0089304C" w:rsidRPr="00CB37D3" w:rsidRDefault="0089304C" w:rsidP="0089304C">
            <w:pPr>
              <w:pStyle w:val="NoSpacing"/>
              <w:jc w:val="center"/>
              <w:rPr>
                <w:sz w:val="16"/>
                <w:szCs w:val="16"/>
              </w:rPr>
            </w:pPr>
            <w:r w:rsidRPr="00CB37D3">
              <w:rPr>
                <w:sz w:val="16"/>
                <w:szCs w:val="16"/>
              </w:rPr>
              <w:t>52,828</w:t>
            </w:r>
          </w:p>
        </w:tc>
        <w:tc>
          <w:tcPr>
            <w:tcW w:w="851" w:type="dxa"/>
            <w:tcBorders>
              <w:top w:val="nil"/>
              <w:left w:val="nil"/>
              <w:bottom w:val="nil"/>
              <w:right w:val="nil"/>
            </w:tcBorders>
            <w:shd w:val="clear" w:color="auto" w:fill="auto"/>
            <w:noWrap/>
            <w:vAlign w:val="bottom"/>
            <w:hideMark/>
          </w:tcPr>
          <w:p w14:paraId="3300E89A" w14:textId="77777777" w:rsidR="0089304C" w:rsidRPr="00CB37D3" w:rsidRDefault="0089304C" w:rsidP="0089304C">
            <w:pPr>
              <w:pStyle w:val="NoSpacing"/>
              <w:jc w:val="center"/>
              <w:rPr>
                <w:sz w:val="16"/>
                <w:szCs w:val="16"/>
              </w:rPr>
            </w:pPr>
            <w:r w:rsidRPr="00CB37D3">
              <w:rPr>
                <w:sz w:val="16"/>
                <w:szCs w:val="16"/>
              </w:rPr>
              <w:t>7.30</w:t>
            </w:r>
          </w:p>
        </w:tc>
        <w:tc>
          <w:tcPr>
            <w:tcW w:w="634" w:type="dxa"/>
            <w:tcBorders>
              <w:top w:val="nil"/>
              <w:left w:val="nil"/>
              <w:bottom w:val="nil"/>
              <w:right w:val="nil"/>
            </w:tcBorders>
            <w:shd w:val="clear" w:color="auto" w:fill="auto"/>
            <w:noWrap/>
            <w:vAlign w:val="bottom"/>
            <w:hideMark/>
          </w:tcPr>
          <w:p w14:paraId="44E8279F" w14:textId="77777777" w:rsidR="0089304C" w:rsidRPr="00CB37D3" w:rsidRDefault="0089304C" w:rsidP="0089304C">
            <w:pPr>
              <w:pStyle w:val="NoSpacing"/>
              <w:jc w:val="center"/>
              <w:rPr>
                <w:sz w:val="16"/>
                <w:szCs w:val="16"/>
              </w:rPr>
            </w:pPr>
            <w:r w:rsidRPr="00CB37D3">
              <w:rPr>
                <w:sz w:val="16"/>
                <w:szCs w:val="16"/>
              </w:rPr>
              <w:t>1.48</w:t>
            </w:r>
          </w:p>
        </w:tc>
        <w:tc>
          <w:tcPr>
            <w:tcW w:w="851" w:type="dxa"/>
            <w:tcBorders>
              <w:top w:val="nil"/>
              <w:left w:val="nil"/>
              <w:bottom w:val="nil"/>
              <w:right w:val="nil"/>
            </w:tcBorders>
            <w:shd w:val="clear" w:color="auto" w:fill="auto"/>
            <w:noWrap/>
            <w:vAlign w:val="bottom"/>
            <w:hideMark/>
          </w:tcPr>
          <w:p w14:paraId="1944EA23" w14:textId="77777777" w:rsidR="0089304C" w:rsidRPr="00CB37D3" w:rsidRDefault="0089304C" w:rsidP="0089304C">
            <w:pPr>
              <w:pStyle w:val="NoSpacing"/>
              <w:jc w:val="center"/>
              <w:rPr>
                <w:sz w:val="16"/>
                <w:szCs w:val="16"/>
              </w:rPr>
            </w:pPr>
            <w:r w:rsidRPr="00CB37D3">
              <w:rPr>
                <w:sz w:val="16"/>
                <w:szCs w:val="16"/>
              </w:rPr>
              <w:t>486.9</w:t>
            </w:r>
          </w:p>
        </w:tc>
        <w:tc>
          <w:tcPr>
            <w:tcW w:w="634" w:type="dxa"/>
            <w:tcBorders>
              <w:top w:val="nil"/>
              <w:left w:val="nil"/>
              <w:bottom w:val="nil"/>
              <w:right w:val="nil"/>
            </w:tcBorders>
            <w:shd w:val="clear" w:color="auto" w:fill="auto"/>
            <w:noWrap/>
            <w:vAlign w:val="bottom"/>
            <w:hideMark/>
          </w:tcPr>
          <w:p w14:paraId="03D6FF5C" w14:textId="77777777" w:rsidR="0089304C" w:rsidRPr="00CB37D3" w:rsidRDefault="0089304C" w:rsidP="0089304C">
            <w:pPr>
              <w:pStyle w:val="NoSpacing"/>
              <w:jc w:val="center"/>
              <w:rPr>
                <w:sz w:val="16"/>
                <w:szCs w:val="16"/>
              </w:rPr>
            </w:pPr>
            <w:r w:rsidRPr="00CB37D3">
              <w:rPr>
                <w:sz w:val="16"/>
                <w:szCs w:val="16"/>
              </w:rPr>
              <w:t>68.5</w:t>
            </w:r>
          </w:p>
        </w:tc>
        <w:tc>
          <w:tcPr>
            <w:tcW w:w="851" w:type="dxa"/>
            <w:tcBorders>
              <w:top w:val="nil"/>
              <w:left w:val="nil"/>
              <w:bottom w:val="nil"/>
              <w:right w:val="nil"/>
            </w:tcBorders>
            <w:shd w:val="clear" w:color="auto" w:fill="auto"/>
            <w:noWrap/>
            <w:vAlign w:val="bottom"/>
            <w:hideMark/>
          </w:tcPr>
          <w:p w14:paraId="6A0F1A33" w14:textId="77777777" w:rsidR="0089304C" w:rsidRPr="00CB37D3" w:rsidRDefault="0089304C" w:rsidP="0089304C">
            <w:pPr>
              <w:pStyle w:val="NoSpacing"/>
              <w:jc w:val="center"/>
              <w:rPr>
                <w:sz w:val="16"/>
                <w:szCs w:val="16"/>
              </w:rPr>
            </w:pPr>
            <w:r w:rsidRPr="00CB37D3">
              <w:rPr>
                <w:sz w:val="16"/>
                <w:szCs w:val="16"/>
              </w:rPr>
              <w:t>104,320</w:t>
            </w:r>
          </w:p>
        </w:tc>
        <w:tc>
          <w:tcPr>
            <w:tcW w:w="743" w:type="dxa"/>
            <w:tcBorders>
              <w:top w:val="nil"/>
              <w:left w:val="nil"/>
              <w:bottom w:val="nil"/>
              <w:right w:val="nil"/>
            </w:tcBorders>
            <w:shd w:val="clear" w:color="auto" w:fill="auto"/>
            <w:noWrap/>
            <w:vAlign w:val="bottom"/>
            <w:hideMark/>
          </w:tcPr>
          <w:p w14:paraId="606D160E" w14:textId="77777777" w:rsidR="0089304C" w:rsidRPr="00CB37D3" w:rsidRDefault="0089304C" w:rsidP="0089304C">
            <w:pPr>
              <w:pStyle w:val="NoSpacing"/>
              <w:jc w:val="center"/>
              <w:rPr>
                <w:sz w:val="16"/>
                <w:szCs w:val="16"/>
              </w:rPr>
            </w:pPr>
            <w:r w:rsidRPr="00CB37D3">
              <w:rPr>
                <w:sz w:val="16"/>
                <w:szCs w:val="16"/>
              </w:rPr>
              <w:t>28,994</w:t>
            </w:r>
          </w:p>
        </w:tc>
        <w:tc>
          <w:tcPr>
            <w:tcW w:w="851" w:type="dxa"/>
            <w:tcBorders>
              <w:top w:val="nil"/>
              <w:left w:val="nil"/>
              <w:bottom w:val="nil"/>
              <w:right w:val="nil"/>
            </w:tcBorders>
            <w:shd w:val="clear" w:color="auto" w:fill="auto"/>
            <w:noWrap/>
            <w:vAlign w:val="bottom"/>
            <w:hideMark/>
          </w:tcPr>
          <w:p w14:paraId="53F3F6C5" w14:textId="77777777" w:rsidR="0089304C" w:rsidRPr="00CB37D3" w:rsidRDefault="0089304C" w:rsidP="0089304C">
            <w:pPr>
              <w:pStyle w:val="NoSpacing"/>
              <w:jc w:val="center"/>
              <w:rPr>
                <w:sz w:val="16"/>
                <w:szCs w:val="16"/>
              </w:rPr>
            </w:pPr>
            <w:r w:rsidRPr="00CB37D3">
              <w:rPr>
                <w:sz w:val="16"/>
                <w:szCs w:val="16"/>
              </w:rPr>
              <w:t>7.16</w:t>
            </w:r>
          </w:p>
        </w:tc>
        <w:tc>
          <w:tcPr>
            <w:tcW w:w="634" w:type="dxa"/>
            <w:tcBorders>
              <w:top w:val="nil"/>
              <w:left w:val="nil"/>
              <w:bottom w:val="nil"/>
              <w:right w:val="nil"/>
            </w:tcBorders>
            <w:shd w:val="clear" w:color="auto" w:fill="auto"/>
            <w:noWrap/>
            <w:vAlign w:val="bottom"/>
            <w:hideMark/>
          </w:tcPr>
          <w:p w14:paraId="514EBBAE" w14:textId="77777777" w:rsidR="0089304C" w:rsidRPr="00CB37D3" w:rsidRDefault="0089304C" w:rsidP="0089304C">
            <w:pPr>
              <w:pStyle w:val="NoSpacing"/>
              <w:jc w:val="center"/>
              <w:rPr>
                <w:sz w:val="16"/>
                <w:szCs w:val="16"/>
              </w:rPr>
            </w:pPr>
            <w:r w:rsidRPr="00CB37D3">
              <w:rPr>
                <w:sz w:val="16"/>
                <w:szCs w:val="16"/>
              </w:rPr>
              <w:t>8.62</w:t>
            </w:r>
          </w:p>
        </w:tc>
      </w:tr>
      <w:tr w:rsidR="0089304C" w:rsidRPr="00CB37D3" w14:paraId="0F18A719" w14:textId="77777777" w:rsidTr="0089304C">
        <w:trPr>
          <w:trHeight w:val="300"/>
        </w:trPr>
        <w:tc>
          <w:tcPr>
            <w:tcW w:w="1376" w:type="dxa"/>
            <w:tcBorders>
              <w:top w:val="nil"/>
              <w:left w:val="nil"/>
              <w:bottom w:val="nil"/>
              <w:right w:val="nil"/>
            </w:tcBorders>
            <w:shd w:val="clear" w:color="auto" w:fill="auto"/>
            <w:noWrap/>
            <w:vAlign w:val="center"/>
            <w:hideMark/>
          </w:tcPr>
          <w:p w14:paraId="3EC1880C" w14:textId="77777777" w:rsidR="0089304C" w:rsidRPr="00C33576" w:rsidRDefault="0089304C" w:rsidP="0089304C">
            <w:pPr>
              <w:spacing w:after="0" w:line="240" w:lineRule="auto"/>
              <w:jc w:val="center"/>
              <w:rPr>
                <w:rFonts w:ascii="Calibri" w:hAnsi="Calibri"/>
                <w:sz w:val="16"/>
              </w:rPr>
            </w:pPr>
            <w:r w:rsidRPr="00C33576">
              <w:rPr>
                <w:rFonts w:ascii="Calibri" w:hAnsi="Calibri"/>
                <w:sz w:val="16"/>
              </w:rPr>
              <w:t>Unitary Authority</w:t>
            </w:r>
          </w:p>
        </w:tc>
        <w:tc>
          <w:tcPr>
            <w:tcW w:w="852" w:type="dxa"/>
            <w:tcBorders>
              <w:top w:val="nil"/>
              <w:left w:val="nil"/>
              <w:bottom w:val="nil"/>
              <w:right w:val="nil"/>
            </w:tcBorders>
            <w:shd w:val="clear" w:color="auto" w:fill="auto"/>
            <w:noWrap/>
            <w:vAlign w:val="bottom"/>
            <w:hideMark/>
          </w:tcPr>
          <w:p w14:paraId="218CF9F8" w14:textId="77777777" w:rsidR="0089304C" w:rsidRPr="00CB37D3" w:rsidRDefault="0089304C" w:rsidP="0089304C">
            <w:pPr>
              <w:pStyle w:val="NoSpacing"/>
              <w:jc w:val="center"/>
              <w:rPr>
                <w:sz w:val="16"/>
                <w:szCs w:val="16"/>
              </w:rPr>
            </w:pPr>
            <w:r w:rsidRPr="00CB37D3">
              <w:rPr>
                <w:sz w:val="16"/>
                <w:szCs w:val="16"/>
              </w:rPr>
              <w:t>164,932</w:t>
            </w:r>
          </w:p>
        </w:tc>
        <w:tc>
          <w:tcPr>
            <w:tcW w:w="743" w:type="dxa"/>
            <w:tcBorders>
              <w:top w:val="nil"/>
              <w:left w:val="nil"/>
              <w:bottom w:val="nil"/>
              <w:right w:val="nil"/>
            </w:tcBorders>
            <w:shd w:val="clear" w:color="auto" w:fill="auto"/>
            <w:noWrap/>
            <w:vAlign w:val="bottom"/>
            <w:hideMark/>
          </w:tcPr>
          <w:p w14:paraId="385E6F1E" w14:textId="77777777" w:rsidR="0089304C" w:rsidRPr="00CB37D3" w:rsidRDefault="0089304C" w:rsidP="0089304C">
            <w:pPr>
              <w:pStyle w:val="NoSpacing"/>
              <w:jc w:val="center"/>
              <w:rPr>
                <w:sz w:val="16"/>
                <w:szCs w:val="16"/>
              </w:rPr>
            </w:pPr>
            <w:r w:rsidRPr="00CB37D3">
              <w:rPr>
                <w:sz w:val="16"/>
                <w:szCs w:val="16"/>
              </w:rPr>
              <w:t>48,724</w:t>
            </w:r>
          </w:p>
        </w:tc>
        <w:tc>
          <w:tcPr>
            <w:tcW w:w="851" w:type="dxa"/>
            <w:tcBorders>
              <w:top w:val="nil"/>
              <w:left w:val="nil"/>
              <w:bottom w:val="nil"/>
              <w:right w:val="nil"/>
            </w:tcBorders>
            <w:shd w:val="clear" w:color="auto" w:fill="auto"/>
            <w:noWrap/>
            <w:vAlign w:val="bottom"/>
            <w:hideMark/>
          </w:tcPr>
          <w:p w14:paraId="19D9AB71" w14:textId="77777777" w:rsidR="0089304C" w:rsidRPr="00CB37D3" w:rsidRDefault="0089304C" w:rsidP="0089304C">
            <w:pPr>
              <w:pStyle w:val="NoSpacing"/>
              <w:jc w:val="center"/>
              <w:rPr>
                <w:sz w:val="16"/>
                <w:szCs w:val="16"/>
              </w:rPr>
            </w:pPr>
            <w:r w:rsidRPr="00CB37D3">
              <w:rPr>
                <w:sz w:val="16"/>
                <w:szCs w:val="16"/>
              </w:rPr>
              <w:t>6.46</w:t>
            </w:r>
          </w:p>
        </w:tc>
        <w:tc>
          <w:tcPr>
            <w:tcW w:w="634" w:type="dxa"/>
            <w:tcBorders>
              <w:top w:val="nil"/>
              <w:left w:val="nil"/>
              <w:bottom w:val="nil"/>
              <w:right w:val="nil"/>
            </w:tcBorders>
            <w:shd w:val="clear" w:color="auto" w:fill="auto"/>
            <w:noWrap/>
            <w:vAlign w:val="bottom"/>
            <w:hideMark/>
          </w:tcPr>
          <w:p w14:paraId="4E92C3D9" w14:textId="77777777" w:rsidR="0089304C" w:rsidRPr="00CB37D3" w:rsidRDefault="0089304C" w:rsidP="0089304C">
            <w:pPr>
              <w:pStyle w:val="NoSpacing"/>
              <w:jc w:val="center"/>
              <w:rPr>
                <w:sz w:val="16"/>
                <w:szCs w:val="16"/>
              </w:rPr>
            </w:pPr>
            <w:r w:rsidRPr="00CB37D3">
              <w:rPr>
                <w:sz w:val="16"/>
                <w:szCs w:val="16"/>
              </w:rPr>
              <w:t>1.34</w:t>
            </w:r>
          </w:p>
        </w:tc>
        <w:tc>
          <w:tcPr>
            <w:tcW w:w="851" w:type="dxa"/>
            <w:tcBorders>
              <w:top w:val="nil"/>
              <w:left w:val="nil"/>
              <w:bottom w:val="nil"/>
              <w:right w:val="nil"/>
            </w:tcBorders>
            <w:shd w:val="clear" w:color="auto" w:fill="auto"/>
            <w:noWrap/>
            <w:vAlign w:val="bottom"/>
            <w:hideMark/>
          </w:tcPr>
          <w:p w14:paraId="6F7045B4" w14:textId="77777777" w:rsidR="0089304C" w:rsidRPr="00CB37D3" w:rsidRDefault="0089304C" w:rsidP="0089304C">
            <w:pPr>
              <w:pStyle w:val="NoSpacing"/>
              <w:jc w:val="center"/>
              <w:rPr>
                <w:sz w:val="16"/>
                <w:szCs w:val="16"/>
              </w:rPr>
            </w:pPr>
            <w:r w:rsidRPr="00CB37D3">
              <w:rPr>
                <w:sz w:val="16"/>
                <w:szCs w:val="16"/>
              </w:rPr>
              <w:t>467.8</w:t>
            </w:r>
          </w:p>
        </w:tc>
        <w:tc>
          <w:tcPr>
            <w:tcW w:w="634" w:type="dxa"/>
            <w:tcBorders>
              <w:top w:val="nil"/>
              <w:left w:val="nil"/>
              <w:bottom w:val="nil"/>
              <w:right w:val="nil"/>
            </w:tcBorders>
            <w:shd w:val="clear" w:color="auto" w:fill="auto"/>
            <w:noWrap/>
            <w:vAlign w:val="bottom"/>
            <w:hideMark/>
          </w:tcPr>
          <w:p w14:paraId="412EFD7B" w14:textId="77777777" w:rsidR="0089304C" w:rsidRPr="00CB37D3" w:rsidRDefault="0089304C" w:rsidP="0089304C">
            <w:pPr>
              <w:pStyle w:val="NoSpacing"/>
              <w:jc w:val="center"/>
              <w:rPr>
                <w:sz w:val="16"/>
                <w:szCs w:val="16"/>
              </w:rPr>
            </w:pPr>
            <w:r w:rsidRPr="00CB37D3">
              <w:rPr>
                <w:sz w:val="16"/>
                <w:szCs w:val="16"/>
              </w:rPr>
              <w:t>66.9</w:t>
            </w:r>
          </w:p>
        </w:tc>
        <w:tc>
          <w:tcPr>
            <w:tcW w:w="851" w:type="dxa"/>
            <w:tcBorders>
              <w:top w:val="nil"/>
              <w:left w:val="nil"/>
              <w:bottom w:val="nil"/>
              <w:right w:val="nil"/>
            </w:tcBorders>
            <w:shd w:val="clear" w:color="auto" w:fill="auto"/>
            <w:noWrap/>
            <w:vAlign w:val="bottom"/>
            <w:hideMark/>
          </w:tcPr>
          <w:p w14:paraId="42BF3186" w14:textId="77777777" w:rsidR="0089304C" w:rsidRPr="00CB37D3" w:rsidRDefault="0089304C" w:rsidP="0089304C">
            <w:pPr>
              <w:pStyle w:val="NoSpacing"/>
              <w:jc w:val="center"/>
              <w:rPr>
                <w:sz w:val="16"/>
                <w:szCs w:val="16"/>
              </w:rPr>
            </w:pPr>
            <w:r w:rsidRPr="00CB37D3">
              <w:rPr>
                <w:sz w:val="16"/>
                <w:szCs w:val="16"/>
              </w:rPr>
              <w:t>187,262</w:t>
            </w:r>
          </w:p>
        </w:tc>
        <w:tc>
          <w:tcPr>
            <w:tcW w:w="743" w:type="dxa"/>
            <w:tcBorders>
              <w:top w:val="nil"/>
              <w:left w:val="nil"/>
              <w:bottom w:val="nil"/>
              <w:right w:val="nil"/>
            </w:tcBorders>
            <w:shd w:val="clear" w:color="auto" w:fill="auto"/>
            <w:noWrap/>
            <w:vAlign w:val="bottom"/>
            <w:hideMark/>
          </w:tcPr>
          <w:p w14:paraId="3BDBB35A" w14:textId="77777777" w:rsidR="0089304C" w:rsidRPr="00CB37D3" w:rsidRDefault="0089304C" w:rsidP="0089304C">
            <w:pPr>
              <w:pStyle w:val="NoSpacing"/>
              <w:jc w:val="center"/>
              <w:rPr>
                <w:sz w:val="16"/>
                <w:szCs w:val="16"/>
              </w:rPr>
            </w:pPr>
            <w:r w:rsidRPr="00CB37D3">
              <w:rPr>
                <w:sz w:val="16"/>
                <w:szCs w:val="16"/>
              </w:rPr>
              <w:t>68,241</w:t>
            </w:r>
          </w:p>
        </w:tc>
        <w:tc>
          <w:tcPr>
            <w:tcW w:w="851" w:type="dxa"/>
            <w:tcBorders>
              <w:top w:val="nil"/>
              <w:left w:val="nil"/>
              <w:bottom w:val="nil"/>
              <w:right w:val="nil"/>
            </w:tcBorders>
            <w:shd w:val="clear" w:color="auto" w:fill="auto"/>
            <w:noWrap/>
            <w:vAlign w:val="bottom"/>
            <w:hideMark/>
          </w:tcPr>
          <w:p w14:paraId="767C5D15" w14:textId="77777777" w:rsidR="0089304C" w:rsidRPr="00CB37D3" w:rsidRDefault="0089304C" w:rsidP="0089304C">
            <w:pPr>
              <w:pStyle w:val="NoSpacing"/>
              <w:jc w:val="center"/>
              <w:rPr>
                <w:sz w:val="16"/>
                <w:szCs w:val="16"/>
              </w:rPr>
            </w:pPr>
            <w:r w:rsidRPr="00CB37D3">
              <w:rPr>
                <w:sz w:val="16"/>
                <w:szCs w:val="16"/>
              </w:rPr>
              <w:t>18.47</w:t>
            </w:r>
          </w:p>
        </w:tc>
        <w:tc>
          <w:tcPr>
            <w:tcW w:w="634" w:type="dxa"/>
            <w:tcBorders>
              <w:top w:val="nil"/>
              <w:left w:val="nil"/>
              <w:bottom w:val="nil"/>
              <w:right w:val="nil"/>
            </w:tcBorders>
            <w:shd w:val="clear" w:color="auto" w:fill="auto"/>
            <w:noWrap/>
            <w:vAlign w:val="bottom"/>
            <w:hideMark/>
          </w:tcPr>
          <w:p w14:paraId="1C0BE338" w14:textId="77777777" w:rsidR="0089304C" w:rsidRPr="00CB37D3" w:rsidRDefault="0089304C" w:rsidP="0089304C">
            <w:pPr>
              <w:pStyle w:val="NoSpacing"/>
              <w:jc w:val="center"/>
              <w:rPr>
                <w:sz w:val="16"/>
                <w:szCs w:val="16"/>
              </w:rPr>
            </w:pPr>
            <w:r w:rsidRPr="00CB37D3">
              <w:rPr>
                <w:sz w:val="16"/>
                <w:szCs w:val="16"/>
              </w:rPr>
              <w:t>15.52</w:t>
            </w:r>
          </w:p>
        </w:tc>
      </w:tr>
      <w:tr w:rsidR="0089304C" w:rsidRPr="00CB37D3" w14:paraId="4C3564C4" w14:textId="77777777" w:rsidTr="0089304C">
        <w:trPr>
          <w:trHeight w:val="300"/>
        </w:trPr>
        <w:tc>
          <w:tcPr>
            <w:tcW w:w="1376" w:type="dxa"/>
            <w:tcBorders>
              <w:top w:val="nil"/>
              <w:left w:val="nil"/>
              <w:bottom w:val="nil"/>
              <w:right w:val="nil"/>
            </w:tcBorders>
            <w:shd w:val="clear" w:color="auto" w:fill="auto"/>
            <w:noWrap/>
            <w:vAlign w:val="center"/>
            <w:hideMark/>
          </w:tcPr>
          <w:p w14:paraId="3FCF360F" w14:textId="77777777" w:rsidR="0089304C" w:rsidRPr="00C33576" w:rsidRDefault="0089304C" w:rsidP="006C758F">
            <w:pPr>
              <w:spacing w:after="0" w:line="240" w:lineRule="auto"/>
              <w:jc w:val="center"/>
              <w:rPr>
                <w:rFonts w:ascii="Calibri" w:hAnsi="Calibri"/>
                <w:b/>
                <w:sz w:val="16"/>
                <w:u w:val="single"/>
              </w:rPr>
            </w:pPr>
            <w:r w:rsidRPr="00C33576">
              <w:rPr>
                <w:rFonts w:ascii="Calibri" w:hAnsi="Calibri"/>
                <w:b/>
                <w:sz w:val="16"/>
                <w:u w:val="single"/>
              </w:rPr>
              <w:t>2012</w:t>
            </w:r>
          </w:p>
        </w:tc>
        <w:tc>
          <w:tcPr>
            <w:tcW w:w="852" w:type="dxa"/>
            <w:tcBorders>
              <w:top w:val="nil"/>
              <w:left w:val="nil"/>
              <w:bottom w:val="nil"/>
              <w:right w:val="nil"/>
            </w:tcBorders>
            <w:shd w:val="clear" w:color="auto" w:fill="auto"/>
            <w:noWrap/>
            <w:vAlign w:val="center"/>
          </w:tcPr>
          <w:p w14:paraId="0B59BE56" w14:textId="77777777" w:rsidR="0089304C" w:rsidRPr="00C33576" w:rsidRDefault="0089304C" w:rsidP="0089304C">
            <w:pPr>
              <w:spacing w:after="0" w:line="240" w:lineRule="auto"/>
              <w:jc w:val="center"/>
              <w:rPr>
                <w:rFonts w:ascii="Calibri" w:hAnsi="Calibri"/>
                <w:sz w:val="16"/>
              </w:rPr>
            </w:pPr>
          </w:p>
        </w:tc>
        <w:tc>
          <w:tcPr>
            <w:tcW w:w="743" w:type="dxa"/>
            <w:tcBorders>
              <w:top w:val="nil"/>
              <w:left w:val="nil"/>
              <w:bottom w:val="nil"/>
              <w:right w:val="nil"/>
            </w:tcBorders>
            <w:shd w:val="clear" w:color="auto" w:fill="auto"/>
            <w:noWrap/>
            <w:vAlign w:val="center"/>
          </w:tcPr>
          <w:p w14:paraId="0CE79767" w14:textId="77777777" w:rsidR="0089304C" w:rsidRPr="00C33576" w:rsidRDefault="0089304C" w:rsidP="0089304C">
            <w:pPr>
              <w:spacing w:after="0" w:line="240" w:lineRule="auto"/>
              <w:jc w:val="center"/>
              <w:rPr>
                <w:rFonts w:ascii="Calibri" w:hAnsi="Calibri"/>
                <w:i/>
                <w:sz w:val="12"/>
              </w:rPr>
            </w:pPr>
          </w:p>
        </w:tc>
        <w:tc>
          <w:tcPr>
            <w:tcW w:w="851" w:type="dxa"/>
            <w:tcBorders>
              <w:top w:val="nil"/>
              <w:left w:val="nil"/>
              <w:bottom w:val="nil"/>
              <w:right w:val="nil"/>
            </w:tcBorders>
            <w:shd w:val="clear" w:color="auto" w:fill="auto"/>
            <w:noWrap/>
            <w:vAlign w:val="center"/>
          </w:tcPr>
          <w:p w14:paraId="2BA7F9B3" w14:textId="77777777" w:rsidR="0089304C" w:rsidRPr="00C33576" w:rsidRDefault="0089304C" w:rsidP="0089304C">
            <w:pPr>
              <w:spacing w:after="0" w:line="240" w:lineRule="auto"/>
              <w:jc w:val="center"/>
              <w:rPr>
                <w:rFonts w:ascii="Calibri" w:hAnsi="Calibri"/>
                <w:sz w:val="16"/>
              </w:rPr>
            </w:pPr>
          </w:p>
        </w:tc>
        <w:tc>
          <w:tcPr>
            <w:tcW w:w="634" w:type="dxa"/>
            <w:tcBorders>
              <w:top w:val="nil"/>
              <w:left w:val="nil"/>
              <w:bottom w:val="nil"/>
              <w:right w:val="nil"/>
            </w:tcBorders>
            <w:shd w:val="clear" w:color="auto" w:fill="auto"/>
            <w:noWrap/>
            <w:vAlign w:val="center"/>
          </w:tcPr>
          <w:p w14:paraId="6623131A" w14:textId="77777777" w:rsidR="0089304C" w:rsidRPr="00C33576" w:rsidRDefault="0089304C" w:rsidP="0089304C">
            <w:pPr>
              <w:spacing w:after="0" w:line="240" w:lineRule="auto"/>
              <w:jc w:val="center"/>
              <w:rPr>
                <w:rFonts w:ascii="Calibri" w:hAnsi="Calibri"/>
                <w:i/>
                <w:sz w:val="12"/>
              </w:rPr>
            </w:pPr>
          </w:p>
        </w:tc>
        <w:tc>
          <w:tcPr>
            <w:tcW w:w="851" w:type="dxa"/>
            <w:tcBorders>
              <w:top w:val="nil"/>
              <w:left w:val="nil"/>
              <w:bottom w:val="nil"/>
              <w:right w:val="nil"/>
            </w:tcBorders>
            <w:shd w:val="clear" w:color="auto" w:fill="auto"/>
            <w:noWrap/>
            <w:vAlign w:val="center"/>
          </w:tcPr>
          <w:p w14:paraId="6AA0CCCC" w14:textId="77777777" w:rsidR="0089304C" w:rsidRPr="00C33576" w:rsidRDefault="0089304C" w:rsidP="0089304C">
            <w:pPr>
              <w:spacing w:after="0" w:line="240" w:lineRule="auto"/>
              <w:jc w:val="center"/>
              <w:rPr>
                <w:rFonts w:ascii="Calibri" w:hAnsi="Calibri"/>
                <w:sz w:val="16"/>
              </w:rPr>
            </w:pPr>
          </w:p>
        </w:tc>
        <w:tc>
          <w:tcPr>
            <w:tcW w:w="634" w:type="dxa"/>
            <w:tcBorders>
              <w:top w:val="nil"/>
              <w:left w:val="nil"/>
              <w:bottom w:val="nil"/>
              <w:right w:val="nil"/>
            </w:tcBorders>
            <w:shd w:val="clear" w:color="auto" w:fill="auto"/>
            <w:noWrap/>
            <w:vAlign w:val="center"/>
          </w:tcPr>
          <w:p w14:paraId="35DD8DB8" w14:textId="77777777" w:rsidR="0089304C" w:rsidRPr="00C33576" w:rsidRDefault="0089304C" w:rsidP="0089304C">
            <w:pPr>
              <w:spacing w:after="0" w:line="240" w:lineRule="auto"/>
              <w:jc w:val="center"/>
              <w:rPr>
                <w:rFonts w:ascii="Calibri" w:hAnsi="Calibri"/>
                <w:i/>
                <w:sz w:val="12"/>
              </w:rPr>
            </w:pPr>
          </w:p>
        </w:tc>
        <w:tc>
          <w:tcPr>
            <w:tcW w:w="851" w:type="dxa"/>
            <w:tcBorders>
              <w:top w:val="nil"/>
              <w:left w:val="nil"/>
              <w:bottom w:val="nil"/>
              <w:right w:val="nil"/>
            </w:tcBorders>
            <w:shd w:val="clear" w:color="auto" w:fill="auto"/>
            <w:noWrap/>
            <w:vAlign w:val="center"/>
          </w:tcPr>
          <w:p w14:paraId="0F929CFF" w14:textId="77777777" w:rsidR="0089304C" w:rsidRPr="00C33576" w:rsidRDefault="0089304C" w:rsidP="0089304C">
            <w:pPr>
              <w:spacing w:after="0" w:line="240" w:lineRule="auto"/>
              <w:jc w:val="center"/>
              <w:rPr>
                <w:rFonts w:ascii="Calibri" w:hAnsi="Calibri"/>
                <w:sz w:val="16"/>
              </w:rPr>
            </w:pPr>
          </w:p>
        </w:tc>
        <w:tc>
          <w:tcPr>
            <w:tcW w:w="743" w:type="dxa"/>
            <w:tcBorders>
              <w:top w:val="nil"/>
              <w:left w:val="nil"/>
              <w:bottom w:val="nil"/>
              <w:right w:val="nil"/>
            </w:tcBorders>
            <w:shd w:val="clear" w:color="auto" w:fill="auto"/>
            <w:noWrap/>
            <w:vAlign w:val="center"/>
          </w:tcPr>
          <w:p w14:paraId="069D8B40" w14:textId="77777777" w:rsidR="0089304C" w:rsidRPr="00C33576" w:rsidRDefault="0089304C" w:rsidP="0089304C">
            <w:pPr>
              <w:spacing w:after="0" w:line="240" w:lineRule="auto"/>
              <w:jc w:val="center"/>
              <w:rPr>
                <w:rFonts w:ascii="Calibri" w:hAnsi="Calibri"/>
                <w:i/>
                <w:sz w:val="12"/>
              </w:rPr>
            </w:pPr>
          </w:p>
        </w:tc>
        <w:tc>
          <w:tcPr>
            <w:tcW w:w="851" w:type="dxa"/>
            <w:tcBorders>
              <w:top w:val="nil"/>
              <w:left w:val="nil"/>
              <w:bottom w:val="nil"/>
              <w:right w:val="nil"/>
            </w:tcBorders>
            <w:shd w:val="clear" w:color="auto" w:fill="auto"/>
            <w:noWrap/>
            <w:vAlign w:val="center"/>
          </w:tcPr>
          <w:p w14:paraId="64F3DAF5" w14:textId="77777777" w:rsidR="0089304C" w:rsidRPr="00C33576" w:rsidRDefault="0089304C" w:rsidP="0089304C">
            <w:pPr>
              <w:spacing w:after="0" w:line="240" w:lineRule="auto"/>
              <w:jc w:val="center"/>
              <w:rPr>
                <w:rFonts w:ascii="Calibri" w:hAnsi="Calibri"/>
                <w:sz w:val="16"/>
              </w:rPr>
            </w:pPr>
          </w:p>
        </w:tc>
        <w:tc>
          <w:tcPr>
            <w:tcW w:w="634" w:type="dxa"/>
            <w:tcBorders>
              <w:top w:val="nil"/>
              <w:left w:val="nil"/>
              <w:bottom w:val="nil"/>
              <w:right w:val="nil"/>
            </w:tcBorders>
            <w:shd w:val="clear" w:color="auto" w:fill="auto"/>
            <w:noWrap/>
            <w:vAlign w:val="center"/>
          </w:tcPr>
          <w:p w14:paraId="7A23D87E" w14:textId="77777777" w:rsidR="0089304C" w:rsidRPr="00C33576" w:rsidRDefault="0089304C" w:rsidP="0089304C">
            <w:pPr>
              <w:spacing w:after="0" w:line="240" w:lineRule="auto"/>
              <w:jc w:val="center"/>
              <w:rPr>
                <w:rFonts w:ascii="Calibri" w:hAnsi="Calibri"/>
                <w:i/>
                <w:sz w:val="12"/>
              </w:rPr>
            </w:pPr>
          </w:p>
        </w:tc>
      </w:tr>
      <w:tr w:rsidR="0089304C" w:rsidRPr="00CB37D3" w14:paraId="777DA304" w14:textId="77777777" w:rsidTr="0089304C">
        <w:trPr>
          <w:trHeight w:val="300"/>
        </w:trPr>
        <w:tc>
          <w:tcPr>
            <w:tcW w:w="1376" w:type="dxa"/>
            <w:tcBorders>
              <w:top w:val="nil"/>
              <w:left w:val="nil"/>
              <w:bottom w:val="nil"/>
              <w:right w:val="nil"/>
            </w:tcBorders>
            <w:shd w:val="clear" w:color="auto" w:fill="auto"/>
            <w:noWrap/>
            <w:vAlign w:val="center"/>
            <w:hideMark/>
          </w:tcPr>
          <w:p w14:paraId="37678AF2" w14:textId="77777777" w:rsidR="0089304C" w:rsidRPr="00C33576" w:rsidRDefault="0089304C" w:rsidP="0089304C">
            <w:pPr>
              <w:spacing w:after="0" w:line="240" w:lineRule="auto"/>
              <w:jc w:val="center"/>
              <w:rPr>
                <w:rFonts w:ascii="Calibri" w:hAnsi="Calibri"/>
                <w:sz w:val="16"/>
              </w:rPr>
            </w:pPr>
            <w:r w:rsidRPr="00C33576">
              <w:rPr>
                <w:rFonts w:ascii="Calibri" w:hAnsi="Calibri"/>
                <w:sz w:val="16"/>
              </w:rPr>
              <w:t>London Borough</w:t>
            </w:r>
          </w:p>
        </w:tc>
        <w:tc>
          <w:tcPr>
            <w:tcW w:w="852" w:type="dxa"/>
            <w:tcBorders>
              <w:top w:val="nil"/>
              <w:left w:val="nil"/>
              <w:bottom w:val="nil"/>
              <w:right w:val="nil"/>
            </w:tcBorders>
            <w:shd w:val="clear" w:color="auto" w:fill="auto"/>
            <w:noWrap/>
            <w:vAlign w:val="bottom"/>
            <w:hideMark/>
          </w:tcPr>
          <w:p w14:paraId="1A4A344B" w14:textId="77777777" w:rsidR="0089304C" w:rsidRPr="00CB37D3" w:rsidRDefault="0089304C" w:rsidP="0089304C">
            <w:pPr>
              <w:pStyle w:val="NoSpacing"/>
              <w:jc w:val="center"/>
              <w:rPr>
                <w:sz w:val="16"/>
                <w:szCs w:val="16"/>
              </w:rPr>
            </w:pPr>
            <w:r w:rsidRPr="00CB37D3">
              <w:rPr>
                <w:sz w:val="16"/>
                <w:szCs w:val="16"/>
              </w:rPr>
              <w:t>323,533</w:t>
            </w:r>
          </w:p>
        </w:tc>
        <w:tc>
          <w:tcPr>
            <w:tcW w:w="743" w:type="dxa"/>
            <w:tcBorders>
              <w:top w:val="nil"/>
              <w:left w:val="nil"/>
              <w:bottom w:val="nil"/>
              <w:right w:val="nil"/>
            </w:tcBorders>
            <w:shd w:val="clear" w:color="auto" w:fill="auto"/>
            <w:noWrap/>
            <w:vAlign w:val="bottom"/>
            <w:hideMark/>
          </w:tcPr>
          <w:p w14:paraId="2BC4D493" w14:textId="77777777" w:rsidR="0089304C" w:rsidRPr="00CB37D3" w:rsidRDefault="0089304C" w:rsidP="0089304C">
            <w:pPr>
              <w:pStyle w:val="NoSpacing"/>
              <w:jc w:val="center"/>
              <w:rPr>
                <w:sz w:val="16"/>
                <w:szCs w:val="16"/>
              </w:rPr>
            </w:pPr>
            <w:r w:rsidRPr="00CB37D3">
              <w:rPr>
                <w:sz w:val="16"/>
                <w:szCs w:val="16"/>
              </w:rPr>
              <w:t>133,285</w:t>
            </w:r>
          </w:p>
        </w:tc>
        <w:tc>
          <w:tcPr>
            <w:tcW w:w="851" w:type="dxa"/>
            <w:tcBorders>
              <w:top w:val="nil"/>
              <w:left w:val="nil"/>
              <w:bottom w:val="nil"/>
              <w:right w:val="nil"/>
            </w:tcBorders>
            <w:shd w:val="clear" w:color="auto" w:fill="auto"/>
            <w:noWrap/>
            <w:vAlign w:val="bottom"/>
            <w:hideMark/>
          </w:tcPr>
          <w:p w14:paraId="391BCF23" w14:textId="77777777" w:rsidR="0089304C" w:rsidRPr="00CB37D3" w:rsidRDefault="0089304C" w:rsidP="0089304C">
            <w:pPr>
              <w:pStyle w:val="NoSpacing"/>
              <w:jc w:val="center"/>
              <w:rPr>
                <w:sz w:val="16"/>
                <w:szCs w:val="16"/>
              </w:rPr>
            </w:pPr>
            <w:r w:rsidRPr="00CB37D3">
              <w:rPr>
                <w:sz w:val="16"/>
                <w:szCs w:val="16"/>
              </w:rPr>
              <w:t>9.40</w:t>
            </w:r>
          </w:p>
        </w:tc>
        <w:tc>
          <w:tcPr>
            <w:tcW w:w="634" w:type="dxa"/>
            <w:tcBorders>
              <w:top w:val="nil"/>
              <w:left w:val="nil"/>
              <w:bottom w:val="nil"/>
              <w:right w:val="nil"/>
            </w:tcBorders>
            <w:shd w:val="clear" w:color="auto" w:fill="auto"/>
            <w:noWrap/>
            <w:vAlign w:val="bottom"/>
            <w:hideMark/>
          </w:tcPr>
          <w:p w14:paraId="7AE65358" w14:textId="77777777" w:rsidR="0089304C" w:rsidRPr="00CB37D3" w:rsidRDefault="0089304C" w:rsidP="0089304C">
            <w:pPr>
              <w:pStyle w:val="NoSpacing"/>
              <w:jc w:val="center"/>
              <w:rPr>
                <w:sz w:val="16"/>
                <w:szCs w:val="16"/>
              </w:rPr>
            </w:pPr>
            <w:r w:rsidRPr="00CB37D3">
              <w:rPr>
                <w:sz w:val="16"/>
                <w:szCs w:val="16"/>
              </w:rPr>
              <w:t>2.71</w:t>
            </w:r>
          </w:p>
        </w:tc>
        <w:tc>
          <w:tcPr>
            <w:tcW w:w="851" w:type="dxa"/>
            <w:tcBorders>
              <w:top w:val="nil"/>
              <w:left w:val="nil"/>
              <w:bottom w:val="nil"/>
              <w:right w:val="nil"/>
            </w:tcBorders>
            <w:shd w:val="clear" w:color="auto" w:fill="auto"/>
            <w:noWrap/>
            <w:vAlign w:val="bottom"/>
            <w:hideMark/>
          </w:tcPr>
          <w:p w14:paraId="71184ACE" w14:textId="77777777" w:rsidR="0089304C" w:rsidRPr="00CB37D3" w:rsidRDefault="0089304C" w:rsidP="0089304C">
            <w:pPr>
              <w:pStyle w:val="NoSpacing"/>
              <w:jc w:val="center"/>
              <w:rPr>
                <w:sz w:val="16"/>
                <w:szCs w:val="16"/>
              </w:rPr>
            </w:pPr>
            <w:r w:rsidRPr="00CB37D3">
              <w:rPr>
                <w:sz w:val="16"/>
                <w:szCs w:val="16"/>
              </w:rPr>
              <w:t>623.3</w:t>
            </w:r>
          </w:p>
        </w:tc>
        <w:tc>
          <w:tcPr>
            <w:tcW w:w="634" w:type="dxa"/>
            <w:tcBorders>
              <w:top w:val="nil"/>
              <w:left w:val="nil"/>
              <w:bottom w:val="nil"/>
              <w:right w:val="nil"/>
            </w:tcBorders>
            <w:shd w:val="clear" w:color="auto" w:fill="auto"/>
            <w:noWrap/>
            <w:vAlign w:val="bottom"/>
            <w:hideMark/>
          </w:tcPr>
          <w:p w14:paraId="4BFABA25" w14:textId="77777777" w:rsidR="0089304C" w:rsidRPr="00CB37D3" w:rsidRDefault="0089304C" w:rsidP="0089304C">
            <w:pPr>
              <w:pStyle w:val="NoSpacing"/>
              <w:jc w:val="center"/>
              <w:rPr>
                <w:sz w:val="16"/>
                <w:szCs w:val="16"/>
              </w:rPr>
            </w:pPr>
            <w:r w:rsidRPr="00CB37D3">
              <w:rPr>
                <w:sz w:val="16"/>
                <w:szCs w:val="16"/>
              </w:rPr>
              <w:t>70.6</w:t>
            </w:r>
          </w:p>
        </w:tc>
        <w:tc>
          <w:tcPr>
            <w:tcW w:w="851" w:type="dxa"/>
            <w:tcBorders>
              <w:top w:val="nil"/>
              <w:left w:val="nil"/>
              <w:bottom w:val="nil"/>
              <w:right w:val="nil"/>
            </w:tcBorders>
            <w:shd w:val="clear" w:color="auto" w:fill="auto"/>
            <w:noWrap/>
            <w:vAlign w:val="bottom"/>
            <w:hideMark/>
          </w:tcPr>
          <w:p w14:paraId="6CC3FA46" w14:textId="77777777" w:rsidR="0089304C" w:rsidRPr="00CB37D3" w:rsidRDefault="0089304C" w:rsidP="0089304C">
            <w:pPr>
              <w:pStyle w:val="NoSpacing"/>
              <w:jc w:val="center"/>
              <w:rPr>
                <w:sz w:val="16"/>
                <w:szCs w:val="16"/>
              </w:rPr>
            </w:pPr>
            <w:r w:rsidRPr="00CB37D3">
              <w:rPr>
                <w:sz w:val="16"/>
                <w:szCs w:val="16"/>
              </w:rPr>
              <w:t>259,406</w:t>
            </w:r>
          </w:p>
        </w:tc>
        <w:tc>
          <w:tcPr>
            <w:tcW w:w="743" w:type="dxa"/>
            <w:tcBorders>
              <w:top w:val="nil"/>
              <w:left w:val="nil"/>
              <w:bottom w:val="nil"/>
              <w:right w:val="nil"/>
            </w:tcBorders>
            <w:shd w:val="clear" w:color="auto" w:fill="auto"/>
            <w:noWrap/>
            <w:vAlign w:val="bottom"/>
            <w:hideMark/>
          </w:tcPr>
          <w:p w14:paraId="356551A8" w14:textId="77777777" w:rsidR="0089304C" w:rsidRPr="00CB37D3" w:rsidRDefault="0089304C" w:rsidP="0089304C">
            <w:pPr>
              <w:pStyle w:val="NoSpacing"/>
              <w:jc w:val="center"/>
              <w:rPr>
                <w:sz w:val="16"/>
                <w:szCs w:val="16"/>
              </w:rPr>
            </w:pPr>
            <w:r w:rsidRPr="00CB37D3">
              <w:rPr>
                <w:sz w:val="16"/>
                <w:szCs w:val="16"/>
              </w:rPr>
              <w:t>56,594</w:t>
            </w:r>
          </w:p>
        </w:tc>
        <w:tc>
          <w:tcPr>
            <w:tcW w:w="851" w:type="dxa"/>
            <w:tcBorders>
              <w:top w:val="nil"/>
              <w:left w:val="nil"/>
              <w:bottom w:val="nil"/>
              <w:right w:val="nil"/>
            </w:tcBorders>
            <w:shd w:val="clear" w:color="auto" w:fill="auto"/>
            <w:noWrap/>
            <w:vAlign w:val="bottom"/>
            <w:hideMark/>
          </w:tcPr>
          <w:p w14:paraId="0AFA682F" w14:textId="77777777" w:rsidR="0089304C" w:rsidRPr="00CB37D3" w:rsidRDefault="0089304C" w:rsidP="0089304C">
            <w:pPr>
              <w:pStyle w:val="NoSpacing"/>
              <w:jc w:val="center"/>
              <w:rPr>
                <w:sz w:val="16"/>
                <w:szCs w:val="16"/>
              </w:rPr>
            </w:pPr>
            <w:r w:rsidRPr="00CB37D3">
              <w:rPr>
                <w:sz w:val="16"/>
                <w:szCs w:val="16"/>
              </w:rPr>
              <w:t>71.03</w:t>
            </w:r>
          </w:p>
        </w:tc>
        <w:tc>
          <w:tcPr>
            <w:tcW w:w="634" w:type="dxa"/>
            <w:tcBorders>
              <w:top w:val="nil"/>
              <w:left w:val="nil"/>
              <w:bottom w:val="nil"/>
              <w:right w:val="nil"/>
            </w:tcBorders>
            <w:shd w:val="clear" w:color="auto" w:fill="auto"/>
            <w:noWrap/>
            <w:vAlign w:val="bottom"/>
            <w:hideMark/>
          </w:tcPr>
          <w:p w14:paraId="437B97DC" w14:textId="77777777" w:rsidR="0089304C" w:rsidRPr="00CB37D3" w:rsidRDefault="0089304C" w:rsidP="0089304C">
            <w:pPr>
              <w:pStyle w:val="NoSpacing"/>
              <w:jc w:val="center"/>
              <w:rPr>
                <w:sz w:val="16"/>
                <w:szCs w:val="16"/>
              </w:rPr>
            </w:pPr>
            <w:r w:rsidRPr="00CB37D3">
              <w:rPr>
                <w:sz w:val="16"/>
                <w:szCs w:val="16"/>
              </w:rPr>
              <w:t>35.83</w:t>
            </w:r>
          </w:p>
        </w:tc>
      </w:tr>
      <w:tr w:rsidR="0089304C" w:rsidRPr="00CB37D3" w14:paraId="43F6C612" w14:textId="77777777" w:rsidTr="0089304C">
        <w:trPr>
          <w:trHeight w:val="300"/>
        </w:trPr>
        <w:tc>
          <w:tcPr>
            <w:tcW w:w="1376" w:type="dxa"/>
            <w:tcBorders>
              <w:top w:val="nil"/>
              <w:left w:val="nil"/>
              <w:bottom w:val="nil"/>
              <w:right w:val="nil"/>
            </w:tcBorders>
            <w:shd w:val="clear" w:color="auto" w:fill="auto"/>
            <w:noWrap/>
            <w:vAlign w:val="center"/>
            <w:hideMark/>
          </w:tcPr>
          <w:p w14:paraId="29E3D753" w14:textId="77777777" w:rsidR="0089304C" w:rsidRPr="00C33576" w:rsidRDefault="0089304C" w:rsidP="0089304C">
            <w:pPr>
              <w:spacing w:after="0" w:line="240" w:lineRule="auto"/>
              <w:jc w:val="center"/>
              <w:rPr>
                <w:rFonts w:ascii="Calibri" w:hAnsi="Calibri"/>
                <w:sz w:val="16"/>
              </w:rPr>
            </w:pPr>
            <w:r w:rsidRPr="00C33576">
              <w:rPr>
                <w:rFonts w:ascii="Calibri" w:hAnsi="Calibri"/>
                <w:sz w:val="16"/>
              </w:rPr>
              <w:t>Metropolitan District</w:t>
            </w:r>
          </w:p>
        </w:tc>
        <w:tc>
          <w:tcPr>
            <w:tcW w:w="852" w:type="dxa"/>
            <w:tcBorders>
              <w:top w:val="nil"/>
              <w:left w:val="nil"/>
              <w:bottom w:val="nil"/>
              <w:right w:val="nil"/>
            </w:tcBorders>
            <w:shd w:val="clear" w:color="auto" w:fill="auto"/>
            <w:noWrap/>
            <w:vAlign w:val="bottom"/>
            <w:hideMark/>
          </w:tcPr>
          <w:p w14:paraId="24C86332" w14:textId="77777777" w:rsidR="0089304C" w:rsidRPr="00CB37D3" w:rsidRDefault="0089304C" w:rsidP="0089304C">
            <w:pPr>
              <w:pStyle w:val="NoSpacing"/>
              <w:jc w:val="center"/>
              <w:rPr>
                <w:sz w:val="16"/>
                <w:szCs w:val="16"/>
              </w:rPr>
            </w:pPr>
            <w:r w:rsidRPr="00CB37D3">
              <w:rPr>
                <w:sz w:val="16"/>
                <w:szCs w:val="16"/>
              </w:rPr>
              <w:t>123,090</w:t>
            </w:r>
          </w:p>
        </w:tc>
        <w:tc>
          <w:tcPr>
            <w:tcW w:w="743" w:type="dxa"/>
            <w:tcBorders>
              <w:top w:val="nil"/>
              <w:left w:val="nil"/>
              <w:bottom w:val="nil"/>
              <w:right w:val="nil"/>
            </w:tcBorders>
            <w:shd w:val="clear" w:color="auto" w:fill="auto"/>
            <w:noWrap/>
            <w:vAlign w:val="bottom"/>
            <w:hideMark/>
          </w:tcPr>
          <w:p w14:paraId="3692390D" w14:textId="77777777" w:rsidR="0089304C" w:rsidRPr="00CB37D3" w:rsidRDefault="0089304C" w:rsidP="0089304C">
            <w:pPr>
              <w:pStyle w:val="NoSpacing"/>
              <w:jc w:val="center"/>
              <w:rPr>
                <w:sz w:val="16"/>
                <w:szCs w:val="16"/>
              </w:rPr>
            </w:pPr>
            <w:r w:rsidRPr="00CB37D3">
              <w:rPr>
                <w:sz w:val="16"/>
                <w:szCs w:val="16"/>
              </w:rPr>
              <w:t>20,862</w:t>
            </w:r>
          </w:p>
        </w:tc>
        <w:tc>
          <w:tcPr>
            <w:tcW w:w="851" w:type="dxa"/>
            <w:tcBorders>
              <w:top w:val="nil"/>
              <w:left w:val="nil"/>
              <w:bottom w:val="nil"/>
              <w:right w:val="nil"/>
            </w:tcBorders>
            <w:shd w:val="clear" w:color="auto" w:fill="auto"/>
            <w:noWrap/>
            <w:vAlign w:val="bottom"/>
            <w:hideMark/>
          </w:tcPr>
          <w:p w14:paraId="22A370EE" w14:textId="77777777" w:rsidR="0089304C" w:rsidRPr="00CB37D3" w:rsidRDefault="0089304C" w:rsidP="0089304C">
            <w:pPr>
              <w:pStyle w:val="NoSpacing"/>
              <w:jc w:val="center"/>
              <w:rPr>
                <w:sz w:val="16"/>
                <w:szCs w:val="16"/>
              </w:rPr>
            </w:pPr>
            <w:r w:rsidRPr="00CB37D3">
              <w:rPr>
                <w:sz w:val="16"/>
                <w:szCs w:val="16"/>
              </w:rPr>
              <w:t>4.88</w:t>
            </w:r>
          </w:p>
        </w:tc>
        <w:tc>
          <w:tcPr>
            <w:tcW w:w="634" w:type="dxa"/>
            <w:tcBorders>
              <w:top w:val="nil"/>
              <w:left w:val="nil"/>
              <w:bottom w:val="nil"/>
              <w:right w:val="nil"/>
            </w:tcBorders>
            <w:shd w:val="clear" w:color="auto" w:fill="auto"/>
            <w:noWrap/>
            <w:vAlign w:val="bottom"/>
            <w:hideMark/>
          </w:tcPr>
          <w:p w14:paraId="73301FB1" w14:textId="77777777" w:rsidR="0089304C" w:rsidRPr="00CB37D3" w:rsidRDefault="0089304C" w:rsidP="0089304C">
            <w:pPr>
              <w:pStyle w:val="NoSpacing"/>
              <w:jc w:val="center"/>
              <w:rPr>
                <w:sz w:val="16"/>
                <w:szCs w:val="16"/>
              </w:rPr>
            </w:pPr>
            <w:r w:rsidRPr="00CB37D3">
              <w:rPr>
                <w:sz w:val="16"/>
                <w:szCs w:val="16"/>
              </w:rPr>
              <w:t>0.53</w:t>
            </w:r>
          </w:p>
        </w:tc>
        <w:tc>
          <w:tcPr>
            <w:tcW w:w="851" w:type="dxa"/>
            <w:tcBorders>
              <w:top w:val="nil"/>
              <w:left w:val="nil"/>
              <w:bottom w:val="nil"/>
              <w:right w:val="nil"/>
            </w:tcBorders>
            <w:shd w:val="clear" w:color="auto" w:fill="auto"/>
            <w:noWrap/>
            <w:vAlign w:val="bottom"/>
            <w:hideMark/>
          </w:tcPr>
          <w:p w14:paraId="183CC336" w14:textId="77777777" w:rsidR="0089304C" w:rsidRPr="00CB37D3" w:rsidRDefault="0089304C" w:rsidP="0089304C">
            <w:pPr>
              <w:pStyle w:val="NoSpacing"/>
              <w:jc w:val="center"/>
              <w:rPr>
                <w:sz w:val="16"/>
                <w:szCs w:val="16"/>
              </w:rPr>
            </w:pPr>
            <w:r w:rsidRPr="00CB37D3">
              <w:rPr>
                <w:sz w:val="16"/>
                <w:szCs w:val="16"/>
              </w:rPr>
              <w:t>465.7</w:t>
            </w:r>
          </w:p>
        </w:tc>
        <w:tc>
          <w:tcPr>
            <w:tcW w:w="634" w:type="dxa"/>
            <w:tcBorders>
              <w:top w:val="nil"/>
              <w:left w:val="nil"/>
              <w:bottom w:val="nil"/>
              <w:right w:val="nil"/>
            </w:tcBorders>
            <w:shd w:val="clear" w:color="auto" w:fill="auto"/>
            <w:noWrap/>
            <w:vAlign w:val="bottom"/>
            <w:hideMark/>
          </w:tcPr>
          <w:p w14:paraId="6E19B679" w14:textId="77777777" w:rsidR="0089304C" w:rsidRPr="00CB37D3" w:rsidRDefault="0089304C" w:rsidP="0089304C">
            <w:pPr>
              <w:pStyle w:val="NoSpacing"/>
              <w:jc w:val="center"/>
              <w:rPr>
                <w:sz w:val="16"/>
                <w:szCs w:val="16"/>
              </w:rPr>
            </w:pPr>
            <w:r w:rsidRPr="00CB37D3">
              <w:rPr>
                <w:sz w:val="16"/>
                <w:szCs w:val="16"/>
              </w:rPr>
              <w:t>35.3</w:t>
            </w:r>
          </w:p>
        </w:tc>
        <w:tc>
          <w:tcPr>
            <w:tcW w:w="851" w:type="dxa"/>
            <w:tcBorders>
              <w:top w:val="nil"/>
              <w:left w:val="nil"/>
              <w:bottom w:val="nil"/>
              <w:right w:val="nil"/>
            </w:tcBorders>
            <w:shd w:val="clear" w:color="auto" w:fill="auto"/>
            <w:noWrap/>
            <w:vAlign w:val="bottom"/>
            <w:hideMark/>
          </w:tcPr>
          <w:p w14:paraId="6B7A2136" w14:textId="77777777" w:rsidR="0089304C" w:rsidRPr="00CB37D3" w:rsidRDefault="0089304C" w:rsidP="0089304C">
            <w:pPr>
              <w:pStyle w:val="NoSpacing"/>
              <w:jc w:val="center"/>
              <w:rPr>
                <w:sz w:val="16"/>
                <w:szCs w:val="16"/>
              </w:rPr>
            </w:pPr>
            <w:r w:rsidRPr="00CB37D3">
              <w:rPr>
                <w:sz w:val="16"/>
                <w:szCs w:val="16"/>
              </w:rPr>
              <w:t>320,878</w:t>
            </w:r>
          </w:p>
        </w:tc>
        <w:tc>
          <w:tcPr>
            <w:tcW w:w="743" w:type="dxa"/>
            <w:tcBorders>
              <w:top w:val="nil"/>
              <w:left w:val="nil"/>
              <w:bottom w:val="nil"/>
              <w:right w:val="nil"/>
            </w:tcBorders>
            <w:shd w:val="clear" w:color="auto" w:fill="auto"/>
            <w:noWrap/>
            <w:vAlign w:val="bottom"/>
            <w:hideMark/>
          </w:tcPr>
          <w:p w14:paraId="47590C21" w14:textId="77777777" w:rsidR="0089304C" w:rsidRPr="00CB37D3" w:rsidRDefault="0089304C" w:rsidP="0089304C">
            <w:pPr>
              <w:pStyle w:val="NoSpacing"/>
              <w:jc w:val="center"/>
              <w:rPr>
                <w:sz w:val="16"/>
                <w:szCs w:val="16"/>
              </w:rPr>
            </w:pPr>
            <w:r w:rsidRPr="00CB37D3">
              <w:rPr>
                <w:sz w:val="16"/>
                <w:szCs w:val="16"/>
              </w:rPr>
              <w:t>182,937</w:t>
            </w:r>
          </w:p>
        </w:tc>
        <w:tc>
          <w:tcPr>
            <w:tcW w:w="851" w:type="dxa"/>
            <w:tcBorders>
              <w:top w:val="nil"/>
              <w:left w:val="nil"/>
              <w:bottom w:val="nil"/>
              <w:right w:val="nil"/>
            </w:tcBorders>
            <w:shd w:val="clear" w:color="auto" w:fill="auto"/>
            <w:noWrap/>
            <w:vAlign w:val="bottom"/>
            <w:hideMark/>
          </w:tcPr>
          <w:p w14:paraId="3E331D0A" w14:textId="77777777" w:rsidR="0089304C" w:rsidRPr="00CB37D3" w:rsidRDefault="0089304C" w:rsidP="0089304C">
            <w:pPr>
              <w:pStyle w:val="NoSpacing"/>
              <w:jc w:val="center"/>
              <w:rPr>
                <w:sz w:val="16"/>
                <w:szCs w:val="16"/>
              </w:rPr>
            </w:pPr>
            <w:r w:rsidRPr="00CB37D3">
              <w:rPr>
                <w:sz w:val="16"/>
                <w:szCs w:val="16"/>
              </w:rPr>
              <w:t>20.59</w:t>
            </w:r>
          </w:p>
        </w:tc>
        <w:tc>
          <w:tcPr>
            <w:tcW w:w="634" w:type="dxa"/>
            <w:tcBorders>
              <w:top w:val="nil"/>
              <w:left w:val="nil"/>
              <w:bottom w:val="nil"/>
              <w:right w:val="nil"/>
            </w:tcBorders>
            <w:shd w:val="clear" w:color="auto" w:fill="auto"/>
            <w:noWrap/>
            <w:vAlign w:val="bottom"/>
            <w:hideMark/>
          </w:tcPr>
          <w:p w14:paraId="49EDD44F" w14:textId="77777777" w:rsidR="0089304C" w:rsidRPr="00CB37D3" w:rsidRDefault="0089304C" w:rsidP="0089304C">
            <w:pPr>
              <w:pStyle w:val="NoSpacing"/>
              <w:jc w:val="center"/>
              <w:rPr>
                <w:sz w:val="16"/>
                <w:szCs w:val="16"/>
              </w:rPr>
            </w:pPr>
            <w:r w:rsidRPr="00CB37D3">
              <w:rPr>
                <w:sz w:val="16"/>
                <w:szCs w:val="16"/>
              </w:rPr>
              <w:t>10.25</w:t>
            </w:r>
          </w:p>
        </w:tc>
      </w:tr>
      <w:tr w:rsidR="0089304C" w:rsidRPr="00CB37D3" w14:paraId="7EDC071D" w14:textId="77777777" w:rsidTr="0089304C">
        <w:trPr>
          <w:trHeight w:val="300"/>
        </w:trPr>
        <w:tc>
          <w:tcPr>
            <w:tcW w:w="1376" w:type="dxa"/>
            <w:tcBorders>
              <w:top w:val="nil"/>
              <w:left w:val="nil"/>
              <w:bottom w:val="nil"/>
              <w:right w:val="nil"/>
            </w:tcBorders>
            <w:shd w:val="clear" w:color="auto" w:fill="auto"/>
            <w:noWrap/>
            <w:vAlign w:val="center"/>
            <w:hideMark/>
          </w:tcPr>
          <w:p w14:paraId="6D19858A" w14:textId="77777777" w:rsidR="0089304C" w:rsidRPr="00C33576" w:rsidRDefault="0089304C" w:rsidP="0089304C">
            <w:pPr>
              <w:spacing w:after="0" w:line="240" w:lineRule="auto"/>
              <w:jc w:val="center"/>
              <w:rPr>
                <w:rFonts w:ascii="Calibri" w:hAnsi="Calibri"/>
                <w:sz w:val="16"/>
              </w:rPr>
            </w:pPr>
            <w:r w:rsidRPr="00C33576">
              <w:rPr>
                <w:rFonts w:ascii="Calibri" w:hAnsi="Calibri"/>
                <w:sz w:val="16"/>
              </w:rPr>
              <w:t>Non metro</w:t>
            </w:r>
          </w:p>
        </w:tc>
        <w:tc>
          <w:tcPr>
            <w:tcW w:w="852" w:type="dxa"/>
            <w:tcBorders>
              <w:top w:val="nil"/>
              <w:left w:val="nil"/>
              <w:bottom w:val="nil"/>
              <w:right w:val="nil"/>
            </w:tcBorders>
            <w:shd w:val="clear" w:color="auto" w:fill="auto"/>
            <w:noWrap/>
            <w:vAlign w:val="bottom"/>
            <w:hideMark/>
          </w:tcPr>
          <w:p w14:paraId="0724F9A5" w14:textId="77777777" w:rsidR="0089304C" w:rsidRPr="00CB37D3" w:rsidRDefault="0089304C" w:rsidP="0089304C">
            <w:pPr>
              <w:pStyle w:val="NoSpacing"/>
              <w:jc w:val="center"/>
              <w:rPr>
                <w:sz w:val="16"/>
                <w:szCs w:val="16"/>
              </w:rPr>
            </w:pPr>
            <w:r w:rsidRPr="00CB37D3">
              <w:rPr>
                <w:sz w:val="16"/>
                <w:szCs w:val="16"/>
              </w:rPr>
              <w:t>190,390</w:t>
            </w:r>
          </w:p>
        </w:tc>
        <w:tc>
          <w:tcPr>
            <w:tcW w:w="743" w:type="dxa"/>
            <w:tcBorders>
              <w:top w:val="nil"/>
              <w:left w:val="nil"/>
              <w:bottom w:val="nil"/>
              <w:right w:val="nil"/>
            </w:tcBorders>
            <w:shd w:val="clear" w:color="auto" w:fill="auto"/>
            <w:noWrap/>
            <w:vAlign w:val="bottom"/>
            <w:hideMark/>
          </w:tcPr>
          <w:p w14:paraId="3089E1D2" w14:textId="77777777" w:rsidR="0089304C" w:rsidRPr="00CB37D3" w:rsidRDefault="0089304C" w:rsidP="0089304C">
            <w:pPr>
              <w:pStyle w:val="NoSpacing"/>
              <w:jc w:val="center"/>
              <w:rPr>
                <w:sz w:val="16"/>
                <w:szCs w:val="16"/>
              </w:rPr>
            </w:pPr>
            <w:r w:rsidRPr="00CB37D3">
              <w:rPr>
                <w:sz w:val="16"/>
                <w:szCs w:val="16"/>
              </w:rPr>
              <w:t>58,938</w:t>
            </w:r>
          </w:p>
        </w:tc>
        <w:tc>
          <w:tcPr>
            <w:tcW w:w="851" w:type="dxa"/>
            <w:tcBorders>
              <w:top w:val="nil"/>
              <w:left w:val="nil"/>
              <w:bottom w:val="nil"/>
              <w:right w:val="nil"/>
            </w:tcBorders>
            <w:shd w:val="clear" w:color="auto" w:fill="auto"/>
            <w:noWrap/>
            <w:vAlign w:val="bottom"/>
            <w:hideMark/>
          </w:tcPr>
          <w:p w14:paraId="34A8F594" w14:textId="77777777" w:rsidR="0089304C" w:rsidRPr="00CB37D3" w:rsidRDefault="0089304C" w:rsidP="0089304C">
            <w:pPr>
              <w:pStyle w:val="NoSpacing"/>
              <w:jc w:val="center"/>
              <w:rPr>
                <w:sz w:val="16"/>
                <w:szCs w:val="16"/>
              </w:rPr>
            </w:pPr>
            <w:r w:rsidRPr="00CB37D3">
              <w:rPr>
                <w:sz w:val="16"/>
                <w:szCs w:val="16"/>
              </w:rPr>
              <w:t>6.77</w:t>
            </w:r>
          </w:p>
        </w:tc>
        <w:tc>
          <w:tcPr>
            <w:tcW w:w="634" w:type="dxa"/>
            <w:tcBorders>
              <w:top w:val="nil"/>
              <w:left w:val="nil"/>
              <w:bottom w:val="nil"/>
              <w:right w:val="nil"/>
            </w:tcBorders>
            <w:shd w:val="clear" w:color="auto" w:fill="auto"/>
            <w:noWrap/>
            <w:vAlign w:val="bottom"/>
            <w:hideMark/>
          </w:tcPr>
          <w:p w14:paraId="50E202C2" w14:textId="77777777" w:rsidR="0089304C" w:rsidRPr="00CB37D3" w:rsidRDefault="0089304C" w:rsidP="0089304C">
            <w:pPr>
              <w:pStyle w:val="NoSpacing"/>
              <w:jc w:val="center"/>
              <w:rPr>
                <w:sz w:val="16"/>
                <w:szCs w:val="16"/>
              </w:rPr>
            </w:pPr>
            <w:r w:rsidRPr="00CB37D3">
              <w:rPr>
                <w:sz w:val="16"/>
                <w:szCs w:val="16"/>
              </w:rPr>
              <w:t>1.50</w:t>
            </w:r>
          </w:p>
        </w:tc>
        <w:tc>
          <w:tcPr>
            <w:tcW w:w="851" w:type="dxa"/>
            <w:tcBorders>
              <w:top w:val="nil"/>
              <w:left w:val="nil"/>
              <w:bottom w:val="nil"/>
              <w:right w:val="nil"/>
            </w:tcBorders>
            <w:shd w:val="clear" w:color="auto" w:fill="auto"/>
            <w:noWrap/>
            <w:vAlign w:val="bottom"/>
            <w:hideMark/>
          </w:tcPr>
          <w:p w14:paraId="0990BE12" w14:textId="77777777" w:rsidR="0089304C" w:rsidRPr="00CB37D3" w:rsidRDefault="0089304C" w:rsidP="0089304C">
            <w:pPr>
              <w:pStyle w:val="NoSpacing"/>
              <w:jc w:val="center"/>
              <w:rPr>
                <w:sz w:val="16"/>
                <w:szCs w:val="16"/>
              </w:rPr>
            </w:pPr>
            <w:r w:rsidRPr="00CB37D3">
              <w:rPr>
                <w:sz w:val="16"/>
                <w:szCs w:val="16"/>
              </w:rPr>
              <w:t>514.8</w:t>
            </w:r>
          </w:p>
        </w:tc>
        <w:tc>
          <w:tcPr>
            <w:tcW w:w="634" w:type="dxa"/>
            <w:tcBorders>
              <w:top w:val="nil"/>
              <w:left w:val="nil"/>
              <w:bottom w:val="nil"/>
              <w:right w:val="nil"/>
            </w:tcBorders>
            <w:shd w:val="clear" w:color="auto" w:fill="auto"/>
            <w:noWrap/>
            <w:vAlign w:val="bottom"/>
            <w:hideMark/>
          </w:tcPr>
          <w:p w14:paraId="10D87A1B" w14:textId="77777777" w:rsidR="0089304C" w:rsidRPr="00CB37D3" w:rsidRDefault="0089304C" w:rsidP="0089304C">
            <w:pPr>
              <w:pStyle w:val="NoSpacing"/>
              <w:jc w:val="center"/>
              <w:rPr>
                <w:sz w:val="16"/>
                <w:szCs w:val="16"/>
              </w:rPr>
            </w:pPr>
            <w:r w:rsidRPr="00CB37D3">
              <w:rPr>
                <w:sz w:val="16"/>
                <w:szCs w:val="16"/>
              </w:rPr>
              <w:t>71.1</w:t>
            </w:r>
          </w:p>
        </w:tc>
        <w:tc>
          <w:tcPr>
            <w:tcW w:w="851" w:type="dxa"/>
            <w:tcBorders>
              <w:top w:val="nil"/>
              <w:left w:val="nil"/>
              <w:bottom w:val="nil"/>
              <w:right w:val="nil"/>
            </w:tcBorders>
            <w:shd w:val="clear" w:color="auto" w:fill="auto"/>
            <w:noWrap/>
            <w:vAlign w:val="bottom"/>
            <w:hideMark/>
          </w:tcPr>
          <w:p w14:paraId="5BD10ECF" w14:textId="77777777" w:rsidR="0089304C" w:rsidRPr="00CB37D3" w:rsidRDefault="0089304C" w:rsidP="0089304C">
            <w:pPr>
              <w:pStyle w:val="NoSpacing"/>
              <w:jc w:val="center"/>
              <w:rPr>
                <w:sz w:val="16"/>
                <w:szCs w:val="16"/>
              </w:rPr>
            </w:pPr>
            <w:r w:rsidRPr="00CB37D3">
              <w:rPr>
                <w:sz w:val="16"/>
                <w:szCs w:val="16"/>
              </w:rPr>
              <w:t>106,957</w:t>
            </w:r>
          </w:p>
        </w:tc>
        <w:tc>
          <w:tcPr>
            <w:tcW w:w="743" w:type="dxa"/>
            <w:tcBorders>
              <w:top w:val="nil"/>
              <w:left w:val="nil"/>
              <w:bottom w:val="nil"/>
              <w:right w:val="nil"/>
            </w:tcBorders>
            <w:shd w:val="clear" w:color="auto" w:fill="auto"/>
            <w:noWrap/>
            <w:vAlign w:val="bottom"/>
            <w:hideMark/>
          </w:tcPr>
          <w:p w14:paraId="7E321375" w14:textId="77777777" w:rsidR="0089304C" w:rsidRPr="00CB37D3" w:rsidRDefault="0089304C" w:rsidP="0089304C">
            <w:pPr>
              <w:pStyle w:val="NoSpacing"/>
              <w:jc w:val="center"/>
              <w:rPr>
                <w:sz w:val="16"/>
                <w:szCs w:val="16"/>
              </w:rPr>
            </w:pPr>
            <w:r w:rsidRPr="00CB37D3">
              <w:rPr>
                <w:sz w:val="16"/>
                <w:szCs w:val="16"/>
              </w:rPr>
              <w:t>30,230</w:t>
            </w:r>
          </w:p>
        </w:tc>
        <w:tc>
          <w:tcPr>
            <w:tcW w:w="851" w:type="dxa"/>
            <w:tcBorders>
              <w:top w:val="nil"/>
              <w:left w:val="nil"/>
              <w:bottom w:val="nil"/>
              <w:right w:val="nil"/>
            </w:tcBorders>
            <w:shd w:val="clear" w:color="auto" w:fill="auto"/>
            <w:noWrap/>
            <w:vAlign w:val="bottom"/>
            <w:hideMark/>
          </w:tcPr>
          <w:p w14:paraId="62215DCC" w14:textId="77777777" w:rsidR="0089304C" w:rsidRPr="00CB37D3" w:rsidRDefault="0089304C" w:rsidP="0089304C">
            <w:pPr>
              <w:pStyle w:val="NoSpacing"/>
              <w:jc w:val="center"/>
              <w:rPr>
                <w:sz w:val="16"/>
                <w:szCs w:val="16"/>
              </w:rPr>
            </w:pPr>
            <w:r w:rsidRPr="00CB37D3">
              <w:rPr>
                <w:sz w:val="16"/>
                <w:szCs w:val="16"/>
              </w:rPr>
              <w:t>7.38</w:t>
            </w:r>
          </w:p>
        </w:tc>
        <w:tc>
          <w:tcPr>
            <w:tcW w:w="634" w:type="dxa"/>
            <w:tcBorders>
              <w:top w:val="nil"/>
              <w:left w:val="nil"/>
              <w:bottom w:val="nil"/>
              <w:right w:val="nil"/>
            </w:tcBorders>
            <w:shd w:val="clear" w:color="auto" w:fill="auto"/>
            <w:noWrap/>
            <w:vAlign w:val="bottom"/>
            <w:hideMark/>
          </w:tcPr>
          <w:p w14:paraId="35184356" w14:textId="77777777" w:rsidR="0089304C" w:rsidRPr="00CB37D3" w:rsidRDefault="0089304C" w:rsidP="0089304C">
            <w:pPr>
              <w:pStyle w:val="NoSpacing"/>
              <w:jc w:val="center"/>
              <w:rPr>
                <w:sz w:val="16"/>
                <w:szCs w:val="16"/>
              </w:rPr>
            </w:pPr>
            <w:r w:rsidRPr="00CB37D3">
              <w:rPr>
                <w:sz w:val="16"/>
                <w:szCs w:val="16"/>
              </w:rPr>
              <w:t>8.97</w:t>
            </w:r>
          </w:p>
        </w:tc>
      </w:tr>
      <w:tr w:rsidR="0089304C" w:rsidRPr="00CB37D3" w14:paraId="1ED98F7C" w14:textId="77777777" w:rsidTr="0089304C">
        <w:trPr>
          <w:trHeight w:val="300"/>
        </w:trPr>
        <w:tc>
          <w:tcPr>
            <w:tcW w:w="1376" w:type="dxa"/>
            <w:tcBorders>
              <w:top w:val="nil"/>
              <w:left w:val="nil"/>
              <w:bottom w:val="nil"/>
              <w:right w:val="nil"/>
            </w:tcBorders>
            <w:shd w:val="clear" w:color="auto" w:fill="auto"/>
            <w:noWrap/>
            <w:vAlign w:val="center"/>
            <w:hideMark/>
          </w:tcPr>
          <w:p w14:paraId="5A09F1AC" w14:textId="77777777" w:rsidR="0089304C" w:rsidRPr="00C33576" w:rsidRDefault="0089304C" w:rsidP="0089304C">
            <w:pPr>
              <w:spacing w:after="0" w:line="240" w:lineRule="auto"/>
              <w:jc w:val="center"/>
              <w:rPr>
                <w:rFonts w:ascii="Calibri" w:hAnsi="Calibri"/>
                <w:sz w:val="16"/>
              </w:rPr>
            </w:pPr>
            <w:r w:rsidRPr="00C33576">
              <w:rPr>
                <w:rFonts w:ascii="Calibri" w:hAnsi="Calibri"/>
                <w:sz w:val="16"/>
              </w:rPr>
              <w:t>Unitary Authority</w:t>
            </w:r>
          </w:p>
        </w:tc>
        <w:tc>
          <w:tcPr>
            <w:tcW w:w="852" w:type="dxa"/>
            <w:tcBorders>
              <w:top w:val="nil"/>
              <w:left w:val="nil"/>
              <w:bottom w:val="nil"/>
              <w:right w:val="nil"/>
            </w:tcBorders>
            <w:shd w:val="clear" w:color="auto" w:fill="auto"/>
            <w:noWrap/>
            <w:vAlign w:val="bottom"/>
            <w:hideMark/>
          </w:tcPr>
          <w:p w14:paraId="4A89435A" w14:textId="77777777" w:rsidR="0089304C" w:rsidRPr="00CB37D3" w:rsidRDefault="0089304C" w:rsidP="0089304C">
            <w:pPr>
              <w:pStyle w:val="NoSpacing"/>
              <w:jc w:val="center"/>
              <w:rPr>
                <w:sz w:val="16"/>
                <w:szCs w:val="16"/>
              </w:rPr>
            </w:pPr>
            <w:r w:rsidRPr="00CB37D3">
              <w:rPr>
                <w:sz w:val="16"/>
                <w:szCs w:val="16"/>
              </w:rPr>
              <w:t>160,985</w:t>
            </w:r>
          </w:p>
        </w:tc>
        <w:tc>
          <w:tcPr>
            <w:tcW w:w="743" w:type="dxa"/>
            <w:tcBorders>
              <w:top w:val="nil"/>
              <w:left w:val="nil"/>
              <w:bottom w:val="nil"/>
              <w:right w:val="nil"/>
            </w:tcBorders>
            <w:shd w:val="clear" w:color="auto" w:fill="auto"/>
            <w:noWrap/>
            <w:vAlign w:val="bottom"/>
            <w:hideMark/>
          </w:tcPr>
          <w:p w14:paraId="0EE9B4CE" w14:textId="77777777" w:rsidR="0089304C" w:rsidRPr="00CB37D3" w:rsidRDefault="0089304C" w:rsidP="0089304C">
            <w:pPr>
              <w:pStyle w:val="NoSpacing"/>
              <w:jc w:val="center"/>
              <w:rPr>
                <w:sz w:val="16"/>
                <w:szCs w:val="16"/>
              </w:rPr>
            </w:pPr>
            <w:r w:rsidRPr="00CB37D3">
              <w:rPr>
                <w:sz w:val="16"/>
                <w:szCs w:val="16"/>
              </w:rPr>
              <w:t>51,646</w:t>
            </w:r>
          </w:p>
        </w:tc>
        <w:tc>
          <w:tcPr>
            <w:tcW w:w="851" w:type="dxa"/>
            <w:tcBorders>
              <w:top w:val="nil"/>
              <w:left w:val="nil"/>
              <w:bottom w:val="nil"/>
              <w:right w:val="nil"/>
            </w:tcBorders>
            <w:shd w:val="clear" w:color="auto" w:fill="auto"/>
            <w:noWrap/>
            <w:vAlign w:val="bottom"/>
            <w:hideMark/>
          </w:tcPr>
          <w:p w14:paraId="36CA05E6" w14:textId="77777777" w:rsidR="0089304C" w:rsidRPr="00CB37D3" w:rsidRDefault="0089304C" w:rsidP="0089304C">
            <w:pPr>
              <w:pStyle w:val="NoSpacing"/>
              <w:jc w:val="center"/>
              <w:rPr>
                <w:sz w:val="16"/>
                <w:szCs w:val="16"/>
              </w:rPr>
            </w:pPr>
            <w:r w:rsidRPr="00CB37D3">
              <w:rPr>
                <w:sz w:val="16"/>
                <w:szCs w:val="16"/>
              </w:rPr>
              <w:t>5.99</w:t>
            </w:r>
          </w:p>
        </w:tc>
        <w:tc>
          <w:tcPr>
            <w:tcW w:w="634" w:type="dxa"/>
            <w:tcBorders>
              <w:top w:val="nil"/>
              <w:left w:val="nil"/>
              <w:bottom w:val="nil"/>
              <w:right w:val="nil"/>
            </w:tcBorders>
            <w:shd w:val="clear" w:color="auto" w:fill="auto"/>
            <w:noWrap/>
            <w:vAlign w:val="bottom"/>
            <w:hideMark/>
          </w:tcPr>
          <w:p w14:paraId="7F5111D5" w14:textId="77777777" w:rsidR="0089304C" w:rsidRPr="00CB37D3" w:rsidRDefault="0089304C" w:rsidP="0089304C">
            <w:pPr>
              <w:pStyle w:val="NoSpacing"/>
              <w:jc w:val="center"/>
              <w:rPr>
                <w:sz w:val="16"/>
                <w:szCs w:val="16"/>
              </w:rPr>
            </w:pPr>
            <w:r w:rsidRPr="00CB37D3">
              <w:rPr>
                <w:sz w:val="16"/>
                <w:szCs w:val="16"/>
              </w:rPr>
              <w:t>1.35</w:t>
            </w:r>
          </w:p>
        </w:tc>
        <w:tc>
          <w:tcPr>
            <w:tcW w:w="851" w:type="dxa"/>
            <w:tcBorders>
              <w:top w:val="nil"/>
              <w:left w:val="nil"/>
              <w:bottom w:val="nil"/>
              <w:right w:val="nil"/>
            </w:tcBorders>
            <w:shd w:val="clear" w:color="auto" w:fill="auto"/>
            <w:noWrap/>
            <w:vAlign w:val="bottom"/>
            <w:hideMark/>
          </w:tcPr>
          <w:p w14:paraId="64260AF1" w14:textId="77777777" w:rsidR="0089304C" w:rsidRPr="00CB37D3" w:rsidRDefault="0089304C" w:rsidP="0089304C">
            <w:pPr>
              <w:pStyle w:val="NoSpacing"/>
              <w:jc w:val="center"/>
              <w:rPr>
                <w:sz w:val="16"/>
                <w:szCs w:val="16"/>
              </w:rPr>
            </w:pPr>
            <w:r w:rsidRPr="00CB37D3">
              <w:rPr>
                <w:sz w:val="16"/>
                <w:szCs w:val="16"/>
              </w:rPr>
              <w:t>491.1</w:t>
            </w:r>
          </w:p>
        </w:tc>
        <w:tc>
          <w:tcPr>
            <w:tcW w:w="634" w:type="dxa"/>
            <w:tcBorders>
              <w:top w:val="nil"/>
              <w:left w:val="nil"/>
              <w:bottom w:val="nil"/>
              <w:right w:val="nil"/>
            </w:tcBorders>
            <w:shd w:val="clear" w:color="auto" w:fill="auto"/>
            <w:noWrap/>
            <w:vAlign w:val="bottom"/>
            <w:hideMark/>
          </w:tcPr>
          <w:p w14:paraId="227EB56A" w14:textId="77777777" w:rsidR="0089304C" w:rsidRPr="00CB37D3" w:rsidRDefault="0089304C" w:rsidP="0089304C">
            <w:pPr>
              <w:pStyle w:val="NoSpacing"/>
              <w:jc w:val="center"/>
              <w:rPr>
                <w:sz w:val="16"/>
                <w:szCs w:val="16"/>
              </w:rPr>
            </w:pPr>
            <w:r w:rsidRPr="00CB37D3">
              <w:rPr>
                <w:sz w:val="16"/>
                <w:szCs w:val="16"/>
              </w:rPr>
              <w:t>66.8</w:t>
            </w:r>
          </w:p>
        </w:tc>
        <w:tc>
          <w:tcPr>
            <w:tcW w:w="851" w:type="dxa"/>
            <w:tcBorders>
              <w:top w:val="nil"/>
              <w:left w:val="nil"/>
              <w:bottom w:val="nil"/>
              <w:right w:val="nil"/>
            </w:tcBorders>
            <w:shd w:val="clear" w:color="auto" w:fill="auto"/>
            <w:noWrap/>
            <w:vAlign w:val="bottom"/>
            <w:hideMark/>
          </w:tcPr>
          <w:p w14:paraId="720272A1" w14:textId="77777777" w:rsidR="0089304C" w:rsidRPr="00CB37D3" w:rsidRDefault="0089304C" w:rsidP="0089304C">
            <w:pPr>
              <w:pStyle w:val="NoSpacing"/>
              <w:jc w:val="center"/>
              <w:rPr>
                <w:sz w:val="16"/>
                <w:szCs w:val="16"/>
              </w:rPr>
            </w:pPr>
            <w:r w:rsidRPr="00CB37D3">
              <w:rPr>
                <w:sz w:val="16"/>
                <w:szCs w:val="16"/>
              </w:rPr>
              <w:t>193,394</w:t>
            </w:r>
          </w:p>
        </w:tc>
        <w:tc>
          <w:tcPr>
            <w:tcW w:w="743" w:type="dxa"/>
            <w:tcBorders>
              <w:top w:val="nil"/>
              <w:left w:val="nil"/>
              <w:bottom w:val="nil"/>
              <w:right w:val="nil"/>
            </w:tcBorders>
            <w:shd w:val="clear" w:color="auto" w:fill="auto"/>
            <w:noWrap/>
            <w:vAlign w:val="bottom"/>
            <w:hideMark/>
          </w:tcPr>
          <w:p w14:paraId="62F4837F" w14:textId="77777777" w:rsidR="0089304C" w:rsidRPr="00CB37D3" w:rsidRDefault="0089304C" w:rsidP="0089304C">
            <w:pPr>
              <w:pStyle w:val="NoSpacing"/>
              <w:jc w:val="center"/>
              <w:rPr>
                <w:sz w:val="16"/>
                <w:szCs w:val="16"/>
              </w:rPr>
            </w:pPr>
            <w:r w:rsidRPr="00CB37D3">
              <w:rPr>
                <w:sz w:val="16"/>
                <w:szCs w:val="16"/>
              </w:rPr>
              <w:t>71,712</w:t>
            </w:r>
          </w:p>
        </w:tc>
        <w:tc>
          <w:tcPr>
            <w:tcW w:w="851" w:type="dxa"/>
            <w:tcBorders>
              <w:top w:val="nil"/>
              <w:left w:val="nil"/>
              <w:bottom w:val="nil"/>
              <w:right w:val="nil"/>
            </w:tcBorders>
            <w:shd w:val="clear" w:color="auto" w:fill="auto"/>
            <w:noWrap/>
            <w:vAlign w:val="bottom"/>
            <w:hideMark/>
          </w:tcPr>
          <w:p w14:paraId="59658676" w14:textId="77777777" w:rsidR="0089304C" w:rsidRPr="00CB37D3" w:rsidRDefault="0089304C" w:rsidP="0089304C">
            <w:pPr>
              <w:pStyle w:val="NoSpacing"/>
              <w:jc w:val="center"/>
              <w:rPr>
                <w:sz w:val="16"/>
                <w:szCs w:val="16"/>
              </w:rPr>
            </w:pPr>
            <w:r w:rsidRPr="00CB37D3">
              <w:rPr>
                <w:sz w:val="16"/>
                <w:szCs w:val="16"/>
              </w:rPr>
              <w:t>19.18</w:t>
            </w:r>
          </w:p>
        </w:tc>
        <w:tc>
          <w:tcPr>
            <w:tcW w:w="634" w:type="dxa"/>
            <w:tcBorders>
              <w:top w:val="nil"/>
              <w:left w:val="nil"/>
              <w:bottom w:val="nil"/>
              <w:right w:val="nil"/>
            </w:tcBorders>
            <w:shd w:val="clear" w:color="auto" w:fill="auto"/>
            <w:noWrap/>
            <w:vAlign w:val="bottom"/>
            <w:hideMark/>
          </w:tcPr>
          <w:p w14:paraId="26E44937" w14:textId="77777777" w:rsidR="0089304C" w:rsidRPr="00CB37D3" w:rsidRDefault="0089304C" w:rsidP="0089304C">
            <w:pPr>
              <w:pStyle w:val="NoSpacing"/>
              <w:jc w:val="center"/>
              <w:rPr>
                <w:sz w:val="16"/>
                <w:szCs w:val="16"/>
              </w:rPr>
            </w:pPr>
            <w:r w:rsidRPr="00CB37D3">
              <w:rPr>
                <w:sz w:val="16"/>
                <w:szCs w:val="16"/>
              </w:rPr>
              <w:t>16.30</w:t>
            </w:r>
          </w:p>
        </w:tc>
      </w:tr>
    </w:tbl>
    <w:p w14:paraId="1B624CFC" w14:textId="77777777" w:rsidR="00CB37D3" w:rsidRPr="00CB37D3" w:rsidRDefault="00CB37D3" w:rsidP="001F4068">
      <w:pPr>
        <w:jc w:val="both"/>
      </w:pPr>
    </w:p>
    <w:p w14:paraId="25301738" w14:textId="77777777" w:rsidR="001F4068" w:rsidRDefault="001F4068" w:rsidP="00080C04">
      <w:pPr>
        <w:spacing w:line="480" w:lineRule="auto"/>
        <w:jc w:val="both"/>
      </w:pPr>
      <w:r w:rsidRPr="00CB37D3">
        <w:t>From Figure 1, we see that the price to wage ratio had increased quite dramatically over the period, indicating falling affordability</w:t>
      </w:r>
      <w:r w:rsidRPr="00CB37D3">
        <w:rPr>
          <w:rStyle w:val="FootnoteReference"/>
        </w:rPr>
        <w:footnoteReference w:id="8"/>
      </w:r>
      <w:r w:rsidRPr="00CB37D3">
        <w:t xml:space="preserve">. </w:t>
      </w:r>
    </w:p>
    <w:p w14:paraId="40F7979C" w14:textId="77777777" w:rsidR="001F4068" w:rsidRPr="00CB37D3" w:rsidRDefault="001F4068" w:rsidP="001F4068">
      <w:pPr>
        <w:keepNext/>
        <w:jc w:val="center"/>
        <w:rPr>
          <w:b/>
        </w:rPr>
      </w:pPr>
      <w:r w:rsidRPr="00CB37D3">
        <w:rPr>
          <w:b/>
        </w:rPr>
        <w:lastRenderedPageBreak/>
        <w:t xml:space="preserve">Figure 1: House price to annual wage ratio in 1998 (top) and 2012 (bottom), England </w:t>
      </w:r>
    </w:p>
    <w:p w14:paraId="75801475" w14:textId="77777777" w:rsidR="001F4068" w:rsidRPr="00CB37D3" w:rsidRDefault="001F4068" w:rsidP="001F4068">
      <w:pPr>
        <w:jc w:val="center"/>
      </w:pPr>
      <w:r w:rsidRPr="00CB37D3">
        <w:rPr>
          <w:noProof/>
          <w:lang w:eastAsia="en-GB"/>
        </w:rPr>
        <w:drawing>
          <wp:inline distT="0" distB="0" distL="0" distR="0" wp14:anchorId="50F84FE6" wp14:editId="611E1194">
            <wp:extent cx="2984952" cy="3198788"/>
            <wp:effectExtent l="0" t="0" r="6350" b="190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6140" t="3065" r="3889" b="9420"/>
                    <a:stretch/>
                  </pic:blipFill>
                  <pic:spPr bwMode="auto">
                    <a:xfrm>
                      <a:off x="0" y="0"/>
                      <a:ext cx="2984952" cy="3198788"/>
                    </a:xfrm>
                    <a:prstGeom prst="rect">
                      <a:avLst/>
                    </a:prstGeom>
                    <a:ln>
                      <a:noFill/>
                    </a:ln>
                    <a:extLst>
                      <a:ext uri="{53640926-AAD7-44D8-BBD7-CCE9431645EC}">
                        <a14:shadowObscured xmlns:a14="http://schemas.microsoft.com/office/drawing/2010/main"/>
                      </a:ext>
                    </a:extLst>
                  </pic:spPr>
                </pic:pic>
              </a:graphicData>
            </a:graphic>
          </wp:inline>
        </w:drawing>
      </w:r>
      <w:r w:rsidRPr="00CB37D3">
        <w:rPr>
          <w:noProof/>
          <w:lang w:eastAsia="en-GB"/>
        </w:rPr>
        <w:drawing>
          <wp:inline distT="0" distB="0" distL="0" distR="0" wp14:anchorId="5995519A" wp14:editId="50685DEE">
            <wp:extent cx="2571750" cy="2664845"/>
            <wp:effectExtent l="0" t="0" r="0" b="254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2584712" cy="2678276"/>
                    </a:xfrm>
                    <a:prstGeom prst="rect">
                      <a:avLst/>
                    </a:prstGeom>
                  </pic:spPr>
                </pic:pic>
              </a:graphicData>
            </a:graphic>
          </wp:inline>
        </w:drawing>
      </w:r>
    </w:p>
    <w:p w14:paraId="4D9DD612" w14:textId="77777777" w:rsidR="001F4068" w:rsidRPr="00CB37D3" w:rsidRDefault="001F4068" w:rsidP="001F4068">
      <w:pPr>
        <w:jc w:val="center"/>
      </w:pPr>
      <w:r w:rsidRPr="00CB37D3">
        <w:rPr>
          <w:noProof/>
          <w:lang w:eastAsia="en-GB"/>
        </w:rPr>
        <w:drawing>
          <wp:inline distT="0" distB="0" distL="0" distR="0" wp14:anchorId="4EE85D42" wp14:editId="434E9919">
            <wp:extent cx="2979683" cy="3253228"/>
            <wp:effectExtent l="0" t="0" r="0" b="444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3741" t="3165" r="8481" b="8998"/>
                    <a:stretch/>
                  </pic:blipFill>
                  <pic:spPr bwMode="auto">
                    <a:xfrm>
                      <a:off x="0" y="0"/>
                      <a:ext cx="2976906" cy="3250196"/>
                    </a:xfrm>
                    <a:prstGeom prst="rect">
                      <a:avLst/>
                    </a:prstGeom>
                    <a:ln>
                      <a:noFill/>
                    </a:ln>
                    <a:extLst>
                      <a:ext uri="{53640926-AAD7-44D8-BBD7-CCE9431645EC}">
                        <a14:shadowObscured xmlns:a14="http://schemas.microsoft.com/office/drawing/2010/main"/>
                      </a:ext>
                    </a:extLst>
                  </pic:spPr>
                </pic:pic>
              </a:graphicData>
            </a:graphic>
          </wp:inline>
        </w:drawing>
      </w:r>
      <w:r w:rsidRPr="00CB37D3">
        <w:rPr>
          <w:noProof/>
          <w:lang w:eastAsia="en-GB"/>
        </w:rPr>
        <w:drawing>
          <wp:inline distT="0" distB="0" distL="0" distR="0" wp14:anchorId="3954320B" wp14:editId="6E10A14A">
            <wp:extent cx="2615061" cy="2569779"/>
            <wp:effectExtent l="0" t="0" r="0" b="254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2651860" cy="2605941"/>
                    </a:xfrm>
                    <a:prstGeom prst="rect">
                      <a:avLst/>
                    </a:prstGeom>
                  </pic:spPr>
                </pic:pic>
              </a:graphicData>
            </a:graphic>
          </wp:inline>
        </w:drawing>
      </w:r>
    </w:p>
    <w:p w14:paraId="3B2A5D43" w14:textId="77777777" w:rsidR="001F4068" w:rsidRPr="00916CF3" w:rsidRDefault="007A6390" w:rsidP="00916CF3">
      <w:pPr>
        <w:jc w:val="center"/>
        <w:rPr>
          <w:rFonts w:ascii="Calibri" w:hAnsi="Calibri"/>
          <w:sz w:val="18"/>
        </w:rPr>
      </w:pPr>
      <w:r w:rsidRPr="00CB37D3">
        <w:rPr>
          <w:rFonts w:ascii="Calibri" w:eastAsia="Calibri" w:hAnsi="Calibri" w:cs="Times New Roman"/>
          <w:sz w:val="18"/>
          <w:szCs w:val="18"/>
        </w:rPr>
        <w:t xml:space="preserve">Key: Vertical scale: number of Districts; Horizontal scale: price to annual wage ratio. Shades on the map and the histogram correspond to the same price to annual wage ratio. </w:t>
      </w:r>
      <w:r w:rsidR="007D4B6F">
        <w:rPr>
          <w:rFonts w:ascii="Calibri" w:eastAsia="Calibri" w:hAnsi="Calibri" w:cs="Times New Roman"/>
          <w:sz w:val="18"/>
          <w:szCs w:val="18"/>
        </w:rPr>
        <w:t>T</w:t>
      </w:r>
      <w:r w:rsidR="007D4B6F" w:rsidRPr="00C33576">
        <w:rPr>
          <w:rFonts w:ascii="Calibri" w:hAnsi="Calibri"/>
          <w:sz w:val="18"/>
        </w:rPr>
        <w:t xml:space="preserve">he histogram indicates the affordability ratio corresponding to a specific colour and presents the frequency of this ratio while the map shows the spatial distribution.   </w:t>
      </w:r>
    </w:p>
    <w:p w14:paraId="63489C51" w14:textId="77777777" w:rsidR="001F4068" w:rsidRPr="00CB37D3" w:rsidRDefault="00916CF3" w:rsidP="001F4068">
      <w:pPr>
        <w:pStyle w:val="Heading2"/>
      </w:pPr>
      <w:r>
        <w:t>Model specification</w:t>
      </w:r>
    </w:p>
    <w:p w14:paraId="73A1CC7A" w14:textId="77777777" w:rsidR="001F4068" w:rsidRPr="00CB37D3" w:rsidRDefault="001F4068" w:rsidP="00080C04">
      <w:pPr>
        <w:spacing w:line="480" w:lineRule="auto"/>
      </w:pPr>
      <w:r w:rsidRPr="00CB37D3">
        <w:t xml:space="preserve">This section describes the econometric methodologies used to estimate the reduced form equation and simulate its results in respective subsections.  </w:t>
      </w:r>
    </w:p>
    <w:p w14:paraId="212E6A98" w14:textId="77777777" w:rsidR="001F4068" w:rsidRPr="00CB37D3" w:rsidRDefault="001F4068" w:rsidP="00080C04">
      <w:pPr>
        <w:spacing w:line="480" w:lineRule="auto"/>
        <w:jc w:val="both"/>
      </w:pPr>
      <w:r w:rsidRPr="00CB37D3">
        <w:lastRenderedPageBreak/>
        <w:t>It is easy to show that having normali</w:t>
      </w:r>
      <w:r w:rsidR="005E48D3">
        <w:t>s</w:t>
      </w:r>
      <w:r w:rsidRPr="00CB37D3">
        <w:t xml:space="preserve">ed the supply function with respect to </w:t>
      </w:r>
      <w:r w:rsidRPr="00CB37D3">
        <w:rPr>
          <w:position w:val="-12"/>
        </w:rPr>
        <w:object w:dxaOrig="320" w:dyaOrig="360" w14:anchorId="0F089729">
          <v:shape id="_x0000_i1071" type="#_x0000_t75" style="width:21pt;height:21pt" o:ole="">
            <v:imagedata r:id="rId96" o:title=""/>
          </v:shape>
          <o:OLEObject Type="Embed" ProgID="Equation.DSMT4" ShapeID="_x0000_i1071" DrawAspect="Content" ObjectID="_1617779985" r:id="rId97"/>
        </w:object>
      </w:r>
      <w:r w:rsidRPr="00CB37D3">
        <w:t xml:space="preserve">, </w:t>
      </w:r>
      <w:r w:rsidR="00AB542A">
        <w:t xml:space="preserve">i.e. </w:t>
      </w:r>
      <w:r w:rsidR="00AB542A" w:rsidRPr="00AB542A">
        <w:t>rearrang</w:t>
      </w:r>
      <w:r w:rsidR="00ED0343">
        <w:t>ing</w:t>
      </w:r>
      <w:r w:rsidR="00F63E35">
        <w:t xml:space="preserve"> Equation 1</w:t>
      </w:r>
      <w:r w:rsidR="00AB542A" w:rsidRPr="00AB542A">
        <w:t xml:space="preserve"> with price on the left hand side, and then substitut</w:t>
      </w:r>
      <w:r w:rsidR="00ED0343">
        <w:t>ing</w:t>
      </w:r>
      <w:r w:rsidR="00AB542A" w:rsidRPr="00AB542A">
        <w:t xml:space="preserve"> </w:t>
      </w:r>
      <w:r w:rsidRPr="00CB37D3">
        <w:t xml:space="preserve">for </w:t>
      </w:r>
      <w:r w:rsidRPr="00CB37D3">
        <w:rPr>
          <w:position w:val="-12"/>
        </w:rPr>
        <w:object w:dxaOrig="279" w:dyaOrig="360" w14:anchorId="579BBC5C">
          <v:shape id="_x0000_i1072" type="#_x0000_t75" style="width:15pt;height:21pt" o:ole="">
            <v:imagedata r:id="rId98" o:title=""/>
          </v:shape>
          <o:OLEObject Type="Embed" ProgID="Equation.DSMT4" ShapeID="_x0000_i1072" DrawAspect="Content" ObjectID="_1617779986" r:id="rId99"/>
        </w:object>
      </w:r>
      <w:r w:rsidRPr="00CB37D3">
        <w:t>using the demand function</w:t>
      </w:r>
      <w:r w:rsidR="00ED0343">
        <w:t xml:space="preserve"> (equation 2)</w:t>
      </w:r>
      <w:r w:rsidRPr="00CB37D3">
        <w:t xml:space="preserve">, the reduced form is </w:t>
      </w:r>
    </w:p>
    <w:p w14:paraId="0CBC0FE1" w14:textId="77777777" w:rsidR="001F4068" w:rsidRPr="00CB37D3" w:rsidRDefault="008E260F" w:rsidP="00080C04">
      <w:pPr>
        <w:pStyle w:val="MTDisplayEquation"/>
        <w:spacing w:line="480" w:lineRule="auto"/>
        <w:jc w:val="center"/>
      </w:pPr>
      <w:r w:rsidRPr="00CB37D3">
        <w:rPr>
          <w:position w:val="-28"/>
        </w:rPr>
        <w:object w:dxaOrig="9180" w:dyaOrig="680" w14:anchorId="0C9605AB">
          <v:shape id="_x0000_i1073" type="#_x0000_t75" style="width:396pt;height:36pt" o:ole="">
            <v:imagedata r:id="rId100" o:title=""/>
          </v:shape>
          <o:OLEObject Type="Embed" ProgID="Equation.DSMT4" ShapeID="_x0000_i1073" DrawAspect="Content" ObjectID="_1617779987" r:id="rId101"/>
        </w:object>
      </w:r>
      <w:r w:rsidR="001F4068" w:rsidRPr="00CB37D3">
        <w:t xml:space="preserve">   </w:t>
      </w:r>
      <w:r w:rsidR="00336A13" w:rsidRPr="00CB37D3">
        <w:t xml:space="preserve">    (3)</w:t>
      </w:r>
    </w:p>
    <w:p w14:paraId="25B9E93B" w14:textId="77777777" w:rsidR="001F4068" w:rsidRPr="00CB37D3" w:rsidRDefault="001F4068" w:rsidP="00080C04">
      <w:pPr>
        <w:spacing w:line="480" w:lineRule="auto"/>
        <w:jc w:val="both"/>
      </w:pPr>
      <w:r w:rsidRPr="00CB37D3">
        <w:t xml:space="preserve">We also include random effects </w:t>
      </w:r>
      <w:r w:rsidRPr="00CB37D3">
        <w:rPr>
          <w:position w:val="-12"/>
        </w:rPr>
        <w:object w:dxaOrig="260" w:dyaOrig="360" w14:anchorId="72642857">
          <v:shape id="_x0000_i1074" type="#_x0000_t75" style="width:15pt;height:21pt" o:ole="">
            <v:imagedata r:id="rId102" o:title=""/>
          </v:shape>
          <o:OLEObject Type="Embed" ProgID="Equation.DSMT4" ShapeID="_x0000_i1074" DrawAspect="Content" ObjectID="_1617779988" r:id="rId103"/>
        </w:object>
      </w:r>
      <w:r w:rsidR="00ED0343">
        <w:t xml:space="preserve"> </w:t>
      </w:r>
      <w:r w:rsidRPr="00CB37D3">
        <w:t xml:space="preserve">taking account of inter-District heterogeneity, and transient effects </w:t>
      </w:r>
      <w:r w:rsidRPr="00CB37D3">
        <w:rPr>
          <w:position w:val="-12"/>
        </w:rPr>
        <w:object w:dxaOrig="279" w:dyaOrig="360" w14:anchorId="076C8CCB">
          <v:shape id="_x0000_i1075" type="#_x0000_t75" style="width:15pt;height:21pt" o:ole="">
            <v:imagedata r:id="rId104" o:title=""/>
          </v:shape>
          <o:OLEObject Type="Embed" ProgID="Equation.DSMT4" ShapeID="_x0000_i1075" DrawAspect="Content" ObjectID="_1617779989" r:id="rId105"/>
        </w:object>
      </w:r>
      <w:r w:rsidR="00ED0343">
        <w:t xml:space="preserve"> </w:t>
      </w:r>
      <w:r w:rsidRPr="00CB37D3">
        <w:t xml:space="preserve">picking up spatially and temporally varying shocks, and assume that the disturbances comprise an autoregressive spatial dependence process with the same weights matrix as the spatial lags in (3), but with parameter </w:t>
      </w:r>
      <w:r w:rsidRPr="00CB37D3">
        <w:rPr>
          <w:position w:val="-12"/>
        </w:rPr>
        <w:object w:dxaOrig="300" w:dyaOrig="360" w14:anchorId="6A61EC89">
          <v:shape id="_x0000_i1076" type="#_x0000_t75" style="width:21pt;height:21pt" o:ole="">
            <v:imagedata r:id="rId106" o:title=""/>
          </v:shape>
          <o:OLEObject Type="Embed" ProgID="Equation.DSMT4" ShapeID="_x0000_i1076" DrawAspect="Content" ObjectID="_1617779990" r:id="rId107"/>
        </w:object>
      </w:r>
      <w:r w:rsidRPr="00CB37D3">
        <w:t>.</w:t>
      </w:r>
    </w:p>
    <w:p w14:paraId="683542A4" w14:textId="77777777" w:rsidR="001F4068" w:rsidRPr="00CB37D3" w:rsidRDefault="001F4068" w:rsidP="00080C04">
      <w:pPr>
        <w:pStyle w:val="MTDisplayEquation"/>
        <w:spacing w:line="480" w:lineRule="auto"/>
        <w:jc w:val="both"/>
      </w:pPr>
      <w:r w:rsidRPr="00CB37D3">
        <w:tab/>
      </w:r>
      <w:r w:rsidRPr="00CB37D3">
        <w:rPr>
          <w:position w:val="-162"/>
        </w:rPr>
        <w:object w:dxaOrig="5800" w:dyaOrig="3360" w14:anchorId="49BC24BA">
          <v:shape id="_x0000_i1077" type="#_x0000_t75" style="width:4in;height:166.5pt" o:ole="">
            <v:imagedata r:id="rId108" o:title=""/>
          </v:shape>
          <o:OLEObject Type="Embed" ProgID="Equation.DSMT4" ShapeID="_x0000_i1077" DrawAspect="Content" ObjectID="_1617779991" r:id="rId109"/>
        </w:object>
      </w:r>
      <w:r w:rsidRPr="00CB37D3">
        <w:t xml:space="preserve">              (4)</w:t>
      </w:r>
    </w:p>
    <w:p w14:paraId="5E4A6EFC" w14:textId="77777777" w:rsidR="001F4068" w:rsidRPr="00CB37D3" w:rsidRDefault="001F4068" w:rsidP="00080C04">
      <w:pPr>
        <w:spacing w:line="480" w:lineRule="auto"/>
        <w:jc w:val="both"/>
      </w:pPr>
      <w:r w:rsidRPr="00CB37D3">
        <w:t>Baltagi et. al. (2014) develop an estimator, with the acronym GMM-SL-SAR-RE</w:t>
      </w:r>
      <w:r w:rsidRPr="00CB37D3">
        <w:rPr>
          <w:rStyle w:val="FootnoteReference"/>
        </w:rPr>
        <w:footnoteReference w:id="9"/>
      </w:r>
      <w:r w:rsidRPr="00CB37D3">
        <w:t xml:space="preserve">,  for an equivalent dynamic spatial panel model with autoregressive spatial disturbances but with </w:t>
      </w:r>
      <w:r w:rsidRPr="00CB37D3">
        <w:rPr>
          <w:position w:val="-6"/>
        </w:rPr>
        <w:object w:dxaOrig="200" w:dyaOrig="279" w14:anchorId="51D9CF0F">
          <v:shape id="_x0000_i1078" type="#_x0000_t75" style="width:15pt;height:15pt" o:ole="">
            <v:imagedata r:id="rId110" o:title=""/>
          </v:shape>
          <o:OLEObject Type="Embed" ProgID="Equation.DSMT4" ShapeID="_x0000_i1078" DrawAspect="Content" ObjectID="_1617779992" r:id="rId111"/>
        </w:object>
      </w:r>
      <w:r w:rsidRPr="00CB37D3">
        <w:t xml:space="preserve"> restricted to zero, which is based on the work of Arellano and Bond (1991), and Mutl</w:t>
      </w:r>
      <w:r w:rsidR="008A6FD0">
        <w:t xml:space="preserve"> </w:t>
      </w:r>
      <w:r w:rsidRPr="00CB37D3">
        <w:t xml:space="preserve">(2006), and on the spatial method of moments (GM) estimator proposed by Kapoor, Kelejian and Prucha (2007). </w:t>
      </w:r>
      <w:r w:rsidR="009D5F77" w:rsidRPr="00CB37D3">
        <w:t>Baltagi et. al. (201</w:t>
      </w:r>
      <w:r w:rsidR="009D5F77">
        <w:t>8</w:t>
      </w:r>
      <w:r w:rsidR="009D5F77" w:rsidRPr="00CB37D3">
        <w:t xml:space="preserve">) </w:t>
      </w:r>
      <w:r w:rsidR="009D5F77">
        <w:t xml:space="preserve">introduce an estimator </w:t>
      </w:r>
      <w:r w:rsidR="001D17F6">
        <w:t>based on this approach but with</w:t>
      </w:r>
      <w:r w:rsidR="009D5F77" w:rsidRPr="00CB37D3">
        <w:t xml:space="preserve"> </w:t>
      </w:r>
      <w:r w:rsidR="009D5F77" w:rsidRPr="00CB37D3">
        <w:rPr>
          <w:position w:val="-6"/>
        </w:rPr>
        <w:object w:dxaOrig="200" w:dyaOrig="279" w14:anchorId="2BE943F9">
          <v:shape id="_x0000_i1079" type="#_x0000_t75" style="width:15pt;height:15pt" o:ole="">
            <v:imagedata r:id="rId110" o:title=""/>
          </v:shape>
          <o:OLEObject Type="Embed" ProgID="Equation.DSMT4" ShapeID="_x0000_i1079" DrawAspect="Content" ObjectID="_1617779993" r:id="rId112"/>
        </w:object>
      </w:r>
      <w:r w:rsidR="009D5F77" w:rsidRPr="00CB37D3">
        <w:t xml:space="preserve"> </w:t>
      </w:r>
      <w:r w:rsidR="009D5F77">
        <w:t xml:space="preserve">not </w:t>
      </w:r>
      <w:r w:rsidR="009D5F77" w:rsidRPr="00CB37D3">
        <w:t>restricted to zero</w:t>
      </w:r>
      <w:r w:rsidR="009D5F77">
        <w:t xml:space="preserve">, which differs from our estimator in that it assumes a spatial moving average error process for the disturbances. This is </w:t>
      </w:r>
      <w:r w:rsidR="009D5F77">
        <w:lastRenderedPageBreak/>
        <w:t xml:space="preserve">the basis of the estimator employed in this paper. </w:t>
      </w:r>
      <w:r w:rsidR="009D5F77" w:rsidRPr="00CB37D3">
        <w:t xml:space="preserve"> </w:t>
      </w:r>
      <w:r w:rsidRPr="00CB37D3">
        <w:t>We omit much technical detail but the basic idea is to include both non-spatial and spatial instruments in the estimator to obtain consistent estimates of the parameters. Monte Carlo simulations carried out by Baltagi et. al. (2014</w:t>
      </w:r>
      <w:r w:rsidR="009D5F77">
        <w:t>, 2018</w:t>
      </w:r>
      <w:r w:rsidRPr="00CB37D3">
        <w:t xml:space="preserve">) show that for a data generating process with these characteristics, GMM-SL-SAR-RE is superior to OLS, which ignores the endogeneity of the spatial and temporal lags, the existence of individual effects </w:t>
      </w:r>
      <w:r w:rsidRPr="00CB37D3">
        <w:rPr>
          <w:position w:val="-12"/>
        </w:rPr>
        <w:object w:dxaOrig="260" w:dyaOrig="360" w14:anchorId="2EE172E9">
          <v:shape id="_x0000_i1080" type="#_x0000_t75" style="width:15pt;height:21pt" o:ole="">
            <v:imagedata r:id="rId102" o:title=""/>
          </v:shape>
          <o:OLEObject Type="Embed" ProgID="Equation.DSMT4" ShapeID="_x0000_i1080" DrawAspect="Content" ObjectID="_1617779994" r:id="rId113"/>
        </w:object>
      </w:r>
      <w:r w:rsidRPr="00CB37D3">
        <w:t xml:space="preserve"> and the spatial dependence in the disturbances. Likewise, it is preferable to the Within or Fixed Effects estimator, which does take care of </w:t>
      </w:r>
      <w:r w:rsidRPr="00CB37D3">
        <w:rPr>
          <w:position w:val="-12"/>
        </w:rPr>
        <w:object w:dxaOrig="260" w:dyaOrig="360" w14:anchorId="1A022B1D">
          <v:shape id="_x0000_i1081" type="#_x0000_t75" style="width:15pt;height:21pt" o:ole="">
            <v:imagedata r:id="rId102" o:title=""/>
          </v:shape>
          <o:OLEObject Type="Embed" ProgID="Equation.DSMT4" ShapeID="_x0000_i1081" DrawAspect="Content" ObjectID="_1617779995" r:id="rId114"/>
        </w:object>
      </w:r>
      <w:r w:rsidRPr="00CB37D3">
        <w:t xml:space="preserve"> but which also does not deal with the endogeneity of the lags or the spatial dependence in the disturbances. Also the original Arellano and Bond (1991) GMM estimator ignores the spatial process in the disturbances, while the estimator of Mutl</w:t>
      </w:r>
      <w:r w:rsidR="008A6FD0">
        <w:t xml:space="preserve"> </w:t>
      </w:r>
      <w:r w:rsidRPr="00CB37D3">
        <w:t>(2006) which does not include the spatial lag, so these too perform less well than  GMM-SL-SAR-RE.</w:t>
      </w:r>
    </w:p>
    <w:p w14:paraId="6890987B" w14:textId="77777777" w:rsidR="001F4068" w:rsidRPr="00CB37D3" w:rsidRDefault="001F4068" w:rsidP="00080C04">
      <w:pPr>
        <w:spacing w:line="480" w:lineRule="auto"/>
        <w:jc w:val="both"/>
      </w:pPr>
      <w:r w:rsidRPr="00CB37D3">
        <w:rPr>
          <w:rFonts w:ascii="Calibri" w:eastAsia="Calibri" w:hAnsi="Calibri" w:cs="Calibri"/>
        </w:rPr>
        <w:t>To summarise, following Arellano and Bond (1991) and Baltagi et al</w:t>
      </w:r>
      <w:r w:rsidR="00ED0343">
        <w:rPr>
          <w:rFonts w:ascii="Calibri" w:eastAsia="Calibri" w:hAnsi="Calibri" w:cs="Calibri"/>
        </w:rPr>
        <w:t xml:space="preserve"> </w:t>
      </w:r>
      <w:r w:rsidRPr="00CB37D3">
        <w:rPr>
          <w:rFonts w:ascii="Calibri" w:eastAsia="Calibri" w:hAnsi="Calibri" w:cs="Calibri"/>
        </w:rPr>
        <w:t>(2014</w:t>
      </w:r>
      <w:r w:rsidR="00156432">
        <w:rPr>
          <w:rFonts w:ascii="Calibri" w:eastAsia="Calibri" w:hAnsi="Calibri" w:cs="Calibri"/>
        </w:rPr>
        <w:t>, 2018</w:t>
      </w:r>
      <w:r w:rsidRPr="00CB37D3">
        <w:rPr>
          <w:rFonts w:ascii="Calibri" w:eastAsia="Calibri" w:hAnsi="Calibri" w:cs="Calibri"/>
        </w:rPr>
        <w:t xml:space="preserve">), we eliminate the individual effects </w:t>
      </w:r>
      <w:r w:rsidRPr="00CB37D3">
        <w:rPr>
          <w:rFonts w:ascii="Calibri" w:eastAsia="Calibri" w:hAnsi="Calibri" w:cs="Calibri"/>
          <w:position w:val="-12"/>
        </w:rPr>
        <w:object w:dxaOrig="260" w:dyaOrig="360" w14:anchorId="603CC289">
          <v:shape id="_x0000_i1082" type="#_x0000_t75" style="width:15pt;height:21pt" o:ole="">
            <v:imagedata r:id="rId115" o:title=""/>
          </v:shape>
          <o:OLEObject Type="Embed" ProgID="Equation.DSMT4" ShapeID="_x0000_i1082" DrawAspect="Content" ObjectID="_1617779996" r:id="rId116"/>
        </w:object>
      </w:r>
      <w:r w:rsidRPr="00CB37D3">
        <w:rPr>
          <w:rFonts w:ascii="Calibri" w:eastAsia="Calibri" w:hAnsi="Calibri" w:cs="Calibri"/>
        </w:rPr>
        <w:t xml:space="preserve"> , which are correlated with the spatial lag and temporal lags of the dependent variable, by first differencing the model. Next, again following this literature, moments conditions are created on the basis of an assumption of no correlation between first differenced disturbances and time lagged levels of variables. As explained in Bond</w:t>
      </w:r>
      <w:r w:rsidR="005B6DEE" w:rsidRPr="00CB37D3">
        <w:rPr>
          <w:rFonts w:ascii="Calibri" w:eastAsia="Calibri" w:hAnsi="Calibri" w:cs="Calibri"/>
        </w:rPr>
        <w:t xml:space="preserve"> </w:t>
      </w:r>
      <w:r w:rsidRPr="00CB37D3">
        <w:rPr>
          <w:rFonts w:ascii="Calibri" w:eastAsia="Calibri" w:hAnsi="Calibri" w:cs="Calibri"/>
        </w:rPr>
        <w:t xml:space="preserve">(2002), the extent of lagging depends on whether variables are considered exogenous, pre-determined or endogenous. In this particular application, the variables </w:t>
      </w:r>
      <w:r w:rsidRPr="00CB37D3">
        <w:rPr>
          <w:position w:val="-12"/>
        </w:rPr>
        <w:object w:dxaOrig="260" w:dyaOrig="380" w14:anchorId="15FFFB28">
          <v:shape id="_x0000_i1083" type="#_x0000_t75" style="width:15pt;height:15pt" o:ole="">
            <v:imagedata r:id="rId117" o:title=""/>
          </v:shape>
          <o:OLEObject Type="Embed" ProgID="Equation.DSMT4" ShapeID="_x0000_i1083" DrawAspect="Content" ObjectID="_1617779997" r:id="rId118"/>
        </w:object>
      </w:r>
      <w:r w:rsidRPr="00CB37D3">
        <w:rPr>
          <w:rFonts w:ascii="Calibri" w:eastAsia="Calibri" w:hAnsi="Calibri" w:cs="Times New Roman"/>
        </w:rPr>
        <w:t xml:space="preserve"> and </w:t>
      </w:r>
      <w:r w:rsidRPr="00CB37D3">
        <w:rPr>
          <w:position w:val="-12"/>
        </w:rPr>
        <w:object w:dxaOrig="260" w:dyaOrig="360" w14:anchorId="1852EAE6">
          <v:shape id="_x0000_i1084" type="#_x0000_t75" style="width:15pt;height:21pt" o:ole="">
            <v:imagedata r:id="rId119" o:title=""/>
          </v:shape>
          <o:OLEObject Type="Embed" ProgID="Equation.DSMT4" ShapeID="_x0000_i1084" DrawAspect="Content" ObjectID="_1617779998" r:id="rId120"/>
        </w:object>
      </w:r>
      <w:r w:rsidR="00ED0343">
        <w:t xml:space="preserve"> </w:t>
      </w:r>
      <w:r w:rsidRPr="00CB37D3">
        <w:rPr>
          <w:rFonts w:ascii="Calibri" w:eastAsia="Calibri" w:hAnsi="Calibri" w:cs="Times New Roman"/>
        </w:rPr>
        <w:t xml:space="preserve">are </w:t>
      </w:r>
      <w:r w:rsidR="000F0F34" w:rsidRPr="00CB37D3">
        <w:rPr>
          <w:rFonts w:ascii="Calibri" w:eastAsia="Calibri" w:hAnsi="Calibri" w:cs="Times New Roman"/>
        </w:rPr>
        <w:t xml:space="preserve">assumed to be </w:t>
      </w:r>
      <w:r w:rsidRPr="00CB37D3">
        <w:rPr>
          <w:rFonts w:ascii="Calibri" w:eastAsia="Calibri" w:hAnsi="Calibri" w:cs="Times New Roman"/>
        </w:rPr>
        <w:t xml:space="preserve">pre-determined, </w:t>
      </w:r>
      <w:r w:rsidR="00EE18AA" w:rsidRPr="00CB37D3">
        <w:rPr>
          <w:rFonts w:ascii="Calibri" w:eastAsia="Calibri" w:hAnsi="Calibri" w:cs="Times New Roman"/>
        </w:rPr>
        <w:t xml:space="preserve">which means they are contemporaneously uncorrelated with the </w:t>
      </w:r>
      <w:r w:rsidR="00EE18AA" w:rsidRPr="00CB37D3">
        <w:rPr>
          <w:rFonts w:ascii="Calibri" w:eastAsia="Calibri" w:hAnsi="Calibri" w:cs="Times New Roman"/>
          <w:position w:val="-12"/>
        </w:rPr>
        <w:object w:dxaOrig="279" w:dyaOrig="360" w14:anchorId="400A4A54">
          <v:shape id="_x0000_i1085" type="#_x0000_t75" style="width:15pt;height:21pt" o:ole="">
            <v:imagedata r:id="rId121" o:title=""/>
          </v:shape>
          <o:OLEObject Type="Embed" ProgID="Equation.DSMT4" ShapeID="_x0000_i1085" DrawAspect="Content" ObjectID="_1617779999" r:id="rId122"/>
        </w:object>
      </w:r>
      <w:r w:rsidR="007A67D1" w:rsidRPr="00CB37D3">
        <w:rPr>
          <w:rFonts w:ascii="Calibri" w:eastAsia="Calibri" w:hAnsi="Calibri" w:cs="Times New Roman"/>
        </w:rPr>
        <w:t xml:space="preserve">, </w:t>
      </w:r>
      <w:r w:rsidR="00A100BB" w:rsidRPr="00CB37D3">
        <w:rPr>
          <w:rFonts w:ascii="Calibri" w:eastAsia="Calibri" w:hAnsi="Calibri" w:cs="Times New Roman"/>
        </w:rPr>
        <w:t>but</w:t>
      </w:r>
      <w:r w:rsidR="00EE18AA" w:rsidRPr="00CB37D3">
        <w:rPr>
          <w:rFonts w:ascii="Calibri" w:eastAsia="Calibri" w:hAnsi="Calibri" w:cs="Times New Roman"/>
        </w:rPr>
        <w:t xml:space="preserve">  may be correlated with the </w:t>
      </w:r>
      <w:r w:rsidR="00EE18AA" w:rsidRPr="00CB37D3">
        <w:rPr>
          <w:rFonts w:ascii="Calibri" w:eastAsia="Calibri" w:hAnsi="Calibri" w:cs="Times New Roman"/>
          <w:position w:val="-12"/>
        </w:rPr>
        <w:object w:dxaOrig="400" w:dyaOrig="360" w14:anchorId="65D24B02">
          <v:shape id="_x0000_i1086" type="#_x0000_t75" style="width:21pt;height:21pt" o:ole="">
            <v:imagedata r:id="rId123" o:title=""/>
          </v:shape>
          <o:OLEObject Type="Embed" ProgID="Equation.DSMT4" ShapeID="_x0000_i1086" DrawAspect="Content" ObjectID="_1617780000" r:id="rId124"/>
        </w:object>
      </w:r>
      <w:r w:rsidR="001D17F6">
        <w:rPr>
          <w:rFonts w:ascii="Calibri" w:eastAsia="Calibri" w:hAnsi="Calibri" w:cs="Times New Roman"/>
        </w:rPr>
        <w:t xml:space="preserve"> </w:t>
      </w:r>
      <w:r w:rsidR="00EE18AA" w:rsidRPr="00CB37D3">
        <w:rPr>
          <w:rFonts w:ascii="Calibri" w:eastAsia="Calibri" w:hAnsi="Calibri" w:cs="Times New Roman"/>
        </w:rPr>
        <w:t>and earlier</w:t>
      </w:r>
      <w:r w:rsidR="00BF46AC" w:rsidRPr="00CB37D3">
        <w:rPr>
          <w:rFonts w:ascii="Calibri" w:eastAsia="Calibri" w:hAnsi="Calibri" w:cs="Times New Roman"/>
        </w:rPr>
        <w:t xml:space="preserve"> shocks</w:t>
      </w:r>
      <w:r w:rsidR="00EE18AA" w:rsidRPr="00CB37D3">
        <w:rPr>
          <w:rFonts w:ascii="Calibri" w:eastAsia="Calibri" w:hAnsi="Calibri" w:cs="Times New Roman"/>
        </w:rPr>
        <w:t xml:space="preserve">. </w:t>
      </w:r>
      <w:r w:rsidR="0048290E" w:rsidRPr="00CB37D3">
        <w:rPr>
          <w:rFonts w:ascii="Calibri" w:eastAsia="Calibri" w:hAnsi="Calibri" w:cs="Times New Roman"/>
        </w:rPr>
        <w:t xml:space="preserve">We therefore </w:t>
      </w:r>
      <w:r w:rsidR="00ED34B2" w:rsidRPr="00CB37D3">
        <w:rPr>
          <w:rFonts w:ascii="Calibri" w:eastAsia="Calibri" w:hAnsi="Calibri" w:cs="Times New Roman"/>
        </w:rPr>
        <w:t>assume that prices may feedback and affect income and supply, but this effect is not instantaneous. Following Bond</w:t>
      </w:r>
      <w:r w:rsidR="00962166" w:rsidRPr="00CB37D3">
        <w:rPr>
          <w:rFonts w:ascii="Calibri" w:eastAsia="Calibri" w:hAnsi="Calibri" w:cs="Times New Roman"/>
        </w:rPr>
        <w:t xml:space="preserve"> </w:t>
      </w:r>
      <w:r w:rsidR="00ED34B2" w:rsidRPr="00CB37D3">
        <w:rPr>
          <w:rFonts w:ascii="Calibri" w:eastAsia="Calibri" w:hAnsi="Calibri" w:cs="Times New Roman"/>
        </w:rPr>
        <w:t xml:space="preserve">(2002), </w:t>
      </w:r>
      <w:r w:rsidRPr="00CB37D3">
        <w:rPr>
          <w:rFonts w:ascii="Calibri" w:eastAsia="Calibri" w:hAnsi="Calibri" w:cs="Calibri"/>
        </w:rPr>
        <w:t xml:space="preserve">these </w:t>
      </w:r>
      <w:r w:rsidR="00ED34B2" w:rsidRPr="00CB37D3">
        <w:rPr>
          <w:rFonts w:ascii="Calibri" w:eastAsia="Calibri" w:hAnsi="Calibri" w:cs="Calibri"/>
        </w:rPr>
        <w:t xml:space="preserve">predetermined </w:t>
      </w:r>
      <w:r w:rsidRPr="00CB37D3">
        <w:rPr>
          <w:rFonts w:ascii="Calibri" w:eastAsia="Calibri" w:hAnsi="Calibri" w:cs="Calibri"/>
        </w:rPr>
        <w:t>variables are lagged by one period in the construction of moments equations</w:t>
      </w:r>
      <w:r w:rsidR="00ED34B2" w:rsidRPr="00CB37D3">
        <w:rPr>
          <w:rFonts w:ascii="Calibri" w:eastAsia="Calibri" w:hAnsi="Calibri" w:cs="Calibri"/>
        </w:rPr>
        <w:t xml:space="preserve"> so as to eliminate </w:t>
      </w:r>
      <w:r w:rsidRPr="00CB37D3">
        <w:rPr>
          <w:rFonts w:ascii="Calibri" w:eastAsia="Calibri" w:hAnsi="Calibri" w:cs="Calibri"/>
        </w:rPr>
        <w:t xml:space="preserve">correlation between the instruments at time </w:t>
      </w:r>
      <w:r w:rsidRPr="00CB37D3">
        <w:rPr>
          <w:rFonts w:ascii="Calibri" w:eastAsia="Calibri" w:hAnsi="Calibri" w:cs="Calibri"/>
          <w:position w:val="-6"/>
        </w:rPr>
        <w:object w:dxaOrig="440" w:dyaOrig="279" w14:anchorId="4F948B67">
          <v:shape id="_x0000_i1087" type="#_x0000_t75" style="width:21pt;height:15pt" o:ole="">
            <v:imagedata r:id="rId125" o:title=""/>
          </v:shape>
          <o:OLEObject Type="Embed" ProgID="Equation.DSMT4" ShapeID="_x0000_i1087" DrawAspect="Content" ObjectID="_1617780001" r:id="rId126"/>
        </w:object>
      </w:r>
      <w:r w:rsidRPr="00CB37D3">
        <w:rPr>
          <w:rFonts w:ascii="Calibri" w:eastAsia="Calibri" w:hAnsi="Calibri" w:cs="Calibri"/>
        </w:rPr>
        <w:t xml:space="preserve"> </w:t>
      </w:r>
      <w:r w:rsidR="00B044FF" w:rsidRPr="00CB37D3">
        <w:rPr>
          <w:rFonts w:ascii="Calibri" w:eastAsia="Calibri" w:hAnsi="Calibri" w:cs="Calibri"/>
        </w:rPr>
        <w:t>and earlier</w:t>
      </w:r>
      <w:r w:rsidRPr="00CB37D3">
        <w:rPr>
          <w:rFonts w:ascii="Calibri" w:eastAsia="Calibri" w:hAnsi="Calibri" w:cs="Calibri"/>
        </w:rPr>
        <w:t xml:space="preserve"> and </w:t>
      </w:r>
      <w:r w:rsidR="00BF46AC" w:rsidRPr="00CB37D3">
        <w:rPr>
          <w:rFonts w:ascii="Calibri" w:eastAsia="Calibri" w:hAnsi="Calibri" w:cs="Times New Roman"/>
          <w:position w:val="-12"/>
        </w:rPr>
        <w:object w:dxaOrig="460" w:dyaOrig="360" w14:anchorId="10B4DC0B">
          <v:shape id="_x0000_i1088" type="#_x0000_t75" style="width:21pt;height:21pt" o:ole="">
            <v:imagedata r:id="rId127" o:title=""/>
          </v:shape>
          <o:OLEObject Type="Embed" ProgID="Equation.DSMT4" ShapeID="_x0000_i1088" DrawAspect="Content" ObjectID="_1617780002" r:id="rId128"/>
        </w:object>
      </w:r>
      <w:r w:rsidRPr="00CB37D3">
        <w:rPr>
          <w:rFonts w:ascii="Calibri" w:eastAsia="Calibri" w:hAnsi="Calibri" w:cs="Calibri"/>
        </w:rPr>
        <w:t xml:space="preserve">. Likewise, the spatial lags of these variables are also lagged by one period to give an enhanced set of moments equations. </w:t>
      </w:r>
      <w:r w:rsidRPr="00CB37D3">
        <w:t xml:space="preserve">Using these instruments in a spatial GM estimator we obtain consistent estimates of </w:t>
      </w:r>
      <w:r w:rsidR="001C2958" w:rsidRPr="00CB37D3">
        <w:rPr>
          <w:position w:val="-12"/>
        </w:rPr>
        <w:object w:dxaOrig="2020" w:dyaOrig="360" w14:anchorId="056A3B83">
          <v:shape id="_x0000_i1089" type="#_x0000_t75" style="width:100.5pt;height:21pt" o:ole="">
            <v:imagedata r:id="rId129" o:title=""/>
          </v:shape>
          <o:OLEObject Type="Embed" ProgID="Equation.DSMT4" ShapeID="_x0000_i1089" DrawAspect="Content" ObjectID="_1617780003" r:id="rId130"/>
        </w:object>
      </w:r>
      <w:r w:rsidRPr="00CB37D3">
        <w:t xml:space="preserve">. The first differenced residuals provided allow </w:t>
      </w:r>
      <w:r w:rsidRPr="00CB37D3">
        <w:lastRenderedPageBreak/>
        <w:t xml:space="preserve">estimation, </w:t>
      </w:r>
      <w:r w:rsidRPr="00CB37D3">
        <w:rPr>
          <w:rFonts w:ascii="Calibri" w:eastAsia="Calibri" w:hAnsi="Calibri" w:cs="Calibri"/>
        </w:rPr>
        <w:t>using nonlinear least squares to solve the sample moments,</w:t>
      </w:r>
      <w:r w:rsidRPr="00CB37D3">
        <w:t xml:space="preserve"> of </w:t>
      </w:r>
      <w:r w:rsidRPr="00CB37D3">
        <w:rPr>
          <w:position w:val="-14"/>
        </w:rPr>
        <w:object w:dxaOrig="999" w:dyaOrig="400" w14:anchorId="5779B5D4">
          <v:shape id="_x0000_i1090" type="#_x0000_t75" style="width:51pt;height:21pt" o:ole="">
            <v:imagedata r:id="rId131" o:title=""/>
          </v:shape>
          <o:OLEObject Type="Embed" ProgID="Equation.DSMT4" ShapeID="_x0000_i1090" DrawAspect="Content" ObjectID="_1617780004" r:id="rId132"/>
        </w:object>
      </w:r>
      <w:r w:rsidRPr="00CB37D3">
        <w:t xml:space="preserve"> based on Kapoor, Kelejian and Prucha (2007). Finally, again following Arellano and Bond (1991) and Baltagi et al (2014</w:t>
      </w:r>
      <w:r w:rsidR="00156432">
        <w:t>, 2018</w:t>
      </w:r>
      <w:r w:rsidRPr="00CB37D3">
        <w:t xml:space="preserve">), we obtain final estimates of  </w:t>
      </w:r>
      <w:r w:rsidR="001C2958" w:rsidRPr="00CB37D3">
        <w:rPr>
          <w:position w:val="-12"/>
        </w:rPr>
        <w:object w:dxaOrig="2020" w:dyaOrig="360" w14:anchorId="73416A6B">
          <v:shape id="_x0000_i1091" type="#_x0000_t75" style="width:100.5pt;height:21pt" o:ole="">
            <v:imagedata r:id="rId133" o:title=""/>
          </v:shape>
          <o:OLEObject Type="Embed" ProgID="Equation.DSMT4" ShapeID="_x0000_i1091" DrawAspect="Content" ObjectID="_1617780005" r:id="rId134"/>
        </w:object>
      </w:r>
      <w:r w:rsidRPr="00CB37D3">
        <w:t xml:space="preserve"> via a two-step spatial GM estimator. </w:t>
      </w:r>
      <w:r w:rsidRPr="00C33576">
        <w:t>We omit technical detail</w:t>
      </w:r>
      <w:r w:rsidR="007D4B6F" w:rsidRPr="00C33576">
        <w:t xml:space="preserve"> of the robustness of these estimates</w:t>
      </w:r>
      <w:r w:rsidRPr="00C33576">
        <w:t xml:space="preserve"> which is available in Baltagi et al (2014</w:t>
      </w:r>
      <w:r w:rsidR="00156432" w:rsidRPr="00C33576">
        <w:t>,</w:t>
      </w:r>
      <w:r w:rsidR="00ED0343">
        <w:t xml:space="preserve"> </w:t>
      </w:r>
      <w:r w:rsidR="00156432" w:rsidRPr="00C33576">
        <w:t>2018</w:t>
      </w:r>
      <w:r w:rsidRPr="00C33576">
        <w:t xml:space="preserve">).  </w:t>
      </w:r>
    </w:p>
    <w:p w14:paraId="0E3685D9" w14:textId="77777777" w:rsidR="001F4068" w:rsidRPr="00CB37D3" w:rsidRDefault="009C1A1E" w:rsidP="00080C04">
      <w:pPr>
        <w:spacing w:line="480" w:lineRule="auto"/>
        <w:jc w:val="both"/>
      </w:pPr>
      <w:r w:rsidRPr="00CB37D3">
        <w:t>We estimate the model using data for the period 1998 to 2011, thus omitting the most recent observations for 2015, which are retained to enable one-step ahead predictions.  Table 2</w:t>
      </w:r>
      <w:r w:rsidR="001F4068" w:rsidRPr="00CB37D3">
        <w:t xml:space="preserve"> gives the resulting parameter estimates, standard errors and t ratios, indicting highly significant temporal and spatial lags, a very strong positive relationship between price and income within commuting distance, and a strong negative relationship between the stock of dwellings and price. There is also positive spatial dependence among the disturbances, but the individual heterogeneity </w:t>
      </w:r>
      <w:r w:rsidR="00F55BA0">
        <w:t>(</w:t>
      </w:r>
      <w:r w:rsidR="001F4068" w:rsidRPr="00CB37D3">
        <w:t xml:space="preserve">as measured by the estimated </w:t>
      </w:r>
      <w:r w:rsidR="001F4068" w:rsidRPr="00CB37D3">
        <w:rPr>
          <w:position w:val="-14"/>
        </w:rPr>
        <w:object w:dxaOrig="320" w:dyaOrig="400" w14:anchorId="2F9C73FF">
          <v:shape id="_x0000_i1092" type="#_x0000_t75" style="width:21pt;height:21pt" o:ole="">
            <v:imagedata r:id="rId135" o:title=""/>
          </v:shape>
          <o:OLEObject Type="Embed" ProgID="Equation.DSMT4" ShapeID="_x0000_i1092" DrawAspect="Content" ObjectID="_1617780006" r:id="rId136"/>
        </w:object>
      </w:r>
      <w:r w:rsidR="00F55BA0">
        <w:t>)</w:t>
      </w:r>
      <w:r w:rsidR="001D17F6">
        <w:t xml:space="preserve"> </w:t>
      </w:r>
      <w:r w:rsidR="001F4068" w:rsidRPr="00CB37D3">
        <w:t xml:space="preserve">is comparatively large compared to the variance of the transient effects </w:t>
      </w:r>
      <w:r w:rsidR="001F4068" w:rsidRPr="00CB37D3">
        <w:rPr>
          <w:position w:val="-12"/>
        </w:rPr>
        <w:object w:dxaOrig="499" w:dyaOrig="380" w14:anchorId="201AD17C">
          <v:shape id="_x0000_i1093" type="#_x0000_t75" style="width:21pt;height:15pt" o:ole="">
            <v:imagedata r:id="rId137" o:title=""/>
          </v:shape>
          <o:OLEObject Type="Embed" ProgID="Equation.DSMT4" ShapeID="_x0000_i1093" DrawAspect="Content" ObjectID="_1617780007" r:id="rId138"/>
        </w:object>
      </w:r>
      <w:r w:rsidR="001F4068" w:rsidRPr="00CB37D3">
        <w:t>.  According to Elhorst (2001, p. 131), Parent and LeSage</w:t>
      </w:r>
      <w:r w:rsidR="00B97C74">
        <w:t xml:space="preserve"> </w:t>
      </w:r>
      <w:r w:rsidR="001F4068" w:rsidRPr="00CB37D3">
        <w:t xml:space="preserve">(2011, p. 478, 2012, p. 731) and Debarsy, Ertur and LeSage (2012, p. 162), the dynamic stability and stationarity of the model requires that </w:t>
      </w:r>
    </w:p>
    <w:p w14:paraId="5CB97D2B" w14:textId="77777777" w:rsidR="001F4068" w:rsidRPr="00CB37D3" w:rsidRDefault="001F4068" w:rsidP="00601007">
      <w:pPr>
        <w:pStyle w:val="MTDisplayEquation"/>
        <w:jc w:val="right"/>
      </w:pPr>
      <w:r w:rsidRPr="00CB37D3">
        <w:tab/>
      </w:r>
      <w:r w:rsidRPr="00CB37D3">
        <w:rPr>
          <w:position w:val="-74"/>
        </w:rPr>
        <w:object w:dxaOrig="3360" w:dyaOrig="1600" w14:anchorId="3FE33F57">
          <v:shape id="_x0000_i1094" type="#_x0000_t75" style="width:166.5pt;height:79.5pt" o:ole="">
            <v:imagedata r:id="rId139" o:title=""/>
          </v:shape>
          <o:OLEObject Type="Embed" ProgID="Equation.DSMT4" ShapeID="_x0000_i1094" DrawAspect="Content" ObjectID="_1617780008" r:id="rId140"/>
        </w:object>
      </w:r>
      <w:r w:rsidRPr="00CB37D3">
        <w:t xml:space="preserve"> </w:t>
      </w:r>
      <w:r w:rsidR="00601007" w:rsidRPr="00CB37D3">
        <w:t xml:space="preserve">                                           (5)</w:t>
      </w:r>
    </w:p>
    <w:p w14:paraId="5303C252" w14:textId="77777777" w:rsidR="001F4068" w:rsidRDefault="001F4068" w:rsidP="00080C04">
      <w:pPr>
        <w:spacing w:line="480" w:lineRule="auto"/>
        <w:jc w:val="both"/>
      </w:pPr>
      <w:r w:rsidRPr="00CB37D3">
        <w:t>In which</w:t>
      </w:r>
      <w:r w:rsidR="00DA3C92">
        <w:t xml:space="preserve"> </w:t>
      </w:r>
      <w:r w:rsidR="00DA3C92">
        <w:rPr>
          <w:i/>
        </w:rPr>
        <w:t xml:space="preserve">e </w:t>
      </w:r>
      <w:r w:rsidR="00DA3C92" w:rsidRPr="00DA3C92">
        <w:t>is a vector of eigenvalues of</w:t>
      </w:r>
      <w:r w:rsidR="00DA3C92">
        <w:t xml:space="preserve"> </w:t>
      </w:r>
      <w:r w:rsidR="00DA3C92" w:rsidRPr="00CB37D3">
        <w:rPr>
          <w:position w:val="-12"/>
        </w:rPr>
        <w:object w:dxaOrig="360" w:dyaOrig="360" w14:anchorId="0C01B66A">
          <v:shape id="_x0000_i1095" type="#_x0000_t75" style="width:21pt;height:21pt" o:ole="">
            <v:imagedata r:id="rId141" o:title=""/>
          </v:shape>
          <o:OLEObject Type="Embed" ProgID="Equation.DSMT4" ShapeID="_x0000_i1095" DrawAspect="Content" ObjectID="_1617780009" r:id="rId142"/>
        </w:object>
      </w:r>
      <w:r w:rsidRPr="00CB37D3">
        <w:t xml:space="preserve">. </w:t>
      </w:r>
      <w:r w:rsidR="008054A5" w:rsidRPr="00CB37D3">
        <w:t xml:space="preserve">Given </w:t>
      </w:r>
      <w:r w:rsidR="00E403A8" w:rsidRPr="00CB37D3">
        <w:rPr>
          <w:position w:val="-12"/>
        </w:rPr>
        <w:object w:dxaOrig="760" w:dyaOrig="360" w14:anchorId="38BFB0C3">
          <v:shape id="_x0000_i1096" type="#_x0000_t75" style="width:36pt;height:21pt" o:ole="">
            <v:imagedata r:id="rId143" o:title=""/>
          </v:shape>
          <o:OLEObject Type="Embed" ProgID="Equation.DSMT4" ShapeID="_x0000_i1096" DrawAspect="Content" ObjectID="_1617780010" r:id="rId144"/>
        </w:object>
      </w:r>
      <w:r w:rsidR="008054A5" w:rsidRPr="00CB37D3">
        <w:t xml:space="preserve"> </w:t>
      </w:r>
      <w:r w:rsidR="00E403A8" w:rsidRPr="00CB37D3">
        <w:t xml:space="preserve">and </w:t>
      </w:r>
      <w:r w:rsidR="00E403A8" w:rsidRPr="00CB37D3">
        <w:rPr>
          <w:position w:val="-12"/>
        </w:rPr>
        <w:object w:dxaOrig="1180" w:dyaOrig="360" w14:anchorId="2CED01C8">
          <v:shape id="_x0000_i1097" type="#_x0000_t75" style="width:57pt;height:21pt" o:ole="">
            <v:imagedata r:id="rId145" o:title=""/>
          </v:shape>
          <o:OLEObject Type="Embed" ProgID="Equation.DSMT4" ShapeID="_x0000_i1097" DrawAspect="Content" ObjectID="_1617780011" r:id="rId146"/>
        </w:object>
      </w:r>
      <w:r w:rsidR="00E403A8" w:rsidRPr="00CB37D3">
        <w:t xml:space="preserve"> and using th</w:t>
      </w:r>
      <w:r w:rsidR="00C96E9A" w:rsidRPr="00CB37D3">
        <w:t>e parameter estimates in Table 2</w:t>
      </w:r>
      <w:r w:rsidR="00E403A8" w:rsidRPr="00CB37D3">
        <w:t xml:space="preserve">, we conclude that the model is stationary. </w:t>
      </w:r>
    </w:p>
    <w:p w14:paraId="62E4E14B" w14:textId="77777777" w:rsidR="001F4068" w:rsidRPr="00CB37D3" w:rsidRDefault="009C1A1E" w:rsidP="00DA3C92">
      <w:pPr>
        <w:spacing w:after="0"/>
      </w:pPr>
      <w:r w:rsidRPr="00CB37D3">
        <w:t>Table 2</w:t>
      </w:r>
      <w:r w:rsidR="001F4068" w:rsidRPr="00CB37D3">
        <w:t>: GMM-SL-SAR-RE estimates of the dynamic spatial panel model</w:t>
      </w:r>
    </w:p>
    <w:tbl>
      <w:tblPr>
        <w:tblStyle w:val="TableGrid1"/>
        <w:tblW w:w="0" w:type="auto"/>
        <w:tblLook w:val="04A0" w:firstRow="1" w:lastRow="0" w:firstColumn="1" w:lastColumn="0" w:noHBand="0" w:noVBand="1"/>
      </w:tblPr>
      <w:tblGrid>
        <w:gridCol w:w="2254"/>
        <w:gridCol w:w="2254"/>
        <w:gridCol w:w="2254"/>
        <w:gridCol w:w="2254"/>
      </w:tblGrid>
      <w:tr w:rsidR="001F4068" w:rsidRPr="00CB37D3" w14:paraId="2EFB97F9" w14:textId="77777777" w:rsidTr="00DA3C92">
        <w:trPr>
          <w:trHeight w:val="340"/>
        </w:trPr>
        <w:tc>
          <w:tcPr>
            <w:tcW w:w="2254" w:type="dxa"/>
          </w:tcPr>
          <w:p w14:paraId="01A3E76C" w14:textId="77777777" w:rsidR="001F4068" w:rsidRPr="00CB37D3" w:rsidRDefault="001F4068" w:rsidP="0006784E">
            <w:pPr>
              <w:pStyle w:val="NoSpacing"/>
              <w:jc w:val="center"/>
            </w:pPr>
            <w:r w:rsidRPr="00CB37D3">
              <w:t>parameter</w:t>
            </w:r>
          </w:p>
        </w:tc>
        <w:tc>
          <w:tcPr>
            <w:tcW w:w="2254" w:type="dxa"/>
          </w:tcPr>
          <w:p w14:paraId="07F1C04D" w14:textId="77777777" w:rsidR="001F4068" w:rsidRPr="00CB37D3" w:rsidRDefault="001F4068" w:rsidP="0006784E">
            <w:pPr>
              <w:pStyle w:val="NoSpacing"/>
              <w:jc w:val="center"/>
            </w:pPr>
            <w:r w:rsidRPr="00CB37D3">
              <w:t>estimate</w:t>
            </w:r>
          </w:p>
        </w:tc>
        <w:tc>
          <w:tcPr>
            <w:tcW w:w="2254" w:type="dxa"/>
          </w:tcPr>
          <w:p w14:paraId="606B07F0" w14:textId="77777777" w:rsidR="001F4068" w:rsidRPr="00CB37D3" w:rsidRDefault="001F4068" w:rsidP="0006784E">
            <w:pPr>
              <w:pStyle w:val="NoSpacing"/>
              <w:jc w:val="center"/>
            </w:pPr>
            <w:r w:rsidRPr="00CB37D3">
              <w:t>St. error</w:t>
            </w:r>
          </w:p>
        </w:tc>
        <w:tc>
          <w:tcPr>
            <w:tcW w:w="2254" w:type="dxa"/>
          </w:tcPr>
          <w:p w14:paraId="051C6FD9" w14:textId="77777777" w:rsidR="001F4068" w:rsidRPr="00CB37D3" w:rsidRDefault="001F4068" w:rsidP="0006784E">
            <w:pPr>
              <w:pStyle w:val="NoSpacing"/>
              <w:jc w:val="center"/>
            </w:pPr>
            <w:r w:rsidRPr="00CB37D3">
              <w:t>t ratio</w:t>
            </w:r>
          </w:p>
        </w:tc>
      </w:tr>
      <w:tr w:rsidR="001F4068" w:rsidRPr="00CB37D3" w14:paraId="20BE1C55" w14:textId="77777777" w:rsidTr="00DA3C92">
        <w:trPr>
          <w:trHeight w:val="340"/>
        </w:trPr>
        <w:tc>
          <w:tcPr>
            <w:tcW w:w="2254" w:type="dxa"/>
          </w:tcPr>
          <w:p w14:paraId="0501F185" w14:textId="77777777" w:rsidR="001F4068" w:rsidRPr="00CB37D3" w:rsidRDefault="001F4068" w:rsidP="0006784E">
            <w:pPr>
              <w:pStyle w:val="NoSpacing"/>
              <w:jc w:val="center"/>
              <w:rPr>
                <w:i/>
              </w:rPr>
            </w:pPr>
            <w:r w:rsidRPr="00CB37D3">
              <w:rPr>
                <w:i/>
                <w:position w:val="-10"/>
              </w:rPr>
              <w:object w:dxaOrig="200" w:dyaOrig="260" w14:anchorId="1B6A2070">
                <v:shape id="_x0000_i1098" type="#_x0000_t75" style="width:15pt;height:15pt" o:ole="">
                  <v:imagedata r:id="rId147" o:title=""/>
                </v:shape>
                <o:OLEObject Type="Embed" ProgID="Equation.DSMT4" ShapeID="_x0000_i1098" DrawAspect="Content" ObjectID="_1617780012" r:id="rId148"/>
              </w:object>
            </w:r>
          </w:p>
        </w:tc>
        <w:tc>
          <w:tcPr>
            <w:tcW w:w="2254" w:type="dxa"/>
          </w:tcPr>
          <w:p w14:paraId="369B286D" w14:textId="77777777" w:rsidR="001F4068" w:rsidRPr="00CB37D3" w:rsidRDefault="00DF4541" w:rsidP="0006784E">
            <w:pPr>
              <w:pStyle w:val="NoSpacing"/>
              <w:jc w:val="center"/>
            </w:pPr>
            <w:r w:rsidRPr="00DF4541">
              <w:t>0.9518</w:t>
            </w:r>
          </w:p>
        </w:tc>
        <w:tc>
          <w:tcPr>
            <w:tcW w:w="2254" w:type="dxa"/>
          </w:tcPr>
          <w:p w14:paraId="796A9E68" w14:textId="77777777" w:rsidR="001F4068" w:rsidRPr="00CB37D3" w:rsidRDefault="00DF4541" w:rsidP="0006784E">
            <w:pPr>
              <w:pStyle w:val="NoSpacing"/>
              <w:jc w:val="center"/>
            </w:pPr>
            <w:r w:rsidRPr="00DF4541">
              <w:t>0.001283</w:t>
            </w:r>
          </w:p>
        </w:tc>
        <w:tc>
          <w:tcPr>
            <w:tcW w:w="2254" w:type="dxa"/>
          </w:tcPr>
          <w:p w14:paraId="0A4C008F" w14:textId="77777777" w:rsidR="001F4068" w:rsidRPr="00CB37D3" w:rsidRDefault="00DF4541" w:rsidP="0006784E">
            <w:pPr>
              <w:pStyle w:val="NoSpacing"/>
              <w:jc w:val="center"/>
            </w:pPr>
            <w:r w:rsidRPr="00DF4541">
              <w:t>742.1</w:t>
            </w:r>
          </w:p>
        </w:tc>
      </w:tr>
      <w:tr w:rsidR="001F4068" w:rsidRPr="00CB37D3" w14:paraId="77D92D46" w14:textId="77777777" w:rsidTr="00DA3C92">
        <w:trPr>
          <w:trHeight w:val="340"/>
        </w:trPr>
        <w:tc>
          <w:tcPr>
            <w:tcW w:w="2254" w:type="dxa"/>
          </w:tcPr>
          <w:p w14:paraId="3851AD10" w14:textId="77777777" w:rsidR="001F4068" w:rsidRPr="00CB37D3" w:rsidRDefault="001F4068" w:rsidP="0006784E">
            <w:pPr>
              <w:pStyle w:val="NoSpacing"/>
              <w:jc w:val="center"/>
              <w:rPr>
                <w:i/>
                <w:vertAlign w:val="subscript"/>
              </w:rPr>
            </w:pPr>
            <w:r w:rsidRPr="00CB37D3">
              <w:rPr>
                <w:position w:val="-12"/>
                <w:vertAlign w:val="subscript"/>
              </w:rPr>
              <w:object w:dxaOrig="279" w:dyaOrig="360" w14:anchorId="516B26CD">
                <v:shape id="_x0000_i1099" type="#_x0000_t75" style="width:15pt;height:21pt" o:ole="">
                  <v:imagedata r:id="rId149" o:title=""/>
                </v:shape>
                <o:OLEObject Type="Embed" ProgID="Equation.DSMT4" ShapeID="_x0000_i1099" DrawAspect="Content" ObjectID="_1617780013" r:id="rId150"/>
              </w:object>
            </w:r>
          </w:p>
        </w:tc>
        <w:tc>
          <w:tcPr>
            <w:tcW w:w="2254" w:type="dxa"/>
          </w:tcPr>
          <w:p w14:paraId="306923E4" w14:textId="77777777" w:rsidR="001F4068" w:rsidRPr="00CB37D3" w:rsidRDefault="00DF4541" w:rsidP="0006784E">
            <w:pPr>
              <w:pStyle w:val="NoSpacing"/>
              <w:jc w:val="center"/>
            </w:pPr>
            <w:r w:rsidRPr="00DF4541">
              <w:t>0.583</w:t>
            </w:r>
          </w:p>
        </w:tc>
        <w:tc>
          <w:tcPr>
            <w:tcW w:w="2254" w:type="dxa"/>
          </w:tcPr>
          <w:p w14:paraId="4C92BCF1" w14:textId="77777777" w:rsidR="001F4068" w:rsidRPr="00CB37D3" w:rsidRDefault="00DF4541" w:rsidP="0006784E">
            <w:pPr>
              <w:pStyle w:val="NoSpacing"/>
              <w:jc w:val="center"/>
            </w:pPr>
            <w:r w:rsidRPr="00DF4541">
              <w:t>0.004454</w:t>
            </w:r>
          </w:p>
        </w:tc>
        <w:tc>
          <w:tcPr>
            <w:tcW w:w="2254" w:type="dxa"/>
          </w:tcPr>
          <w:p w14:paraId="34673E98" w14:textId="77777777" w:rsidR="001F4068" w:rsidRPr="00CB37D3" w:rsidRDefault="00DF4541" w:rsidP="0006784E">
            <w:pPr>
              <w:pStyle w:val="NoSpacing"/>
              <w:jc w:val="center"/>
            </w:pPr>
            <w:r w:rsidRPr="00DF4541">
              <w:t>130.9</w:t>
            </w:r>
          </w:p>
        </w:tc>
      </w:tr>
      <w:tr w:rsidR="001F4068" w:rsidRPr="00CB37D3" w14:paraId="21BA2355" w14:textId="77777777" w:rsidTr="00DA3C92">
        <w:trPr>
          <w:trHeight w:val="340"/>
        </w:trPr>
        <w:tc>
          <w:tcPr>
            <w:tcW w:w="2254" w:type="dxa"/>
          </w:tcPr>
          <w:p w14:paraId="61AAD163" w14:textId="77777777" w:rsidR="001F4068" w:rsidRPr="00CB37D3" w:rsidRDefault="001F4068" w:rsidP="0006784E">
            <w:pPr>
              <w:pStyle w:val="NoSpacing"/>
              <w:jc w:val="center"/>
              <w:rPr>
                <w:i/>
                <w:vertAlign w:val="subscript"/>
              </w:rPr>
            </w:pPr>
            <w:r w:rsidRPr="00CB37D3">
              <w:rPr>
                <w:i/>
                <w:position w:val="-12"/>
              </w:rPr>
              <w:object w:dxaOrig="260" w:dyaOrig="360" w14:anchorId="16BC7691">
                <v:shape id="_x0000_i1100" type="#_x0000_t75" style="width:15pt;height:21pt" o:ole="">
                  <v:imagedata r:id="rId151" o:title=""/>
                </v:shape>
                <o:OLEObject Type="Embed" ProgID="Equation.DSMT4" ShapeID="_x0000_i1100" DrawAspect="Content" ObjectID="_1617780014" r:id="rId152"/>
              </w:object>
            </w:r>
          </w:p>
        </w:tc>
        <w:tc>
          <w:tcPr>
            <w:tcW w:w="2254" w:type="dxa"/>
          </w:tcPr>
          <w:p w14:paraId="712F9FA6" w14:textId="77777777" w:rsidR="001F4068" w:rsidRPr="00CB37D3" w:rsidRDefault="00DF4541" w:rsidP="0006784E">
            <w:pPr>
              <w:pStyle w:val="NoSpacing"/>
              <w:jc w:val="center"/>
            </w:pPr>
            <w:r w:rsidRPr="00DF4541">
              <w:t>270.3</w:t>
            </w:r>
          </w:p>
        </w:tc>
        <w:tc>
          <w:tcPr>
            <w:tcW w:w="2254" w:type="dxa"/>
          </w:tcPr>
          <w:p w14:paraId="4B0C9798" w14:textId="77777777" w:rsidR="001F4068" w:rsidRPr="00CB37D3" w:rsidRDefault="00DF4541" w:rsidP="0006784E">
            <w:pPr>
              <w:pStyle w:val="NoSpacing"/>
              <w:jc w:val="center"/>
            </w:pPr>
            <w:r w:rsidRPr="00DF4541">
              <w:t>6.663</w:t>
            </w:r>
          </w:p>
        </w:tc>
        <w:tc>
          <w:tcPr>
            <w:tcW w:w="2254" w:type="dxa"/>
          </w:tcPr>
          <w:p w14:paraId="3D207876" w14:textId="77777777" w:rsidR="001F4068" w:rsidRPr="00CB37D3" w:rsidRDefault="00DF4541" w:rsidP="0006784E">
            <w:pPr>
              <w:pStyle w:val="NoSpacing"/>
              <w:jc w:val="center"/>
            </w:pPr>
            <w:r w:rsidRPr="00DF4541">
              <w:t>40.57</w:t>
            </w:r>
          </w:p>
        </w:tc>
      </w:tr>
      <w:tr w:rsidR="001F4068" w:rsidRPr="00CB37D3" w14:paraId="5CB24E4C" w14:textId="77777777" w:rsidTr="00DA3C92">
        <w:trPr>
          <w:trHeight w:val="340"/>
        </w:trPr>
        <w:tc>
          <w:tcPr>
            <w:tcW w:w="2254" w:type="dxa"/>
          </w:tcPr>
          <w:p w14:paraId="7CEA2CE5" w14:textId="77777777" w:rsidR="001F4068" w:rsidRPr="00CB37D3" w:rsidRDefault="001F4068" w:rsidP="0006784E">
            <w:pPr>
              <w:pStyle w:val="NoSpacing"/>
              <w:jc w:val="center"/>
              <w:rPr>
                <w:i/>
                <w:vertAlign w:val="subscript"/>
              </w:rPr>
            </w:pPr>
            <w:r w:rsidRPr="00CB37D3">
              <w:rPr>
                <w:i/>
                <w:position w:val="-12"/>
                <w:vertAlign w:val="subscript"/>
              </w:rPr>
              <w:object w:dxaOrig="300" w:dyaOrig="360" w14:anchorId="571D6853">
                <v:shape id="_x0000_i1101" type="#_x0000_t75" style="width:21pt;height:21pt" o:ole="">
                  <v:imagedata r:id="rId153" o:title=""/>
                </v:shape>
                <o:OLEObject Type="Embed" ProgID="Equation.DSMT4" ShapeID="_x0000_i1101" DrawAspect="Content" ObjectID="_1617780015" r:id="rId154"/>
              </w:object>
            </w:r>
          </w:p>
        </w:tc>
        <w:tc>
          <w:tcPr>
            <w:tcW w:w="2254" w:type="dxa"/>
          </w:tcPr>
          <w:p w14:paraId="3EC95629" w14:textId="77777777" w:rsidR="001F4068" w:rsidRPr="00CB37D3" w:rsidRDefault="00DF4541" w:rsidP="0006784E">
            <w:pPr>
              <w:pStyle w:val="NoSpacing"/>
              <w:jc w:val="center"/>
            </w:pPr>
            <w:r w:rsidRPr="00DF4541">
              <w:t>-0.9701</w:t>
            </w:r>
          </w:p>
        </w:tc>
        <w:tc>
          <w:tcPr>
            <w:tcW w:w="2254" w:type="dxa"/>
          </w:tcPr>
          <w:p w14:paraId="4CFB3E3B" w14:textId="77777777" w:rsidR="001F4068" w:rsidRPr="00CB37D3" w:rsidRDefault="00DF4541" w:rsidP="0006784E">
            <w:pPr>
              <w:pStyle w:val="NoSpacing"/>
              <w:jc w:val="center"/>
            </w:pPr>
            <w:r w:rsidRPr="00DF4541">
              <w:t>0.02689</w:t>
            </w:r>
          </w:p>
        </w:tc>
        <w:tc>
          <w:tcPr>
            <w:tcW w:w="2254" w:type="dxa"/>
          </w:tcPr>
          <w:p w14:paraId="5D8F4761" w14:textId="77777777" w:rsidR="001F4068" w:rsidRPr="00CB37D3" w:rsidRDefault="00DF4541" w:rsidP="0006784E">
            <w:pPr>
              <w:pStyle w:val="NoSpacing"/>
              <w:jc w:val="center"/>
            </w:pPr>
            <w:r w:rsidRPr="00DF4541">
              <w:t>-36.08</w:t>
            </w:r>
          </w:p>
        </w:tc>
      </w:tr>
      <w:tr w:rsidR="001C2958" w:rsidRPr="00CB37D3" w14:paraId="0983AF4B" w14:textId="77777777" w:rsidTr="00DA3C92">
        <w:trPr>
          <w:trHeight w:val="340"/>
        </w:trPr>
        <w:tc>
          <w:tcPr>
            <w:tcW w:w="2254" w:type="dxa"/>
          </w:tcPr>
          <w:p w14:paraId="3F728F54" w14:textId="77777777" w:rsidR="001C2958" w:rsidRPr="00CB37D3" w:rsidRDefault="001C2958" w:rsidP="0006784E">
            <w:pPr>
              <w:pStyle w:val="NoSpacing"/>
              <w:jc w:val="center"/>
              <w:rPr>
                <w:i/>
              </w:rPr>
            </w:pPr>
            <w:r w:rsidRPr="00CB37D3">
              <w:rPr>
                <w:i/>
                <w:position w:val="-12"/>
                <w:vertAlign w:val="subscript"/>
              </w:rPr>
              <w:object w:dxaOrig="279" w:dyaOrig="360" w14:anchorId="1E381537">
                <v:shape id="_x0000_i1102" type="#_x0000_t75" style="width:15pt;height:21pt" o:ole="">
                  <v:imagedata r:id="rId155" o:title=""/>
                </v:shape>
                <o:OLEObject Type="Embed" ProgID="Equation.DSMT4" ShapeID="_x0000_i1102" DrawAspect="Content" ObjectID="_1617780016" r:id="rId156"/>
              </w:object>
            </w:r>
          </w:p>
        </w:tc>
        <w:tc>
          <w:tcPr>
            <w:tcW w:w="2254" w:type="dxa"/>
          </w:tcPr>
          <w:p w14:paraId="28F15B90" w14:textId="77777777" w:rsidR="001C2958" w:rsidRPr="00CB37D3" w:rsidRDefault="00DF4541" w:rsidP="0006784E">
            <w:pPr>
              <w:pStyle w:val="NoSpacing"/>
              <w:jc w:val="center"/>
            </w:pPr>
            <w:r w:rsidRPr="00DF4541">
              <w:t>-1.687</w:t>
            </w:r>
          </w:p>
        </w:tc>
        <w:tc>
          <w:tcPr>
            <w:tcW w:w="2254" w:type="dxa"/>
          </w:tcPr>
          <w:p w14:paraId="4E52792E" w14:textId="77777777" w:rsidR="001C2958" w:rsidRPr="00CB37D3" w:rsidRDefault="00DF4541" w:rsidP="0006784E">
            <w:pPr>
              <w:pStyle w:val="NoSpacing"/>
              <w:jc w:val="center"/>
            </w:pPr>
            <w:r w:rsidRPr="00DF4541">
              <w:t>0.02743</w:t>
            </w:r>
          </w:p>
        </w:tc>
        <w:tc>
          <w:tcPr>
            <w:tcW w:w="2254" w:type="dxa"/>
          </w:tcPr>
          <w:p w14:paraId="4CFFB9B2" w14:textId="77777777" w:rsidR="001C2958" w:rsidRPr="00CB37D3" w:rsidRDefault="00DF4541" w:rsidP="0006784E">
            <w:pPr>
              <w:pStyle w:val="NoSpacing"/>
              <w:jc w:val="center"/>
            </w:pPr>
            <w:r w:rsidRPr="00DF4541">
              <w:t>-61.5</w:t>
            </w:r>
          </w:p>
        </w:tc>
      </w:tr>
      <w:tr w:rsidR="001C2958" w:rsidRPr="00CB37D3" w14:paraId="0394ADAF" w14:textId="77777777" w:rsidTr="00DA3C92">
        <w:trPr>
          <w:trHeight w:val="340"/>
        </w:trPr>
        <w:tc>
          <w:tcPr>
            <w:tcW w:w="2254" w:type="dxa"/>
          </w:tcPr>
          <w:p w14:paraId="1BE88A9E" w14:textId="77777777" w:rsidR="001C2958" w:rsidRPr="00CB37D3" w:rsidRDefault="001C2958" w:rsidP="0006784E">
            <w:pPr>
              <w:pStyle w:val="NoSpacing"/>
              <w:jc w:val="center"/>
              <w:rPr>
                <w:i/>
              </w:rPr>
            </w:pPr>
            <w:r w:rsidRPr="00CB37D3">
              <w:rPr>
                <w:i/>
                <w:position w:val="-12"/>
                <w:vertAlign w:val="subscript"/>
              </w:rPr>
              <w:object w:dxaOrig="300" w:dyaOrig="360" w14:anchorId="6892A962">
                <v:shape id="_x0000_i1103" type="#_x0000_t75" style="width:21pt;height:21pt" o:ole="">
                  <v:imagedata r:id="rId157" o:title=""/>
                </v:shape>
                <o:OLEObject Type="Embed" ProgID="Equation.DSMT4" ShapeID="_x0000_i1103" DrawAspect="Content" ObjectID="_1617780017" r:id="rId158"/>
              </w:object>
            </w:r>
          </w:p>
        </w:tc>
        <w:tc>
          <w:tcPr>
            <w:tcW w:w="2254" w:type="dxa"/>
          </w:tcPr>
          <w:p w14:paraId="431A95FB" w14:textId="77777777" w:rsidR="001C2958" w:rsidRPr="00CB37D3" w:rsidRDefault="00DF4541" w:rsidP="0006784E">
            <w:pPr>
              <w:pStyle w:val="NoSpacing"/>
              <w:jc w:val="center"/>
            </w:pPr>
            <w:r w:rsidRPr="00DF4541">
              <w:t>-4.016</w:t>
            </w:r>
          </w:p>
        </w:tc>
        <w:tc>
          <w:tcPr>
            <w:tcW w:w="2254" w:type="dxa"/>
          </w:tcPr>
          <w:p w14:paraId="6DF89C11" w14:textId="77777777" w:rsidR="001C2958" w:rsidRPr="00CB37D3" w:rsidRDefault="00DF4541" w:rsidP="0006784E">
            <w:pPr>
              <w:pStyle w:val="NoSpacing"/>
              <w:jc w:val="center"/>
            </w:pPr>
            <w:r w:rsidRPr="00DF4541">
              <w:t>0.06409</w:t>
            </w:r>
          </w:p>
        </w:tc>
        <w:tc>
          <w:tcPr>
            <w:tcW w:w="2254" w:type="dxa"/>
          </w:tcPr>
          <w:p w14:paraId="758828DD" w14:textId="77777777" w:rsidR="001C2958" w:rsidRPr="00CB37D3" w:rsidRDefault="00DF4541" w:rsidP="0006784E">
            <w:pPr>
              <w:pStyle w:val="NoSpacing"/>
              <w:jc w:val="center"/>
            </w:pPr>
            <w:r w:rsidRPr="00DF4541">
              <w:t>-62.67</w:t>
            </w:r>
          </w:p>
        </w:tc>
      </w:tr>
      <w:tr w:rsidR="001F4068" w:rsidRPr="00CB37D3" w14:paraId="47BAA4E5" w14:textId="77777777" w:rsidTr="00DA3C92">
        <w:trPr>
          <w:trHeight w:val="340"/>
        </w:trPr>
        <w:tc>
          <w:tcPr>
            <w:tcW w:w="2254" w:type="dxa"/>
          </w:tcPr>
          <w:p w14:paraId="79D7CEBD" w14:textId="77777777" w:rsidR="001F4068" w:rsidRPr="00CB37D3" w:rsidRDefault="001F4068" w:rsidP="0006784E">
            <w:pPr>
              <w:pStyle w:val="NoSpacing"/>
              <w:jc w:val="center"/>
              <w:rPr>
                <w:i/>
              </w:rPr>
            </w:pPr>
            <w:r w:rsidRPr="00CB37D3">
              <w:rPr>
                <w:i/>
                <w:position w:val="-6"/>
              </w:rPr>
              <w:object w:dxaOrig="200" w:dyaOrig="279" w14:anchorId="5D78FC9A">
                <v:shape id="_x0000_i1104" type="#_x0000_t75" style="width:15pt;height:15pt" o:ole="">
                  <v:imagedata r:id="rId159" o:title=""/>
                </v:shape>
                <o:OLEObject Type="Embed" ProgID="Equation.DSMT4" ShapeID="_x0000_i1104" DrawAspect="Content" ObjectID="_1617780018" r:id="rId160"/>
              </w:object>
            </w:r>
          </w:p>
        </w:tc>
        <w:tc>
          <w:tcPr>
            <w:tcW w:w="2254" w:type="dxa"/>
          </w:tcPr>
          <w:p w14:paraId="67232364" w14:textId="77777777" w:rsidR="001F4068" w:rsidRPr="00CB37D3" w:rsidRDefault="00DF4541" w:rsidP="0006784E">
            <w:pPr>
              <w:pStyle w:val="NoSpacing"/>
              <w:jc w:val="center"/>
            </w:pPr>
            <w:r w:rsidRPr="00DF4541">
              <w:t>-0.585</w:t>
            </w:r>
          </w:p>
        </w:tc>
        <w:tc>
          <w:tcPr>
            <w:tcW w:w="2254" w:type="dxa"/>
          </w:tcPr>
          <w:p w14:paraId="4A11A18C" w14:textId="77777777" w:rsidR="001F4068" w:rsidRPr="00CB37D3" w:rsidRDefault="00DF4541" w:rsidP="0006784E">
            <w:pPr>
              <w:pStyle w:val="NoSpacing"/>
              <w:jc w:val="center"/>
            </w:pPr>
            <w:r w:rsidRPr="00DF4541">
              <w:t>0.004215</w:t>
            </w:r>
          </w:p>
        </w:tc>
        <w:tc>
          <w:tcPr>
            <w:tcW w:w="2254" w:type="dxa"/>
          </w:tcPr>
          <w:p w14:paraId="216F591E" w14:textId="77777777" w:rsidR="001F4068" w:rsidRPr="00CB37D3" w:rsidRDefault="00DF4541" w:rsidP="0006784E">
            <w:pPr>
              <w:pStyle w:val="NoSpacing"/>
              <w:jc w:val="center"/>
            </w:pPr>
            <w:r w:rsidRPr="00DF4541">
              <w:t xml:space="preserve">-138.8  </w:t>
            </w:r>
          </w:p>
        </w:tc>
      </w:tr>
      <w:tr w:rsidR="001F4068" w:rsidRPr="00CB37D3" w14:paraId="111E81C3" w14:textId="77777777" w:rsidTr="00DA3C92">
        <w:trPr>
          <w:trHeight w:val="245"/>
        </w:trPr>
        <w:tc>
          <w:tcPr>
            <w:tcW w:w="2254" w:type="dxa"/>
          </w:tcPr>
          <w:p w14:paraId="5E54CC97" w14:textId="77777777" w:rsidR="001F4068" w:rsidRPr="00CB37D3" w:rsidRDefault="001F4068" w:rsidP="0006784E">
            <w:pPr>
              <w:pStyle w:val="NoSpacing"/>
              <w:jc w:val="center"/>
              <w:rPr>
                <w:i/>
                <w:vertAlign w:val="subscript"/>
              </w:rPr>
            </w:pPr>
            <w:r w:rsidRPr="00CB37D3">
              <w:rPr>
                <w:i/>
                <w:position w:val="-12"/>
              </w:rPr>
              <w:object w:dxaOrig="300" w:dyaOrig="360" w14:anchorId="057F7E49">
                <v:shape id="_x0000_i1105" type="#_x0000_t75" style="width:21pt;height:21pt" o:ole="">
                  <v:imagedata r:id="rId161" o:title=""/>
                </v:shape>
                <o:OLEObject Type="Embed" ProgID="Equation.DSMT4" ShapeID="_x0000_i1105" DrawAspect="Content" ObjectID="_1617780019" r:id="rId162"/>
              </w:object>
            </w:r>
          </w:p>
        </w:tc>
        <w:tc>
          <w:tcPr>
            <w:tcW w:w="2254" w:type="dxa"/>
          </w:tcPr>
          <w:p w14:paraId="7639B02B" w14:textId="77777777" w:rsidR="001F4068" w:rsidRPr="00CB37D3" w:rsidRDefault="00DF4541" w:rsidP="0006784E">
            <w:pPr>
              <w:pStyle w:val="NoSpacing"/>
              <w:jc w:val="center"/>
            </w:pPr>
            <w:r w:rsidRPr="00DF4541">
              <w:t>0.4555</w:t>
            </w:r>
          </w:p>
        </w:tc>
        <w:tc>
          <w:tcPr>
            <w:tcW w:w="2254" w:type="dxa"/>
          </w:tcPr>
          <w:p w14:paraId="1E28505E" w14:textId="77777777" w:rsidR="001F4068" w:rsidRPr="00CB37D3" w:rsidRDefault="001F4068" w:rsidP="0006784E">
            <w:pPr>
              <w:pStyle w:val="NoSpacing"/>
              <w:jc w:val="center"/>
            </w:pPr>
          </w:p>
        </w:tc>
        <w:tc>
          <w:tcPr>
            <w:tcW w:w="2254" w:type="dxa"/>
          </w:tcPr>
          <w:p w14:paraId="0B9FEB9C" w14:textId="77777777" w:rsidR="001F4068" w:rsidRPr="00CB37D3" w:rsidRDefault="001F4068" w:rsidP="0006784E">
            <w:pPr>
              <w:pStyle w:val="NoSpacing"/>
              <w:jc w:val="center"/>
            </w:pPr>
          </w:p>
        </w:tc>
      </w:tr>
      <w:tr w:rsidR="001F4068" w:rsidRPr="00CB37D3" w14:paraId="22D56DF1" w14:textId="77777777" w:rsidTr="00DA3C92">
        <w:trPr>
          <w:trHeight w:val="340"/>
        </w:trPr>
        <w:tc>
          <w:tcPr>
            <w:tcW w:w="2254" w:type="dxa"/>
          </w:tcPr>
          <w:p w14:paraId="5A64D142" w14:textId="77777777" w:rsidR="001F4068" w:rsidRPr="00CB37D3" w:rsidRDefault="001F4068" w:rsidP="0006784E">
            <w:pPr>
              <w:pStyle w:val="NoSpacing"/>
              <w:jc w:val="center"/>
              <w:rPr>
                <w:i/>
                <w:vertAlign w:val="subscript"/>
              </w:rPr>
            </w:pPr>
            <w:r w:rsidRPr="00CB37D3">
              <w:rPr>
                <w:i/>
                <w:position w:val="-14"/>
              </w:rPr>
              <w:object w:dxaOrig="320" w:dyaOrig="400" w14:anchorId="071C5DF0">
                <v:shape id="_x0000_i1106" type="#_x0000_t75" style="width:21pt;height:21pt" o:ole="">
                  <v:imagedata r:id="rId163" o:title=""/>
                </v:shape>
                <o:OLEObject Type="Embed" ProgID="Equation.DSMT4" ShapeID="_x0000_i1106" DrawAspect="Content" ObjectID="_1617780020" r:id="rId164"/>
              </w:object>
            </w:r>
          </w:p>
        </w:tc>
        <w:tc>
          <w:tcPr>
            <w:tcW w:w="2254" w:type="dxa"/>
          </w:tcPr>
          <w:p w14:paraId="68BCAC63" w14:textId="77777777" w:rsidR="001F4068" w:rsidRPr="00CB37D3" w:rsidRDefault="00DF4541" w:rsidP="0006784E">
            <w:pPr>
              <w:pStyle w:val="NoSpacing"/>
              <w:jc w:val="center"/>
            </w:pPr>
            <w:r w:rsidRPr="00DF4541">
              <w:t>3.6806</w:t>
            </w:r>
          </w:p>
        </w:tc>
        <w:tc>
          <w:tcPr>
            <w:tcW w:w="2254" w:type="dxa"/>
          </w:tcPr>
          <w:p w14:paraId="292E42E2" w14:textId="77777777" w:rsidR="001F4068" w:rsidRPr="00CB37D3" w:rsidRDefault="001F4068" w:rsidP="0006784E">
            <w:pPr>
              <w:pStyle w:val="NoSpacing"/>
              <w:jc w:val="center"/>
            </w:pPr>
          </w:p>
        </w:tc>
        <w:tc>
          <w:tcPr>
            <w:tcW w:w="2254" w:type="dxa"/>
          </w:tcPr>
          <w:p w14:paraId="6EC8A7AC" w14:textId="77777777" w:rsidR="001F4068" w:rsidRPr="00CB37D3" w:rsidRDefault="001F4068" w:rsidP="0006784E">
            <w:pPr>
              <w:pStyle w:val="NoSpacing"/>
              <w:jc w:val="center"/>
            </w:pPr>
          </w:p>
        </w:tc>
      </w:tr>
      <w:tr w:rsidR="001F4068" w:rsidRPr="00CB37D3" w14:paraId="34BE1ADD" w14:textId="77777777" w:rsidTr="00DA3C92">
        <w:trPr>
          <w:trHeight w:val="340"/>
        </w:trPr>
        <w:tc>
          <w:tcPr>
            <w:tcW w:w="2254" w:type="dxa"/>
          </w:tcPr>
          <w:p w14:paraId="70E78526" w14:textId="77777777" w:rsidR="001F4068" w:rsidRPr="00CB37D3" w:rsidRDefault="001F4068" w:rsidP="0006784E">
            <w:pPr>
              <w:pStyle w:val="NoSpacing"/>
              <w:jc w:val="center"/>
              <w:rPr>
                <w:i/>
                <w:vertAlign w:val="subscript"/>
              </w:rPr>
            </w:pPr>
            <w:r w:rsidRPr="00CB37D3">
              <w:rPr>
                <w:i/>
                <w:position w:val="-12"/>
              </w:rPr>
              <w:object w:dxaOrig="320" w:dyaOrig="380" w14:anchorId="664C6221">
                <v:shape id="_x0000_i1107" type="#_x0000_t75" style="width:21pt;height:15pt" o:ole="">
                  <v:imagedata r:id="rId165" o:title=""/>
                </v:shape>
                <o:OLEObject Type="Embed" ProgID="Equation.DSMT4" ShapeID="_x0000_i1107" DrawAspect="Content" ObjectID="_1617780021" r:id="rId166"/>
              </w:object>
            </w:r>
          </w:p>
        </w:tc>
        <w:tc>
          <w:tcPr>
            <w:tcW w:w="2254" w:type="dxa"/>
          </w:tcPr>
          <w:p w14:paraId="7CEBF165" w14:textId="77777777" w:rsidR="001F4068" w:rsidRPr="00CB37D3" w:rsidRDefault="00DF4541" w:rsidP="0006784E">
            <w:pPr>
              <w:pStyle w:val="NoSpacing"/>
              <w:jc w:val="center"/>
            </w:pPr>
            <w:r w:rsidRPr="00DF4541">
              <w:t>2.1518</w:t>
            </w:r>
          </w:p>
        </w:tc>
        <w:tc>
          <w:tcPr>
            <w:tcW w:w="2254" w:type="dxa"/>
          </w:tcPr>
          <w:p w14:paraId="0298B3CB" w14:textId="77777777" w:rsidR="001F4068" w:rsidRPr="00CB37D3" w:rsidRDefault="001F4068" w:rsidP="0006784E">
            <w:pPr>
              <w:pStyle w:val="NoSpacing"/>
              <w:jc w:val="center"/>
            </w:pPr>
          </w:p>
        </w:tc>
        <w:tc>
          <w:tcPr>
            <w:tcW w:w="2254" w:type="dxa"/>
          </w:tcPr>
          <w:p w14:paraId="37362F37" w14:textId="77777777" w:rsidR="001F4068" w:rsidRPr="00CB37D3" w:rsidRDefault="001F4068" w:rsidP="0006784E">
            <w:pPr>
              <w:pStyle w:val="NoSpacing"/>
              <w:jc w:val="center"/>
            </w:pPr>
          </w:p>
        </w:tc>
      </w:tr>
      <w:tr w:rsidR="00736B36" w:rsidRPr="00CB37D3" w14:paraId="744B9357" w14:textId="77777777" w:rsidTr="00736B36">
        <w:tc>
          <w:tcPr>
            <w:tcW w:w="9016" w:type="dxa"/>
            <w:gridSpan w:val="4"/>
            <w:tcBorders>
              <w:bottom w:val="single" w:sz="4" w:space="0" w:color="auto"/>
            </w:tcBorders>
          </w:tcPr>
          <w:p w14:paraId="7C195E82" w14:textId="77777777" w:rsidR="00736B36" w:rsidRPr="00CB37D3" w:rsidRDefault="00736B36" w:rsidP="004D3620">
            <w:pPr>
              <w:pStyle w:val="NoSpacing"/>
            </w:pPr>
            <w:r w:rsidRPr="00CB37D3">
              <w:t xml:space="preserve">Notes: Standard errors for estimates of </w:t>
            </w:r>
            <m:oMath>
              <m:sSub>
                <m:sSubPr>
                  <m:ctrlPr>
                    <w:rPr>
                      <w:rFonts w:ascii="Cambria Math" w:hAnsi="Cambria Math"/>
                      <w:i/>
                    </w:rPr>
                  </m:ctrlPr>
                </m:sSubPr>
                <m:e>
                  <m:r>
                    <w:rPr>
                      <w:rFonts w:ascii="Cambria Math" w:hAnsi="Cambria Math"/>
                    </w:rPr>
                    <m:t>ρ</m:t>
                  </m:r>
                </m:e>
                <m:sub>
                  <m:r>
                    <w:rPr>
                      <w:rFonts w:ascii="Cambria Math" w:hAnsi="Cambria Math"/>
                    </w:rPr>
                    <m:t>2</m:t>
                  </m:r>
                </m:sub>
              </m:sSub>
            </m:oMath>
            <w:r w:rsidRPr="00CB37D3">
              <w:rPr>
                <w:rFonts w:eastAsiaTheme="minorEastAsia"/>
              </w:rPr>
              <w:t>,</w:t>
            </w:r>
            <m:oMath>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ν</m:t>
                  </m:r>
                </m:sub>
                <m:sup>
                  <m:r>
                    <w:rPr>
                      <w:rFonts w:ascii="Cambria Math" w:eastAsiaTheme="minorEastAsia" w:hAnsi="Cambria Math"/>
                    </w:rPr>
                    <m:t>2</m:t>
                  </m:r>
                </m:sup>
              </m:sSubSup>
            </m:oMath>
            <w:r w:rsidRPr="00CB37D3">
              <w:rPr>
                <w:rFonts w:eastAsiaTheme="minorEastAsia"/>
              </w:rPr>
              <w:t xml:space="preserve"> and </w:t>
            </w:r>
            <m:oMath>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μ</m:t>
                  </m:r>
                </m:sub>
                <m:sup>
                  <m:r>
                    <w:rPr>
                      <w:rFonts w:ascii="Cambria Math" w:eastAsiaTheme="minorEastAsia" w:hAnsi="Cambria Math"/>
                    </w:rPr>
                    <m:t>2</m:t>
                  </m:r>
                </m:sup>
              </m:sSubSup>
            </m:oMath>
            <w:r w:rsidR="004D3620" w:rsidRPr="00CB37D3">
              <w:rPr>
                <w:rFonts w:eastAsiaTheme="minorEastAsia"/>
              </w:rPr>
              <w:t xml:space="preserve"> cannot be estimated using standard techniques and therefore are not reported in this table. The influence </w:t>
            </w:r>
            <w:r w:rsidR="0058104B">
              <w:rPr>
                <w:rFonts w:eastAsiaTheme="minorEastAsia"/>
              </w:rPr>
              <w:t xml:space="preserve">of </w:t>
            </w:r>
            <w:r w:rsidR="0058104B" w:rsidRPr="00CB37D3">
              <w:rPr>
                <w:i/>
                <w:position w:val="-12"/>
              </w:rPr>
              <w:object w:dxaOrig="300" w:dyaOrig="360" w14:anchorId="1B5D70B2">
                <v:shape id="_x0000_i1108" type="#_x0000_t75" style="width:21pt;height:21pt" o:ole="">
                  <v:imagedata r:id="rId161" o:title=""/>
                </v:shape>
                <o:OLEObject Type="Embed" ProgID="Equation.DSMT4" ShapeID="_x0000_i1108" DrawAspect="Content" ObjectID="_1617780022" r:id="rId167"/>
              </w:object>
            </w:r>
            <w:r w:rsidR="004D3620" w:rsidRPr="00CB37D3">
              <w:rPr>
                <w:rFonts w:eastAsiaTheme="minorEastAsia"/>
              </w:rPr>
              <w:t xml:space="preserve">on the model can however, be inferred from the results of one-step ahead predictions reported below. </w:t>
            </w:r>
          </w:p>
        </w:tc>
      </w:tr>
    </w:tbl>
    <w:p w14:paraId="12606306" w14:textId="77777777" w:rsidR="00080C04" w:rsidRDefault="00080C04" w:rsidP="00C96E9A">
      <w:pPr>
        <w:jc w:val="both"/>
        <w:rPr>
          <w:rFonts w:cstheme="minorHAnsi"/>
        </w:rPr>
      </w:pPr>
    </w:p>
    <w:p w14:paraId="16C39EBF" w14:textId="77777777" w:rsidR="00C96E9A" w:rsidRPr="00CB37D3" w:rsidRDefault="00C96E9A" w:rsidP="00080C04">
      <w:pPr>
        <w:spacing w:line="480" w:lineRule="auto"/>
        <w:jc w:val="both"/>
        <w:rPr>
          <w:rFonts w:ascii="Times New Roman" w:hAnsi="Times New Roman"/>
          <w:sz w:val="24"/>
          <w:szCs w:val="24"/>
        </w:rPr>
      </w:pPr>
      <w:r w:rsidRPr="00CB37D3">
        <w:rPr>
          <w:rFonts w:cstheme="minorHAnsi"/>
        </w:rPr>
        <w:t>The on-step ahead predictions for 2012 were obtained</w:t>
      </w:r>
      <w:r w:rsidRPr="00CB37D3">
        <w:rPr>
          <w:rFonts w:cstheme="minorHAnsi"/>
          <w:b/>
        </w:rPr>
        <w:t xml:space="preserve"> </w:t>
      </w:r>
      <w:r w:rsidRPr="00CB37D3">
        <w:t xml:space="preserve">following Chamberlain (1984), Sevestre and Trognon (1996), and Baltagi et al (2014), who proposed a linear predictor of (3) under the assumption that </w:t>
      </w:r>
      <w:r w:rsidRPr="00CB37D3">
        <w:rPr>
          <w:position w:val="-6"/>
        </w:rPr>
        <w:object w:dxaOrig="560" w:dyaOrig="279" w14:anchorId="6AB914EF">
          <v:shape id="_x0000_i1109" type="#_x0000_t75" style="width:21pt;height:15pt" o:ole="">
            <v:imagedata r:id="rId168" o:title=""/>
          </v:shape>
          <o:OLEObject Type="Embed" ProgID="Equation.DSMT4" ShapeID="_x0000_i1109" DrawAspect="Content" ObjectID="_1617780023" r:id="rId169"/>
        </w:object>
      </w:r>
      <w:r w:rsidRPr="00CB37D3">
        <w:t xml:space="preserve">. But this also depends on a process that generates initial values which could be impracticable. In this section, we give an alternative predictor for the case where </w:t>
      </w:r>
      <w:r w:rsidRPr="00CB37D3">
        <w:rPr>
          <w:position w:val="-6"/>
        </w:rPr>
        <w:object w:dxaOrig="560" w:dyaOrig="279" w14:anchorId="5964FE79">
          <v:shape id="_x0000_i1110" type="#_x0000_t75" style="width:21pt;height:15pt" o:ole="">
            <v:imagedata r:id="rId170" o:title=""/>
          </v:shape>
          <o:OLEObject Type="Embed" ProgID="Equation.DSMT4" ShapeID="_x0000_i1110" DrawAspect="Content" ObjectID="_1617780024" r:id="rId171"/>
        </w:object>
      </w:r>
      <w:r w:rsidRPr="00CB37D3">
        <w:t xml:space="preserve"> and which does not depend on the generation of unobserved initial values </w:t>
      </w:r>
      <w:r w:rsidRPr="00CB37D3">
        <w:rPr>
          <w:position w:val="-12"/>
        </w:rPr>
        <w:object w:dxaOrig="300" w:dyaOrig="360" w14:anchorId="12834625">
          <v:shape id="_x0000_i1111" type="#_x0000_t75" style="width:21pt;height:21pt" o:ole="">
            <v:imagedata r:id="rId172" o:title=""/>
          </v:shape>
          <o:OLEObject Type="Embed" ProgID="Equation.DSMT4" ShapeID="_x0000_i1111" DrawAspect="Content" ObjectID="_1617780025" r:id="rId173"/>
        </w:object>
      </w:r>
      <w:r w:rsidRPr="00CB37D3">
        <w:t xml:space="preserve">. </w:t>
      </w:r>
      <w:r w:rsidR="00156432">
        <w:t xml:space="preserve">Following </w:t>
      </w:r>
      <w:r w:rsidR="00156432" w:rsidRPr="00CB37D3">
        <w:t>Baltagi et al (201</w:t>
      </w:r>
      <w:r w:rsidR="00156432">
        <w:t>8</w:t>
      </w:r>
      <w:r w:rsidR="00156432" w:rsidRPr="00CB37D3">
        <w:t xml:space="preserve">), </w:t>
      </w:r>
      <w:r w:rsidR="00156432">
        <w:t>but in the context of spatial autoregressive errors, a</w:t>
      </w:r>
      <w:r w:rsidRPr="00CB37D3">
        <w:t xml:space="preserve">s a first step, we obtain estimates of the individual effects </w:t>
      </w:r>
      <w:r w:rsidRPr="00CB37D3">
        <w:rPr>
          <w:position w:val="-12"/>
        </w:rPr>
        <w:object w:dxaOrig="260" w:dyaOrig="360" w14:anchorId="5126B948">
          <v:shape id="_x0000_i1112" type="#_x0000_t75" style="width:15pt;height:21pt" o:ole="">
            <v:imagedata r:id="rId174" o:title=""/>
          </v:shape>
          <o:OLEObject Type="Embed" ProgID="Equation.DSMT4" ShapeID="_x0000_i1112" DrawAspect="Content" ObjectID="_1617780026" r:id="rId175"/>
        </w:object>
      </w:r>
      <w:r w:rsidRPr="00CB37D3">
        <w:t xml:space="preserve"> </w:t>
      </w:r>
      <w:r w:rsidRPr="001D17F6">
        <w:rPr>
          <w:rFonts w:cstheme="minorHAnsi"/>
        </w:rPr>
        <w:t>from the residuals averaged over time. Thus, we commence with the equation (3) specification written thus</w:t>
      </w:r>
    </w:p>
    <w:p w14:paraId="69ADB663" w14:textId="77777777" w:rsidR="00C96E9A" w:rsidRPr="00CB37D3" w:rsidRDefault="00C96E9A" w:rsidP="00601007">
      <w:pPr>
        <w:pStyle w:val="MTDisplayEquation"/>
        <w:jc w:val="right"/>
      </w:pPr>
      <w:r w:rsidRPr="00CB37D3">
        <w:tab/>
      </w:r>
      <w:r w:rsidR="008A6FD0" w:rsidRPr="00CB37D3">
        <w:rPr>
          <w:position w:val="-44"/>
        </w:rPr>
        <w:object w:dxaOrig="5040" w:dyaOrig="1080" w14:anchorId="559ECFB4">
          <v:shape id="_x0000_i1113" type="#_x0000_t75" style="width:252pt;height:51pt" o:ole="">
            <v:imagedata r:id="rId176" o:title=""/>
          </v:shape>
          <o:OLEObject Type="Embed" ProgID="Equation.DSMT4" ShapeID="_x0000_i1113" DrawAspect="Content" ObjectID="_1617780027" r:id="rId177"/>
        </w:object>
      </w:r>
      <w:r w:rsidRPr="00CB37D3">
        <w:t xml:space="preserve"> </w:t>
      </w:r>
      <w:r w:rsidR="00601007" w:rsidRPr="00CB37D3">
        <w:t xml:space="preserve">                                  (6)</w:t>
      </w:r>
    </w:p>
    <w:p w14:paraId="483AEC39" w14:textId="77777777" w:rsidR="00C96E9A" w:rsidRPr="00CB37D3" w:rsidRDefault="00C96E9A" w:rsidP="00080C04">
      <w:pPr>
        <w:spacing w:line="480" w:lineRule="auto"/>
        <w:jc w:val="both"/>
      </w:pPr>
      <w:r w:rsidRPr="00CB37D3">
        <w:t>in which</w:t>
      </w:r>
      <w:r w:rsidR="008E260F">
        <w:t xml:space="preserve"> </w:t>
      </w:r>
      <w:r w:rsidR="00DF4541" w:rsidRPr="00CB37D3">
        <w:rPr>
          <w:position w:val="-12"/>
        </w:rPr>
        <w:object w:dxaOrig="1780" w:dyaOrig="360" w14:anchorId="48931058">
          <v:shape id="_x0000_i1114" type="#_x0000_t75" style="width:93pt;height:21pt" o:ole="">
            <v:imagedata r:id="rId178" o:title=""/>
          </v:shape>
          <o:OLEObject Type="Embed" ProgID="Equation.DSMT4" ShapeID="_x0000_i1114" DrawAspect="Content" ObjectID="_1617780028" r:id="rId179"/>
        </w:object>
      </w:r>
      <w:r w:rsidRPr="00CB37D3">
        <w:t xml:space="preserve"> and </w:t>
      </w:r>
      <w:r w:rsidRPr="00CB37D3">
        <w:rPr>
          <w:position w:val="-6"/>
        </w:rPr>
        <w:object w:dxaOrig="200" w:dyaOrig="279" w14:anchorId="4CE6E5A5">
          <v:shape id="_x0000_i1115" type="#_x0000_t75" style="width:15pt;height:15pt" o:ole="">
            <v:imagedata r:id="rId180" o:title=""/>
          </v:shape>
          <o:OLEObject Type="Embed" ProgID="Equation.DSMT4" ShapeID="_x0000_i1115" DrawAspect="Content" ObjectID="_1617780029" r:id="rId181"/>
        </w:object>
      </w:r>
      <w:r w:rsidRPr="00CB37D3">
        <w:t>are scalar parameters</w:t>
      </w:r>
      <w:r w:rsidR="00884AF6" w:rsidRPr="00CB37D3">
        <w:t xml:space="preserve"> and </w:t>
      </w:r>
      <w:r w:rsidR="00884AF6" w:rsidRPr="00CB37D3">
        <w:rPr>
          <w:position w:val="-12"/>
        </w:rPr>
        <w:object w:dxaOrig="300" w:dyaOrig="360" w14:anchorId="5104D770">
          <v:shape id="_x0000_i1116" type="#_x0000_t75" style="width:15pt;height:21pt" o:ole="">
            <v:imagedata r:id="rId182" o:title=""/>
          </v:shape>
          <o:OLEObject Type="Embed" ProgID="Equation.DSMT4" ShapeID="_x0000_i1116" DrawAspect="Content" ObjectID="_1617780030" r:id="rId183"/>
        </w:object>
      </w:r>
      <w:r w:rsidR="00884AF6" w:rsidRPr="00CB37D3">
        <w:t xml:space="preserve"> is an </w:t>
      </w:r>
      <w:r w:rsidR="00884AF6" w:rsidRPr="00CB37D3">
        <w:rPr>
          <w:position w:val="-6"/>
        </w:rPr>
        <w:object w:dxaOrig="279" w:dyaOrig="279" w14:anchorId="41C9BE20">
          <v:shape id="_x0000_i1117" type="#_x0000_t75" style="width:15pt;height:15pt" o:ole="">
            <v:imagedata r:id="rId184" o:title=""/>
          </v:shape>
          <o:OLEObject Type="Embed" ProgID="Equation.DSMT4" ShapeID="_x0000_i1117" DrawAspect="Content" ObjectID="_1617780031" r:id="rId185"/>
        </w:object>
      </w:r>
      <w:r w:rsidR="00884AF6" w:rsidRPr="00CB37D3">
        <w:t xml:space="preserve"> by </w:t>
      </w:r>
      <w:r w:rsidR="00884AF6" w:rsidRPr="00CB37D3">
        <w:rPr>
          <w:position w:val="-6"/>
        </w:rPr>
        <w:object w:dxaOrig="279" w:dyaOrig="279" w14:anchorId="738FB4AD">
          <v:shape id="_x0000_i1118" type="#_x0000_t75" style="width:15pt;height:15pt" o:ole="">
            <v:imagedata r:id="rId184" o:title=""/>
          </v:shape>
          <o:OLEObject Type="Embed" ProgID="Equation.DSMT4" ShapeID="_x0000_i1118" DrawAspect="Content" ObjectID="_1617780032" r:id="rId186"/>
        </w:object>
      </w:r>
      <w:r w:rsidR="00884AF6" w:rsidRPr="00CB37D3">
        <w:t>identity matrix</w:t>
      </w:r>
      <w:r w:rsidRPr="00CB37D3">
        <w:t xml:space="preserve">. And given the SAR error process based on scalar parameter </w:t>
      </w:r>
      <w:r w:rsidRPr="00CB37D3">
        <w:rPr>
          <w:position w:val="-12"/>
        </w:rPr>
        <w:object w:dxaOrig="300" w:dyaOrig="360" w14:anchorId="6B1355FE">
          <v:shape id="_x0000_i1119" type="#_x0000_t75" style="width:21pt;height:21pt" o:ole="">
            <v:imagedata r:id="rId187" o:title=""/>
          </v:shape>
          <o:OLEObject Type="Embed" ProgID="Equation.DSMT4" ShapeID="_x0000_i1119" DrawAspect="Content" ObjectID="_1617780033" r:id="rId188"/>
        </w:object>
      </w:r>
      <w:r w:rsidRPr="00CB37D3">
        <w:t xml:space="preserve"> and thus </w:t>
      </w:r>
      <w:r w:rsidR="00884AF6" w:rsidRPr="00CB37D3">
        <w:rPr>
          <w:position w:val="-14"/>
        </w:rPr>
        <w:object w:dxaOrig="1840" w:dyaOrig="400" w14:anchorId="5FD6E8EF">
          <v:shape id="_x0000_i1120" type="#_x0000_t75" style="width:87pt;height:21pt" o:ole="">
            <v:imagedata r:id="rId189" o:title=""/>
          </v:shape>
          <o:OLEObject Type="Embed" ProgID="Equation.DSMT4" ShapeID="_x0000_i1120" DrawAspect="Content" ObjectID="_1617780034" r:id="rId190"/>
        </w:object>
      </w:r>
      <w:r w:rsidRPr="00CB37D3">
        <w:t>, this leads to</w:t>
      </w:r>
    </w:p>
    <w:p w14:paraId="17853501" w14:textId="77777777" w:rsidR="00C96E9A" w:rsidRPr="00CB37D3" w:rsidRDefault="008A6FD0" w:rsidP="00153558">
      <w:pPr>
        <w:pStyle w:val="MTDisplayEquation"/>
        <w:jc w:val="right"/>
      </w:pPr>
      <w:r w:rsidRPr="00CB37D3">
        <w:rPr>
          <w:position w:val="-14"/>
        </w:rPr>
        <w:object w:dxaOrig="5820" w:dyaOrig="400" w14:anchorId="52B2F5CF">
          <v:shape id="_x0000_i1121" type="#_x0000_t75" style="width:3in;height:21pt" o:ole="">
            <v:imagedata r:id="rId191" o:title=""/>
          </v:shape>
          <o:OLEObject Type="Embed" ProgID="Equation.DSMT4" ShapeID="_x0000_i1121" DrawAspect="Content" ObjectID="_1617780035" r:id="rId192"/>
        </w:object>
      </w:r>
      <w:r w:rsidR="00C96E9A" w:rsidRPr="00CB37D3">
        <w:t xml:space="preserve"> </w:t>
      </w:r>
      <w:r w:rsidR="00601007" w:rsidRPr="00CB37D3">
        <w:t xml:space="preserve">                                  (7)</w:t>
      </w:r>
    </w:p>
    <w:p w14:paraId="6C4F2939" w14:textId="77777777" w:rsidR="00C96E9A" w:rsidRPr="00CB37D3" w:rsidRDefault="00C96E9A" w:rsidP="00C96E9A">
      <w:r w:rsidRPr="00CB37D3">
        <w:t xml:space="preserve">So that </w:t>
      </w:r>
    </w:p>
    <w:p w14:paraId="33ED62F3" w14:textId="77777777" w:rsidR="00C96E9A" w:rsidRPr="00CB37D3" w:rsidRDefault="00C96E9A" w:rsidP="00601007">
      <w:pPr>
        <w:pStyle w:val="MTDisplayEquation"/>
        <w:jc w:val="right"/>
      </w:pPr>
      <w:r w:rsidRPr="00CB37D3">
        <w:lastRenderedPageBreak/>
        <w:tab/>
      </w:r>
      <w:r w:rsidR="008A6FD0" w:rsidRPr="00CB37D3">
        <w:rPr>
          <w:position w:val="-42"/>
        </w:rPr>
        <w:object w:dxaOrig="6380" w:dyaOrig="960" w14:anchorId="368CF000">
          <v:shape id="_x0000_i1122" type="#_x0000_t75" style="width:4in;height:43.5pt" o:ole="">
            <v:imagedata r:id="rId193" o:title=""/>
          </v:shape>
          <o:OLEObject Type="Embed" ProgID="Equation.DSMT4" ShapeID="_x0000_i1122" DrawAspect="Content" ObjectID="_1617780036" r:id="rId194"/>
        </w:object>
      </w:r>
      <w:r w:rsidRPr="00CB37D3">
        <w:t xml:space="preserve"> </w:t>
      </w:r>
      <w:r w:rsidR="00601007" w:rsidRPr="00CB37D3">
        <w:t xml:space="preserve">                             (8)</w:t>
      </w:r>
    </w:p>
    <w:p w14:paraId="34F9C5D7" w14:textId="77777777" w:rsidR="00C96E9A" w:rsidRPr="00CB37D3" w:rsidRDefault="00C96E9A" w:rsidP="00080C04">
      <w:pPr>
        <w:spacing w:line="480" w:lineRule="auto"/>
        <w:jc w:val="both"/>
      </w:pPr>
      <w:r w:rsidRPr="00CB37D3">
        <w:t xml:space="preserve">We obtain </w:t>
      </w:r>
      <w:r w:rsidR="002B74A7" w:rsidRPr="00CB37D3">
        <w:rPr>
          <w:position w:val="-10"/>
        </w:rPr>
        <w:object w:dxaOrig="240" w:dyaOrig="320" w14:anchorId="57DFF5C2">
          <v:shape id="_x0000_i1123" type="#_x0000_t75" style="width:15pt;height:15pt" o:ole="">
            <v:imagedata r:id="rId195" o:title=""/>
          </v:shape>
          <o:OLEObject Type="Embed" ProgID="Equation.DSMT4" ShapeID="_x0000_i1123" DrawAspect="Content" ObjectID="_1617780037" r:id="rId196"/>
        </w:object>
      </w:r>
      <w:r w:rsidRPr="00CB37D3">
        <w:t xml:space="preserve">by using the </w:t>
      </w:r>
      <w:r w:rsidRPr="00CB37D3">
        <w:rPr>
          <w:i/>
        </w:rPr>
        <w:t>N</w:t>
      </w:r>
      <w:r w:rsidRPr="00CB37D3">
        <w:t xml:space="preserve"> x 1 observed price series </w:t>
      </w:r>
      <w:r w:rsidRPr="00CB37D3">
        <w:rPr>
          <w:position w:val="-12"/>
        </w:rPr>
        <w:object w:dxaOrig="279" w:dyaOrig="360" w14:anchorId="45E3F170">
          <v:shape id="_x0000_i1124" type="#_x0000_t75" style="width:15pt;height:21pt" o:ole="">
            <v:imagedata r:id="rId197" o:title=""/>
          </v:shape>
          <o:OLEObject Type="Embed" ProgID="Equation.DSMT4" ShapeID="_x0000_i1124" DrawAspect="Content" ObjectID="_1617780038" r:id="rId198"/>
        </w:object>
      </w:r>
      <w:r w:rsidRPr="00CB37D3">
        <w:t xml:space="preserve"> together with </w:t>
      </w:r>
      <w:r w:rsidRPr="00CB37D3">
        <w:rPr>
          <w:position w:val="-12"/>
        </w:rPr>
        <w:object w:dxaOrig="260" w:dyaOrig="380" w14:anchorId="54B226FC">
          <v:shape id="_x0000_i1125" type="#_x0000_t75" style="width:15pt;height:15pt" o:ole="">
            <v:imagedata r:id="rId117" o:title=""/>
          </v:shape>
          <o:OLEObject Type="Embed" ProgID="Equation.DSMT4" ShapeID="_x0000_i1125" DrawAspect="Content" ObjectID="_1617780039" r:id="rId199"/>
        </w:object>
      </w:r>
      <w:r w:rsidRPr="00CB37D3">
        <w:t xml:space="preserve">, </w:t>
      </w:r>
      <w:r w:rsidRPr="00CB37D3">
        <w:rPr>
          <w:position w:val="-12"/>
        </w:rPr>
        <w:object w:dxaOrig="260" w:dyaOrig="360" w14:anchorId="518E6E75">
          <v:shape id="_x0000_i1126" type="#_x0000_t75" style="width:15pt;height:21pt" o:ole="">
            <v:imagedata r:id="rId119" o:title=""/>
          </v:shape>
          <o:OLEObject Type="Embed" ProgID="Equation.DSMT4" ShapeID="_x0000_i1126" DrawAspect="Content" ObjectID="_1617780040" r:id="rId200"/>
        </w:object>
      </w:r>
      <w:r w:rsidR="00DF4541">
        <w:t>,</w:t>
      </w:r>
      <w:r w:rsidR="008A6FD0">
        <w:t xml:space="preserve"> </w:t>
      </w:r>
      <w:r w:rsidR="00DF4541" w:rsidRPr="00CB37D3">
        <w:rPr>
          <w:position w:val="-12"/>
        </w:rPr>
        <w:object w:dxaOrig="260" w:dyaOrig="360" w14:anchorId="60306155">
          <v:shape id="_x0000_i1127" type="#_x0000_t75" style="width:15pt;height:21pt" o:ole="">
            <v:imagedata r:id="rId201" o:title=""/>
          </v:shape>
          <o:OLEObject Type="Embed" ProgID="Equation.DSMT4" ShapeID="_x0000_i1127" DrawAspect="Content" ObjectID="_1617780041" r:id="rId202"/>
        </w:object>
      </w:r>
      <w:r w:rsidR="00DF4541" w:rsidRPr="00CB37D3">
        <w:rPr>
          <w:position w:val="-12"/>
        </w:rPr>
        <w:object w:dxaOrig="340" w:dyaOrig="360" w14:anchorId="3B12EA1F">
          <v:shape id="_x0000_i1128" type="#_x0000_t75" style="width:15pt;height:21pt" o:ole="">
            <v:imagedata r:id="rId203" o:title=""/>
          </v:shape>
          <o:OLEObject Type="Embed" ProgID="Equation.DSMT4" ShapeID="_x0000_i1128" DrawAspect="Content" ObjectID="_1617780042" r:id="rId204"/>
        </w:object>
      </w:r>
      <w:r w:rsidR="008E260F">
        <w:t xml:space="preserve"> </w:t>
      </w:r>
      <w:r w:rsidRPr="00CB37D3">
        <w:t xml:space="preserve">and  </w:t>
      </w:r>
      <w:r w:rsidR="00DF4541" w:rsidRPr="00CB37D3">
        <w:rPr>
          <w:position w:val="-12"/>
        </w:rPr>
        <w:object w:dxaOrig="2320" w:dyaOrig="400" w14:anchorId="5FAC84D8">
          <v:shape id="_x0000_i1129" type="#_x0000_t75" style="width:115.5pt;height:21pt" o:ole="">
            <v:imagedata r:id="rId205" o:title=""/>
          </v:shape>
          <o:OLEObject Type="Embed" ProgID="Equation.DSMT4" ShapeID="_x0000_i1129" DrawAspect="Content" ObjectID="_1617780043" r:id="rId206"/>
        </w:object>
      </w:r>
      <w:r w:rsidRPr="00CB37D3">
        <w:t xml:space="preserve"> as given in Table </w:t>
      </w:r>
      <w:r w:rsidR="00F800BA" w:rsidRPr="00CB37D3">
        <w:t>2</w:t>
      </w:r>
      <w:r w:rsidRPr="00CB37D3">
        <w:t xml:space="preserve">, and drawing an </w:t>
      </w:r>
      <w:r w:rsidRPr="00CB37D3">
        <w:rPr>
          <w:i/>
        </w:rPr>
        <w:t>N</w:t>
      </w:r>
      <w:r w:rsidRPr="00CB37D3">
        <w:t xml:space="preserve"> x 1 vector </w:t>
      </w:r>
      <w:r w:rsidRPr="00CB37D3">
        <w:rPr>
          <w:position w:val="-12"/>
        </w:rPr>
        <w:object w:dxaOrig="240" w:dyaOrig="360" w14:anchorId="78714DA6">
          <v:shape id="_x0000_i1130" type="#_x0000_t75" style="width:15pt;height:21pt" o:ole="">
            <v:imagedata r:id="rId207" o:title=""/>
          </v:shape>
          <o:OLEObject Type="Embed" ProgID="Equation.DSMT4" ShapeID="_x0000_i1130" DrawAspect="Content" ObjectID="_1617780044" r:id="rId208"/>
        </w:object>
      </w:r>
      <w:r w:rsidRPr="00CB37D3">
        <w:t xml:space="preserve"> from the </w:t>
      </w:r>
      <w:r w:rsidRPr="00CB37D3">
        <w:rPr>
          <w:position w:val="-12"/>
        </w:rPr>
        <w:object w:dxaOrig="920" w:dyaOrig="380" w14:anchorId="2DBCCAD3">
          <v:shape id="_x0000_i1131" type="#_x0000_t75" style="width:51pt;height:15pt" o:ole="">
            <v:imagedata r:id="rId209" o:title=""/>
          </v:shape>
          <o:OLEObject Type="Embed" ProgID="Equation.DSMT4" ShapeID="_x0000_i1131" DrawAspect="Content" ObjectID="_1617780045" r:id="rId210"/>
        </w:object>
      </w:r>
      <w:r w:rsidRPr="00CB37D3">
        <w:t xml:space="preserve"> distribution to give</w:t>
      </w:r>
      <w:r w:rsidR="00F55BA0">
        <w:t xml:space="preserve"> </w:t>
      </w:r>
      <w:r w:rsidRPr="00CB37D3">
        <w:rPr>
          <w:position w:val="-10"/>
        </w:rPr>
        <w:object w:dxaOrig="240" w:dyaOrig="320" w14:anchorId="3EBDBB52">
          <v:shape id="_x0000_i1132" type="#_x0000_t75" style="width:15pt;height:15pt" o:ole="">
            <v:imagedata r:id="rId195" o:title=""/>
          </v:shape>
          <o:OLEObject Type="Embed" ProgID="Equation.DSMT4" ShapeID="_x0000_i1132" DrawAspect="Content" ObjectID="_1617780046" r:id="rId211"/>
        </w:object>
      </w:r>
      <w:r w:rsidR="00F55BA0">
        <w:t xml:space="preserve"> </w:t>
      </w:r>
      <w:r w:rsidRPr="00CB37D3">
        <w:t xml:space="preserve">for each of </w:t>
      </w:r>
      <w:r w:rsidR="008A6FD0" w:rsidRPr="00CB37D3">
        <w:rPr>
          <w:position w:val="-10"/>
        </w:rPr>
        <w:object w:dxaOrig="900" w:dyaOrig="320" w14:anchorId="0FC81B40">
          <v:shape id="_x0000_i1133" type="#_x0000_t75" style="width:36pt;height:15pt" o:ole="">
            <v:imagedata r:id="rId212" o:title=""/>
          </v:shape>
          <o:OLEObject Type="Embed" ProgID="Equation.DSMT4" ShapeID="_x0000_i1133" DrawAspect="Content" ObjectID="_1617780047" r:id="rId213"/>
        </w:object>
      </w:r>
      <w:r w:rsidRPr="00CB37D3">
        <w:t xml:space="preserve">. We take the time mean of these </w:t>
      </w:r>
      <w:r w:rsidRPr="00CB37D3">
        <w:rPr>
          <w:position w:val="-4"/>
        </w:rPr>
        <w:object w:dxaOrig="499" w:dyaOrig="260" w14:anchorId="0ACA0D4B">
          <v:shape id="_x0000_i1134" type="#_x0000_t75" style="width:21pt;height:15pt" o:ole="">
            <v:imagedata r:id="rId214" o:title=""/>
          </v:shape>
          <o:OLEObject Type="Embed" ProgID="Equation.DSMT4" ShapeID="_x0000_i1134" DrawAspect="Content" ObjectID="_1617780048" r:id="rId215"/>
        </w:object>
      </w:r>
      <w:r w:rsidR="001D17F6">
        <w:t xml:space="preserve"> </w:t>
      </w:r>
      <w:r w:rsidRPr="00CB37D3">
        <w:t xml:space="preserve"> different estimates, over the years 1998 to 2011, to give an estimate of the time-constant </w:t>
      </w:r>
      <w:r w:rsidRPr="00CB37D3">
        <w:rPr>
          <w:i/>
        </w:rPr>
        <w:t>N</w:t>
      </w:r>
      <w:r w:rsidRPr="00CB37D3">
        <w:t xml:space="preserve"> x 1 vector </w:t>
      </w:r>
      <w:r w:rsidRPr="00CB37D3">
        <w:rPr>
          <w:position w:val="-10"/>
        </w:rPr>
        <w:object w:dxaOrig="240" w:dyaOrig="260" w14:anchorId="046C9BB7">
          <v:shape id="_x0000_i1135" type="#_x0000_t75" style="width:15pt;height:15pt" o:ole="">
            <v:imagedata r:id="rId216" o:title=""/>
          </v:shape>
          <o:OLEObject Type="Embed" ProgID="Equation.DSMT4" ShapeID="_x0000_i1135" DrawAspect="Content" ObjectID="_1617780049" r:id="rId217"/>
        </w:object>
      </w:r>
      <w:r w:rsidRPr="00CB37D3">
        <w:t xml:space="preserve">. We denote this estimate by </w:t>
      </w:r>
      <w:r w:rsidRPr="00CB37D3">
        <w:rPr>
          <w:position w:val="-10"/>
        </w:rPr>
        <w:object w:dxaOrig="240" w:dyaOrig="300" w14:anchorId="559E6810">
          <v:shape id="_x0000_i1136" type="#_x0000_t75" style="width:15pt;height:15pt" o:ole="">
            <v:imagedata r:id="rId218" o:title=""/>
          </v:shape>
          <o:OLEObject Type="Embed" ProgID="Equation.DSMT4" ShapeID="_x0000_i1136" DrawAspect="Content" ObjectID="_1617780050" r:id="rId219"/>
        </w:object>
      </w:r>
      <w:r w:rsidRPr="00CB37D3">
        <w:t>.</w:t>
      </w:r>
    </w:p>
    <w:p w14:paraId="6D27A078" w14:textId="77777777" w:rsidR="00C96E9A" w:rsidRPr="00CB37D3" w:rsidRDefault="00C96E9A" w:rsidP="00080C04">
      <w:pPr>
        <w:spacing w:line="480" w:lineRule="auto"/>
        <w:jc w:val="both"/>
      </w:pPr>
      <w:r w:rsidRPr="00CB37D3">
        <w:t xml:space="preserve">Given </w:t>
      </w:r>
      <w:r w:rsidRPr="00CB37D3">
        <w:rPr>
          <w:position w:val="-10"/>
        </w:rPr>
        <w:object w:dxaOrig="240" w:dyaOrig="300" w14:anchorId="390B0A93">
          <v:shape id="_x0000_i1137" type="#_x0000_t75" style="width:15pt;height:15pt" o:ole="">
            <v:imagedata r:id="rId218" o:title=""/>
          </v:shape>
          <o:OLEObject Type="Embed" ProgID="Equation.DSMT4" ShapeID="_x0000_i1137" DrawAspect="Content" ObjectID="_1617780051" r:id="rId220"/>
        </w:object>
      </w:r>
      <w:r w:rsidRPr="00CB37D3">
        <w:t xml:space="preserve">, we obtain a price prediction </w:t>
      </w:r>
      <w:r w:rsidR="002B74A7" w:rsidRPr="00CB37D3">
        <w:t xml:space="preserve">for 2012 using the estimates </w:t>
      </w:r>
      <w:r w:rsidR="00AA7D06" w:rsidRPr="00CB37D3">
        <w:rPr>
          <w:position w:val="-12"/>
        </w:rPr>
        <w:object w:dxaOrig="2320" w:dyaOrig="400" w14:anchorId="77A17E4B">
          <v:shape id="_x0000_i1138" type="#_x0000_t75" style="width:115.5pt;height:21pt" o:ole="">
            <v:imagedata r:id="rId205" o:title=""/>
          </v:shape>
          <o:OLEObject Type="Embed" ProgID="Equation.DSMT4" ShapeID="_x0000_i1138" DrawAspect="Content" ObjectID="_1617780052" r:id="rId221"/>
        </w:object>
      </w:r>
      <w:r w:rsidR="002B74A7" w:rsidRPr="00CB37D3">
        <w:t xml:space="preserve">obtained from data for the period up to 2011 combined with the observations on the explanatory variables for </w:t>
      </w:r>
      <w:r w:rsidR="002B74A7" w:rsidRPr="00CB37D3">
        <w:rPr>
          <w:position w:val="-6"/>
        </w:rPr>
        <w:object w:dxaOrig="920" w:dyaOrig="279" w14:anchorId="0976FBBC">
          <v:shape id="_x0000_i1139" type="#_x0000_t75" style="width:43.5pt;height:15pt" o:ole="">
            <v:imagedata r:id="rId222" o:title=""/>
          </v:shape>
          <o:OLEObject Type="Embed" ProgID="Equation.DSMT4" ShapeID="_x0000_i1139" DrawAspect="Content" ObjectID="_1617780053" r:id="rId223"/>
        </w:object>
      </w:r>
      <w:r w:rsidR="002B74A7" w:rsidRPr="00CB37D3">
        <w:t xml:space="preserve">, thus ensuring that the parameter estimates are independent of the 2012 data and providing a valid method for testing the predictive ability of the model. </w:t>
      </w:r>
      <w:r w:rsidR="00F55BA0" w:rsidRPr="00CB37D3">
        <w:t>Therefore,</w:t>
      </w:r>
      <w:r w:rsidR="002B74A7" w:rsidRPr="00CB37D3">
        <w:t xml:space="preserve"> predictions are </w:t>
      </w:r>
      <w:r w:rsidR="00737F6C" w:rsidRPr="00600223">
        <w:t>obtain using</w:t>
      </w:r>
      <w:r w:rsidRPr="00CB37D3">
        <w:t xml:space="preserve"> the predict</w:t>
      </w:r>
      <w:r w:rsidR="002B74A7" w:rsidRPr="00CB37D3">
        <w:t xml:space="preserve">ion equation </w:t>
      </w:r>
      <w:r w:rsidRPr="00CB37D3">
        <w:t xml:space="preserve"> </w:t>
      </w:r>
    </w:p>
    <w:p w14:paraId="244413DB" w14:textId="77777777" w:rsidR="009C1A1E" w:rsidRPr="00CB37D3" w:rsidRDefault="00C96E9A" w:rsidP="002A7E4A">
      <w:pPr>
        <w:pStyle w:val="NoSpacing"/>
        <w:rPr>
          <w:rFonts w:cstheme="minorHAnsi"/>
          <w:b/>
        </w:rPr>
      </w:pPr>
      <w:r w:rsidRPr="00CB37D3">
        <w:tab/>
      </w:r>
      <w:r w:rsidR="00AA7D06" w:rsidRPr="00CB37D3">
        <w:rPr>
          <w:position w:val="-86"/>
        </w:rPr>
        <w:object w:dxaOrig="5179" w:dyaOrig="1840" w14:anchorId="34A411C5">
          <v:shape id="_x0000_i1140" type="#_x0000_t75" style="width:265.5pt;height:100.5pt" o:ole="">
            <v:imagedata r:id="rId224" o:title=""/>
          </v:shape>
          <o:OLEObject Type="Embed" ProgID="Equation.DSMT4" ShapeID="_x0000_i1140" DrawAspect="Content" ObjectID="_1617780054" r:id="rId225"/>
        </w:object>
      </w:r>
      <w:r w:rsidR="00601007" w:rsidRPr="00CB37D3">
        <w:t xml:space="preserve">                                            (9)</w:t>
      </w:r>
    </w:p>
    <w:p w14:paraId="62BA8090" w14:textId="77777777" w:rsidR="008A6FD0" w:rsidRDefault="008A6FD0" w:rsidP="00C96E9A"/>
    <w:p w14:paraId="27E30382" w14:textId="77777777" w:rsidR="00C96E9A" w:rsidRPr="00CB37D3" w:rsidRDefault="00876890" w:rsidP="00080C04">
      <w:pPr>
        <w:spacing w:line="480" w:lineRule="auto"/>
        <w:jc w:val="both"/>
      </w:pPr>
      <w:r w:rsidRPr="00CB37D3">
        <w:t xml:space="preserve">The predicted and actual prices for 2012 for each of </w:t>
      </w:r>
      <w:r w:rsidRPr="00CB37D3">
        <w:rPr>
          <w:position w:val="-6"/>
        </w:rPr>
        <w:object w:dxaOrig="859" w:dyaOrig="279" w14:anchorId="154A8E6E">
          <v:shape id="_x0000_i1141" type="#_x0000_t75" style="width:43.5pt;height:15pt" o:ole="">
            <v:imagedata r:id="rId226" o:title=""/>
          </v:shape>
          <o:OLEObject Type="Embed" ProgID="Equation.DSMT4" ShapeID="_x0000_i1141" DrawAspect="Content" ObjectID="_1617780055" r:id="rId227"/>
        </w:object>
      </w:r>
      <w:r w:rsidRPr="00CB37D3">
        <w:t xml:space="preserve"> districts are given in Figure 2, and this indicates that the model works quite well for </w:t>
      </w:r>
      <w:r w:rsidR="00F55BA0" w:rsidRPr="00CB37D3">
        <w:t>most</w:t>
      </w:r>
      <w:r w:rsidRPr="00CB37D3">
        <w:t xml:space="preserve"> districts. </w:t>
      </w:r>
    </w:p>
    <w:p w14:paraId="4B0A5AFB" w14:textId="77777777" w:rsidR="0041187C" w:rsidRPr="00CB37D3" w:rsidRDefault="00B97C74" w:rsidP="00C33576">
      <w:pPr>
        <w:jc w:val="center"/>
      </w:pPr>
      <w:r w:rsidRPr="00B97C74">
        <w:rPr>
          <w:b/>
          <w:noProof/>
          <w:lang w:eastAsia="en-GB"/>
        </w:rPr>
        <w:lastRenderedPageBreak/>
        <mc:AlternateContent>
          <mc:Choice Requires="wps">
            <w:drawing>
              <wp:anchor distT="0" distB="0" distL="114300" distR="114300" simplePos="0" relativeHeight="251670528" behindDoc="0" locked="0" layoutInCell="1" allowOverlap="1" wp14:anchorId="6846DFF6" wp14:editId="020ABD95">
                <wp:simplePos x="0" y="0"/>
                <wp:positionH relativeFrom="column">
                  <wp:posOffset>2236440</wp:posOffset>
                </wp:positionH>
                <wp:positionV relativeFrom="paragraph">
                  <wp:posOffset>191386</wp:posOffset>
                </wp:positionV>
                <wp:extent cx="1414131" cy="563526"/>
                <wp:effectExtent l="0" t="0" r="0" b="8255"/>
                <wp:wrapNone/>
                <wp:docPr id="307"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4131" cy="563526"/>
                        </a:xfrm>
                        <a:prstGeom prst="rect">
                          <a:avLst/>
                        </a:prstGeom>
                        <a:solidFill>
                          <a:srgbClr val="FFFFFF"/>
                        </a:solidFill>
                        <a:ln w="9525">
                          <a:noFill/>
                          <a:miter lim="800000"/>
                          <a:headEnd/>
                          <a:tailEnd/>
                        </a:ln>
                      </wps:spPr>
                      <wps:txbx>
                        <w:txbxContent>
                          <w:p w14:paraId="3F5B95A2" w14:textId="77777777" w:rsidR="00332CC1" w:rsidRPr="00B97C74" w:rsidRDefault="00332CC1">
                            <w:pPr>
                              <w:rPr>
                                <w:lang w:val="pl-P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46DFF6" id="_x0000_t202" coordsize="21600,21600" o:spt="202" path="m,l,21600r21600,l21600,xe">
                <v:stroke joinstyle="miter"/>
                <v:path gradientshapeok="t" o:connecttype="rect"/>
              </v:shapetype>
              <v:shape id="Pole tekstowe 2" o:spid="_x0000_s1026" type="#_x0000_t202" style="position:absolute;left:0;text-align:left;margin-left:176.1pt;margin-top:15.05pt;width:111.35pt;height:44.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" stroked="f">
                <v:textbox>
                  <w:txbxContent>
                    <w:p w14:paraId="3F5B95A2" w14:textId="77777777" w:rsidR="00332CC1" w:rsidRPr="00B97C74" w:rsidRDefault="00332CC1">
                      <w:pPr>
                        <w:rPr>
                          <w:lang w:val="pl-PL"/>
                        </w:rPr>
                      </w:pPr>
                    </w:p>
                  </w:txbxContent>
                </v:textbox>
              </v:shape>
            </w:pict>
          </mc:Fallback>
        </mc:AlternateContent>
      </w:r>
      <w:r w:rsidR="00876890" w:rsidRPr="00CB37D3">
        <w:rPr>
          <w:b/>
        </w:rPr>
        <w:t>Figure 2: One-step ahead predictions</w:t>
      </w:r>
      <w:r w:rsidR="00F55BA0">
        <w:rPr>
          <w:b/>
          <w:noProof/>
          <w:lang w:eastAsia="en-GB"/>
        </w:rPr>
        <w:drawing>
          <wp:inline distT="0" distB="0" distL="0" distR="0" wp14:anchorId="7117AF1A" wp14:editId="34A57E92">
            <wp:extent cx="4389120" cy="3200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4389120" cy="3200400"/>
                    </a:xfrm>
                    <a:prstGeom prst="rect">
                      <a:avLst/>
                    </a:prstGeom>
                    <a:noFill/>
                    <a:ln>
                      <a:noFill/>
                    </a:ln>
                  </pic:spPr>
                </pic:pic>
              </a:graphicData>
            </a:graphic>
          </wp:inline>
        </w:drawing>
      </w:r>
    </w:p>
    <w:p w14:paraId="67513755" w14:textId="77777777" w:rsidR="00336A13" w:rsidRPr="00CB37D3" w:rsidRDefault="00876890" w:rsidP="00080C04">
      <w:pPr>
        <w:spacing w:line="480" w:lineRule="auto"/>
        <w:jc w:val="both"/>
      </w:pPr>
      <w:r w:rsidRPr="00CB37D3">
        <w:t xml:space="preserve">A measure of the relative predictive ability of the model versus various sub-models in which various </w:t>
      </w:r>
      <w:r w:rsidR="00601007" w:rsidRPr="00CB37D3">
        <w:t>parameters are restricted to zero</w:t>
      </w:r>
      <w:r w:rsidRPr="00CB37D3">
        <w:t xml:space="preserve">, is given by the root mean square error (RMSE), where </w:t>
      </w:r>
    </w:p>
    <w:p w14:paraId="31C4A427" w14:textId="77777777" w:rsidR="00876890" w:rsidRPr="00CB37D3" w:rsidRDefault="00336A13" w:rsidP="00601007">
      <w:pPr>
        <w:jc w:val="right"/>
      </w:pPr>
      <w:r w:rsidRPr="00CB37D3">
        <w:rPr>
          <w:position w:val="-26"/>
        </w:rPr>
        <w:object w:dxaOrig="2439" w:dyaOrig="1040" w14:anchorId="4BF576D6">
          <v:shape id="_x0000_i1142" type="#_x0000_t75" style="width:121.5pt;height:51pt" o:ole="">
            <v:imagedata r:id="rId229" o:title=""/>
          </v:shape>
          <o:OLEObject Type="Embed" ProgID="Equation.DSMT4" ShapeID="_x0000_i1142" DrawAspect="Content" ObjectID="_1617780056" r:id="rId230"/>
        </w:object>
      </w:r>
      <w:r w:rsidR="00601007" w:rsidRPr="00CB37D3">
        <w:t xml:space="preserve">                                                       (10)</w:t>
      </w:r>
    </w:p>
    <w:p w14:paraId="5FDA31B3" w14:textId="77777777" w:rsidR="00336A13" w:rsidRPr="00CB37D3" w:rsidRDefault="00601007" w:rsidP="00601007">
      <w:r w:rsidRPr="00CB37D3">
        <w:t>Table 3: RMSEs for one-step ahead predictions given by prediction equation (9) and sub-models</w:t>
      </w:r>
    </w:p>
    <w:tbl>
      <w:tblPr>
        <w:tblStyle w:val="TableGrid"/>
        <w:tblW w:w="0" w:type="auto"/>
        <w:tblLook w:val="04A0" w:firstRow="1" w:lastRow="0" w:firstColumn="1" w:lastColumn="0" w:noHBand="0" w:noVBand="1"/>
      </w:tblPr>
      <w:tblGrid>
        <w:gridCol w:w="1288"/>
        <w:gridCol w:w="1288"/>
        <w:gridCol w:w="1288"/>
        <w:gridCol w:w="1288"/>
        <w:gridCol w:w="1288"/>
        <w:gridCol w:w="1288"/>
        <w:gridCol w:w="1288"/>
      </w:tblGrid>
      <w:tr w:rsidR="00336A13" w:rsidRPr="00CB37D3" w14:paraId="2BBD3879" w14:textId="77777777" w:rsidTr="00336A13">
        <w:tc>
          <w:tcPr>
            <w:tcW w:w="1288" w:type="dxa"/>
          </w:tcPr>
          <w:p w14:paraId="50B18F72" w14:textId="77777777" w:rsidR="00336A13" w:rsidRPr="00CB37D3" w:rsidRDefault="00336A13" w:rsidP="00336A13">
            <w:r w:rsidRPr="00CB37D3">
              <w:t>Full model</w:t>
            </w:r>
          </w:p>
        </w:tc>
        <w:tc>
          <w:tcPr>
            <w:tcW w:w="1288" w:type="dxa"/>
          </w:tcPr>
          <w:p w14:paraId="46D8E613" w14:textId="77777777" w:rsidR="00336A13" w:rsidRPr="00CB37D3" w:rsidRDefault="00336A13" w:rsidP="00336A13">
            <w:r w:rsidRPr="00CB37D3">
              <w:rPr>
                <w:position w:val="-12"/>
              </w:rPr>
              <w:object w:dxaOrig="639" w:dyaOrig="360" w14:anchorId="22DCDABE">
                <v:shape id="_x0000_i1143" type="#_x0000_t75" style="width:28.5pt;height:21pt" o:ole="">
                  <v:imagedata r:id="rId231" o:title=""/>
                </v:shape>
                <o:OLEObject Type="Embed" ProgID="Equation.DSMT4" ShapeID="_x0000_i1143" DrawAspect="Content" ObjectID="_1617780057" r:id="rId232"/>
              </w:object>
            </w:r>
            <w:r w:rsidRPr="00CB37D3">
              <w:t xml:space="preserve"> </w:t>
            </w:r>
          </w:p>
        </w:tc>
        <w:tc>
          <w:tcPr>
            <w:tcW w:w="1288" w:type="dxa"/>
          </w:tcPr>
          <w:p w14:paraId="09FF42B1" w14:textId="77777777" w:rsidR="00336A13" w:rsidRPr="00CB37D3" w:rsidRDefault="00336A13" w:rsidP="00336A13">
            <w:r w:rsidRPr="00CB37D3">
              <w:rPr>
                <w:position w:val="-10"/>
              </w:rPr>
              <w:object w:dxaOrig="560" w:dyaOrig="320" w14:anchorId="0DC06D30">
                <v:shape id="_x0000_i1144" type="#_x0000_t75" style="width:28.5pt;height:15pt" o:ole="">
                  <v:imagedata r:id="rId233" o:title=""/>
                </v:shape>
                <o:OLEObject Type="Embed" ProgID="Equation.DSMT4" ShapeID="_x0000_i1144" DrawAspect="Content" ObjectID="_1617780058" r:id="rId234"/>
              </w:object>
            </w:r>
            <w:r w:rsidRPr="00CB37D3">
              <w:t xml:space="preserve"> </w:t>
            </w:r>
          </w:p>
        </w:tc>
        <w:tc>
          <w:tcPr>
            <w:tcW w:w="1288" w:type="dxa"/>
          </w:tcPr>
          <w:p w14:paraId="20AE4756" w14:textId="77777777" w:rsidR="00336A13" w:rsidRPr="00CB37D3" w:rsidRDefault="00336A13" w:rsidP="00336A13">
            <w:r w:rsidRPr="00CB37D3">
              <w:rPr>
                <w:position w:val="-6"/>
              </w:rPr>
              <w:object w:dxaOrig="560" w:dyaOrig="279" w14:anchorId="2A298CD3">
                <v:shape id="_x0000_i1145" type="#_x0000_t75" style="width:28.5pt;height:15pt" o:ole="">
                  <v:imagedata r:id="rId235" o:title=""/>
                </v:shape>
                <o:OLEObject Type="Embed" ProgID="Equation.DSMT4" ShapeID="_x0000_i1145" DrawAspect="Content" ObjectID="_1617780059" r:id="rId236"/>
              </w:object>
            </w:r>
          </w:p>
        </w:tc>
        <w:tc>
          <w:tcPr>
            <w:tcW w:w="1288" w:type="dxa"/>
          </w:tcPr>
          <w:p w14:paraId="58F36936" w14:textId="77777777" w:rsidR="00336A13" w:rsidRPr="00CB37D3" w:rsidRDefault="00336A13" w:rsidP="00336A13">
            <w:r w:rsidRPr="00CB37D3">
              <w:rPr>
                <w:position w:val="-12"/>
              </w:rPr>
              <w:object w:dxaOrig="639" w:dyaOrig="360" w14:anchorId="170C51F2">
                <v:shape id="_x0000_i1146" type="#_x0000_t75" style="width:28.5pt;height:21pt" o:ole="">
                  <v:imagedata r:id="rId237" o:title=""/>
                </v:shape>
                <o:OLEObject Type="Embed" ProgID="Equation.DSMT4" ShapeID="_x0000_i1146" DrawAspect="Content" ObjectID="_1617780060" r:id="rId238"/>
              </w:object>
            </w:r>
            <w:r w:rsidRPr="00CB37D3">
              <w:t xml:space="preserve"> </w:t>
            </w:r>
          </w:p>
        </w:tc>
        <w:tc>
          <w:tcPr>
            <w:tcW w:w="1288" w:type="dxa"/>
          </w:tcPr>
          <w:p w14:paraId="0D181496" w14:textId="77777777" w:rsidR="00336A13" w:rsidRPr="00CB37D3" w:rsidRDefault="00336A13" w:rsidP="00336A13">
            <w:r w:rsidRPr="00CB37D3">
              <w:rPr>
                <w:position w:val="-12"/>
              </w:rPr>
              <w:object w:dxaOrig="680" w:dyaOrig="360" w14:anchorId="4EB07BD7">
                <v:shape id="_x0000_i1147" type="#_x0000_t75" style="width:36pt;height:21pt" o:ole="">
                  <v:imagedata r:id="rId239" o:title=""/>
                </v:shape>
                <o:OLEObject Type="Embed" ProgID="Equation.DSMT4" ShapeID="_x0000_i1147" DrawAspect="Content" ObjectID="_1617780061" r:id="rId240"/>
              </w:object>
            </w:r>
          </w:p>
        </w:tc>
        <w:tc>
          <w:tcPr>
            <w:tcW w:w="1288" w:type="dxa"/>
          </w:tcPr>
          <w:p w14:paraId="6FDA7B68" w14:textId="77777777" w:rsidR="00336A13" w:rsidRPr="00CB37D3" w:rsidRDefault="00336A13" w:rsidP="00336A13">
            <w:r w:rsidRPr="00CB37D3">
              <w:rPr>
                <w:position w:val="-12"/>
              </w:rPr>
              <w:object w:dxaOrig="680" w:dyaOrig="360" w14:anchorId="638BD985">
                <v:shape id="_x0000_i1148" type="#_x0000_t75" style="width:36pt;height:21pt" o:ole="">
                  <v:imagedata r:id="rId241" o:title=""/>
                </v:shape>
                <o:OLEObject Type="Embed" ProgID="Equation.DSMT4" ShapeID="_x0000_i1148" DrawAspect="Content" ObjectID="_1617780062" r:id="rId242"/>
              </w:object>
            </w:r>
          </w:p>
        </w:tc>
      </w:tr>
      <w:tr w:rsidR="00336A13" w:rsidRPr="00CB37D3" w14:paraId="3D4F9E6A" w14:textId="77777777" w:rsidTr="00336A13">
        <w:tc>
          <w:tcPr>
            <w:tcW w:w="1288" w:type="dxa"/>
          </w:tcPr>
          <w:p w14:paraId="152C3ED2" w14:textId="77777777" w:rsidR="00336A13" w:rsidRPr="00CB37D3" w:rsidRDefault="005F76D2" w:rsidP="00336A13">
            <w:r w:rsidRPr="005F76D2">
              <w:t>17.4213</w:t>
            </w:r>
          </w:p>
        </w:tc>
        <w:tc>
          <w:tcPr>
            <w:tcW w:w="1288" w:type="dxa"/>
          </w:tcPr>
          <w:p w14:paraId="5D72AEFE" w14:textId="77777777" w:rsidR="00336A13" w:rsidRPr="00CB37D3" w:rsidRDefault="0041187C" w:rsidP="00336A13">
            <w:r w:rsidRPr="0041187C">
              <w:t>168.8065</w:t>
            </w:r>
          </w:p>
        </w:tc>
        <w:tc>
          <w:tcPr>
            <w:tcW w:w="1288" w:type="dxa"/>
          </w:tcPr>
          <w:p w14:paraId="13B022AA" w14:textId="77777777" w:rsidR="00336A13" w:rsidRPr="00CB37D3" w:rsidRDefault="0041187C" w:rsidP="00336A13">
            <w:r w:rsidRPr="0041187C">
              <w:t>641.2378</w:t>
            </w:r>
          </w:p>
        </w:tc>
        <w:tc>
          <w:tcPr>
            <w:tcW w:w="1288" w:type="dxa"/>
          </w:tcPr>
          <w:p w14:paraId="672E85CF" w14:textId="77777777" w:rsidR="00336A13" w:rsidRPr="00CB37D3" w:rsidRDefault="0041187C" w:rsidP="00336A13">
            <w:r w:rsidRPr="0041187C">
              <w:t>445.7474</w:t>
            </w:r>
          </w:p>
        </w:tc>
        <w:tc>
          <w:tcPr>
            <w:tcW w:w="1288" w:type="dxa"/>
          </w:tcPr>
          <w:p w14:paraId="7ED03CEC" w14:textId="77777777" w:rsidR="00336A13" w:rsidRPr="00CB37D3" w:rsidRDefault="0041187C" w:rsidP="00336A13">
            <w:r w:rsidRPr="0041187C">
              <w:t>58.7971</w:t>
            </w:r>
          </w:p>
        </w:tc>
        <w:tc>
          <w:tcPr>
            <w:tcW w:w="1288" w:type="dxa"/>
          </w:tcPr>
          <w:p w14:paraId="15BE2B10" w14:textId="77777777" w:rsidR="00336A13" w:rsidRPr="00CB37D3" w:rsidRDefault="0041187C" w:rsidP="00336A13">
            <w:r w:rsidRPr="0041187C">
              <w:t>201.8032</w:t>
            </w:r>
          </w:p>
        </w:tc>
        <w:tc>
          <w:tcPr>
            <w:tcW w:w="1288" w:type="dxa"/>
          </w:tcPr>
          <w:p w14:paraId="3B86CC12" w14:textId="77777777" w:rsidR="00336A13" w:rsidRPr="00CB37D3" w:rsidRDefault="0041187C" w:rsidP="00336A13">
            <w:r w:rsidRPr="0041187C">
              <w:t>93.0538</w:t>
            </w:r>
          </w:p>
        </w:tc>
      </w:tr>
      <w:tr w:rsidR="0041187C" w:rsidRPr="00CB37D3" w14:paraId="53AB1E51" w14:textId="77777777" w:rsidTr="00336A13">
        <w:tc>
          <w:tcPr>
            <w:tcW w:w="1288" w:type="dxa"/>
          </w:tcPr>
          <w:p w14:paraId="327D141D" w14:textId="77777777" w:rsidR="0041187C" w:rsidRPr="00CB37D3" w:rsidRDefault="0041187C" w:rsidP="00336A13"/>
        </w:tc>
        <w:tc>
          <w:tcPr>
            <w:tcW w:w="1288" w:type="dxa"/>
          </w:tcPr>
          <w:p w14:paraId="03795A94" w14:textId="77777777" w:rsidR="0041187C" w:rsidRPr="00CB37D3" w:rsidRDefault="005F76D2" w:rsidP="00336A13">
            <w:r w:rsidRPr="00CB37D3">
              <w:rPr>
                <w:position w:val="-12"/>
              </w:rPr>
              <w:object w:dxaOrig="660" w:dyaOrig="360" w14:anchorId="0724AB2C">
                <v:shape id="_x0000_i1149" type="#_x0000_t75" style="width:36pt;height:21pt" o:ole="">
                  <v:imagedata r:id="rId243" o:title=""/>
                </v:shape>
                <o:OLEObject Type="Embed" ProgID="Equation.DSMT4" ShapeID="_x0000_i1149" DrawAspect="Content" ObjectID="_1617780063" r:id="rId244"/>
              </w:object>
            </w:r>
          </w:p>
        </w:tc>
        <w:tc>
          <w:tcPr>
            <w:tcW w:w="1288" w:type="dxa"/>
          </w:tcPr>
          <w:p w14:paraId="6194A286" w14:textId="77777777" w:rsidR="0041187C" w:rsidRPr="00CB37D3" w:rsidRDefault="005F76D2" w:rsidP="00336A13">
            <w:r w:rsidRPr="00CB37D3">
              <w:rPr>
                <w:position w:val="-12"/>
              </w:rPr>
              <w:object w:dxaOrig="680" w:dyaOrig="360" w14:anchorId="24C76105">
                <v:shape id="_x0000_i1150" type="#_x0000_t75" style="width:36pt;height:21pt" o:ole="">
                  <v:imagedata r:id="rId245" o:title=""/>
                </v:shape>
                <o:OLEObject Type="Embed" ProgID="Equation.DSMT4" ShapeID="_x0000_i1150" DrawAspect="Content" ObjectID="_1617780064" r:id="rId246"/>
              </w:object>
            </w:r>
          </w:p>
        </w:tc>
        <w:tc>
          <w:tcPr>
            <w:tcW w:w="1288" w:type="dxa"/>
          </w:tcPr>
          <w:p w14:paraId="1E2BE8D1" w14:textId="77777777" w:rsidR="0041187C" w:rsidRPr="00CB37D3" w:rsidRDefault="0041187C" w:rsidP="00336A13"/>
        </w:tc>
        <w:tc>
          <w:tcPr>
            <w:tcW w:w="1288" w:type="dxa"/>
          </w:tcPr>
          <w:p w14:paraId="158F5040" w14:textId="77777777" w:rsidR="0041187C" w:rsidRPr="00CB37D3" w:rsidRDefault="0041187C" w:rsidP="00336A13"/>
        </w:tc>
        <w:tc>
          <w:tcPr>
            <w:tcW w:w="1288" w:type="dxa"/>
          </w:tcPr>
          <w:p w14:paraId="3606752D" w14:textId="77777777" w:rsidR="0041187C" w:rsidRPr="00CB37D3" w:rsidRDefault="0041187C" w:rsidP="00336A13"/>
        </w:tc>
        <w:tc>
          <w:tcPr>
            <w:tcW w:w="1288" w:type="dxa"/>
          </w:tcPr>
          <w:p w14:paraId="30CA1597" w14:textId="77777777" w:rsidR="0041187C" w:rsidRPr="00CB37D3" w:rsidRDefault="0041187C" w:rsidP="00336A13"/>
        </w:tc>
      </w:tr>
      <w:tr w:rsidR="0041187C" w:rsidRPr="00CB37D3" w14:paraId="6F9ACA5E" w14:textId="77777777" w:rsidTr="00336A13">
        <w:tc>
          <w:tcPr>
            <w:tcW w:w="1288" w:type="dxa"/>
          </w:tcPr>
          <w:p w14:paraId="66B6E8CF" w14:textId="77777777" w:rsidR="0041187C" w:rsidRPr="00CB37D3" w:rsidRDefault="0041187C" w:rsidP="00336A13"/>
        </w:tc>
        <w:tc>
          <w:tcPr>
            <w:tcW w:w="1288" w:type="dxa"/>
          </w:tcPr>
          <w:p w14:paraId="120E2FCF" w14:textId="77777777" w:rsidR="0041187C" w:rsidRPr="00CB37D3" w:rsidRDefault="005F76D2" w:rsidP="00336A13">
            <w:r w:rsidRPr="005F76D2">
              <w:t>203.7190</w:t>
            </w:r>
          </w:p>
        </w:tc>
        <w:tc>
          <w:tcPr>
            <w:tcW w:w="1288" w:type="dxa"/>
          </w:tcPr>
          <w:p w14:paraId="454CCD2C" w14:textId="77777777" w:rsidR="0041187C" w:rsidRPr="00CB37D3" w:rsidRDefault="005F76D2" w:rsidP="00336A13">
            <w:r w:rsidRPr="005F76D2">
              <w:t>230.2032</w:t>
            </w:r>
          </w:p>
        </w:tc>
        <w:tc>
          <w:tcPr>
            <w:tcW w:w="1288" w:type="dxa"/>
          </w:tcPr>
          <w:p w14:paraId="2E67FAEF" w14:textId="77777777" w:rsidR="0041187C" w:rsidRPr="00CB37D3" w:rsidRDefault="0041187C" w:rsidP="00336A13"/>
        </w:tc>
        <w:tc>
          <w:tcPr>
            <w:tcW w:w="1288" w:type="dxa"/>
          </w:tcPr>
          <w:p w14:paraId="66127684" w14:textId="77777777" w:rsidR="0041187C" w:rsidRPr="00CB37D3" w:rsidRDefault="0041187C" w:rsidP="00336A13"/>
        </w:tc>
        <w:tc>
          <w:tcPr>
            <w:tcW w:w="1288" w:type="dxa"/>
          </w:tcPr>
          <w:p w14:paraId="6D59A208" w14:textId="77777777" w:rsidR="0041187C" w:rsidRPr="00CB37D3" w:rsidRDefault="0041187C" w:rsidP="00336A13"/>
        </w:tc>
        <w:tc>
          <w:tcPr>
            <w:tcW w:w="1288" w:type="dxa"/>
          </w:tcPr>
          <w:p w14:paraId="22AA0551" w14:textId="77777777" w:rsidR="0041187C" w:rsidRPr="00CB37D3" w:rsidRDefault="0041187C" w:rsidP="00336A13"/>
        </w:tc>
      </w:tr>
    </w:tbl>
    <w:p w14:paraId="20525F1A" w14:textId="77777777" w:rsidR="00336A13" w:rsidRPr="00CB37D3" w:rsidRDefault="00336A13" w:rsidP="00336A13"/>
    <w:p w14:paraId="1317321A" w14:textId="77777777" w:rsidR="00601007" w:rsidRPr="00CB37D3" w:rsidRDefault="00601007" w:rsidP="00080C04">
      <w:pPr>
        <w:spacing w:line="480" w:lineRule="auto"/>
        <w:jc w:val="both"/>
      </w:pPr>
      <w:r w:rsidRPr="00CB37D3">
        <w:t xml:space="preserve">Table 3 shows the loss of fit relative to the predictions given by the full model that occurs when </w:t>
      </w:r>
      <w:r w:rsidR="00AE2D67" w:rsidRPr="00CB37D3">
        <w:t xml:space="preserve">the various model </w:t>
      </w:r>
      <w:r w:rsidRPr="00CB37D3">
        <w:t>parameters are constrained to zero</w:t>
      </w:r>
      <w:r w:rsidR="00AE2D67" w:rsidRPr="00CB37D3">
        <w:t xml:space="preserve">. An RMSE value similar to that for the full model would indicate that a given restriction was acceptable and make no difference to the predictive performance of the model. </w:t>
      </w:r>
      <w:r w:rsidR="006D5094" w:rsidRPr="00CB37D3">
        <w:t>However,</w:t>
      </w:r>
      <w:r w:rsidR="00AE2D67" w:rsidRPr="00CB37D3">
        <w:t xml:space="preserve"> we find that the RMSEs reflect what is shown by the t ratios in </w:t>
      </w:r>
      <w:r w:rsidR="00AE2D67" w:rsidRPr="00CB37D3">
        <w:lastRenderedPageBreak/>
        <w:t xml:space="preserve">Table 2. While the estimator </w:t>
      </w:r>
      <w:r w:rsidR="006D5094" w:rsidRPr="00CB37D3">
        <w:t xml:space="preserve">does not provide a t ratio </w:t>
      </w:r>
      <w:r w:rsidR="00AE2D67" w:rsidRPr="00CB37D3">
        <w:t xml:space="preserve">for </w:t>
      </w:r>
      <w:r w:rsidR="00AE2D67" w:rsidRPr="00CB37D3">
        <w:rPr>
          <w:position w:val="-12"/>
        </w:rPr>
        <w:object w:dxaOrig="300" w:dyaOrig="360" w14:anchorId="0FE1D2D6">
          <v:shape id="_x0000_i1151" type="#_x0000_t75" style="width:15pt;height:21pt" o:ole="">
            <v:imagedata r:id="rId247" o:title=""/>
          </v:shape>
          <o:OLEObject Type="Embed" ProgID="Equation.DSMT4" ShapeID="_x0000_i1151" DrawAspect="Content" ObjectID="_1617780065" r:id="rId248"/>
        </w:object>
      </w:r>
      <w:r w:rsidR="00AE2D67" w:rsidRPr="00CB37D3">
        <w:t xml:space="preserve">, interestingly, assuming no spatial dependence in the </w:t>
      </w:r>
      <w:r w:rsidR="006D5094" w:rsidRPr="00CB37D3">
        <w:t>errors (</w:t>
      </w:r>
      <w:r w:rsidR="00AE2D67" w:rsidRPr="00CB37D3">
        <w:rPr>
          <w:position w:val="-12"/>
        </w:rPr>
        <w:object w:dxaOrig="680" w:dyaOrig="360" w14:anchorId="6562234C">
          <v:shape id="_x0000_i1152" type="#_x0000_t75" style="width:36pt;height:21pt" o:ole="">
            <v:imagedata r:id="rId241" o:title=""/>
          </v:shape>
          <o:OLEObject Type="Embed" ProgID="Equation.DSMT4" ShapeID="_x0000_i1152" DrawAspect="Content" ObjectID="_1617780066" r:id="rId249"/>
        </w:object>
      </w:r>
      <w:r w:rsidR="00AE2D67" w:rsidRPr="00CB37D3">
        <w:t>) produces a larger RMSE than nullifying the effect of demand variation.</w:t>
      </w:r>
    </w:p>
    <w:p w14:paraId="7BE9D81F" w14:textId="77777777" w:rsidR="006D5094" w:rsidRPr="00CB37D3" w:rsidRDefault="006D5094" w:rsidP="00080C04">
      <w:pPr>
        <w:pStyle w:val="Heading3"/>
        <w:spacing w:line="480" w:lineRule="auto"/>
      </w:pPr>
      <w:r w:rsidRPr="00CB37D3">
        <w:t>Simulation Methodology</w:t>
      </w:r>
    </w:p>
    <w:p w14:paraId="551524CE" w14:textId="77777777" w:rsidR="001F4068" w:rsidRPr="00CB37D3" w:rsidRDefault="001F4068" w:rsidP="00080C04">
      <w:pPr>
        <w:spacing w:line="480" w:lineRule="auto"/>
        <w:jc w:val="both"/>
        <w:rPr>
          <w:b/>
        </w:rPr>
      </w:pPr>
      <w:r w:rsidRPr="00CB37D3">
        <w:t xml:space="preserve">The motivation for our simulation is to try to </w:t>
      </w:r>
      <w:r w:rsidR="00F55BA0">
        <w:t>quantify</w:t>
      </w:r>
      <w:r w:rsidR="00F55BA0" w:rsidRPr="00CB37D3">
        <w:t xml:space="preserve"> </w:t>
      </w:r>
      <w:r w:rsidRPr="00CB37D3">
        <w:t xml:space="preserve">what effect an </w:t>
      </w:r>
      <w:r w:rsidR="00F55BA0">
        <w:t xml:space="preserve">localised </w:t>
      </w:r>
      <w:r w:rsidRPr="00CB37D3">
        <w:t xml:space="preserve">autonomous increase in the supply of dwellings would have on </w:t>
      </w:r>
      <w:r w:rsidR="00F55BA0">
        <w:t xml:space="preserve">local and regional </w:t>
      </w:r>
      <w:r w:rsidRPr="00CB37D3">
        <w:t xml:space="preserve">house prices and affordability. The approach adopted is to use the parameter estimates given in Table </w:t>
      </w:r>
      <w:r w:rsidR="00691A12" w:rsidRPr="00CB37D3">
        <w:t>2</w:t>
      </w:r>
      <w:r w:rsidRPr="00CB37D3">
        <w:t xml:space="preserve"> to generate ‘what if’ scenarios, in other words house prices under an assumption that the number of dwellings was much larger than actually observed in specific locations</w:t>
      </w:r>
      <w:r w:rsidRPr="00CB37D3">
        <w:rPr>
          <w:rStyle w:val="FootnoteReference"/>
          <w:b/>
        </w:rPr>
        <w:footnoteReference w:id="10"/>
      </w:r>
      <w:r w:rsidRPr="00CB37D3">
        <w:rPr>
          <w:b/>
        </w:rPr>
        <w:t>.</w:t>
      </w:r>
      <w:r w:rsidR="003379E6" w:rsidRPr="00CB37D3">
        <w:rPr>
          <w:b/>
        </w:rPr>
        <w:t xml:space="preserve"> </w:t>
      </w:r>
      <w:r w:rsidR="003379E6" w:rsidRPr="003909B0">
        <w:t>The very small standard errors of the estimated model mean that within the range of variation this allows, the variation in simulation outcome is likely to be small.</w:t>
      </w:r>
      <w:r w:rsidR="004D3620" w:rsidRPr="00CB37D3">
        <w:rPr>
          <w:b/>
        </w:rPr>
        <w:t xml:space="preserve">                              </w:t>
      </w:r>
    </w:p>
    <w:p w14:paraId="2731E34E" w14:textId="77777777" w:rsidR="00954A63" w:rsidRPr="00CB37D3" w:rsidRDefault="00954A63" w:rsidP="00080C04">
      <w:pPr>
        <w:pStyle w:val="MTDisplayEquation"/>
        <w:spacing w:line="480" w:lineRule="auto"/>
        <w:jc w:val="right"/>
      </w:pPr>
      <w:r w:rsidRPr="00CB37D3">
        <w:tab/>
      </w:r>
      <w:r w:rsidR="00AA7D06" w:rsidRPr="00CB37D3">
        <w:rPr>
          <w:position w:val="-18"/>
        </w:rPr>
        <w:object w:dxaOrig="6700" w:dyaOrig="480" w14:anchorId="00F1065C">
          <v:shape id="_x0000_i1153" type="#_x0000_t75" style="width:331.5pt;height:21pt" o:ole="">
            <v:imagedata r:id="rId250" o:title=""/>
          </v:shape>
          <o:OLEObject Type="Embed" ProgID="Equation.DSMT4" ShapeID="_x0000_i1153" DrawAspect="Content" ObjectID="_1617780067" r:id="rId251"/>
        </w:object>
      </w:r>
      <w:r w:rsidRPr="00CB37D3">
        <w:t xml:space="preserve"> </w:t>
      </w:r>
      <w:r w:rsidR="00DA3D25" w:rsidRPr="00CB37D3">
        <w:t xml:space="preserve">                         (11)</w:t>
      </w:r>
    </w:p>
    <w:p w14:paraId="3FE9F377" w14:textId="77777777" w:rsidR="001F4068" w:rsidRPr="00CB37D3" w:rsidRDefault="00A572CE" w:rsidP="00080C04">
      <w:pPr>
        <w:spacing w:line="480" w:lineRule="auto"/>
        <w:jc w:val="both"/>
      </w:pPr>
      <w:r w:rsidRPr="00CB37D3">
        <w:t>To</w:t>
      </w:r>
      <w:r w:rsidR="001F4068" w:rsidRPr="00CB37D3">
        <w:t xml:space="preserve"> obtain the counterfactual price for the year </w:t>
      </w:r>
      <w:r w:rsidR="001F4068" w:rsidRPr="00CB37D3">
        <w:rPr>
          <w:position w:val="-6"/>
        </w:rPr>
        <w:object w:dxaOrig="380" w:dyaOrig="220" w14:anchorId="398DB28B">
          <v:shape id="_x0000_i1154" type="#_x0000_t75" style="width:15pt;height:15pt" o:ole="">
            <v:imagedata r:id="rId252" o:title=""/>
          </v:shape>
          <o:OLEObject Type="Embed" ProgID="Equation.DSMT4" ShapeID="_x0000_i1154" DrawAspect="Content" ObjectID="_1617780068" r:id="rId253"/>
        </w:object>
      </w:r>
      <w:r w:rsidR="001F4068" w:rsidRPr="00CB37D3">
        <w:t xml:space="preserve"> 2012 (for which we have data), counterfactual values for demand and/or supply are utilized, as denoted by </w:t>
      </w:r>
      <w:r w:rsidR="001F4068" w:rsidRPr="00CB37D3">
        <w:rPr>
          <w:position w:val="-12"/>
        </w:rPr>
        <w:object w:dxaOrig="820" w:dyaOrig="380" w14:anchorId="0C073E0A">
          <v:shape id="_x0000_i1155" type="#_x0000_t75" style="width:43.5pt;height:15pt" o:ole="">
            <v:imagedata r:id="rId254" o:title=""/>
          </v:shape>
          <o:OLEObject Type="Embed" ProgID="Equation.DSMT4" ShapeID="_x0000_i1155" DrawAspect="Content" ObjectID="_1617780069" r:id="rId255"/>
        </w:object>
      </w:r>
      <w:r w:rsidR="001F4068" w:rsidRPr="00CB37D3">
        <w:t xml:space="preserve"> and </w:t>
      </w:r>
      <w:r w:rsidR="001F4068" w:rsidRPr="00CB37D3">
        <w:rPr>
          <w:position w:val="-12"/>
        </w:rPr>
        <w:object w:dxaOrig="859" w:dyaOrig="360" w14:anchorId="0CE3C5C6">
          <v:shape id="_x0000_i1156" type="#_x0000_t75" style="width:43.5pt;height:21pt" o:ole="">
            <v:imagedata r:id="rId256" o:title=""/>
          </v:shape>
          <o:OLEObject Type="Embed" ProgID="Equation.DSMT4" ShapeID="_x0000_i1156" DrawAspect="Content" ObjectID="_1617780070" r:id="rId257"/>
        </w:object>
      </w:r>
      <w:r w:rsidR="001F4068" w:rsidRPr="00CB37D3">
        <w:t xml:space="preserve">.  </w:t>
      </w:r>
      <w:r w:rsidR="00AA7D06">
        <w:t xml:space="preserve">Also the 2012 mean Bank rate and FTSE index are used for </w:t>
      </w:r>
      <w:r w:rsidR="00AA7D06" w:rsidRPr="008A45C7">
        <w:rPr>
          <w:position w:val="-12"/>
        </w:rPr>
        <w:object w:dxaOrig="300" w:dyaOrig="360" w14:anchorId="192702FE">
          <v:shape id="_x0000_i1157" type="#_x0000_t75" style="width:15pt;height:21pt" o:ole="">
            <v:imagedata r:id="rId258" o:title=""/>
          </v:shape>
          <o:OLEObject Type="Embed" ProgID="Equation.DSMT4" ShapeID="_x0000_i1157" DrawAspect="Content" ObjectID="_1617780071" r:id="rId259"/>
        </w:object>
      </w:r>
      <w:r w:rsidR="00AA7D06">
        <w:t xml:space="preserve"> and </w:t>
      </w:r>
      <w:r w:rsidR="00AA7D06" w:rsidRPr="00111018">
        <w:rPr>
          <w:position w:val="-12"/>
        </w:rPr>
        <w:object w:dxaOrig="279" w:dyaOrig="360" w14:anchorId="08AA7762">
          <v:shape id="_x0000_i1158" type="#_x0000_t75" style="width:15pt;height:21pt" o:ole="">
            <v:imagedata r:id="rId260" o:title=""/>
          </v:shape>
          <o:OLEObject Type="Embed" ProgID="Equation.DSMT4" ShapeID="_x0000_i1158" DrawAspect="Content" ObjectID="_1617780072" r:id="rId261"/>
        </w:object>
      </w:r>
      <w:r w:rsidR="00AA7D06">
        <w:t xml:space="preserve">. </w:t>
      </w:r>
      <w:r w:rsidR="001F4068" w:rsidRPr="00CB37D3">
        <w:t>Initially</w:t>
      </w:r>
      <w:r>
        <w:t>,</w:t>
      </w:r>
      <w:r w:rsidR="001F4068" w:rsidRPr="00CB37D3">
        <w:t xml:space="preserve"> the level of housing supply in each London Borough was incremented by 5%, </w:t>
      </w:r>
      <w:r w:rsidR="00E37107" w:rsidRPr="00CB37D3">
        <w:t xml:space="preserve">and </w:t>
      </w:r>
      <w:r w:rsidR="00B334B0" w:rsidRPr="00CB37D3">
        <w:t xml:space="preserve">then </w:t>
      </w:r>
      <w:r w:rsidR="00E37107" w:rsidRPr="00CB37D3">
        <w:t xml:space="preserve">by </w:t>
      </w:r>
      <w:r w:rsidR="001F4068" w:rsidRPr="00CB37D3">
        <w:t>15%.  We also explore the ramifications for prices and affordability on the basis of 1.6</w:t>
      </w:r>
      <w:r>
        <w:t xml:space="preserve"> m</w:t>
      </w:r>
      <w:r w:rsidR="001F4068" w:rsidRPr="00CB37D3">
        <w:t xml:space="preserve">illion more homes across Greater London, which on our estimation is an increment of approximately 48% in the stock of homes. Counterfactual price series were obtained on the assumption that there was no concomitant increase in the demand for housing, so that </w:t>
      </w:r>
      <w:r w:rsidR="001F4068" w:rsidRPr="00CB37D3">
        <w:rPr>
          <w:position w:val="-12"/>
        </w:rPr>
        <w:object w:dxaOrig="780" w:dyaOrig="380" w14:anchorId="0EB2AB6B">
          <v:shape id="_x0000_i1159" type="#_x0000_t75" style="width:43.5pt;height:15pt" o:ole="">
            <v:imagedata r:id="rId262" o:title=""/>
          </v:shape>
          <o:OLEObject Type="Embed" ProgID="Equation.DSMT4" ShapeID="_x0000_i1159" DrawAspect="Content" ObjectID="_1617780073" r:id="rId263"/>
        </w:object>
      </w:r>
      <w:r w:rsidR="001F4068" w:rsidRPr="00CB37D3">
        <w:t xml:space="preserve"> across all districts and </w:t>
      </w:r>
      <w:r w:rsidR="001F4068" w:rsidRPr="00CB37D3">
        <w:rPr>
          <w:position w:val="-12"/>
        </w:rPr>
        <w:object w:dxaOrig="800" w:dyaOrig="360" w14:anchorId="7766DFEA">
          <v:shape id="_x0000_i1160" type="#_x0000_t75" style="width:43.5pt;height:21pt" o:ole="">
            <v:imagedata r:id="rId264" o:title=""/>
          </v:shape>
          <o:OLEObject Type="Embed" ProgID="Equation.DSMT4" ShapeID="_x0000_i1160" DrawAspect="Content" ObjectID="_1617780074" r:id="rId265"/>
        </w:object>
      </w:r>
      <w:r w:rsidR="00B97C74">
        <w:t xml:space="preserve"> </w:t>
      </w:r>
      <w:r w:rsidR="001F4068" w:rsidRPr="00CB37D3">
        <w:t xml:space="preserve">outside of Greater London. Elsewhere, within Greater London, </w:t>
      </w:r>
      <w:r w:rsidR="001F4068" w:rsidRPr="00CB37D3">
        <w:rPr>
          <w:position w:val="-12"/>
        </w:rPr>
        <w:object w:dxaOrig="1380" w:dyaOrig="360" w14:anchorId="40A90F1E">
          <v:shape id="_x0000_i1161" type="#_x0000_t75" style="width:1in;height:21pt" o:ole="">
            <v:imagedata r:id="rId266" o:title=""/>
          </v:shape>
          <o:OLEObject Type="Embed" ProgID="Equation.DSMT4" ShapeID="_x0000_i1161" DrawAspect="Content" ObjectID="_1617780075" r:id="rId267"/>
        </w:object>
      </w:r>
      <w:r w:rsidR="001F4068" w:rsidRPr="00CB37D3">
        <w:t xml:space="preserve"> and alternatively  </w:t>
      </w:r>
      <w:r w:rsidR="001F4068" w:rsidRPr="00CB37D3">
        <w:rPr>
          <w:position w:val="-12"/>
        </w:rPr>
        <w:object w:dxaOrig="1380" w:dyaOrig="360" w14:anchorId="30B5B629">
          <v:shape id="_x0000_i1162" type="#_x0000_t75" style="width:1in;height:21pt" o:ole="">
            <v:imagedata r:id="rId268" o:title=""/>
          </v:shape>
          <o:OLEObject Type="Embed" ProgID="Equation.DSMT4" ShapeID="_x0000_i1162" DrawAspect="Content" ObjectID="_1617780076" r:id="rId269"/>
        </w:object>
      </w:r>
      <w:r w:rsidR="00DA3C92">
        <w:t>.</w:t>
      </w:r>
    </w:p>
    <w:p w14:paraId="0D2DE4B1" w14:textId="77777777" w:rsidR="001F4068" w:rsidRPr="00CB37D3" w:rsidRDefault="001F4068" w:rsidP="00080C04">
      <w:pPr>
        <w:spacing w:line="480" w:lineRule="auto"/>
        <w:jc w:val="both"/>
      </w:pPr>
      <w:r w:rsidRPr="00CB37D3">
        <w:lastRenderedPageBreak/>
        <w:t>In addition, we make the assumption that a higher level of supply would entail higher-level demand as more workers occup</w:t>
      </w:r>
      <w:r w:rsidR="00B334B0" w:rsidRPr="00CB37D3">
        <w:t>y</w:t>
      </w:r>
      <w:r w:rsidRPr="00CB37D3">
        <w:t xml:space="preserve"> the additional accommodation. </w:t>
      </w:r>
      <w:r w:rsidR="00A572CE">
        <w:t>I</w:t>
      </w:r>
      <w:r w:rsidRPr="00CB37D3">
        <w:t xml:space="preserve">n our estimation of the counterfactual level of demand in 2012, we simply utilize wages at their 2012 levels. To obtain the change in income within commuting distance </w:t>
      </w:r>
      <w:r w:rsidRPr="00CB37D3">
        <w:rPr>
          <w:position w:val="-12"/>
        </w:rPr>
        <w:object w:dxaOrig="420" w:dyaOrig="380" w14:anchorId="461A0894">
          <v:shape id="_x0000_i1163" type="#_x0000_t75" style="width:21pt;height:15pt" o:ole="">
            <v:imagedata r:id="rId270" o:title=""/>
          </v:shape>
          <o:OLEObject Type="Embed" ProgID="Equation.DSMT4" ShapeID="_x0000_i1163" DrawAspect="Content" ObjectID="_1617780077" r:id="rId271"/>
        </w:object>
      </w:r>
      <w:r w:rsidRPr="00CB37D3">
        <w:t xml:space="preserve"> we use essentially the same method used for </w:t>
      </w:r>
      <w:r w:rsidRPr="00CB37D3">
        <w:rPr>
          <w:position w:val="-12"/>
        </w:rPr>
        <w:object w:dxaOrig="260" w:dyaOrig="380" w14:anchorId="6FC7ECC1">
          <v:shape id="_x0000_i1164" type="#_x0000_t75" style="width:15pt;height:15pt" o:ole="">
            <v:imagedata r:id="rId272" o:title=""/>
          </v:shape>
          <o:OLEObject Type="Embed" ProgID="Equation.DSMT4" ShapeID="_x0000_i1164" DrawAspect="Content" ObjectID="_1617780078" r:id="rId273"/>
        </w:object>
      </w:r>
      <w:r w:rsidR="00DA3C92">
        <w:t xml:space="preserve"> </w:t>
      </w:r>
      <w:r w:rsidRPr="00CB37D3">
        <w:t xml:space="preserve">as described earlier. Thus, we need to estimate the increase in income by District, </w:t>
      </w:r>
      <w:r w:rsidRPr="00CB37D3">
        <w:rPr>
          <w:position w:val="-12"/>
        </w:rPr>
        <w:object w:dxaOrig="420" w:dyaOrig="360" w14:anchorId="63D2A3E5">
          <v:shape id="_x0000_i1165" type="#_x0000_t75" style="width:21pt;height:21pt" o:ole="">
            <v:imagedata r:id="rId274" o:title=""/>
          </v:shape>
          <o:OLEObject Type="Embed" ProgID="Equation.DSMT4" ShapeID="_x0000_i1165" DrawAspect="Content" ObjectID="_1617780079" r:id="rId275"/>
        </w:object>
      </w:r>
      <w:r w:rsidRPr="00CB37D3">
        <w:t xml:space="preserve">, which is approximated by the Hadamard product of the </w:t>
      </w:r>
      <w:r w:rsidRPr="00CB37D3">
        <w:rPr>
          <w:i/>
        </w:rPr>
        <w:t>N</w:t>
      </w:r>
      <w:r w:rsidRPr="00CB37D3">
        <w:t xml:space="preserve"> by 1 vector of mean employee wage rate </w:t>
      </w:r>
      <w:r w:rsidRPr="00CB37D3">
        <w:rPr>
          <w:position w:val="-12"/>
        </w:rPr>
        <w:object w:dxaOrig="300" w:dyaOrig="360" w14:anchorId="22E664BB">
          <v:shape id="_x0000_i1166" type="#_x0000_t75" style="width:21pt;height:21pt" o:ole="">
            <v:imagedata r:id="rId276" o:title=""/>
          </v:shape>
          <o:OLEObject Type="Embed" ProgID="Equation.DSMT4" ShapeID="_x0000_i1166" DrawAspect="Content" ObjectID="_1617780080" r:id="rId277"/>
        </w:object>
      </w:r>
      <w:r w:rsidR="00B97C74">
        <w:t xml:space="preserve"> </w:t>
      </w:r>
      <w:r w:rsidRPr="00CB37D3">
        <w:t xml:space="preserve">and the increase in the number of employees working in each District </w:t>
      </w:r>
      <w:r w:rsidRPr="00CB37D3">
        <w:rPr>
          <w:position w:val="-12"/>
        </w:rPr>
        <w:object w:dxaOrig="440" w:dyaOrig="360" w14:anchorId="7BB319EB">
          <v:shape id="_x0000_i1167" type="#_x0000_t75" style="width:21pt;height:21pt" o:ole="">
            <v:imagedata r:id="rId278" o:title=""/>
          </v:shape>
          <o:OLEObject Type="Embed" ProgID="Equation.DSMT4" ShapeID="_x0000_i1167" DrawAspect="Content" ObjectID="_1617780081" r:id="rId279"/>
        </w:object>
      </w:r>
      <w:r w:rsidRPr="00CB37D3">
        <w:t xml:space="preserve">. To obtain the increase in employment level </w:t>
      </w:r>
      <w:r w:rsidRPr="00CB37D3">
        <w:rPr>
          <w:position w:val="-12"/>
        </w:rPr>
        <w:object w:dxaOrig="440" w:dyaOrig="360" w14:anchorId="20F65139">
          <v:shape id="_x0000_i1168" type="#_x0000_t75" style="width:21pt;height:21pt" o:ole="">
            <v:imagedata r:id="rId280" o:title=""/>
          </v:shape>
          <o:OLEObject Type="Embed" ProgID="Equation.DSMT4" ShapeID="_x0000_i1168" DrawAspect="Content" ObjectID="_1617780082" r:id="rId281"/>
        </w:object>
      </w:r>
      <w:r w:rsidRPr="00CB37D3">
        <w:t xml:space="preserve">, we calculate the ratio of the total number of workers in England to the total number of dwellings, thus eliminating the effects of commuting.  The employment increase </w:t>
      </w:r>
      <w:r w:rsidRPr="00CB37D3">
        <w:rPr>
          <w:position w:val="-12"/>
        </w:rPr>
        <w:object w:dxaOrig="440" w:dyaOrig="360" w14:anchorId="2496AD22">
          <v:shape id="_x0000_i1169" type="#_x0000_t75" style="width:21pt;height:21pt" o:ole="">
            <v:imagedata r:id="rId280" o:title=""/>
          </v:shape>
          <o:OLEObject Type="Embed" ProgID="Equation.DSMT4" ShapeID="_x0000_i1169" DrawAspect="Content" ObjectID="_1617780083" r:id="rId282"/>
        </w:object>
      </w:r>
      <w:r w:rsidRPr="00CB37D3">
        <w:t xml:space="preserve">is equal to the dwellings increase </w:t>
      </w:r>
      <w:r w:rsidRPr="00CB37D3">
        <w:rPr>
          <w:position w:val="-12"/>
        </w:rPr>
        <w:object w:dxaOrig="420" w:dyaOrig="360" w14:anchorId="437CB862">
          <v:shape id="_x0000_i1170" type="#_x0000_t75" style="width:21pt;height:21pt" o:ole="">
            <v:imagedata r:id="rId283" o:title=""/>
          </v:shape>
          <o:OLEObject Type="Embed" ProgID="Equation.DSMT4" ShapeID="_x0000_i1170" DrawAspect="Content" ObjectID="_1617780084" r:id="rId284"/>
        </w:object>
      </w:r>
      <w:r w:rsidRPr="00CB37D3">
        <w:t xml:space="preserve">multiplied by this ratio, which is equal to zero for all but the London Boroughs. </w:t>
      </w:r>
      <w:r w:rsidR="00691A12" w:rsidRPr="00CB37D3">
        <w:t>T</w:t>
      </w:r>
      <w:r w:rsidRPr="00CB37D3">
        <w:t>hus</w:t>
      </w:r>
    </w:p>
    <w:p w14:paraId="34AB0037" w14:textId="77777777" w:rsidR="001F4068" w:rsidRPr="00CB37D3" w:rsidRDefault="001F4068" w:rsidP="00080C04">
      <w:pPr>
        <w:pStyle w:val="MTDisplayEquation"/>
        <w:spacing w:line="480" w:lineRule="auto"/>
        <w:jc w:val="right"/>
      </w:pPr>
      <w:r w:rsidRPr="00CB37D3">
        <w:tab/>
      </w:r>
      <w:r w:rsidRPr="00CB37D3">
        <w:rPr>
          <w:position w:val="-12"/>
        </w:rPr>
        <w:object w:dxaOrig="1540" w:dyaOrig="360" w14:anchorId="22BA68EF">
          <v:shape id="_x0000_i1171" type="#_x0000_t75" style="width:79.5pt;height:21pt" o:ole="">
            <v:imagedata r:id="rId285" o:title=""/>
          </v:shape>
          <o:OLEObject Type="Embed" ProgID="Equation.DSMT4" ShapeID="_x0000_i1171" DrawAspect="Content" ObjectID="_1617780085" r:id="rId286"/>
        </w:object>
      </w:r>
      <w:r w:rsidR="00DA3D25" w:rsidRPr="00CB37D3">
        <w:t xml:space="preserve">                                                                     (12)</w:t>
      </w:r>
    </w:p>
    <w:p w14:paraId="1F341460" w14:textId="77777777" w:rsidR="001F4068" w:rsidRPr="00CB37D3" w:rsidRDefault="001F4068" w:rsidP="00080C04">
      <w:pPr>
        <w:spacing w:line="480" w:lineRule="auto"/>
        <w:jc w:val="both"/>
      </w:pPr>
      <w:r w:rsidRPr="00CB37D3">
        <w:t>and this gives</w:t>
      </w:r>
    </w:p>
    <w:p w14:paraId="2BFE6AE9" w14:textId="77777777" w:rsidR="001F4068" w:rsidRPr="00CB37D3" w:rsidRDefault="001F4068" w:rsidP="00080C04">
      <w:pPr>
        <w:pStyle w:val="MTDisplayEquation"/>
        <w:spacing w:line="480" w:lineRule="auto"/>
        <w:jc w:val="right"/>
      </w:pPr>
      <w:r w:rsidRPr="00CB37D3">
        <w:tab/>
      </w:r>
      <w:r w:rsidRPr="00CB37D3">
        <w:rPr>
          <w:position w:val="-28"/>
        </w:rPr>
        <w:object w:dxaOrig="1640" w:dyaOrig="680" w14:anchorId="645870CA">
          <v:shape id="_x0000_i1172" type="#_x0000_t75" style="width:87pt;height:36pt" o:ole="">
            <v:imagedata r:id="rId287" o:title=""/>
          </v:shape>
          <o:OLEObject Type="Embed" ProgID="Equation.DSMT4" ShapeID="_x0000_i1172" DrawAspect="Content" ObjectID="_1617780086" r:id="rId288"/>
        </w:object>
      </w:r>
      <w:r w:rsidR="00DA3D25" w:rsidRPr="00CB37D3">
        <w:t xml:space="preserve">                                                                (13)</w:t>
      </w:r>
    </w:p>
    <w:p w14:paraId="5A5843C9" w14:textId="77777777" w:rsidR="001F4068" w:rsidRPr="00CB37D3" w:rsidRDefault="00916CF3" w:rsidP="001F4068">
      <w:pPr>
        <w:pStyle w:val="Heading2"/>
      </w:pPr>
      <w:r>
        <w:t>Results</w:t>
      </w:r>
    </w:p>
    <w:p w14:paraId="072D5961" w14:textId="77777777" w:rsidR="001F4068" w:rsidRDefault="00CB37D3" w:rsidP="00080C04">
      <w:pPr>
        <w:spacing w:line="480" w:lineRule="auto"/>
        <w:jc w:val="both"/>
        <w:rPr>
          <w:rFonts w:ascii="Calibri" w:eastAsia="Calibri" w:hAnsi="Calibri" w:cs="Times New Roman"/>
        </w:rPr>
      </w:pPr>
      <w:r>
        <w:rPr>
          <w:rFonts w:ascii="Calibri" w:eastAsia="Calibri" w:hAnsi="Calibri" w:cs="Times New Roman"/>
        </w:rPr>
        <w:t>Figure 3</w:t>
      </w:r>
      <w:r w:rsidR="001F4068" w:rsidRPr="00CB37D3">
        <w:rPr>
          <w:rFonts w:ascii="Calibri" w:eastAsia="Calibri" w:hAnsi="Calibri" w:cs="Times New Roman"/>
        </w:rPr>
        <w:t xml:space="preserve"> shows the impact, as given by equation (8), of a hypothetical step increment of 5% in the number of dwellings in each of London Boroughs (plus the City of London) on its 20</w:t>
      </w:r>
      <w:r>
        <w:rPr>
          <w:rFonts w:ascii="Calibri" w:eastAsia="Calibri" w:hAnsi="Calibri" w:cs="Times New Roman"/>
        </w:rPr>
        <w:t>12 level.  To interpret Figure 3</w:t>
      </w:r>
      <w:r w:rsidR="001F4068" w:rsidRPr="00CB37D3">
        <w:rPr>
          <w:rFonts w:ascii="Calibri" w:eastAsia="Calibri" w:hAnsi="Calibri" w:cs="Times New Roman"/>
        </w:rPr>
        <w:t xml:space="preserve">, Districts across the whole of England have been sorted according the strength of the impact on price. </w:t>
      </w:r>
    </w:p>
    <w:p w14:paraId="71CA8C2B" w14:textId="77777777" w:rsidR="002F2B64" w:rsidRDefault="008E260F" w:rsidP="002F2B64">
      <w:pPr>
        <w:pStyle w:val="Caption"/>
        <w:keepNext/>
        <w:jc w:val="center"/>
        <w:rPr>
          <w:color w:val="auto"/>
          <w:sz w:val="22"/>
          <w:szCs w:val="22"/>
        </w:rPr>
      </w:pPr>
      <w:r w:rsidRPr="0041187C">
        <w:rPr>
          <w:rFonts w:ascii="Calibri" w:eastAsia="Calibri" w:hAnsi="Calibri" w:cs="Times New Roman"/>
          <w:noProof/>
          <w:lang w:eastAsia="en-GB"/>
        </w:rPr>
        <w:lastRenderedPageBreak/>
        <w:drawing>
          <wp:anchor distT="0" distB="0" distL="114300" distR="114300" simplePos="0" relativeHeight="251668480" behindDoc="0" locked="0" layoutInCell="1" allowOverlap="1" wp14:anchorId="2FEBD8AA" wp14:editId="05E3BF16">
            <wp:simplePos x="0" y="0"/>
            <wp:positionH relativeFrom="column">
              <wp:posOffset>1329055</wp:posOffset>
            </wp:positionH>
            <wp:positionV relativeFrom="paragraph">
              <wp:posOffset>654050</wp:posOffset>
            </wp:positionV>
            <wp:extent cx="3070225" cy="2299970"/>
            <wp:effectExtent l="0" t="0" r="0" b="0"/>
            <wp:wrapTopAndBottom/>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3070225" cy="2299970"/>
                    </a:xfrm>
                    <a:prstGeom prst="rect">
                      <a:avLst/>
                    </a:prstGeom>
                    <a:noFill/>
                    <a:ln>
                      <a:noFill/>
                    </a:ln>
                  </pic:spPr>
                </pic:pic>
              </a:graphicData>
            </a:graphic>
            <wp14:sizeRelH relativeFrom="page">
              <wp14:pctWidth>0</wp14:pctWidth>
            </wp14:sizeRelH>
            <wp14:sizeRelV relativeFrom="page">
              <wp14:pctHeight>0</wp14:pctHeight>
            </wp14:sizeRelV>
          </wp:anchor>
        </w:drawing>
      </w:r>
      <w:r w:rsidR="002F2B64" w:rsidRPr="00600223">
        <w:rPr>
          <w:color w:val="auto"/>
          <w:sz w:val="22"/>
          <w:szCs w:val="22"/>
        </w:rPr>
        <w:t>Figure 3. Impact of 5% incr</w:t>
      </w:r>
      <w:r>
        <w:rPr>
          <w:color w:val="auto"/>
          <w:sz w:val="22"/>
          <w:szCs w:val="22"/>
        </w:rPr>
        <w:t>ease in supply in London house p</w:t>
      </w:r>
      <w:r w:rsidR="002F2B64" w:rsidRPr="00600223">
        <w:rPr>
          <w:color w:val="auto"/>
          <w:sz w:val="22"/>
          <w:szCs w:val="22"/>
        </w:rPr>
        <w:t>rices</w:t>
      </w:r>
    </w:p>
    <w:p w14:paraId="027034BA" w14:textId="77777777" w:rsidR="008E260F" w:rsidRPr="00067C31" w:rsidRDefault="008E260F" w:rsidP="008E260F">
      <w:pPr>
        <w:ind w:right="29"/>
        <w:jc w:val="center"/>
        <w:rPr>
          <w:noProof/>
        </w:rPr>
      </w:pPr>
      <w:r w:rsidRPr="001F6C94">
        <w:rPr>
          <w:i/>
          <w:sz w:val="18"/>
          <w:szCs w:val="18"/>
        </w:rPr>
        <w:t xml:space="preserve">Districts are </w:t>
      </w:r>
      <w:r>
        <w:rPr>
          <w:i/>
          <w:sz w:val="18"/>
          <w:szCs w:val="18"/>
        </w:rPr>
        <w:t>ranked</w:t>
      </w:r>
      <w:r w:rsidRPr="001F6C94">
        <w:rPr>
          <w:i/>
          <w:sz w:val="18"/>
          <w:szCs w:val="18"/>
        </w:rPr>
        <w:t xml:space="preserve"> according the strength of the impact</w:t>
      </w:r>
    </w:p>
    <w:p w14:paraId="25A374A6" w14:textId="77777777" w:rsidR="008F12C8" w:rsidRDefault="008F12C8" w:rsidP="001F4068">
      <w:pPr>
        <w:jc w:val="both"/>
        <w:rPr>
          <w:rFonts w:ascii="Calibri" w:eastAsia="Calibri" w:hAnsi="Calibri" w:cs="Times New Roman"/>
        </w:rPr>
      </w:pPr>
    </w:p>
    <w:p w14:paraId="0ABEDD2D" w14:textId="77777777" w:rsidR="001F4068" w:rsidRPr="00CB37D3" w:rsidRDefault="001F4068" w:rsidP="00080C04">
      <w:pPr>
        <w:spacing w:line="480" w:lineRule="auto"/>
        <w:jc w:val="both"/>
        <w:rPr>
          <w:rFonts w:ascii="Calibri" w:eastAsia="Calibri" w:hAnsi="Calibri" w:cs="Times New Roman"/>
        </w:rPr>
      </w:pPr>
      <w:r w:rsidRPr="00CB37D3">
        <w:rPr>
          <w:rFonts w:ascii="Calibri" w:eastAsia="Calibri" w:hAnsi="Calibri" w:cs="Times New Roman"/>
        </w:rPr>
        <w:t>This shows that within Greater London the extra supply of housing produce</w:t>
      </w:r>
      <w:r w:rsidR="00597DBD" w:rsidRPr="00CB37D3">
        <w:rPr>
          <w:rFonts w:ascii="Calibri" w:eastAsia="Calibri" w:hAnsi="Calibri" w:cs="Times New Roman"/>
        </w:rPr>
        <w:t>s a fall in price of between about £4,000 to £</w:t>
      </w:r>
      <w:r w:rsidR="005F76D2">
        <w:rPr>
          <w:rFonts w:ascii="Calibri" w:eastAsia="Calibri" w:hAnsi="Calibri" w:cs="Times New Roman"/>
        </w:rPr>
        <w:t>12</w:t>
      </w:r>
      <w:r w:rsidRPr="00CB37D3">
        <w:rPr>
          <w:rFonts w:ascii="Calibri" w:eastAsia="Calibri" w:hAnsi="Calibri" w:cs="Times New Roman"/>
        </w:rPr>
        <w:t>,000. Many other areas of England</w:t>
      </w:r>
      <w:r w:rsidR="00597DBD" w:rsidRPr="00CB37D3">
        <w:rPr>
          <w:rFonts w:ascii="Calibri" w:eastAsia="Calibri" w:hAnsi="Calibri" w:cs="Times New Roman"/>
        </w:rPr>
        <w:t xml:space="preserve"> see prices fall by less than £4</w:t>
      </w:r>
      <w:r w:rsidRPr="00CB37D3">
        <w:rPr>
          <w:rFonts w:ascii="Calibri" w:eastAsia="Calibri" w:hAnsi="Calibri" w:cs="Times New Roman"/>
        </w:rPr>
        <w:t>,000</w:t>
      </w:r>
      <w:r w:rsidR="00BF4548" w:rsidRPr="00CB37D3">
        <w:rPr>
          <w:rFonts w:ascii="Calibri" w:eastAsia="Calibri" w:hAnsi="Calibri" w:cs="Times New Roman"/>
        </w:rPr>
        <w:t xml:space="preserve"> but this is in response to an increase in supply confined to Greater London</w:t>
      </w:r>
      <w:r w:rsidRPr="00CB37D3">
        <w:rPr>
          <w:rFonts w:ascii="Calibri" w:eastAsia="Calibri" w:hAnsi="Calibri" w:cs="Times New Roman"/>
        </w:rPr>
        <w:t xml:space="preserve">.  This is also illustrated by the Figure </w:t>
      </w:r>
      <w:r w:rsidR="00CF3F77">
        <w:rPr>
          <w:rFonts w:ascii="Calibri" w:eastAsia="Calibri" w:hAnsi="Calibri" w:cs="Times New Roman"/>
        </w:rPr>
        <w:t>4</w:t>
      </w:r>
      <w:r w:rsidRPr="00CB37D3">
        <w:rPr>
          <w:rFonts w:ascii="Calibri" w:eastAsia="Calibri" w:hAnsi="Calibri" w:cs="Times New Roman"/>
        </w:rPr>
        <w:t xml:space="preserve">a histogram which gives the distribution of price impacts across all English districts. The Figure </w:t>
      </w:r>
      <w:r w:rsidR="00CF3F77">
        <w:rPr>
          <w:rFonts w:ascii="Calibri" w:eastAsia="Calibri" w:hAnsi="Calibri" w:cs="Times New Roman"/>
        </w:rPr>
        <w:t>4</w:t>
      </w:r>
      <w:r w:rsidRPr="00CB37D3">
        <w:rPr>
          <w:rFonts w:ascii="Calibri" w:eastAsia="Calibri" w:hAnsi="Calibri" w:cs="Times New Roman"/>
        </w:rPr>
        <w:t xml:space="preserve">b </w:t>
      </w:r>
      <w:r w:rsidR="00962166" w:rsidRPr="00CB37D3">
        <w:rPr>
          <w:rFonts w:ascii="Calibri" w:eastAsia="Calibri" w:hAnsi="Calibri" w:cs="Times New Roman"/>
        </w:rPr>
        <w:t>map focuses</w:t>
      </w:r>
      <w:r w:rsidRPr="00CB37D3">
        <w:rPr>
          <w:rFonts w:ascii="Calibri" w:eastAsia="Calibri" w:hAnsi="Calibri" w:cs="Times New Roman"/>
        </w:rPr>
        <w:t xml:space="preserve"> on price changes in the South East of England, centred on London, which sees the greatest impact. The darkest shading highlights the London Boroughs, but spillover effects are also felt outside the area actually receiving the supply-side stimulus.  </w:t>
      </w:r>
    </w:p>
    <w:p w14:paraId="5737BBCC" w14:textId="77777777" w:rsidR="001F4068" w:rsidRPr="00CB37D3" w:rsidRDefault="001F4068" w:rsidP="00080C04">
      <w:pPr>
        <w:spacing w:line="480" w:lineRule="auto"/>
        <w:jc w:val="both"/>
        <w:rPr>
          <w:rFonts w:ascii="Calibri" w:eastAsia="Calibri" w:hAnsi="Calibri" w:cs="Times New Roman"/>
        </w:rPr>
      </w:pPr>
      <w:r w:rsidRPr="00CB37D3">
        <w:rPr>
          <w:rFonts w:ascii="Calibri" w:eastAsia="Calibri" w:hAnsi="Calibri" w:cs="Times New Roman"/>
        </w:rPr>
        <w:t>The simulations described in Figure</w:t>
      </w:r>
      <w:r w:rsidR="00D607B6" w:rsidRPr="00CB37D3">
        <w:rPr>
          <w:rFonts w:ascii="Calibri" w:eastAsia="Calibri" w:hAnsi="Calibri" w:cs="Times New Roman"/>
        </w:rPr>
        <w:t xml:space="preserve"> </w:t>
      </w:r>
      <w:r w:rsidR="00CB37D3">
        <w:rPr>
          <w:rFonts w:ascii="Calibri" w:eastAsia="Calibri" w:hAnsi="Calibri" w:cs="Times New Roman"/>
        </w:rPr>
        <w:t>4</w:t>
      </w:r>
      <w:r w:rsidRPr="00CB37D3">
        <w:rPr>
          <w:rFonts w:ascii="Calibri" w:eastAsia="Calibri" w:hAnsi="Calibri" w:cs="Times New Roman"/>
        </w:rPr>
        <w:t xml:space="preserve"> assume that an increase in supply occurs without any concomitant increase in demand. However, demand may change due to the increase in the number of dwellings generating an increase in the workforce and therefore income. </w:t>
      </w:r>
      <w:r w:rsidR="00D607B6" w:rsidRPr="00CB37D3">
        <w:rPr>
          <w:rFonts w:ascii="Calibri" w:eastAsia="Calibri" w:hAnsi="Calibri" w:cs="Times New Roman"/>
        </w:rPr>
        <w:t xml:space="preserve">Figure </w:t>
      </w:r>
      <w:r w:rsidR="00CF3F77">
        <w:rPr>
          <w:rFonts w:ascii="Calibri" w:eastAsia="Calibri" w:hAnsi="Calibri" w:cs="Times New Roman"/>
        </w:rPr>
        <w:t>5</w:t>
      </w:r>
      <w:r w:rsidR="00D607B6" w:rsidRPr="00CB37D3">
        <w:rPr>
          <w:rFonts w:ascii="Calibri" w:eastAsia="Calibri" w:hAnsi="Calibri" w:cs="Times New Roman"/>
        </w:rPr>
        <w:t xml:space="preserve"> shows the increase in price due to the induced increase in demand. Prices would rise by </w:t>
      </w:r>
      <w:r w:rsidR="006E320B" w:rsidRPr="00CB37D3">
        <w:rPr>
          <w:rFonts w:ascii="Calibri" w:eastAsia="Calibri" w:hAnsi="Calibri" w:cs="Times New Roman"/>
        </w:rPr>
        <w:t xml:space="preserve">about </w:t>
      </w:r>
      <w:r w:rsidR="00D607B6" w:rsidRPr="00CB37D3">
        <w:rPr>
          <w:rFonts w:ascii="Calibri" w:eastAsia="Calibri" w:hAnsi="Calibri" w:cs="Times New Roman"/>
        </w:rPr>
        <w:t>£</w:t>
      </w:r>
      <w:r w:rsidR="008C1557">
        <w:rPr>
          <w:rFonts w:ascii="Calibri" w:eastAsia="Calibri" w:hAnsi="Calibri" w:cs="Times New Roman"/>
        </w:rPr>
        <w:t>2</w:t>
      </w:r>
      <w:r w:rsidR="00D607B6" w:rsidRPr="00CB37D3">
        <w:rPr>
          <w:rFonts w:ascii="Calibri" w:eastAsia="Calibri" w:hAnsi="Calibri" w:cs="Times New Roman"/>
        </w:rPr>
        <w:t>,</w:t>
      </w:r>
      <w:r w:rsidR="008C1557">
        <w:rPr>
          <w:rFonts w:ascii="Calibri" w:eastAsia="Calibri" w:hAnsi="Calibri" w:cs="Times New Roman"/>
        </w:rPr>
        <w:t>5</w:t>
      </w:r>
      <w:r w:rsidR="00D607B6" w:rsidRPr="00CB37D3">
        <w:rPr>
          <w:rFonts w:ascii="Calibri" w:eastAsia="Calibri" w:hAnsi="Calibri" w:cs="Times New Roman"/>
        </w:rPr>
        <w:t>00 in Inner London. Figu</w:t>
      </w:r>
      <w:r w:rsidR="00CB37D3">
        <w:rPr>
          <w:rFonts w:ascii="Calibri" w:eastAsia="Calibri" w:hAnsi="Calibri" w:cs="Times New Roman"/>
        </w:rPr>
        <w:t>re 6</w:t>
      </w:r>
      <w:r w:rsidRPr="00CB37D3">
        <w:rPr>
          <w:rFonts w:ascii="Calibri" w:eastAsia="Calibri" w:hAnsi="Calibri" w:cs="Times New Roman"/>
        </w:rPr>
        <w:t xml:space="preserve"> gives the net outcome of the negative supply effect plus the positive demand effect, showing that prices fall </w:t>
      </w:r>
      <w:r w:rsidR="007947CD" w:rsidRPr="00CB37D3">
        <w:rPr>
          <w:rFonts w:ascii="Calibri" w:eastAsia="Calibri" w:hAnsi="Calibri" w:cs="Times New Roman"/>
        </w:rPr>
        <w:t xml:space="preserve">by </w:t>
      </w:r>
      <w:r w:rsidR="006E320B" w:rsidRPr="00CB37D3">
        <w:rPr>
          <w:rFonts w:ascii="Calibri" w:eastAsia="Calibri" w:hAnsi="Calibri" w:cs="Times New Roman"/>
        </w:rPr>
        <w:t xml:space="preserve">about </w:t>
      </w:r>
      <w:r w:rsidR="00691A12" w:rsidRPr="00CB37D3">
        <w:rPr>
          <w:rFonts w:ascii="Calibri" w:eastAsia="Calibri" w:hAnsi="Calibri" w:cs="Times New Roman"/>
        </w:rPr>
        <w:t>£</w:t>
      </w:r>
      <w:r w:rsidR="00CB37D3" w:rsidRPr="00CB37D3">
        <w:rPr>
          <w:rFonts w:ascii="Calibri" w:eastAsia="Calibri" w:hAnsi="Calibri" w:cs="Times New Roman"/>
        </w:rPr>
        <w:t>4,000 to</w:t>
      </w:r>
      <w:r w:rsidR="00691A12" w:rsidRPr="00CB37D3">
        <w:rPr>
          <w:rFonts w:ascii="Calibri" w:eastAsia="Calibri" w:hAnsi="Calibri" w:cs="Times New Roman"/>
        </w:rPr>
        <w:t xml:space="preserve"> </w:t>
      </w:r>
      <w:r w:rsidR="007947CD" w:rsidRPr="00CB37D3">
        <w:rPr>
          <w:rFonts w:ascii="Calibri" w:eastAsia="Calibri" w:hAnsi="Calibri" w:cs="Times New Roman"/>
        </w:rPr>
        <w:t>£</w:t>
      </w:r>
      <w:r w:rsidR="00976B86">
        <w:rPr>
          <w:rFonts w:ascii="Calibri" w:eastAsia="Calibri" w:hAnsi="Calibri" w:cs="Times New Roman"/>
        </w:rPr>
        <w:t>10</w:t>
      </w:r>
      <w:r w:rsidR="006E320B" w:rsidRPr="00CB37D3">
        <w:rPr>
          <w:rFonts w:ascii="Calibri" w:eastAsia="Calibri" w:hAnsi="Calibri" w:cs="Times New Roman"/>
        </w:rPr>
        <w:t>,</w:t>
      </w:r>
      <w:r w:rsidR="00976B86">
        <w:rPr>
          <w:rFonts w:ascii="Calibri" w:eastAsia="Calibri" w:hAnsi="Calibri" w:cs="Times New Roman"/>
        </w:rPr>
        <w:t>0</w:t>
      </w:r>
      <w:r w:rsidR="006E320B" w:rsidRPr="00CB37D3">
        <w:rPr>
          <w:rFonts w:ascii="Calibri" w:eastAsia="Calibri" w:hAnsi="Calibri" w:cs="Times New Roman"/>
        </w:rPr>
        <w:t>00</w:t>
      </w:r>
      <w:r w:rsidR="00297BA0" w:rsidRPr="00CB37D3">
        <w:rPr>
          <w:rFonts w:ascii="Calibri" w:eastAsia="Calibri" w:hAnsi="Calibri" w:cs="Times New Roman"/>
        </w:rPr>
        <w:t xml:space="preserve"> </w:t>
      </w:r>
      <w:r w:rsidRPr="00CB37D3">
        <w:rPr>
          <w:rFonts w:ascii="Calibri" w:eastAsia="Calibri" w:hAnsi="Calibri" w:cs="Times New Roman"/>
        </w:rPr>
        <w:t>in the London Boroughs, with spillover causing price reductions outside London. Of the 35</w:t>
      </w:r>
      <w:r w:rsidR="00691A12" w:rsidRPr="00CB37D3">
        <w:rPr>
          <w:rFonts w:ascii="Calibri" w:eastAsia="Calibri" w:hAnsi="Calibri" w:cs="Times New Roman"/>
        </w:rPr>
        <w:t>3</w:t>
      </w:r>
      <w:r w:rsidRPr="00CB37D3">
        <w:rPr>
          <w:rFonts w:ascii="Calibri" w:eastAsia="Calibri" w:hAnsi="Calibri" w:cs="Times New Roman"/>
        </w:rPr>
        <w:t xml:space="preserve"> English Districts, </w:t>
      </w:r>
      <w:r w:rsidR="00976B86">
        <w:rPr>
          <w:rFonts w:ascii="Calibri" w:eastAsia="Calibri" w:hAnsi="Calibri" w:cs="Times New Roman"/>
        </w:rPr>
        <w:t xml:space="preserve">more than </w:t>
      </w:r>
      <w:r w:rsidR="006E320B" w:rsidRPr="00CB37D3">
        <w:rPr>
          <w:rFonts w:ascii="Calibri" w:eastAsia="Calibri" w:hAnsi="Calibri" w:cs="Times New Roman"/>
        </w:rPr>
        <w:t>200</w:t>
      </w:r>
      <w:r w:rsidRPr="00CB37D3">
        <w:rPr>
          <w:rFonts w:ascii="Calibri" w:eastAsia="Calibri" w:hAnsi="Calibri" w:cs="Times New Roman"/>
        </w:rPr>
        <w:t xml:space="preserve"> do not see any price effect as a result of the increased supply of dwellings in London. </w:t>
      </w:r>
      <w:r w:rsidR="003909B0">
        <w:rPr>
          <w:rFonts w:ascii="Calibri" w:eastAsia="Calibri" w:hAnsi="Calibri" w:cs="Times New Roman"/>
        </w:rPr>
        <w:t>Tables 4 and 5</w:t>
      </w:r>
      <w:r w:rsidR="00E554D5" w:rsidRPr="00CB37D3">
        <w:rPr>
          <w:rFonts w:ascii="Calibri" w:eastAsia="Calibri" w:hAnsi="Calibri" w:cs="Times New Roman"/>
        </w:rPr>
        <w:t xml:space="preserve"> give quantitative </w:t>
      </w:r>
      <w:r w:rsidR="00E554D5" w:rsidRPr="00CB37D3">
        <w:rPr>
          <w:rFonts w:ascii="Calibri" w:eastAsia="Calibri" w:hAnsi="Calibri" w:cs="Times New Roman"/>
        </w:rPr>
        <w:lastRenderedPageBreak/>
        <w:t>details.</w:t>
      </w:r>
      <w:r w:rsidR="00D607B6" w:rsidRPr="00CB37D3">
        <w:rPr>
          <w:rFonts w:ascii="Calibri" w:eastAsia="Calibri" w:hAnsi="Calibri" w:cs="Times New Roman"/>
        </w:rPr>
        <w:t xml:space="preserve"> While prices reductions would be the outcome of a 5% increase in supply, the small scale of the effect would make hardly any difference to affordability.</w:t>
      </w:r>
    </w:p>
    <w:p w14:paraId="102C60A5" w14:textId="77777777" w:rsidR="003853C4" w:rsidRPr="00CB37D3" w:rsidRDefault="003909B0" w:rsidP="00B044FF">
      <w:pPr>
        <w:spacing w:after="0"/>
        <w:jc w:val="both"/>
        <w:rPr>
          <w:rFonts w:ascii="Calibri" w:eastAsia="Calibri" w:hAnsi="Calibri" w:cs="Times New Roman"/>
        </w:rPr>
      </w:pPr>
      <w:r>
        <w:rPr>
          <w:rFonts w:ascii="Calibri" w:eastAsia="Calibri" w:hAnsi="Calibri" w:cs="Times New Roman"/>
        </w:rPr>
        <w:t>Table 4</w:t>
      </w:r>
      <w:r w:rsidR="003853C4" w:rsidRPr="00CB37D3">
        <w:rPr>
          <w:rFonts w:ascii="Calibri" w:eastAsia="Calibri" w:hAnsi="Calibri" w:cs="Times New Roman"/>
        </w:rPr>
        <w:t xml:space="preserve">: Actual prices and affordability in 2012  </w:t>
      </w:r>
    </w:p>
    <w:tbl>
      <w:tblPr>
        <w:tblStyle w:val="TableGrid1"/>
        <w:tblW w:w="0" w:type="auto"/>
        <w:tblLook w:val="04A0" w:firstRow="1" w:lastRow="0" w:firstColumn="1" w:lastColumn="0" w:noHBand="0" w:noVBand="1"/>
      </w:tblPr>
      <w:tblGrid>
        <w:gridCol w:w="1701"/>
        <w:gridCol w:w="1429"/>
        <w:gridCol w:w="1489"/>
        <w:gridCol w:w="1527"/>
        <w:gridCol w:w="1486"/>
      </w:tblGrid>
      <w:tr w:rsidR="003853C4" w:rsidRPr="00CB37D3" w14:paraId="44C24421" w14:textId="77777777" w:rsidTr="00C25E16">
        <w:tc>
          <w:tcPr>
            <w:tcW w:w="1701" w:type="dxa"/>
          </w:tcPr>
          <w:p w14:paraId="11846420" w14:textId="77777777" w:rsidR="003853C4" w:rsidRPr="00CB37D3" w:rsidRDefault="003853C4" w:rsidP="00C25E16">
            <w:pPr>
              <w:pStyle w:val="NoSpacing"/>
            </w:pPr>
          </w:p>
        </w:tc>
        <w:tc>
          <w:tcPr>
            <w:tcW w:w="2918" w:type="dxa"/>
            <w:gridSpan w:val="2"/>
          </w:tcPr>
          <w:p w14:paraId="1F01CC5C" w14:textId="77777777" w:rsidR="003853C4" w:rsidRPr="00CB37D3" w:rsidRDefault="003853C4" w:rsidP="00C25E16">
            <w:pPr>
              <w:pStyle w:val="NoSpacing"/>
              <w:jc w:val="center"/>
            </w:pPr>
            <w:r w:rsidRPr="00CB37D3">
              <w:t>Price (£)</w:t>
            </w:r>
          </w:p>
        </w:tc>
        <w:tc>
          <w:tcPr>
            <w:tcW w:w="3013" w:type="dxa"/>
            <w:gridSpan w:val="2"/>
          </w:tcPr>
          <w:p w14:paraId="2309A9C2" w14:textId="77777777" w:rsidR="003853C4" w:rsidRPr="00CB37D3" w:rsidRDefault="003853C4" w:rsidP="00C25E16">
            <w:pPr>
              <w:pStyle w:val="NoSpacing"/>
              <w:jc w:val="center"/>
            </w:pPr>
            <w:r w:rsidRPr="00CB37D3">
              <w:t>Affordability</w:t>
            </w:r>
          </w:p>
        </w:tc>
      </w:tr>
      <w:tr w:rsidR="003853C4" w:rsidRPr="00CB37D3" w14:paraId="74FBFE2C" w14:textId="77777777" w:rsidTr="00C25E16">
        <w:tc>
          <w:tcPr>
            <w:tcW w:w="1701" w:type="dxa"/>
          </w:tcPr>
          <w:p w14:paraId="6BBC78DB" w14:textId="77777777" w:rsidR="003853C4" w:rsidRPr="00CB37D3" w:rsidRDefault="003853C4" w:rsidP="00C25E16">
            <w:pPr>
              <w:pStyle w:val="NoSpacing"/>
            </w:pPr>
          </w:p>
        </w:tc>
        <w:tc>
          <w:tcPr>
            <w:tcW w:w="1429" w:type="dxa"/>
          </w:tcPr>
          <w:p w14:paraId="387565B7" w14:textId="77777777" w:rsidR="003853C4" w:rsidRPr="00CB37D3" w:rsidRDefault="003853C4" w:rsidP="00C25E16">
            <w:pPr>
              <w:pStyle w:val="NoSpacing"/>
            </w:pPr>
            <w:r w:rsidRPr="00CB37D3">
              <w:t>mean</w:t>
            </w:r>
          </w:p>
        </w:tc>
        <w:tc>
          <w:tcPr>
            <w:tcW w:w="1489" w:type="dxa"/>
          </w:tcPr>
          <w:p w14:paraId="0ACBF693" w14:textId="77777777" w:rsidR="003853C4" w:rsidRPr="00CB37D3" w:rsidRDefault="009F4B17" w:rsidP="00C25E16">
            <w:pPr>
              <w:pStyle w:val="NoSpacing"/>
            </w:pPr>
            <w:r w:rsidRPr="00CB37D3">
              <w:t>median</w:t>
            </w:r>
          </w:p>
        </w:tc>
        <w:tc>
          <w:tcPr>
            <w:tcW w:w="1527" w:type="dxa"/>
          </w:tcPr>
          <w:p w14:paraId="4DBF17C1" w14:textId="77777777" w:rsidR="003853C4" w:rsidRPr="00CB37D3" w:rsidRDefault="003853C4" w:rsidP="00C25E16">
            <w:pPr>
              <w:pStyle w:val="NoSpacing"/>
              <w:jc w:val="center"/>
            </w:pPr>
            <w:r w:rsidRPr="00CB37D3">
              <w:t>mean</w:t>
            </w:r>
          </w:p>
        </w:tc>
        <w:tc>
          <w:tcPr>
            <w:tcW w:w="1486" w:type="dxa"/>
          </w:tcPr>
          <w:p w14:paraId="36FF235A" w14:textId="77777777" w:rsidR="003853C4" w:rsidRPr="00CB37D3" w:rsidRDefault="003853C4" w:rsidP="00C25E16">
            <w:pPr>
              <w:pStyle w:val="NoSpacing"/>
              <w:jc w:val="center"/>
            </w:pPr>
            <w:r w:rsidRPr="00CB37D3">
              <w:t>median</w:t>
            </w:r>
          </w:p>
        </w:tc>
      </w:tr>
      <w:tr w:rsidR="003853C4" w:rsidRPr="00CB37D3" w14:paraId="4D165E94" w14:textId="77777777" w:rsidTr="00C25E16">
        <w:tc>
          <w:tcPr>
            <w:tcW w:w="1701" w:type="dxa"/>
          </w:tcPr>
          <w:p w14:paraId="0252CCF5" w14:textId="77777777" w:rsidR="003853C4" w:rsidRPr="00CB37D3" w:rsidRDefault="003853C4" w:rsidP="00C25E16">
            <w:pPr>
              <w:pStyle w:val="NoSpacing"/>
            </w:pPr>
            <w:r w:rsidRPr="00CB37D3">
              <w:t>Greater London</w:t>
            </w:r>
          </w:p>
        </w:tc>
        <w:tc>
          <w:tcPr>
            <w:tcW w:w="1429" w:type="dxa"/>
          </w:tcPr>
          <w:p w14:paraId="3D8D86EE" w14:textId="77777777" w:rsidR="003853C4" w:rsidRPr="00CB37D3" w:rsidRDefault="003853C4" w:rsidP="00C25E16">
            <w:pPr>
              <w:pStyle w:val="NoSpacing"/>
            </w:pPr>
            <w:r w:rsidRPr="00CB37D3">
              <w:t>438,960</w:t>
            </w:r>
          </w:p>
        </w:tc>
        <w:tc>
          <w:tcPr>
            <w:tcW w:w="1489" w:type="dxa"/>
          </w:tcPr>
          <w:p w14:paraId="797E2D94" w14:textId="77777777" w:rsidR="003853C4" w:rsidRPr="00CB37D3" w:rsidRDefault="003853C4" w:rsidP="00C25E16">
            <w:pPr>
              <w:pStyle w:val="NoSpacing"/>
            </w:pPr>
            <w:r w:rsidRPr="00CB37D3">
              <w:t>379,610</w:t>
            </w:r>
          </w:p>
        </w:tc>
        <w:tc>
          <w:tcPr>
            <w:tcW w:w="1527" w:type="dxa"/>
          </w:tcPr>
          <w:p w14:paraId="78A784CB" w14:textId="77777777" w:rsidR="003853C4" w:rsidRPr="00CB37D3" w:rsidRDefault="003853C4" w:rsidP="00C25E16">
            <w:pPr>
              <w:pStyle w:val="NoSpacing"/>
              <w:jc w:val="center"/>
            </w:pPr>
            <w:r w:rsidRPr="00CB37D3">
              <w:t>11.70</w:t>
            </w:r>
          </w:p>
        </w:tc>
        <w:tc>
          <w:tcPr>
            <w:tcW w:w="1486" w:type="dxa"/>
          </w:tcPr>
          <w:p w14:paraId="4D9E4DAA" w14:textId="77777777" w:rsidR="003853C4" w:rsidRPr="00CB37D3" w:rsidRDefault="003853C4" w:rsidP="00C25E16">
            <w:pPr>
              <w:pStyle w:val="NoSpacing"/>
              <w:jc w:val="center"/>
            </w:pPr>
            <w:r w:rsidRPr="00CB37D3">
              <w:t>9.45</w:t>
            </w:r>
          </w:p>
        </w:tc>
      </w:tr>
      <w:tr w:rsidR="003853C4" w:rsidRPr="00CB37D3" w14:paraId="6F7A4888" w14:textId="77777777" w:rsidTr="00C25E16">
        <w:tc>
          <w:tcPr>
            <w:tcW w:w="1701" w:type="dxa"/>
          </w:tcPr>
          <w:p w14:paraId="6E373C37" w14:textId="77777777" w:rsidR="003853C4" w:rsidRPr="00CB37D3" w:rsidRDefault="003853C4" w:rsidP="00C25E16">
            <w:pPr>
              <w:pStyle w:val="NoSpacing"/>
            </w:pPr>
            <w:r w:rsidRPr="00CB37D3">
              <w:t>England</w:t>
            </w:r>
          </w:p>
        </w:tc>
        <w:tc>
          <w:tcPr>
            <w:tcW w:w="1429" w:type="dxa"/>
          </w:tcPr>
          <w:p w14:paraId="580DEBC3" w14:textId="77777777" w:rsidR="003853C4" w:rsidRPr="00CB37D3" w:rsidRDefault="003853C4" w:rsidP="00C25E16">
            <w:pPr>
              <w:pStyle w:val="NoSpacing"/>
            </w:pPr>
            <w:r w:rsidRPr="00CB37D3">
              <w:t>230,560</w:t>
            </w:r>
          </w:p>
        </w:tc>
        <w:tc>
          <w:tcPr>
            <w:tcW w:w="1489" w:type="dxa"/>
          </w:tcPr>
          <w:p w14:paraId="291A7354" w14:textId="77777777" w:rsidR="003853C4" w:rsidRPr="00CB37D3" w:rsidRDefault="003853C4" w:rsidP="00C25E16">
            <w:pPr>
              <w:pStyle w:val="NoSpacing"/>
            </w:pPr>
            <w:r w:rsidRPr="00CB37D3">
              <w:t>208,170</w:t>
            </w:r>
          </w:p>
        </w:tc>
        <w:tc>
          <w:tcPr>
            <w:tcW w:w="1527" w:type="dxa"/>
          </w:tcPr>
          <w:p w14:paraId="76C72F09" w14:textId="77777777" w:rsidR="003853C4" w:rsidRPr="00CB37D3" w:rsidRDefault="003853C4" w:rsidP="00C25E16">
            <w:pPr>
              <w:pStyle w:val="NoSpacing"/>
              <w:jc w:val="center"/>
            </w:pPr>
            <w:r w:rsidRPr="00CB37D3">
              <w:t>7.53</w:t>
            </w:r>
          </w:p>
        </w:tc>
        <w:tc>
          <w:tcPr>
            <w:tcW w:w="1486" w:type="dxa"/>
          </w:tcPr>
          <w:p w14:paraId="52645E16" w14:textId="77777777" w:rsidR="003853C4" w:rsidRPr="00CB37D3" w:rsidRDefault="003853C4" w:rsidP="00C25E16">
            <w:pPr>
              <w:pStyle w:val="NoSpacing"/>
              <w:jc w:val="center"/>
            </w:pPr>
            <w:r w:rsidRPr="00CB37D3">
              <w:t>7.00</w:t>
            </w:r>
          </w:p>
        </w:tc>
      </w:tr>
    </w:tbl>
    <w:p w14:paraId="413D81BE" w14:textId="77777777" w:rsidR="00B044FF" w:rsidRPr="00CB37D3" w:rsidRDefault="00B044FF" w:rsidP="00B044FF">
      <w:pPr>
        <w:spacing w:after="0"/>
        <w:jc w:val="both"/>
        <w:rPr>
          <w:rFonts w:ascii="Calibri" w:eastAsia="Calibri" w:hAnsi="Calibri" w:cs="Times New Roman"/>
        </w:rPr>
      </w:pPr>
    </w:p>
    <w:p w14:paraId="6FA72512" w14:textId="77777777" w:rsidR="003853C4" w:rsidRPr="00CB37D3" w:rsidRDefault="003909B0" w:rsidP="00B044FF">
      <w:pPr>
        <w:spacing w:after="0"/>
        <w:jc w:val="both"/>
        <w:rPr>
          <w:rFonts w:ascii="Calibri" w:eastAsia="Calibri" w:hAnsi="Calibri" w:cs="Times New Roman"/>
        </w:rPr>
      </w:pPr>
      <w:r>
        <w:rPr>
          <w:rFonts w:ascii="Calibri" w:eastAsia="Calibri" w:hAnsi="Calibri" w:cs="Times New Roman"/>
        </w:rPr>
        <w:t>Table 5</w:t>
      </w:r>
      <w:r w:rsidR="003853C4" w:rsidRPr="00CB37D3">
        <w:rPr>
          <w:rFonts w:ascii="Calibri" w:eastAsia="Calibri" w:hAnsi="Calibri" w:cs="Times New Roman"/>
        </w:rPr>
        <w:t xml:space="preserve">: The effects on prices and affordability in 2012 of a hypothetical 5% increase in supply </w:t>
      </w:r>
    </w:p>
    <w:tbl>
      <w:tblPr>
        <w:tblStyle w:val="TableGrid1"/>
        <w:tblW w:w="0" w:type="auto"/>
        <w:tblLook w:val="04A0" w:firstRow="1" w:lastRow="0" w:firstColumn="1" w:lastColumn="0" w:noHBand="0" w:noVBand="1"/>
      </w:tblPr>
      <w:tblGrid>
        <w:gridCol w:w="1384"/>
        <w:gridCol w:w="1701"/>
        <w:gridCol w:w="1429"/>
        <w:gridCol w:w="1489"/>
        <w:gridCol w:w="1527"/>
        <w:gridCol w:w="1486"/>
      </w:tblGrid>
      <w:tr w:rsidR="003853C4" w:rsidRPr="00CB37D3" w14:paraId="62DBD83D" w14:textId="77777777" w:rsidTr="00C25E16">
        <w:tc>
          <w:tcPr>
            <w:tcW w:w="1384" w:type="dxa"/>
          </w:tcPr>
          <w:p w14:paraId="7A461594" w14:textId="77777777" w:rsidR="003853C4" w:rsidRPr="00CB37D3" w:rsidRDefault="003853C4" w:rsidP="00C25E16">
            <w:pPr>
              <w:pStyle w:val="NoSpacing"/>
            </w:pPr>
          </w:p>
        </w:tc>
        <w:tc>
          <w:tcPr>
            <w:tcW w:w="1701" w:type="dxa"/>
          </w:tcPr>
          <w:p w14:paraId="6DB6BA49" w14:textId="77777777" w:rsidR="003853C4" w:rsidRPr="00CB37D3" w:rsidRDefault="003853C4" w:rsidP="00C25E16">
            <w:pPr>
              <w:pStyle w:val="NoSpacing"/>
            </w:pPr>
          </w:p>
        </w:tc>
        <w:tc>
          <w:tcPr>
            <w:tcW w:w="2918" w:type="dxa"/>
            <w:gridSpan w:val="2"/>
          </w:tcPr>
          <w:p w14:paraId="1615758A" w14:textId="77777777" w:rsidR="003853C4" w:rsidRPr="00CB37D3" w:rsidRDefault="003853C4" w:rsidP="00C25E16">
            <w:pPr>
              <w:pStyle w:val="NoSpacing"/>
              <w:jc w:val="center"/>
            </w:pPr>
            <w:r w:rsidRPr="00CB37D3">
              <w:t>Counterfactual price</w:t>
            </w:r>
          </w:p>
        </w:tc>
        <w:tc>
          <w:tcPr>
            <w:tcW w:w="3013" w:type="dxa"/>
            <w:gridSpan w:val="2"/>
          </w:tcPr>
          <w:p w14:paraId="504ADBB7" w14:textId="77777777" w:rsidR="003853C4" w:rsidRPr="00CB37D3" w:rsidRDefault="003853C4" w:rsidP="00C25E16">
            <w:pPr>
              <w:pStyle w:val="NoSpacing"/>
              <w:jc w:val="center"/>
            </w:pPr>
            <w:r w:rsidRPr="00CB37D3">
              <w:t>Counterfactual Affordability</w:t>
            </w:r>
          </w:p>
        </w:tc>
      </w:tr>
      <w:tr w:rsidR="003853C4" w:rsidRPr="00CB37D3" w14:paraId="07305323" w14:textId="77777777" w:rsidTr="00C25E16">
        <w:tc>
          <w:tcPr>
            <w:tcW w:w="1384" w:type="dxa"/>
            <w:vMerge w:val="restart"/>
          </w:tcPr>
          <w:p w14:paraId="2703976B" w14:textId="77777777" w:rsidR="003853C4" w:rsidRPr="00CB37D3" w:rsidRDefault="003853C4" w:rsidP="00C25E16">
            <w:pPr>
              <w:pStyle w:val="NoSpacing"/>
            </w:pPr>
            <w:r w:rsidRPr="00CB37D3">
              <w:t>Both supply and demand effects</w:t>
            </w:r>
          </w:p>
        </w:tc>
        <w:tc>
          <w:tcPr>
            <w:tcW w:w="1701" w:type="dxa"/>
          </w:tcPr>
          <w:p w14:paraId="4FD4B5FE" w14:textId="77777777" w:rsidR="003853C4" w:rsidRPr="00CB37D3" w:rsidRDefault="003853C4" w:rsidP="00C25E16">
            <w:pPr>
              <w:pStyle w:val="NoSpacing"/>
            </w:pPr>
          </w:p>
        </w:tc>
        <w:tc>
          <w:tcPr>
            <w:tcW w:w="1429" w:type="dxa"/>
          </w:tcPr>
          <w:p w14:paraId="2E56AE1C" w14:textId="77777777" w:rsidR="003853C4" w:rsidRPr="00CB37D3" w:rsidRDefault="003853C4" w:rsidP="00C25E16">
            <w:pPr>
              <w:pStyle w:val="NoSpacing"/>
            </w:pPr>
            <w:r w:rsidRPr="00CB37D3">
              <w:t>mean</w:t>
            </w:r>
          </w:p>
        </w:tc>
        <w:tc>
          <w:tcPr>
            <w:tcW w:w="1489" w:type="dxa"/>
          </w:tcPr>
          <w:p w14:paraId="4E624409" w14:textId="77777777" w:rsidR="003853C4" w:rsidRPr="00CB37D3" w:rsidRDefault="003853C4" w:rsidP="00C25E16">
            <w:pPr>
              <w:pStyle w:val="NoSpacing"/>
            </w:pPr>
            <w:r w:rsidRPr="00CB37D3">
              <w:t>median</w:t>
            </w:r>
          </w:p>
        </w:tc>
        <w:tc>
          <w:tcPr>
            <w:tcW w:w="1527" w:type="dxa"/>
          </w:tcPr>
          <w:p w14:paraId="2AD8DB46" w14:textId="77777777" w:rsidR="003853C4" w:rsidRPr="00CB37D3" w:rsidRDefault="003853C4" w:rsidP="00C25E16">
            <w:pPr>
              <w:pStyle w:val="NoSpacing"/>
            </w:pPr>
            <w:r w:rsidRPr="00CB37D3">
              <w:t>mean</w:t>
            </w:r>
          </w:p>
        </w:tc>
        <w:tc>
          <w:tcPr>
            <w:tcW w:w="1486" w:type="dxa"/>
          </w:tcPr>
          <w:p w14:paraId="5C60C347" w14:textId="77777777" w:rsidR="003853C4" w:rsidRPr="00CB37D3" w:rsidRDefault="003853C4" w:rsidP="00C25E16">
            <w:pPr>
              <w:pStyle w:val="NoSpacing"/>
            </w:pPr>
            <w:r w:rsidRPr="00CB37D3">
              <w:t>median</w:t>
            </w:r>
          </w:p>
        </w:tc>
      </w:tr>
      <w:tr w:rsidR="003853C4" w:rsidRPr="00CB37D3" w14:paraId="40CBA5BB" w14:textId="77777777" w:rsidTr="00C25E16">
        <w:tc>
          <w:tcPr>
            <w:tcW w:w="1384" w:type="dxa"/>
            <w:vMerge/>
          </w:tcPr>
          <w:p w14:paraId="63F21F1C" w14:textId="77777777" w:rsidR="003853C4" w:rsidRPr="00CB37D3" w:rsidRDefault="003853C4" w:rsidP="00C25E16">
            <w:pPr>
              <w:pStyle w:val="NoSpacing"/>
            </w:pPr>
          </w:p>
        </w:tc>
        <w:tc>
          <w:tcPr>
            <w:tcW w:w="1701" w:type="dxa"/>
          </w:tcPr>
          <w:p w14:paraId="5AA05441" w14:textId="77777777" w:rsidR="003853C4" w:rsidRPr="00CB37D3" w:rsidRDefault="003853C4" w:rsidP="00C25E16">
            <w:pPr>
              <w:pStyle w:val="NoSpacing"/>
            </w:pPr>
            <w:r w:rsidRPr="00CB37D3">
              <w:t>Greater London</w:t>
            </w:r>
          </w:p>
        </w:tc>
        <w:tc>
          <w:tcPr>
            <w:tcW w:w="1429" w:type="dxa"/>
          </w:tcPr>
          <w:p w14:paraId="53CD2EB5" w14:textId="77777777" w:rsidR="003853C4" w:rsidRPr="00CB37D3" w:rsidRDefault="00E03F0C" w:rsidP="00C25E16">
            <w:pPr>
              <w:pStyle w:val="NoSpacing"/>
            </w:pPr>
            <w:r w:rsidRPr="00CB37D3">
              <w:t>43</w:t>
            </w:r>
            <w:r w:rsidR="00E07F01">
              <w:t>1</w:t>
            </w:r>
            <w:r w:rsidRPr="00CB37D3">
              <w:t>,</w:t>
            </w:r>
            <w:r w:rsidR="00E07F01">
              <w:t>329</w:t>
            </w:r>
          </w:p>
        </w:tc>
        <w:tc>
          <w:tcPr>
            <w:tcW w:w="1489" w:type="dxa"/>
          </w:tcPr>
          <w:p w14:paraId="0185C194" w14:textId="77777777" w:rsidR="003853C4" w:rsidRPr="00CB37D3" w:rsidRDefault="00E03F0C" w:rsidP="00C25E16">
            <w:pPr>
              <w:pStyle w:val="NoSpacing"/>
            </w:pPr>
            <w:r w:rsidRPr="00CB37D3">
              <w:t>37</w:t>
            </w:r>
            <w:r w:rsidR="00E07F01">
              <w:t>2</w:t>
            </w:r>
            <w:r w:rsidRPr="00CB37D3">
              <w:t>,</w:t>
            </w:r>
            <w:r w:rsidR="00E07F01">
              <w:t>004</w:t>
            </w:r>
          </w:p>
        </w:tc>
        <w:tc>
          <w:tcPr>
            <w:tcW w:w="1527" w:type="dxa"/>
          </w:tcPr>
          <w:p w14:paraId="03600CDB" w14:textId="77777777" w:rsidR="003853C4" w:rsidRPr="00CB37D3" w:rsidRDefault="00E03F0C" w:rsidP="00C25E16">
            <w:pPr>
              <w:pStyle w:val="NoSpacing"/>
            </w:pPr>
            <w:r w:rsidRPr="00CB37D3">
              <w:t>11.</w:t>
            </w:r>
            <w:r w:rsidR="00507B09">
              <w:t>49</w:t>
            </w:r>
          </w:p>
        </w:tc>
        <w:tc>
          <w:tcPr>
            <w:tcW w:w="1486" w:type="dxa"/>
          </w:tcPr>
          <w:p w14:paraId="16D9E8FB" w14:textId="77777777" w:rsidR="003853C4" w:rsidRPr="00CB37D3" w:rsidRDefault="00E03F0C" w:rsidP="00C25E16">
            <w:pPr>
              <w:pStyle w:val="NoSpacing"/>
            </w:pPr>
            <w:r w:rsidRPr="00CB37D3">
              <w:t>9.</w:t>
            </w:r>
            <w:r w:rsidR="00E07F01">
              <w:t>23</w:t>
            </w:r>
          </w:p>
        </w:tc>
      </w:tr>
      <w:tr w:rsidR="003853C4" w:rsidRPr="00CB37D3" w14:paraId="0B891B48" w14:textId="77777777" w:rsidTr="00C25E16">
        <w:tc>
          <w:tcPr>
            <w:tcW w:w="1384" w:type="dxa"/>
            <w:vMerge/>
          </w:tcPr>
          <w:p w14:paraId="5FA1C883" w14:textId="77777777" w:rsidR="003853C4" w:rsidRPr="00CB37D3" w:rsidRDefault="003853C4" w:rsidP="00C25E16">
            <w:pPr>
              <w:pStyle w:val="NoSpacing"/>
            </w:pPr>
          </w:p>
        </w:tc>
        <w:tc>
          <w:tcPr>
            <w:tcW w:w="1701" w:type="dxa"/>
          </w:tcPr>
          <w:p w14:paraId="5C9623E1" w14:textId="77777777" w:rsidR="003853C4" w:rsidRPr="00CB37D3" w:rsidRDefault="003853C4" w:rsidP="00C25E16">
            <w:pPr>
              <w:pStyle w:val="NoSpacing"/>
            </w:pPr>
            <w:r w:rsidRPr="00CB37D3">
              <w:t>England</w:t>
            </w:r>
          </w:p>
        </w:tc>
        <w:tc>
          <w:tcPr>
            <w:tcW w:w="1429" w:type="dxa"/>
          </w:tcPr>
          <w:p w14:paraId="06EB43DC" w14:textId="77777777" w:rsidR="003853C4" w:rsidRPr="00CB37D3" w:rsidRDefault="00E03F0C" w:rsidP="00C25E16">
            <w:pPr>
              <w:pStyle w:val="NoSpacing"/>
            </w:pPr>
            <w:r w:rsidRPr="00CB37D3">
              <w:t>229,</w:t>
            </w:r>
            <w:r w:rsidR="00E07F01">
              <w:t>272</w:t>
            </w:r>
          </w:p>
        </w:tc>
        <w:tc>
          <w:tcPr>
            <w:tcW w:w="1489" w:type="dxa"/>
          </w:tcPr>
          <w:p w14:paraId="0A970F97" w14:textId="77777777" w:rsidR="003853C4" w:rsidRPr="00CB37D3" w:rsidRDefault="00E03F0C" w:rsidP="00C25E16">
            <w:pPr>
              <w:pStyle w:val="NoSpacing"/>
            </w:pPr>
            <w:r w:rsidRPr="00CB37D3">
              <w:t>206,</w:t>
            </w:r>
            <w:r w:rsidR="00E07F01">
              <w:t>6</w:t>
            </w:r>
            <w:r w:rsidRPr="00CB37D3">
              <w:t>88</w:t>
            </w:r>
          </w:p>
        </w:tc>
        <w:tc>
          <w:tcPr>
            <w:tcW w:w="1527" w:type="dxa"/>
          </w:tcPr>
          <w:p w14:paraId="603DBDF7" w14:textId="77777777" w:rsidR="003853C4" w:rsidRPr="00CB37D3" w:rsidRDefault="00E03F0C" w:rsidP="00C25E16">
            <w:pPr>
              <w:pStyle w:val="NoSpacing"/>
            </w:pPr>
            <w:r w:rsidRPr="00CB37D3">
              <w:t>7.50</w:t>
            </w:r>
          </w:p>
        </w:tc>
        <w:tc>
          <w:tcPr>
            <w:tcW w:w="1486" w:type="dxa"/>
          </w:tcPr>
          <w:p w14:paraId="3BAD89B8" w14:textId="77777777" w:rsidR="003853C4" w:rsidRPr="00CB37D3" w:rsidRDefault="00E03F0C" w:rsidP="00C25E16">
            <w:pPr>
              <w:pStyle w:val="NoSpacing"/>
            </w:pPr>
            <w:r w:rsidRPr="00CB37D3">
              <w:t>6.8</w:t>
            </w:r>
            <w:r w:rsidR="00094E52">
              <w:t>9</w:t>
            </w:r>
          </w:p>
        </w:tc>
      </w:tr>
      <w:tr w:rsidR="003853C4" w:rsidRPr="00CB37D3" w14:paraId="705D52FD" w14:textId="77777777" w:rsidTr="00C25E16">
        <w:tc>
          <w:tcPr>
            <w:tcW w:w="1384" w:type="dxa"/>
          </w:tcPr>
          <w:p w14:paraId="25E85EEB" w14:textId="77777777" w:rsidR="003853C4" w:rsidRPr="00CB37D3" w:rsidRDefault="003853C4" w:rsidP="00C25E16">
            <w:pPr>
              <w:pStyle w:val="NoSpacing"/>
            </w:pPr>
          </w:p>
        </w:tc>
        <w:tc>
          <w:tcPr>
            <w:tcW w:w="1701" w:type="dxa"/>
          </w:tcPr>
          <w:p w14:paraId="5E8E14F7" w14:textId="77777777" w:rsidR="003853C4" w:rsidRPr="00CB37D3" w:rsidRDefault="003853C4" w:rsidP="00C25E16">
            <w:pPr>
              <w:pStyle w:val="NoSpacing"/>
            </w:pPr>
          </w:p>
        </w:tc>
        <w:tc>
          <w:tcPr>
            <w:tcW w:w="2918" w:type="dxa"/>
            <w:gridSpan w:val="2"/>
          </w:tcPr>
          <w:p w14:paraId="0BC73F65" w14:textId="77777777" w:rsidR="003853C4" w:rsidRPr="00CB37D3" w:rsidRDefault="003853C4" w:rsidP="00C25E16">
            <w:pPr>
              <w:pStyle w:val="NoSpacing"/>
              <w:jc w:val="center"/>
            </w:pPr>
            <w:r w:rsidRPr="00CB37D3">
              <w:t>Counterfactual price</w:t>
            </w:r>
          </w:p>
        </w:tc>
        <w:tc>
          <w:tcPr>
            <w:tcW w:w="3013" w:type="dxa"/>
            <w:gridSpan w:val="2"/>
          </w:tcPr>
          <w:p w14:paraId="75D7BC3C" w14:textId="77777777" w:rsidR="003853C4" w:rsidRPr="00CB37D3" w:rsidRDefault="003853C4" w:rsidP="00C25E16">
            <w:pPr>
              <w:pStyle w:val="NoSpacing"/>
              <w:jc w:val="center"/>
            </w:pPr>
            <w:r w:rsidRPr="00CB37D3">
              <w:t>Counterfactual Affordability</w:t>
            </w:r>
          </w:p>
        </w:tc>
      </w:tr>
      <w:tr w:rsidR="003853C4" w:rsidRPr="00CB37D3" w14:paraId="3AD6733E" w14:textId="77777777" w:rsidTr="00C25E16">
        <w:tc>
          <w:tcPr>
            <w:tcW w:w="1384" w:type="dxa"/>
            <w:vMerge w:val="restart"/>
          </w:tcPr>
          <w:p w14:paraId="4745A43A" w14:textId="77777777" w:rsidR="003853C4" w:rsidRPr="00CB37D3" w:rsidRDefault="003853C4" w:rsidP="00C25E16">
            <w:pPr>
              <w:pStyle w:val="NoSpacing"/>
            </w:pPr>
            <w:r w:rsidRPr="00CB37D3">
              <w:t>Supply effects</w:t>
            </w:r>
          </w:p>
          <w:p w14:paraId="55BA29B3" w14:textId="77777777" w:rsidR="003853C4" w:rsidRPr="00CB37D3" w:rsidRDefault="003853C4" w:rsidP="00C25E16">
            <w:pPr>
              <w:pStyle w:val="NoSpacing"/>
            </w:pPr>
            <w:r w:rsidRPr="00CB37D3">
              <w:t>only</w:t>
            </w:r>
          </w:p>
        </w:tc>
        <w:tc>
          <w:tcPr>
            <w:tcW w:w="1701" w:type="dxa"/>
          </w:tcPr>
          <w:p w14:paraId="61DE8FB1" w14:textId="77777777" w:rsidR="003853C4" w:rsidRPr="00CB37D3" w:rsidRDefault="003853C4" w:rsidP="00C25E16">
            <w:pPr>
              <w:pStyle w:val="NoSpacing"/>
            </w:pPr>
          </w:p>
        </w:tc>
        <w:tc>
          <w:tcPr>
            <w:tcW w:w="1429" w:type="dxa"/>
          </w:tcPr>
          <w:p w14:paraId="323B6712" w14:textId="77777777" w:rsidR="003853C4" w:rsidRPr="00CB37D3" w:rsidRDefault="003853C4" w:rsidP="00C25E16">
            <w:pPr>
              <w:pStyle w:val="NoSpacing"/>
            </w:pPr>
            <w:r w:rsidRPr="00CB37D3">
              <w:t>mean</w:t>
            </w:r>
          </w:p>
        </w:tc>
        <w:tc>
          <w:tcPr>
            <w:tcW w:w="1489" w:type="dxa"/>
          </w:tcPr>
          <w:p w14:paraId="2BEDFB5A" w14:textId="77777777" w:rsidR="003853C4" w:rsidRPr="00CB37D3" w:rsidRDefault="003853C4" w:rsidP="00C25E16">
            <w:pPr>
              <w:pStyle w:val="NoSpacing"/>
            </w:pPr>
            <w:r w:rsidRPr="00CB37D3">
              <w:t>median</w:t>
            </w:r>
          </w:p>
        </w:tc>
        <w:tc>
          <w:tcPr>
            <w:tcW w:w="1527" w:type="dxa"/>
          </w:tcPr>
          <w:p w14:paraId="63D06F0E" w14:textId="77777777" w:rsidR="003853C4" w:rsidRPr="00CB37D3" w:rsidRDefault="003853C4" w:rsidP="00C25E16">
            <w:pPr>
              <w:pStyle w:val="NoSpacing"/>
            </w:pPr>
            <w:r w:rsidRPr="00CB37D3">
              <w:t>mean</w:t>
            </w:r>
          </w:p>
        </w:tc>
        <w:tc>
          <w:tcPr>
            <w:tcW w:w="1486" w:type="dxa"/>
          </w:tcPr>
          <w:p w14:paraId="4E41513D" w14:textId="77777777" w:rsidR="003853C4" w:rsidRPr="00CB37D3" w:rsidRDefault="003853C4" w:rsidP="00C25E16">
            <w:pPr>
              <w:pStyle w:val="NoSpacing"/>
            </w:pPr>
            <w:r w:rsidRPr="00CB37D3">
              <w:t>median</w:t>
            </w:r>
          </w:p>
        </w:tc>
      </w:tr>
      <w:tr w:rsidR="003853C4" w:rsidRPr="00CB37D3" w14:paraId="194841F3" w14:textId="77777777" w:rsidTr="00C25E16">
        <w:tc>
          <w:tcPr>
            <w:tcW w:w="1384" w:type="dxa"/>
            <w:vMerge/>
          </w:tcPr>
          <w:p w14:paraId="500FE272" w14:textId="77777777" w:rsidR="003853C4" w:rsidRPr="00CB37D3" w:rsidRDefault="003853C4" w:rsidP="00C25E16">
            <w:pPr>
              <w:pStyle w:val="NoSpacing"/>
            </w:pPr>
          </w:p>
        </w:tc>
        <w:tc>
          <w:tcPr>
            <w:tcW w:w="1701" w:type="dxa"/>
          </w:tcPr>
          <w:p w14:paraId="0C6F0FDA" w14:textId="77777777" w:rsidR="003853C4" w:rsidRPr="00CB37D3" w:rsidRDefault="003853C4" w:rsidP="00C25E16">
            <w:pPr>
              <w:pStyle w:val="NoSpacing"/>
            </w:pPr>
            <w:r w:rsidRPr="00CB37D3">
              <w:t>Greater London</w:t>
            </w:r>
          </w:p>
        </w:tc>
        <w:tc>
          <w:tcPr>
            <w:tcW w:w="1429" w:type="dxa"/>
          </w:tcPr>
          <w:p w14:paraId="1BBFC8E8" w14:textId="77777777" w:rsidR="003853C4" w:rsidRPr="00CB37D3" w:rsidRDefault="00597DBD" w:rsidP="00C25E16">
            <w:pPr>
              <w:pStyle w:val="NoSpacing"/>
            </w:pPr>
            <w:r w:rsidRPr="00CB37D3">
              <w:t>4</w:t>
            </w:r>
            <w:r w:rsidR="00E07F01">
              <w:t>28,745</w:t>
            </w:r>
          </w:p>
        </w:tc>
        <w:tc>
          <w:tcPr>
            <w:tcW w:w="1489" w:type="dxa"/>
          </w:tcPr>
          <w:p w14:paraId="278B344A" w14:textId="77777777" w:rsidR="003853C4" w:rsidRPr="00CB37D3" w:rsidRDefault="00597DBD" w:rsidP="00C25E16">
            <w:pPr>
              <w:pStyle w:val="NoSpacing"/>
            </w:pPr>
            <w:r w:rsidRPr="00CB37D3">
              <w:t>3</w:t>
            </w:r>
            <w:r w:rsidR="00E07F01">
              <w:t>69,197</w:t>
            </w:r>
          </w:p>
        </w:tc>
        <w:tc>
          <w:tcPr>
            <w:tcW w:w="1527" w:type="dxa"/>
          </w:tcPr>
          <w:p w14:paraId="2261C3B7" w14:textId="77777777" w:rsidR="003853C4" w:rsidRPr="00CB37D3" w:rsidRDefault="00597DBD" w:rsidP="00C25E16">
            <w:pPr>
              <w:pStyle w:val="NoSpacing"/>
            </w:pPr>
            <w:r w:rsidRPr="00CB37D3">
              <w:t>11.</w:t>
            </w:r>
            <w:r w:rsidR="00E07F01">
              <w:t>42</w:t>
            </w:r>
          </w:p>
        </w:tc>
        <w:tc>
          <w:tcPr>
            <w:tcW w:w="1486" w:type="dxa"/>
          </w:tcPr>
          <w:p w14:paraId="1B9E0C3D" w14:textId="77777777" w:rsidR="003853C4" w:rsidRPr="00CB37D3" w:rsidRDefault="00597DBD" w:rsidP="00C25E16">
            <w:pPr>
              <w:pStyle w:val="NoSpacing"/>
            </w:pPr>
            <w:r w:rsidRPr="00CB37D3">
              <w:t>9.</w:t>
            </w:r>
            <w:r w:rsidR="00E07F01">
              <w:t>1</w:t>
            </w:r>
            <w:r w:rsidRPr="00CB37D3">
              <w:t>6</w:t>
            </w:r>
          </w:p>
        </w:tc>
      </w:tr>
      <w:tr w:rsidR="003853C4" w:rsidRPr="00CB37D3" w14:paraId="254A0B4B" w14:textId="77777777" w:rsidTr="00C25E16">
        <w:tc>
          <w:tcPr>
            <w:tcW w:w="1384" w:type="dxa"/>
            <w:vMerge/>
          </w:tcPr>
          <w:p w14:paraId="0416CD30" w14:textId="77777777" w:rsidR="003853C4" w:rsidRPr="00CB37D3" w:rsidRDefault="003853C4" w:rsidP="00C25E16">
            <w:pPr>
              <w:pStyle w:val="NoSpacing"/>
            </w:pPr>
          </w:p>
        </w:tc>
        <w:tc>
          <w:tcPr>
            <w:tcW w:w="1701" w:type="dxa"/>
          </w:tcPr>
          <w:p w14:paraId="79CA6FF8" w14:textId="77777777" w:rsidR="003853C4" w:rsidRPr="00CB37D3" w:rsidRDefault="003853C4" w:rsidP="00C25E16">
            <w:pPr>
              <w:pStyle w:val="NoSpacing"/>
            </w:pPr>
            <w:r w:rsidRPr="00CB37D3">
              <w:t>England</w:t>
            </w:r>
          </w:p>
        </w:tc>
        <w:tc>
          <w:tcPr>
            <w:tcW w:w="1429" w:type="dxa"/>
          </w:tcPr>
          <w:p w14:paraId="66366C83" w14:textId="77777777" w:rsidR="003853C4" w:rsidRPr="00CB37D3" w:rsidRDefault="00597DBD" w:rsidP="00C25E16">
            <w:pPr>
              <w:pStyle w:val="NoSpacing"/>
            </w:pPr>
            <w:r w:rsidRPr="00CB37D3">
              <w:t>22</w:t>
            </w:r>
            <w:r w:rsidR="00C23710">
              <w:t>8</w:t>
            </w:r>
            <w:r w:rsidRPr="00CB37D3">
              <w:t>,</w:t>
            </w:r>
            <w:r w:rsidR="00E07F01">
              <w:t>711</w:t>
            </w:r>
          </w:p>
        </w:tc>
        <w:tc>
          <w:tcPr>
            <w:tcW w:w="1489" w:type="dxa"/>
          </w:tcPr>
          <w:p w14:paraId="50EDBB53" w14:textId="77777777" w:rsidR="003853C4" w:rsidRPr="00CB37D3" w:rsidRDefault="00597DBD" w:rsidP="00C25E16">
            <w:pPr>
              <w:pStyle w:val="NoSpacing"/>
            </w:pPr>
            <w:r w:rsidRPr="00CB37D3">
              <w:t>205,</w:t>
            </w:r>
            <w:r w:rsidR="00E07F01">
              <w:t>886</w:t>
            </w:r>
          </w:p>
        </w:tc>
        <w:tc>
          <w:tcPr>
            <w:tcW w:w="1527" w:type="dxa"/>
          </w:tcPr>
          <w:p w14:paraId="4B3841E8" w14:textId="77777777" w:rsidR="003853C4" w:rsidRPr="00CB37D3" w:rsidRDefault="00597DBD" w:rsidP="00C25E16">
            <w:pPr>
              <w:pStyle w:val="NoSpacing"/>
            </w:pPr>
            <w:r w:rsidRPr="00CB37D3">
              <w:t>7.4</w:t>
            </w:r>
            <w:r w:rsidR="00E07F01">
              <w:t>8</w:t>
            </w:r>
          </w:p>
        </w:tc>
        <w:tc>
          <w:tcPr>
            <w:tcW w:w="1486" w:type="dxa"/>
          </w:tcPr>
          <w:p w14:paraId="48454A8E" w14:textId="77777777" w:rsidR="003853C4" w:rsidRPr="00CB37D3" w:rsidRDefault="00597DBD" w:rsidP="00C25E16">
            <w:pPr>
              <w:pStyle w:val="NoSpacing"/>
            </w:pPr>
            <w:r w:rsidRPr="00CB37D3">
              <w:t>6.88</w:t>
            </w:r>
          </w:p>
        </w:tc>
      </w:tr>
      <w:tr w:rsidR="004D3620" w:rsidRPr="00CB37D3" w14:paraId="2BAD24FA" w14:textId="77777777" w:rsidTr="003379E6">
        <w:tc>
          <w:tcPr>
            <w:tcW w:w="9016" w:type="dxa"/>
            <w:gridSpan w:val="6"/>
          </w:tcPr>
          <w:p w14:paraId="24A010B1" w14:textId="77777777" w:rsidR="004D3620" w:rsidRPr="00CB37D3" w:rsidRDefault="004D3620" w:rsidP="00F7711C">
            <w:pPr>
              <w:pStyle w:val="NoSpacing"/>
            </w:pPr>
            <w:r w:rsidRPr="00CB37D3">
              <w:t xml:space="preserve">Notes: </w:t>
            </w:r>
            <w:r w:rsidR="00D32907">
              <w:t>With supp</w:t>
            </w:r>
            <w:r w:rsidR="00AC3667">
              <w:t>ly effects only, c</w:t>
            </w:r>
            <w:r w:rsidRPr="00CB37D3">
              <w:t xml:space="preserve">ounterfactual price series were obtained on the assumption that there was no concomitant increase in the demand for housing, so that </w:t>
            </w:r>
            <w:r w:rsidRPr="00CB37D3">
              <w:rPr>
                <w:position w:val="-12"/>
              </w:rPr>
              <w:object w:dxaOrig="780" w:dyaOrig="380" w14:anchorId="0D2673DB">
                <v:shape id="_x0000_i1173" type="#_x0000_t75" style="width:43.5pt;height:15pt" o:ole="">
                  <v:imagedata r:id="rId262" o:title=""/>
                </v:shape>
                <o:OLEObject Type="Embed" ProgID="Equation.DSMT4" ShapeID="_x0000_i1173" DrawAspect="Content" ObjectID="_1617780087" r:id="rId290"/>
              </w:object>
            </w:r>
            <w:r w:rsidRPr="00CB37D3">
              <w:t xml:space="preserve"> across all districts and </w:t>
            </w:r>
            <w:r w:rsidRPr="00CB37D3">
              <w:rPr>
                <w:position w:val="-12"/>
              </w:rPr>
              <w:object w:dxaOrig="800" w:dyaOrig="360" w14:anchorId="17374944">
                <v:shape id="_x0000_i1174" type="#_x0000_t75" style="width:43.5pt;height:21pt" o:ole="">
                  <v:imagedata r:id="rId264" o:title=""/>
                </v:shape>
                <o:OLEObject Type="Embed" ProgID="Equation.DSMT4" ShapeID="_x0000_i1174" DrawAspect="Content" ObjectID="_1617780088" r:id="rId291"/>
              </w:object>
            </w:r>
            <w:r w:rsidRPr="00CB37D3">
              <w:t xml:space="preserve">outside of Greater London. Elsewhere, within Greater London, </w:t>
            </w:r>
            <w:r w:rsidRPr="00CB37D3">
              <w:rPr>
                <w:position w:val="-12"/>
              </w:rPr>
              <w:object w:dxaOrig="1380" w:dyaOrig="360" w14:anchorId="3F026BBA">
                <v:shape id="_x0000_i1175" type="#_x0000_t75" style="width:1in;height:21pt" o:ole="">
                  <v:imagedata r:id="rId266" o:title=""/>
                </v:shape>
                <o:OLEObject Type="Embed" ProgID="Equation.DSMT4" ShapeID="_x0000_i1175" DrawAspect="Content" ObjectID="_1617780089" r:id="rId292"/>
              </w:object>
            </w:r>
          </w:p>
        </w:tc>
      </w:tr>
    </w:tbl>
    <w:p w14:paraId="2C705A05" w14:textId="77777777" w:rsidR="00B044FF" w:rsidRDefault="00B044FF" w:rsidP="00B044FF">
      <w:pPr>
        <w:spacing w:after="0"/>
        <w:jc w:val="center"/>
        <w:rPr>
          <w:rFonts w:ascii="Calibri" w:eastAsia="Calibri" w:hAnsi="Calibri" w:cs="Times New Roman"/>
          <w:b/>
        </w:rPr>
      </w:pPr>
    </w:p>
    <w:p w14:paraId="36D2E355" w14:textId="4F0F8297" w:rsidR="0046179C" w:rsidRDefault="0046179C" w:rsidP="00B044FF">
      <w:pPr>
        <w:spacing w:after="0"/>
        <w:jc w:val="center"/>
        <w:rPr>
          <w:rFonts w:ascii="Calibri" w:eastAsia="Calibri" w:hAnsi="Calibri" w:cs="Times New Roman"/>
          <w:b/>
        </w:rPr>
      </w:pPr>
    </w:p>
    <w:p w14:paraId="14C7C64F" w14:textId="77777777" w:rsidR="0046179C" w:rsidRDefault="0046179C" w:rsidP="00B044FF">
      <w:pPr>
        <w:spacing w:after="0"/>
        <w:jc w:val="center"/>
        <w:rPr>
          <w:rFonts w:ascii="Calibri" w:eastAsia="Calibri" w:hAnsi="Calibri" w:cs="Times New Roman"/>
          <w:b/>
        </w:rPr>
      </w:pPr>
    </w:p>
    <w:p w14:paraId="52C476BA" w14:textId="77777777" w:rsidR="0046179C" w:rsidRDefault="0046179C" w:rsidP="00B044FF">
      <w:pPr>
        <w:spacing w:after="0"/>
        <w:jc w:val="center"/>
        <w:rPr>
          <w:rFonts w:ascii="Calibri" w:eastAsia="Calibri" w:hAnsi="Calibri" w:cs="Times New Roman"/>
          <w:b/>
        </w:rPr>
      </w:pPr>
    </w:p>
    <w:p w14:paraId="4E4F6F78" w14:textId="77777777" w:rsidR="0046179C" w:rsidRDefault="0046179C" w:rsidP="00B044FF">
      <w:pPr>
        <w:spacing w:after="0"/>
        <w:jc w:val="center"/>
        <w:rPr>
          <w:rFonts w:ascii="Calibri" w:eastAsia="Calibri" w:hAnsi="Calibri" w:cs="Times New Roman"/>
          <w:b/>
        </w:rPr>
      </w:pPr>
    </w:p>
    <w:p w14:paraId="66123724" w14:textId="77777777" w:rsidR="0046179C" w:rsidRDefault="0046179C" w:rsidP="00B044FF">
      <w:pPr>
        <w:spacing w:after="0"/>
        <w:jc w:val="center"/>
        <w:rPr>
          <w:rFonts w:ascii="Calibri" w:eastAsia="Calibri" w:hAnsi="Calibri" w:cs="Times New Roman"/>
          <w:b/>
        </w:rPr>
      </w:pPr>
    </w:p>
    <w:p w14:paraId="7E879F2F" w14:textId="77777777" w:rsidR="0046179C" w:rsidRDefault="0046179C" w:rsidP="00B044FF">
      <w:pPr>
        <w:spacing w:after="0"/>
        <w:jc w:val="center"/>
        <w:rPr>
          <w:rFonts w:ascii="Calibri" w:eastAsia="Calibri" w:hAnsi="Calibri" w:cs="Times New Roman"/>
          <w:b/>
        </w:rPr>
      </w:pPr>
    </w:p>
    <w:p w14:paraId="5A08DC7E" w14:textId="77777777" w:rsidR="0046179C" w:rsidRDefault="0046179C" w:rsidP="00B044FF">
      <w:pPr>
        <w:spacing w:after="0"/>
        <w:jc w:val="center"/>
        <w:rPr>
          <w:rFonts w:ascii="Calibri" w:eastAsia="Calibri" w:hAnsi="Calibri" w:cs="Times New Roman"/>
          <w:b/>
        </w:rPr>
      </w:pPr>
    </w:p>
    <w:p w14:paraId="332A5658" w14:textId="77777777" w:rsidR="0046179C" w:rsidRDefault="0046179C" w:rsidP="00B044FF">
      <w:pPr>
        <w:spacing w:after="0"/>
        <w:jc w:val="center"/>
        <w:rPr>
          <w:rFonts w:ascii="Calibri" w:eastAsia="Calibri" w:hAnsi="Calibri" w:cs="Times New Roman"/>
          <w:b/>
        </w:rPr>
      </w:pPr>
    </w:p>
    <w:p w14:paraId="3E332302" w14:textId="77777777" w:rsidR="0046179C" w:rsidRDefault="0046179C" w:rsidP="00B044FF">
      <w:pPr>
        <w:spacing w:after="0"/>
        <w:jc w:val="center"/>
        <w:rPr>
          <w:rFonts w:ascii="Calibri" w:eastAsia="Calibri" w:hAnsi="Calibri" w:cs="Times New Roman"/>
          <w:b/>
        </w:rPr>
      </w:pPr>
    </w:p>
    <w:p w14:paraId="4F173810" w14:textId="77777777" w:rsidR="0046179C" w:rsidRDefault="0046179C" w:rsidP="00B044FF">
      <w:pPr>
        <w:spacing w:after="0"/>
        <w:jc w:val="center"/>
        <w:rPr>
          <w:rFonts w:ascii="Calibri" w:eastAsia="Calibri" w:hAnsi="Calibri" w:cs="Times New Roman"/>
          <w:b/>
        </w:rPr>
      </w:pPr>
    </w:p>
    <w:p w14:paraId="6D3A4B6E" w14:textId="77777777" w:rsidR="00B044FF" w:rsidRDefault="00B044FF" w:rsidP="00B044FF">
      <w:pPr>
        <w:spacing w:after="0"/>
        <w:jc w:val="center"/>
        <w:rPr>
          <w:rFonts w:ascii="Calibri" w:eastAsia="Calibri" w:hAnsi="Calibri" w:cs="Times New Roman"/>
          <w:b/>
        </w:rPr>
      </w:pPr>
    </w:p>
    <w:p w14:paraId="706C9E17" w14:textId="77777777" w:rsidR="001F4068" w:rsidRPr="00CB37D3" w:rsidRDefault="00CB37D3" w:rsidP="00B044FF">
      <w:pPr>
        <w:spacing w:after="0"/>
        <w:jc w:val="center"/>
        <w:rPr>
          <w:rFonts w:ascii="Calibri" w:eastAsia="Calibri" w:hAnsi="Calibri" w:cs="Times New Roman"/>
          <w:b/>
        </w:rPr>
      </w:pPr>
      <w:r>
        <w:rPr>
          <w:rFonts w:ascii="Calibri" w:eastAsia="Calibri" w:hAnsi="Calibri" w:cs="Times New Roman"/>
          <w:b/>
        </w:rPr>
        <w:t>Figure 4</w:t>
      </w:r>
      <w:r w:rsidR="001F4068" w:rsidRPr="00CB37D3">
        <w:rPr>
          <w:rFonts w:ascii="Calibri" w:eastAsia="Calibri" w:hAnsi="Calibri" w:cs="Times New Roman"/>
          <w:b/>
        </w:rPr>
        <w:t xml:space="preserve">: Effect of a 5% London supply </w:t>
      </w:r>
    </w:p>
    <w:p w14:paraId="11F9BE30" w14:textId="77777777" w:rsidR="001F4068" w:rsidRPr="00CB37D3" w:rsidRDefault="00CB37D3" w:rsidP="00B044FF">
      <w:pPr>
        <w:spacing w:after="0"/>
        <w:jc w:val="center"/>
        <w:rPr>
          <w:rFonts w:ascii="Calibri" w:eastAsia="Calibri" w:hAnsi="Calibri" w:cs="Times New Roman"/>
          <w:b/>
        </w:rPr>
      </w:pPr>
      <w:r>
        <w:rPr>
          <w:rFonts w:ascii="Calibri" w:eastAsia="Calibri" w:hAnsi="Calibri" w:cs="Times New Roman"/>
          <w:b/>
        </w:rPr>
        <w:t>Figure 4</w:t>
      </w:r>
      <w:r w:rsidR="001F4068" w:rsidRPr="00CB37D3">
        <w:rPr>
          <w:rFonts w:ascii="Calibri" w:eastAsia="Calibri" w:hAnsi="Calibri" w:cs="Times New Roman"/>
          <w:b/>
        </w:rPr>
        <w:t xml:space="preserve">a: England                                                          </w:t>
      </w:r>
      <w:r>
        <w:rPr>
          <w:rFonts w:ascii="Calibri" w:eastAsia="Calibri" w:hAnsi="Calibri" w:cs="Times New Roman"/>
          <w:b/>
        </w:rPr>
        <w:t>Figure 4</w:t>
      </w:r>
      <w:r w:rsidR="001F4068" w:rsidRPr="00CB37D3">
        <w:rPr>
          <w:rFonts w:ascii="Calibri" w:eastAsia="Calibri" w:hAnsi="Calibri" w:cs="Times New Roman"/>
          <w:b/>
        </w:rPr>
        <w:t>b: South East England</w:t>
      </w:r>
    </w:p>
    <w:p w14:paraId="3501E538" w14:textId="77777777" w:rsidR="008B6268" w:rsidRPr="00600223" w:rsidRDefault="00B27067" w:rsidP="007A6390">
      <w:pPr>
        <w:jc w:val="center"/>
        <w:rPr>
          <w:rFonts w:ascii="Calibri" w:eastAsia="Calibri" w:hAnsi="Calibri" w:cs="Times New Roman"/>
          <w:sz w:val="18"/>
          <w:szCs w:val="18"/>
        </w:rPr>
      </w:pPr>
      <w:r w:rsidRPr="00CB37D3">
        <w:rPr>
          <w:noProof/>
        </w:rPr>
        <w:lastRenderedPageBreak/>
        <w:t xml:space="preserve"> </w:t>
      </w:r>
      <w:r w:rsidR="001F4068" w:rsidRPr="00CB37D3">
        <w:rPr>
          <w:rFonts w:ascii="Calibri" w:eastAsia="Calibri" w:hAnsi="Calibri" w:cs="Times New Roman"/>
          <w:noProof/>
        </w:rPr>
        <w:t xml:space="preserve"> </w:t>
      </w:r>
      <w:r w:rsidR="00433C74" w:rsidRPr="003F3E5A">
        <w:rPr>
          <w:noProof/>
          <w:lang w:eastAsia="en-GB"/>
        </w:rPr>
        <w:drawing>
          <wp:inline distT="0" distB="0" distL="0" distR="0" wp14:anchorId="5AEB96FC" wp14:editId="1B0C2847">
            <wp:extent cx="2371263" cy="2386940"/>
            <wp:effectExtent l="0" t="0" r="0" b="0"/>
            <wp:docPr id="7"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3"/>
                    <a:stretch>
                      <a:fillRect/>
                    </a:stretch>
                  </pic:blipFill>
                  <pic:spPr>
                    <a:xfrm>
                      <a:off x="0" y="0"/>
                      <a:ext cx="2397760" cy="2413613"/>
                    </a:xfrm>
                    <a:prstGeom prst="rect">
                      <a:avLst/>
                    </a:prstGeom>
                  </pic:spPr>
                </pic:pic>
              </a:graphicData>
            </a:graphic>
          </wp:inline>
        </w:drawing>
      </w:r>
      <w:r w:rsidR="00433C74" w:rsidRPr="00447FA3">
        <w:rPr>
          <w:noProof/>
          <w:lang w:eastAsia="en-GB"/>
        </w:rPr>
        <w:drawing>
          <wp:inline distT="0" distB="0" distL="0" distR="0" wp14:anchorId="3C71E065" wp14:editId="77BA49CC">
            <wp:extent cx="2766951" cy="2368307"/>
            <wp:effectExtent l="0" t="0" r="0" b="0"/>
            <wp:docPr id="8"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2795753" cy="2392959"/>
                    </a:xfrm>
                    <a:prstGeom prst="rect">
                      <a:avLst/>
                    </a:prstGeom>
                  </pic:spPr>
                </pic:pic>
              </a:graphicData>
            </a:graphic>
          </wp:inline>
        </w:drawing>
      </w:r>
    </w:p>
    <w:p w14:paraId="24C36E83" w14:textId="77777777" w:rsidR="00433C74" w:rsidRDefault="00433C74" w:rsidP="00433C74">
      <w:pPr>
        <w:jc w:val="center"/>
        <w:rPr>
          <w:rFonts w:ascii="Calibri" w:eastAsia="Calibri" w:hAnsi="Calibri" w:cs="Times New Roman"/>
          <w:sz w:val="18"/>
          <w:szCs w:val="18"/>
        </w:rPr>
      </w:pPr>
      <w:r w:rsidRPr="00CB37D3">
        <w:rPr>
          <w:rFonts w:ascii="Calibri" w:eastAsia="Calibri" w:hAnsi="Calibri" w:cs="Times New Roman"/>
          <w:sz w:val="18"/>
          <w:szCs w:val="18"/>
        </w:rPr>
        <w:t xml:space="preserve">Key: Vertical scale: number of Districts; Horizontal scale: price to annual wage ratio. Shades on the map and the histogram correspond to the same price change. </w:t>
      </w:r>
    </w:p>
    <w:p w14:paraId="76E94DB1" w14:textId="77777777" w:rsidR="00E03F0C" w:rsidRPr="00CB37D3" w:rsidRDefault="00CB37D3" w:rsidP="00E03F0C">
      <w:pPr>
        <w:keepNext/>
        <w:jc w:val="center"/>
        <w:rPr>
          <w:rFonts w:ascii="Calibri" w:eastAsia="Calibri" w:hAnsi="Calibri" w:cs="Times New Roman"/>
          <w:b/>
        </w:rPr>
      </w:pPr>
      <w:r>
        <w:rPr>
          <w:rFonts w:ascii="Calibri" w:eastAsia="Calibri" w:hAnsi="Calibri" w:cs="Times New Roman"/>
          <w:b/>
        </w:rPr>
        <w:t>Figure 5</w:t>
      </w:r>
      <w:r w:rsidR="00E03F0C" w:rsidRPr="00CB37D3">
        <w:rPr>
          <w:rFonts w:ascii="Calibri" w:eastAsia="Calibri" w:hAnsi="Calibri" w:cs="Times New Roman"/>
          <w:b/>
        </w:rPr>
        <w:t xml:space="preserve">: Effect of demand increase due to a 5% London supply increase </w:t>
      </w:r>
    </w:p>
    <w:p w14:paraId="6F566AD2" w14:textId="77777777" w:rsidR="00E03F0C" w:rsidRPr="00CB37D3" w:rsidRDefault="00CB37D3" w:rsidP="00E03F0C">
      <w:pPr>
        <w:jc w:val="center"/>
        <w:rPr>
          <w:noProof/>
        </w:rPr>
      </w:pPr>
      <w:r>
        <w:rPr>
          <w:rFonts w:ascii="Calibri" w:eastAsia="Calibri" w:hAnsi="Calibri" w:cs="Times New Roman"/>
          <w:b/>
        </w:rPr>
        <w:t>Figure 5</w:t>
      </w:r>
      <w:r w:rsidR="00E03F0C" w:rsidRPr="00CB37D3">
        <w:rPr>
          <w:rFonts w:ascii="Calibri" w:eastAsia="Calibri" w:hAnsi="Calibri" w:cs="Times New Roman"/>
          <w:b/>
        </w:rPr>
        <w:t xml:space="preserve">a: England                                                          </w:t>
      </w:r>
      <w:r>
        <w:rPr>
          <w:rFonts w:ascii="Calibri" w:eastAsia="Calibri" w:hAnsi="Calibri" w:cs="Times New Roman"/>
          <w:b/>
        </w:rPr>
        <w:t>Figure 5</w:t>
      </w:r>
      <w:r w:rsidR="00E03F0C" w:rsidRPr="00CB37D3">
        <w:rPr>
          <w:rFonts w:ascii="Calibri" w:eastAsia="Calibri" w:hAnsi="Calibri" w:cs="Times New Roman"/>
          <w:b/>
        </w:rPr>
        <w:t>b: South East England</w:t>
      </w:r>
    </w:p>
    <w:p w14:paraId="614CED4D" w14:textId="77777777" w:rsidR="00CF689D" w:rsidRDefault="00212752" w:rsidP="007A6390">
      <w:pPr>
        <w:jc w:val="center"/>
        <w:rPr>
          <w:rFonts w:ascii="Calibri" w:eastAsia="Calibri" w:hAnsi="Calibri" w:cs="Times New Roman"/>
          <w:sz w:val="18"/>
          <w:szCs w:val="18"/>
        </w:rPr>
      </w:pPr>
      <w:r w:rsidRPr="003F3E5A">
        <w:rPr>
          <w:noProof/>
          <w:lang w:eastAsia="en-GB"/>
        </w:rPr>
        <w:drawing>
          <wp:inline distT="0" distB="0" distL="0" distR="0" wp14:anchorId="40ADFF69" wp14:editId="6E2C32FD">
            <wp:extent cx="2630971" cy="2715697"/>
            <wp:effectExtent l="0" t="0" r="0" b="8890"/>
            <wp:docPr id="15"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5"/>
                    <a:stretch>
                      <a:fillRect/>
                    </a:stretch>
                  </pic:blipFill>
                  <pic:spPr>
                    <a:xfrm>
                      <a:off x="0" y="0"/>
                      <a:ext cx="2650868" cy="2736234"/>
                    </a:xfrm>
                    <a:prstGeom prst="rect">
                      <a:avLst/>
                    </a:prstGeom>
                  </pic:spPr>
                </pic:pic>
              </a:graphicData>
            </a:graphic>
          </wp:inline>
        </w:drawing>
      </w:r>
      <w:r w:rsidRPr="00447FA3">
        <w:rPr>
          <w:noProof/>
          <w:lang w:eastAsia="en-GB"/>
        </w:rPr>
        <w:drawing>
          <wp:inline distT="0" distB="0" distL="0" distR="0" wp14:anchorId="30ACF791" wp14:editId="76A23FA1">
            <wp:extent cx="2514600" cy="2712341"/>
            <wp:effectExtent l="0" t="0" r="0" b="0"/>
            <wp:docPr id="16"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2519318" cy="2717430"/>
                    </a:xfrm>
                    <a:prstGeom prst="rect">
                      <a:avLst/>
                    </a:prstGeom>
                  </pic:spPr>
                </pic:pic>
              </a:graphicData>
            </a:graphic>
          </wp:inline>
        </w:drawing>
      </w:r>
    </w:p>
    <w:p w14:paraId="28E62CF8" w14:textId="1DAC9DF0" w:rsidR="0046179C" w:rsidRPr="0046179C" w:rsidRDefault="00212752" w:rsidP="0046179C">
      <w:pPr>
        <w:jc w:val="center"/>
        <w:rPr>
          <w:rFonts w:ascii="Calibri" w:eastAsia="Calibri" w:hAnsi="Calibri" w:cs="Times New Roman"/>
          <w:sz w:val="18"/>
          <w:szCs w:val="18"/>
        </w:rPr>
      </w:pPr>
      <w:r w:rsidRPr="00CB37D3">
        <w:rPr>
          <w:rFonts w:ascii="Calibri" w:eastAsia="Calibri" w:hAnsi="Calibri" w:cs="Times New Roman"/>
          <w:sz w:val="18"/>
          <w:szCs w:val="18"/>
        </w:rPr>
        <w:t xml:space="preserve">Key: Vertical scale: number of Districts; Horizontal scale: price to annual wage ratio. Shades on the map and the histogram correspond to the same price change. </w:t>
      </w:r>
    </w:p>
    <w:p w14:paraId="116E419B" w14:textId="5059555C" w:rsidR="0046179C" w:rsidRDefault="0046179C" w:rsidP="0046179C">
      <w:pPr>
        <w:keepNext/>
        <w:spacing w:line="480" w:lineRule="auto"/>
        <w:jc w:val="center"/>
        <w:rPr>
          <w:rFonts w:ascii="Calibri" w:eastAsia="Calibri" w:hAnsi="Calibri" w:cs="Times New Roman"/>
          <w:b/>
        </w:rPr>
      </w:pPr>
    </w:p>
    <w:p w14:paraId="19D052EC" w14:textId="2C6AF5F1" w:rsidR="0017557C" w:rsidRPr="00CB37D3" w:rsidRDefault="0046179C" w:rsidP="0046179C">
      <w:pPr>
        <w:keepNext/>
        <w:pageBreakBefore/>
        <w:jc w:val="center"/>
        <w:rPr>
          <w:rFonts w:ascii="Calibri" w:eastAsia="Calibri" w:hAnsi="Calibri" w:cs="Times New Roman"/>
          <w:b/>
        </w:rPr>
      </w:pPr>
      <w:r>
        <w:rPr>
          <w:rFonts w:ascii="Calibri" w:eastAsia="Calibri" w:hAnsi="Calibri" w:cs="Times New Roman"/>
          <w:b/>
        </w:rPr>
        <w:lastRenderedPageBreak/>
        <w:br/>
      </w:r>
      <w:r w:rsidR="00CB37D3">
        <w:rPr>
          <w:rFonts w:ascii="Calibri" w:eastAsia="Calibri" w:hAnsi="Calibri" w:cs="Times New Roman"/>
          <w:b/>
        </w:rPr>
        <w:t>Figure 6</w:t>
      </w:r>
      <w:r w:rsidR="0017557C" w:rsidRPr="00CB37D3">
        <w:rPr>
          <w:rFonts w:ascii="Calibri" w:eastAsia="Calibri" w:hAnsi="Calibri" w:cs="Times New Roman"/>
          <w:b/>
        </w:rPr>
        <w:t xml:space="preserve">: Net effect of 5% increased supply and increased demand </w:t>
      </w:r>
    </w:p>
    <w:p w14:paraId="6809D643" w14:textId="77777777" w:rsidR="0017557C" w:rsidRPr="00CB37D3" w:rsidRDefault="00CB37D3" w:rsidP="0046179C">
      <w:pPr>
        <w:jc w:val="center"/>
        <w:rPr>
          <w:rFonts w:ascii="Calibri" w:eastAsia="Calibri" w:hAnsi="Calibri" w:cs="Times New Roman"/>
          <w:b/>
        </w:rPr>
      </w:pPr>
      <w:r>
        <w:rPr>
          <w:rFonts w:ascii="Calibri" w:eastAsia="Calibri" w:hAnsi="Calibri" w:cs="Times New Roman"/>
          <w:b/>
        </w:rPr>
        <w:t>Figure 6</w:t>
      </w:r>
      <w:r w:rsidR="0017557C" w:rsidRPr="00CB37D3">
        <w:rPr>
          <w:rFonts w:ascii="Calibri" w:eastAsia="Calibri" w:hAnsi="Calibri" w:cs="Times New Roman"/>
          <w:b/>
        </w:rPr>
        <w:t xml:space="preserve">a: England                                                          </w:t>
      </w:r>
      <w:r>
        <w:rPr>
          <w:rFonts w:ascii="Calibri" w:eastAsia="Calibri" w:hAnsi="Calibri" w:cs="Times New Roman"/>
          <w:b/>
        </w:rPr>
        <w:t>Figure 6</w:t>
      </w:r>
      <w:r w:rsidR="0017557C" w:rsidRPr="00CB37D3">
        <w:rPr>
          <w:rFonts w:ascii="Calibri" w:eastAsia="Calibri" w:hAnsi="Calibri" w:cs="Times New Roman"/>
          <w:b/>
        </w:rPr>
        <w:t>b: South East England</w:t>
      </w:r>
      <w:r w:rsidR="006E320B" w:rsidRPr="00CB37D3">
        <w:rPr>
          <w:noProof/>
        </w:rPr>
        <w:t xml:space="preserve">  </w:t>
      </w:r>
    </w:p>
    <w:p w14:paraId="5C6DC0D3" w14:textId="77777777" w:rsidR="009F6A51" w:rsidRDefault="007757FF" w:rsidP="007A6390">
      <w:pPr>
        <w:jc w:val="center"/>
        <w:rPr>
          <w:rFonts w:ascii="Calibri" w:eastAsia="Calibri" w:hAnsi="Calibri" w:cs="Times New Roman"/>
          <w:sz w:val="18"/>
          <w:szCs w:val="18"/>
        </w:rPr>
      </w:pPr>
      <w:r w:rsidRPr="003F3E5A">
        <w:rPr>
          <w:noProof/>
          <w:lang w:eastAsia="en-GB"/>
        </w:rPr>
        <w:drawing>
          <wp:inline distT="0" distB="0" distL="0" distR="0" wp14:anchorId="496FE80B" wp14:editId="6525BED7">
            <wp:extent cx="2809402" cy="2980706"/>
            <wp:effectExtent l="0" t="0" r="0" b="0"/>
            <wp:docPr id="17"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7"/>
                    <a:stretch>
                      <a:fillRect/>
                    </a:stretch>
                  </pic:blipFill>
                  <pic:spPr>
                    <a:xfrm>
                      <a:off x="0" y="0"/>
                      <a:ext cx="2822683" cy="2994797"/>
                    </a:xfrm>
                    <a:prstGeom prst="rect">
                      <a:avLst/>
                    </a:prstGeom>
                  </pic:spPr>
                </pic:pic>
              </a:graphicData>
            </a:graphic>
          </wp:inline>
        </w:drawing>
      </w:r>
      <w:r>
        <w:rPr>
          <w:noProof/>
          <w:lang w:eastAsia="en-GB"/>
        </w:rPr>
        <w:drawing>
          <wp:inline distT="0" distB="0" distL="0" distR="0" wp14:anchorId="74173DEE" wp14:editId="3AAFCF05">
            <wp:extent cx="2746800" cy="2962800"/>
            <wp:effectExtent l="0" t="0" r="0" b="952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8"/>
                    <a:stretch>
                      <a:fillRect/>
                    </a:stretch>
                  </pic:blipFill>
                  <pic:spPr>
                    <a:xfrm>
                      <a:off x="0" y="0"/>
                      <a:ext cx="2746800" cy="2962800"/>
                    </a:xfrm>
                    <a:prstGeom prst="rect">
                      <a:avLst/>
                    </a:prstGeom>
                  </pic:spPr>
                </pic:pic>
              </a:graphicData>
            </a:graphic>
          </wp:inline>
        </w:drawing>
      </w:r>
    </w:p>
    <w:p w14:paraId="798B3B7C" w14:textId="77777777" w:rsidR="007757FF" w:rsidRDefault="007757FF" w:rsidP="007757FF">
      <w:pPr>
        <w:jc w:val="center"/>
        <w:rPr>
          <w:rFonts w:ascii="Calibri" w:eastAsia="Calibri" w:hAnsi="Calibri" w:cs="Times New Roman"/>
          <w:sz w:val="18"/>
          <w:szCs w:val="18"/>
        </w:rPr>
      </w:pPr>
      <w:r w:rsidRPr="00CB37D3">
        <w:rPr>
          <w:rFonts w:ascii="Calibri" w:eastAsia="Calibri" w:hAnsi="Calibri" w:cs="Times New Roman"/>
          <w:sz w:val="18"/>
          <w:szCs w:val="18"/>
        </w:rPr>
        <w:t xml:space="preserve">Key: Vertical scale: number of Districts; Horizontal scale: price to annual wage ratio. Shades on the map and the histogram correspond to the same price change. </w:t>
      </w:r>
    </w:p>
    <w:p w14:paraId="6D760645" w14:textId="77777777" w:rsidR="00080C04" w:rsidRDefault="001F4068" w:rsidP="00080C04">
      <w:pPr>
        <w:spacing w:line="480" w:lineRule="auto"/>
        <w:jc w:val="both"/>
        <w:rPr>
          <w:rFonts w:ascii="Calibri" w:eastAsia="Calibri" w:hAnsi="Calibri" w:cs="Times New Roman"/>
        </w:rPr>
      </w:pPr>
      <w:r w:rsidRPr="002A7951">
        <w:rPr>
          <w:rFonts w:ascii="Calibri" w:eastAsia="Calibri" w:hAnsi="Calibri" w:cs="Times New Roman"/>
        </w:rPr>
        <w:t xml:space="preserve">In order to obtain a greater impact, we increase the existing supply of dwellings by 15%. </w:t>
      </w:r>
      <w:r w:rsidR="0017557C" w:rsidRPr="002A7951">
        <w:rPr>
          <w:rFonts w:ascii="Calibri" w:eastAsia="Calibri" w:hAnsi="Calibri" w:cs="Times New Roman"/>
        </w:rPr>
        <w:t xml:space="preserve">The resulting </w:t>
      </w:r>
      <w:r w:rsidR="00CB37D3" w:rsidRPr="002A7951">
        <w:rPr>
          <w:rFonts w:ascii="Calibri" w:eastAsia="Calibri" w:hAnsi="Calibri" w:cs="Times New Roman"/>
        </w:rPr>
        <w:t>Figures are similar to Figures 4,</w:t>
      </w:r>
      <w:r w:rsidR="00A572CE">
        <w:rPr>
          <w:rFonts w:ascii="Calibri" w:eastAsia="Calibri" w:hAnsi="Calibri" w:cs="Times New Roman"/>
        </w:rPr>
        <w:t xml:space="preserve"> </w:t>
      </w:r>
      <w:r w:rsidR="00CB37D3" w:rsidRPr="002A7951">
        <w:rPr>
          <w:rFonts w:ascii="Calibri" w:eastAsia="Calibri" w:hAnsi="Calibri" w:cs="Times New Roman"/>
        </w:rPr>
        <w:t>5 and 6</w:t>
      </w:r>
      <w:r w:rsidR="0017557C" w:rsidRPr="002A7951">
        <w:rPr>
          <w:rFonts w:ascii="Calibri" w:eastAsia="Calibri" w:hAnsi="Calibri" w:cs="Times New Roman"/>
        </w:rPr>
        <w:t>, so to save space we omit these. The greater increase in supply would cause</w:t>
      </w:r>
      <w:r w:rsidRPr="002A7951">
        <w:rPr>
          <w:rFonts w:ascii="Calibri" w:eastAsia="Calibri" w:hAnsi="Calibri" w:cs="Times New Roman"/>
        </w:rPr>
        <w:t xml:space="preserve"> prices </w:t>
      </w:r>
      <w:r w:rsidR="00D607B6" w:rsidRPr="002A7951">
        <w:rPr>
          <w:rFonts w:ascii="Calibri" w:eastAsia="Calibri" w:hAnsi="Calibri" w:cs="Times New Roman"/>
        </w:rPr>
        <w:t xml:space="preserve">to </w:t>
      </w:r>
      <w:r w:rsidR="00B5445A" w:rsidRPr="002A7951">
        <w:rPr>
          <w:rFonts w:ascii="Calibri" w:eastAsia="Calibri" w:hAnsi="Calibri" w:cs="Times New Roman"/>
        </w:rPr>
        <w:t>fall by approximately £</w:t>
      </w:r>
      <w:r w:rsidR="004F1E31" w:rsidRPr="00C33576">
        <w:rPr>
          <w:rFonts w:ascii="Calibri" w:eastAsia="Calibri" w:hAnsi="Calibri" w:cs="Times New Roman"/>
        </w:rPr>
        <w:t>3</w:t>
      </w:r>
      <w:r w:rsidRPr="002A7951">
        <w:rPr>
          <w:rFonts w:ascii="Calibri" w:eastAsia="Calibri" w:hAnsi="Calibri" w:cs="Times New Roman"/>
        </w:rPr>
        <w:t xml:space="preserve">0,000 in the London Boroughs, but with the spillover effect causing price reduction of elsewhere in the South-East of England and beyond.  Again, assuming that increased dwellings has a concomitant effect on the number of workers and hence demand, </w:t>
      </w:r>
      <w:r w:rsidR="00A51912" w:rsidRPr="002A7951">
        <w:rPr>
          <w:rFonts w:ascii="Calibri" w:eastAsia="Calibri" w:hAnsi="Calibri" w:cs="Times New Roman"/>
        </w:rPr>
        <w:t xml:space="preserve">prices would </w:t>
      </w:r>
      <w:r w:rsidRPr="002A7951">
        <w:rPr>
          <w:rFonts w:ascii="Calibri" w:eastAsia="Calibri" w:hAnsi="Calibri" w:cs="Times New Roman"/>
        </w:rPr>
        <w:t xml:space="preserve">increase </w:t>
      </w:r>
      <w:r w:rsidR="00A51912" w:rsidRPr="002A7951">
        <w:rPr>
          <w:rFonts w:ascii="Calibri" w:eastAsia="Calibri" w:hAnsi="Calibri" w:cs="Times New Roman"/>
        </w:rPr>
        <w:t xml:space="preserve">by </w:t>
      </w:r>
      <w:r w:rsidR="00B5445A" w:rsidRPr="002A7951">
        <w:rPr>
          <w:rFonts w:ascii="Calibri" w:eastAsia="Calibri" w:hAnsi="Calibri" w:cs="Times New Roman"/>
        </w:rPr>
        <w:t>about</w:t>
      </w:r>
      <w:r w:rsidR="00A51912" w:rsidRPr="002A7951">
        <w:rPr>
          <w:rFonts w:ascii="Calibri" w:eastAsia="Calibri" w:hAnsi="Calibri" w:cs="Times New Roman"/>
        </w:rPr>
        <w:t xml:space="preserve"> £</w:t>
      </w:r>
      <w:r w:rsidR="004F1E31" w:rsidRPr="00C33576">
        <w:rPr>
          <w:rFonts w:ascii="Calibri" w:eastAsia="Calibri" w:hAnsi="Calibri" w:cs="Times New Roman"/>
        </w:rPr>
        <w:t>8</w:t>
      </w:r>
      <w:r w:rsidRPr="002A7951">
        <w:rPr>
          <w:rFonts w:ascii="Calibri" w:eastAsia="Calibri" w:hAnsi="Calibri" w:cs="Times New Roman"/>
        </w:rPr>
        <w:t>,000 in the Inner London Boroughs</w:t>
      </w:r>
      <w:r w:rsidR="00A51912" w:rsidRPr="002A7951">
        <w:rPr>
          <w:rFonts w:ascii="Calibri" w:eastAsia="Calibri" w:hAnsi="Calibri" w:cs="Times New Roman"/>
        </w:rPr>
        <w:t xml:space="preserve">, with </w:t>
      </w:r>
      <w:r w:rsidRPr="002A7951">
        <w:rPr>
          <w:rFonts w:ascii="Calibri" w:eastAsia="Calibri" w:hAnsi="Calibri" w:cs="Times New Roman"/>
        </w:rPr>
        <w:t>the net effect</w:t>
      </w:r>
      <w:r w:rsidR="00A51912" w:rsidRPr="002A7951">
        <w:rPr>
          <w:rFonts w:ascii="Calibri" w:eastAsia="Calibri" w:hAnsi="Calibri" w:cs="Times New Roman"/>
        </w:rPr>
        <w:t xml:space="preserve"> being a </w:t>
      </w:r>
      <w:r w:rsidRPr="002A7951">
        <w:rPr>
          <w:rFonts w:ascii="Calibri" w:eastAsia="Calibri" w:hAnsi="Calibri" w:cs="Times New Roman"/>
        </w:rPr>
        <w:t>price</w:t>
      </w:r>
      <w:r w:rsidR="00A51912" w:rsidRPr="002A7951">
        <w:rPr>
          <w:rFonts w:ascii="Calibri" w:eastAsia="Calibri" w:hAnsi="Calibri" w:cs="Times New Roman"/>
        </w:rPr>
        <w:t xml:space="preserve"> fall of</w:t>
      </w:r>
      <w:r w:rsidR="00B5445A" w:rsidRPr="002A7951">
        <w:rPr>
          <w:rFonts w:ascii="Calibri" w:eastAsia="Calibri" w:hAnsi="Calibri" w:cs="Times New Roman"/>
        </w:rPr>
        <w:t xml:space="preserve"> about £</w:t>
      </w:r>
      <w:r w:rsidR="004F1E31" w:rsidRPr="00C33576">
        <w:rPr>
          <w:rFonts w:ascii="Calibri" w:eastAsia="Calibri" w:hAnsi="Calibri" w:cs="Times New Roman"/>
        </w:rPr>
        <w:t>22</w:t>
      </w:r>
      <w:r w:rsidRPr="002A7951">
        <w:rPr>
          <w:rFonts w:ascii="Calibri" w:eastAsia="Calibri" w:hAnsi="Calibri" w:cs="Times New Roman"/>
        </w:rPr>
        <w:t>,000 in the London Boroughs with smaller reductions outside Greater London.</w:t>
      </w:r>
      <w:r w:rsidRPr="00CB37D3">
        <w:rPr>
          <w:rFonts w:ascii="Calibri" w:eastAsia="Calibri" w:hAnsi="Calibri" w:cs="Times New Roman"/>
        </w:rPr>
        <w:t xml:space="preserve"> </w:t>
      </w:r>
      <w:r w:rsidR="00A51912" w:rsidRPr="00CB37D3">
        <w:rPr>
          <w:rFonts w:ascii="Calibri" w:eastAsia="Calibri" w:hAnsi="Calibri" w:cs="Times New Roman"/>
        </w:rPr>
        <w:t>T</w:t>
      </w:r>
      <w:r w:rsidR="003909B0">
        <w:rPr>
          <w:rFonts w:ascii="Calibri" w:eastAsia="Calibri" w:hAnsi="Calibri" w:cs="Times New Roman"/>
        </w:rPr>
        <w:t>he summary of effects in Table 6</w:t>
      </w:r>
      <w:r w:rsidR="00A51912" w:rsidRPr="00CB37D3">
        <w:rPr>
          <w:rFonts w:ascii="Calibri" w:eastAsia="Calibri" w:hAnsi="Calibri" w:cs="Times New Roman"/>
        </w:rPr>
        <w:t xml:space="preserve"> indicate</w:t>
      </w:r>
      <w:r w:rsidR="003853C4" w:rsidRPr="00CB37D3">
        <w:rPr>
          <w:rFonts w:ascii="Calibri" w:eastAsia="Calibri" w:hAnsi="Calibri" w:cs="Times New Roman"/>
        </w:rPr>
        <w:t>s</w:t>
      </w:r>
      <w:r w:rsidR="00A51912" w:rsidRPr="00CB37D3">
        <w:rPr>
          <w:rFonts w:ascii="Calibri" w:eastAsia="Calibri" w:hAnsi="Calibri" w:cs="Times New Roman"/>
        </w:rPr>
        <w:t xml:space="preserve"> that a 15% increase in supply in Greater London does make housing more affordable but not by a large amount, and it fails to eliminate the affordability gap between London and the rest of England. </w:t>
      </w:r>
      <w:r w:rsidR="00CB37D3">
        <w:rPr>
          <w:rFonts w:ascii="Calibri" w:eastAsia="Calibri" w:hAnsi="Calibri" w:cs="Times New Roman"/>
        </w:rPr>
        <w:t>Figure 7</w:t>
      </w:r>
      <w:r w:rsidR="00A51912" w:rsidRPr="00CB37D3">
        <w:rPr>
          <w:rFonts w:ascii="Calibri" w:eastAsia="Calibri" w:hAnsi="Calibri" w:cs="Times New Roman"/>
        </w:rPr>
        <w:t xml:space="preserve"> shows the resulting distribution of affordability</w:t>
      </w:r>
      <w:r w:rsidR="00A51912" w:rsidRPr="00CB37D3">
        <w:rPr>
          <w:rFonts w:ascii="Calibri" w:eastAsia="Calibri" w:hAnsi="Calibri" w:cs="Times New Roman"/>
          <w:vertAlign w:val="superscript"/>
        </w:rPr>
        <w:footnoteReference w:id="11"/>
      </w:r>
      <w:r w:rsidR="00B51300" w:rsidRPr="00CB37D3">
        <w:rPr>
          <w:rFonts w:ascii="Calibri" w:eastAsia="Calibri" w:hAnsi="Calibri" w:cs="Times New Roman"/>
        </w:rPr>
        <w:t xml:space="preserve"> assuming both demand and supply effects</w:t>
      </w:r>
      <w:r w:rsidR="00A51912" w:rsidRPr="00CB37D3">
        <w:rPr>
          <w:rFonts w:ascii="Calibri" w:eastAsia="Calibri" w:hAnsi="Calibri" w:cs="Times New Roman"/>
        </w:rPr>
        <w:t xml:space="preserve">. A significant aspect of this is the relatively more affordable </w:t>
      </w:r>
      <w:r w:rsidR="00A51912" w:rsidRPr="00CB37D3">
        <w:rPr>
          <w:rFonts w:ascii="Calibri" w:eastAsia="Calibri" w:hAnsi="Calibri" w:cs="Times New Roman"/>
        </w:rPr>
        <w:lastRenderedPageBreak/>
        <w:t xml:space="preserve">housing in </w:t>
      </w:r>
      <w:r w:rsidR="00107457" w:rsidRPr="00CB37D3">
        <w:rPr>
          <w:rFonts w:ascii="Calibri" w:eastAsia="Calibri" w:hAnsi="Calibri" w:cs="Times New Roman"/>
        </w:rPr>
        <w:t>the Thames estuary</w:t>
      </w:r>
      <w:r w:rsidR="00A51912" w:rsidRPr="00CB37D3">
        <w:rPr>
          <w:rFonts w:ascii="Calibri" w:eastAsia="Calibri" w:hAnsi="Calibri" w:cs="Times New Roman"/>
        </w:rPr>
        <w:t xml:space="preserve">, with price to wage ratios of approximately 5.  In contrast, in Kensington and Chelsea has a ratio in excess of 40, reflecting the special status of this area as a recipient on inward property investment from overseas. </w:t>
      </w:r>
    </w:p>
    <w:p w14:paraId="63DB7994" w14:textId="77777777" w:rsidR="003853C4" w:rsidRPr="00CB37D3" w:rsidRDefault="003909B0" w:rsidP="00153558">
      <w:pPr>
        <w:spacing w:after="0"/>
        <w:jc w:val="both"/>
        <w:rPr>
          <w:rFonts w:ascii="Calibri" w:eastAsia="Calibri" w:hAnsi="Calibri" w:cs="Times New Roman"/>
        </w:rPr>
      </w:pPr>
      <w:r>
        <w:rPr>
          <w:rFonts w:ascii="Calibri" w:eastAsia="Calibri" w:hAnsi="Calibri" w:cs="Times New Roman"/>
        </w:rPr>
        <w:t>Table 6</w:t>
      </w:r>
      <w:r w:rsidR="003853C4" w:rsidRPr="00CB37D3">
        <w:rPr>
          <w:rFonts w:ascii="Calibri" w:eastAsia="Calibri" w:hAnsi="Calibri" w:cs="Times New Roman"/>
        </w:rPr>
        <w:t xml:space="preserve">: The effects on prices and affordability in 2012 of a hypothetical 15% increase in supply </w:t>
      </w:r>
    </w:p>
    <w:tbl>
      <w:tblPr>
        <w:tblStyle w:val="TableGrid1"/>
        <w:tblW w:w="0" w:type="auto"/>
        <w:tblLook w:val="04A0" w:firstRow="1" w:lastRow="0" w:firstColumn="1" w:lastColumn="0" w:noHBand="0" w:noVBand="1"/>
      </w:tblPr>
      <w:tblGrid>
        <w:gridCol w:w="1384"/>
        <w:gridCol w:w="1701"/>
        <w:gridCol w:w="1429"/>
        <w:gridCol w:w="1489"/>
        <w:gridCol w:w="1527"/>
        <w:gridCol w:w="1486"/>
      </w:tblGrid>
      <w:tr w:rsidR="003853C4" w:rsidRPr="00CB37D3" w14:paraId="6437E7A1" w14:textId="77777777" w:rsidTr="00C25E16">
        <w:tc>
          <w:tcPr>
            <w:tcW w:w="1384" w:type="dxa"/>
          </w:tcPr>
          <w:p w14:paraId="75D40DFC" w14:textId="77777777" w:rsidR="003853C4" w:rsidRPr="00CB37D3" w:rsidRDefault="003853C4" w:rsidP="00C25E16">
            <w:pPr>
              <w:pStyle w:val="NoSpacing"/>
            </w:pPr>
          </w:p>
        </w:tc>
        <w:tc>
          <w:tcPr>
            <w:tcW w:w="1701" w:type="dxa"/>
          </w:tcPr>
          <w:p w14:paraId="632979FA" w14:textId="77777777" w:rsidR="003853C4" w:rsidRPr="00CB37D3" w:rsidRDefault="003853C4" w:rsidP="00C25E16">
            <w:pPr>
              <w:pStyle w:val="NoSpacing"/>
            </w:pPr>
          </w:p>
        </w:tc>
        <w:tc>
          <w:tcPr>
            <w:tcW w:w="2918" w:type="dxa"/>
            <w:gridSpan w:val="2"/>
          </w:tcPr>
          <w:p w14:paraId="4939485B" w14:textId="77777777" w:rsidR="003853C4" w:rsidRPr="00CB37D3" w:rsidRDefault="003853C4" w:rsidP="00C25E16">
            <w:pPr>
              <w:pStyle w:val="NoSpacing"/>
              <w:jc w:val="center"/>
            </w:pPr>
            <w:r w:rsidRPr="00CB37D3">
              <w:t>Counterfactual price</w:t>
            </w:r>
          </w:p>
        </w:tc>
        <w:tc>
          <w:tcPr>
            <w:tcW w:w="3013" w:type="dxa"/>
            <w:gridSpan w:val="2"/>
          </w:tcPr>
          <w:p w14:paraId="3599B169" w14:textId="77777777" w:rsidR="003853C4" w:rsidRPr="00CB37D3" w:rsidRDefault="003853C4" w:rsidP="00C25E16">
            <w:pPr>
              <w:pStyle w:val="NoSpacing"/>
              <w:jc w:val="center"/>
            </w:pPr>
            <w:r w:rsidRPr="00CB37D3">
              <w:t>Counterfactual Affordability</w:t>
            </w:r>
          </w:p>
        </w:tc>
      </w:tr>
      <w:tr w:rsidR="003853C4" w:rsidRPr="00CB37D3" w14:paraId="595D7162" w14:textId="77777777" w:rsidTr="00C25E16">
        <w:tc>
          <w:tcPr>
            <w:tcW w:w="1384" w:type="dxa"/>
            <w:vMerge w:val="restart"/>
          </w:tcPr>
          <w:p w14:paraId="4FBDE733" w14:textId="77777777" w:rsidR="003853C4" w:rsidRPr="00CB37D3" w:rsidRDefault="003853C4" w:rsidP="00C25E16">
            <w:pPr>
              <w:pStyle w:val="NoSpacing"/>
            </w:pPr>
            <w:r w:rsidRPr="00CB37D3">
              <w:t>Both supply and demand effects</w:t>
            </w:r>
          </w:p>
        </w:tc>
        <w:tc>
          <w:tcPr>
            <w:tcW w:w="1701" w:type="dxa"/>
          </w:tcPr>
          <w:p w14:paraId="435B75F4" w14:textId="77777777" w:rsidR="003853C4" w:rsidRPr="00CB37D3" w:rsidRDefault="003853C4" w:rsidP="00C25E16">
            <w:pPr>
              <w:pStyle w:val="NoSpacing"/>
            </w:pPr>
          </w:p>
        </w:tc>
        <w:tc>
          <w:tcPr>
            <w:tcW w:w="1429" w:type="dxa"/>
          </w:tcPr>
          <w:p w14:paraId="26C8F718" w14:textId="77777777" w:rsidR="003853C4" w:rsidRPr="00CB37D3" w:rsidRDefault="003853C4" w:rsidP="00C25E16">
            <w:pPr>
              <w:pStyle w:val="NoSpacing"/>
            </w:pPr>
            <w:r w:rsidRPr="00CB37D3">
              <w:t>mean</w:t>
            </w:r>
          </w:p>
        </w:tc>
        <w:tc>
          <w:tcPr>
            <w:tcW w:w="1489" w:type="dxa"/>
          </w:tcPr>
          <w:p w14:paraId="06BC2B50" w14:textId="77777777" w:rsidR="003853C4" w:rsidRPr="00CB37D3" w:rsidRDefault="003853C4" w:rsidP="00C25E16">
            <w:pPr>
              <w:pStyle w:val="NoSpacing"/>
            </w:pPr>
            <w:r w:rsidRPr="00CB37D3">
              <w:t>median</w:t>
            </w:r>
          </w:p>
        </w:tc>
        <w:tc>
          <w:tcPr>
            <w:tcW w:w="1527" w:type="dxa"/>
          </w:tcPr>
          <w:p w14:paraId="7BD65C7F" w14:textId="77777777" w:rsidR="003853C4" w:rsidRPr="00CB37D3" w:rsidRDefault="003853C4" w:rsidP="00C25E16">
            <w:pPr>
              <w:pStyle w:val="NoSpacing"/>
            </w:pPr>
            <w:r w:rsidRPr="00CB37D3">
              <w:t>mean</w:t>
            </w:r>
          </w:p>
        </w:tc>
        <w:tc>
          <w:tcPr>
            <w:tcW w:w="1486" w:type="dxa"/>
          </w:tcPr>
          <w:p w14:paraId="69A77C6E" w14:textId="77777777" w:rsidR="003853C4" w:rsidRPr="00CB37D3" w:rsidRDefault="003853C4" w:rsidP="00C25E16">
            <w:pPr>
              <w:pStyle w:val="NoSpacing"/>
            </w:pPr>
            <w:r w:rsidRPr="00CB37D3">
              <w:t>median</w:t>
            </w:r>
          </w:p>
        </w:tc>
      </w:tr>
      <w:tr w:rsidR="003853C4" w:rsidRPr="00CB37D3" w14:paraId="3EA4CDBF" w14:textId="77777777" w:rsidTr="00C25E16">
        <w:tc>
          <w:tcPr>
            <w:tcW w:w="1384" w:type="dxa"/>
            <w:vMerge/>
          </w:tcPr>
          <w:p w14:paraId="70D3AC3E" w14:textId="77777777" w:rsidR="003853C4" w:rsidRPr="00CB37D3" w:rsidRDefault="003853C4" w:rsidP="00C25E16">
            <w:pPr>
              <w:pStyle w:val="NoSpacing"/>
            </w:pPr>
          </w:p>
        </w:tc>
        <w:tc>
          <w:tcPr>
            <w:tcW w:w="1701" w:type="dxa"/>
          </w:tcPr>
          <w:p w14:paraId="0383B918" w14:textId="77777777" w:rsidR="003853C4" w:rsidRPr="00CB37D3" w:rsidRDefault="003853C4" w:rsidP="00C25E16">
            <w:pPr>
              <w:pStyle w:val="NoSpacing"/>
            </w:pPr>
            <w:r w:rsidRPr="00CB37D3">
              <w:t>Greater London</w:t>
            </w:r>
          </w:p>
        </w:tc>
        <w:tc>
          <w:tcPr>
            <w:tcW w:w="1429" w:type="dxa"/>
          </w:tcPr>
          <w:p w14:paraId="6F6076DA" w14:textId="77777777" w:rsidR="003853C4" w:rsidRPr="00CB37D3" w:rsidRDefault="003B252B" w:rsidP="00C25E16">
            <w:pPr>
              <w:pStyle w:val="NoSpacing"/>
            </w:pPr>
            <w:r w:rsidRPr="00CB37D3">
              <w:t>4</w:t>
            </w:r>
            <w:r w:rsidR="004F1E31">
              <w:t>1</w:t>
            </w:r>
            <w:r w:rsidR="000958DA">
              <w:t>6</w:t>
            </w:r>
            <w:r w:rsidRPr="00CB37D3">
              <w:t>,</w:t>
            </w:r>
            <w:r w:rsidR="000958DA">
              <w:t>061</w:t>
            </w:r>
          </w:p>
        </w:tc>
        <w:tc>
          <w:tcPr>
            <w:tcW w:w="1489" w:type="dxa"/>
          </w:tcPr>
          <w:p w14:paraId="62BC7EAE" w14:textId="77777777" w:rsidR="003853C4" w:rsidRPr="00CB37D3" w:rsidRDefault="003B252B" w:rsidP="00C25E16">
            <w:pPr>
              <w:pStyle w:val="NoSpacing"/>
            </w:pPr>
            <w:r w:rsidRPr="00CB37D3">
              <w:t>3</w:t>
            </w:r>
            <w:r w:rsidR="000958DA">
              <w:t>56</w:t>
            </w:r>
            <w:r w:rsidRPr="00CB37D3">
              <w:t>,</w:t>
            </w:r>
            <w:r w:rsidR="000958DA">
              <w:t>791</w:t>
            </w:r>
          </w:p>
        </w:tc>
        <w:tc>
          <w:tcPr>
            <w:tcW w:w="1527" w:type="dxa"/>
          </w:tcPr>
          <w:p w14:paraId="7454D238" w14:textId="77777777" w:rsidR="003853C4" w:rsidRPr="00CB37D3" w:rsidRDefault="003B252B" w:rsidP="00C25E16">
            <w:pPr>
              <w:pStyle w:val="NoSpacing"/>
            </w:pPr>
            <w:r w:rsidRPr="00CB37D3">
              <w:t>11.</w:t>
            </w:r>
            <w:r w:rsidR="000958DA">
              <w:t>0</w:t>
            </w:r>
            <w:r w:rsidR="004F1E31">
              <w:t>7</w:t>
            </w:r>
          </w:p>
        </w:tc>
        <w:tc>
          <w:tcPr>
            <w:tcW w:w="1486" w:type="dxa"/>
          </w:tcPr>
          <w:p w14:paraId="75119598" w14:textId="77777777" w:rsidR="003853C4" w:rsidRPr="00CB37D3" w:rsidRDefault="000958DA" w:rsidP="00C25E16">
            <w:pPr>
              <w:pStyle w:val="NoSpacing"/>
            </w:pPr>
            <w:r>
              <w:t>8.80</w:t>
            </w:r>
          </w:p>
        </w:tc>
      </w:tr>
      <w:tr w:rsidR="003853C4" w:rsidRPr="00CB37D3" w14:paraId="7FC529FE" w14:textId="77777777" w:rsidTr="00C25E16">
        <w:tc>
          <w:tcPr>
            <w:tcW w:w="1384" w:type="dxa"/>
            <w:vMerge/>
          </w:tcPr>
          <w:p w14:paraId="5375F705" w14:textId="77777777" w:rsidR="003853C4" w:rsidRPr="00CB37D3" w:rsidRDefault="003853C4" w:rsidP="00C25E16">
            <w:pPr>
              <w:pStyle w:val="NoSpacing"/>
            </w:pPr>
          </w:p>
        </w:tc>
        <w:tc>
          <w:tcPr>
            <w:tcW w:w="1701" w:type="dxa"/>
          </w:tcPr>
          <w:p w14:paraId="6F926476" w14:textId="77777777" w:rsidR="003853C4" w:rsidRPr="00CB37D3" w:rsidRDefault="003853C4" w:rsidP="00C25E16">
            <w:pPr>
              <w:pStyle w:val="NoSpacing"/>
            </w:pPr>
            <w:r w:rsidRPr="00CB37D3">
              <w:t>England</w:t>
            </w:r>
          </w:p>
        </w:tc>
        <w:tc>
          <w:tcPr>
            <w:tcW w:w="1429" w:type="dxa"/>
          </w:tcPr>
          <w:p w14:paraId="5E25076A" w14:textId="77777777" w:rsidR="003853C4" w:rsidRPr="00CB37D3" w:rsidRDefault="003B252B" w:rsidP="00C25E16">
            <w:pPr>
              <w:pStyle w:val="NoSpacing"/>
            </w:pPr>
            <w:r w:rsidRPr="00CB37D3">
              <w:t>22</w:t>
            </w:r>
            <w:r w:rsidR="000958DA">
              <w:t>6</w:t>
            </w:r>
            <w:r w:rsidRPr="00CB37D3">
              <w:t>,</w:t>
            </w:r>
            <w:r w:rsidR="000958DA">
              <w:t>694</w:t>
            </w:r>
          </w:p>
        </w:tc>
        <w:tc>
          <w:tcPr>
            <w:tcW w:w="1489" w:type="dxa"/>
          </w:tcPr>
          <w:p w14:paraId="4D9A53C9" w14:textId="77777777" w:rsidR="003853C4" w:rsidRPr="00CB37D3" w:rsidRDefault="003B252B" w:rsidP="00C25E16">
            <w:pPr>
              <w:pStyle w:val="NoSpacing"/>
            </w:pPr>
            <w:r w:rsidRPr="00CB37D3">
              <w:t>203,</w:t>
            </w:r>
            <w:r w:rsidR="000958DA">
              <w:t>724</w:t>
            </w:r>
          </w:p>
        </w:tc>
        <w:tc>
          <w:tcPr>
            <w:tcW w:w="1527" w:type="dxa"/>
          </w:tcPr>
          <w:p w14:paraId="348D1D89" w14:textId="77777777" w:rsidR="003853C4" w:rsidRPr="00CB37D3" w:rsidRDefault="00611DE9" w:rsidP="00C25E16">
            <w:pPr>
              <w:pStyle w:val="NoSpacing"/>
            </w:pPr>
            <w:r w:rsidRPr="00CB37D3">
              <w:t>7.4</w:t>
            </w:r>
            <w:r w:rsidR="000958DA">
              <w:t>2</w:t>
            </w:r>
          </w:p>
        </w:tc>
        <w:tc>
          <w:tcPr>
            <w:tcW w:w="1486" w:type="dxa"/>
          </w:tcPr>
          <w:p w14:paraId="24B2F09B" w14:textId="77777777" w:rsidR="003853C4" w:rsidRPr="00CB37D3" w:rsidRDefault="003B252B" w:rsidP="00C25E16">
            <w:pPr>
              <w:pStyle w:val="NoSpacing"/>
            </w:pPr>
            <w:r w:rsidRPr="00CB37D3">
              <w:t>6.87</w:t>
            </w:r>
          </w:p>
        </w:tc>
      </w:tr>
      <w:tr w:rsidR="003853C4" w:rsidRPr="00CB37D3" w14:paraId="4CBF0E0A" w14:textId="77777777" w:rsidTr="00C25E16">
        <w:tc>
          <w:tcPr>
            <w:tcW w:w="1384" w:type="dxa"/>
          </w:tcPr>
          <w:p w14:paraId="49E9049C" w14:textId="77777777" w:rsidR="003853C4" w:rsidRPr="00CB37D3" w:rsidRDefault="003853C4" w:rsidP="00C25E16">
            <w:pPr>
              <w:pStyle w:val="NoSpacing"/>
            </w:pPr>
          </w:p>
        </w:tc>
        <w:tc>
          <w:tcPr>
            <w:tcW w:w="1701" w:type="dxa"/>
          </w:tcPr>
          <w:p w14:paraId="0B62C0F2" w14:textId="77777777" w:rsidR="003853C4" w:rsidRPr="00CB37D3" w:rsidRDefault="003853C4" w:rsidP="00C25E16">
            <w:pPr>
              <w:pStyle w:val="NoSpacing"/>
            </w:pPr>
          </w:p>
        </w:tc>
        <w:tc>
          <w:tcPr>
            <w:tcW w:w="2918" w:type="dxa"/>
            <w:gridSpan w:val="2"/>
          </w:tcPr>
          <w:p w14:paraId="6690C972" w14:textId="77777777" w:rsidR="003853C4" w:rsidRPr="00CB37D3" w:rsidRDefault="003853C4" w:rsidP="00C25E16">
            <w:pPr>
              <w:pStyle w:val="NoSpacing"/>
              <w:jc w:val="center"/>
            </w:pPr>
            <w:r w:rsidRPr="00CB37D3">
              <w:t>Counterfactual price</w:t>
            </w:r>
          </w:p>
        </w:tc>
        <w:tc>
          <w:tcPr>
            <w:tcW w:w="3013" w:type="dxa"/>
            <w:gridSpan w:val="2"/>
          </w:tcPr>
          <w:p w14:paraId="5B8D09D5" w14:textId="77777777" w:rsidR="003853C4" w:rsidRPr="00CB37D3" w:rsidRDefault="003853C4" w:rsidP="00C25E16">
            <w:pPr>
              <w:pStyle w:val="NoSpacing"/>
              <w:jc w:val="center"/>
            </w:pPr>
            <w:r w:rsidRPr="00CB37D3">
              <w:t>Counterfactual Affordability</w:t>
            </w:r>
          </w:p>
        </w:tc>
      </w:tr>
      <w:tr w:rsidR="003853C4" w:rsidRPr="00CB37D3" w14:paraId="12C93956" w14:textId="77777777" w:rsidTr="00C25E16">
        <w:tc>
          <w:tcPr>
            <w:tcW w:w="1384" w:type="dxa"/>
            <w:vMerge w:val="restart"/>
          </w:tcPr>
          <w:p w14:paraId="588A716B" w14:textId="77777777" w:rsidR="003853C4" w:rsidRPr="00CB37D3" w:rsidRDefault="003853C4" w:rsidP="00C25E16">
            <w:pPr>
              <w:pStyle w:val="NoSpacing"/>
            </w:pPr>
            <w:r w:rsidRPr="00CB37D3">
              <w:t>Supply effects</w:t>
            </w:r>
          </w:p>
          <w:p w14:paraId="522E0344" w14:textId="77777777" w:rsidR="003853C4" w:rsidRPr="00CB37D3" w:rsidRDefault="003853C4" w:rsidP="00C25E16">
            <w:pPr>
              <w:pStyle w:val="NoSpacing"/>
            </w:pPr>
            <w:r w:rsidRPr="00CB37D3">
              <w:t>only</w:t>
            </w:r>
          </w:p>
        </w:tc>
        <w:tc>
          <w:tcPr>
            <w:tcW w:w="1701" w:type="dxa"/>
          </w:tcPr>
          <w:p w14:paraId="4A402909" w14:textId="77777777" w:rsidR="003853C4" w:rsidRPr="00CB37D3" w:rsidRDefault="003853C4" w:rsidP="00C25E16">
            <w:pPr>
              <w:pStyle w:val="NoSpacing"/>
            </w:pPr>
          </w:p>
        </w:tc>
        <w:tc>
          <w:tcPr>
            <w:tcW w:w="1429" w:type="dxa"/>
          </w:tcPr>
          <w:p w14:paraId="1A73163D" w14:textId="77777777" w:rsidR="003853C4" w:rsidRPr="00CB37D3" w:rsidRDefault="003853C4" w:rsidP="00C25E16">
            <w:pPr>
              <w:pStyle w:val="NoSpacing"/>
            </w:pPr>
            <w:r w:rsidRPr="00CB37D3">
              <w:t>mean</w:t>
            </w:r>
          </w:p>
        </w:tc>
        <w:tc>
          <w:tcPr>
            <w:tcW w:w="1489" w:type="dxa"/>
          </w:tcPr>
          <w:p w14:paraId="4C28DF14" w14:textId="77777777" w:rsidR="003853C4" w:rsidRPr="00CB37D3" w:rsidRDefault="003853C4" w:rsidP="00C25E16">
            <w:pPr>
              <w:pStyle w:val="NoSpacing"/>
            </w:pPr>
            <w:r w:rsidRPr="00CB37D3">
              <w:t>median</w:t>
            </w:r>
          </w:p>
        </w:tc>
        <w:tc>
          <w:tcPr>
            <w:tcW w:w="1527" w:type="dxa"/>
          </w:tcPr>
          <w:p w14:paraId="5702CF97" w14:textId="77777777" w:rsidR="003853C4" w:rsidRPr="00CB37D3" w:rsidRDefault="003853C4" w:rsidP="00C25E16">
            <w:pPr>
              <w:pStyle w:val="NoSpacing"/>
            </w:pPr>
            <w:r w:rsidRPr="00CB37D3">
              <w:t>mean</w:t>
            </w:r>
          </w:p>
        </w:tc>
        <w:tc>
          <w:tcPr>
            <w:tcW w:w="1486" w:type="dxa"/>
          </w:tcPr>
          <w:p w14:paraId="21E2BF14" w14:textId="77777777" w:rsidR="003853C4" w:rsidRPr="00CB37D3" w:rsidRDefault="003853C4" w:rsidP="00C25E16">
            <w:pPr>
              <w:pStyle w:val="NoSpacing"/>
            </w:pPr>
            <w:r w:rsidRPr="00CB37D3">
              <w:t>median</w:t>
            </w:r>
          </w:p>
        </w:tc>
      </w:tr>
      <w:tr w:rsidR="003853C4" w:rsidRPr="00CB37D3" w14:paraId="053A7278" w14:textId="77777777" w:rsidTr="00C25E16">
        <w:tc>
          <w:tcPr>
            <w:tcW w:w="1384" w:type="dxa"/>
            <w:vMerge/>
          </w:tcPr>
          <w:p w14:paraId="4CA94E44" w14:textId="77777777" w:rsidR="003853C4" w:rsidRPr="00CB37D3" w:rsidRDefault="003853C4" w:rsidP="00C25E16">
            <w:pPr>
              <w:pStyle w:val="NoSpacing"/>
            </w:pPr>
          </w:p>
        </w:tc>
        <w:tc>
          <w:tcPr>
            <w:tcW w:w="1701" w:type="dxa"/>
          </w:tcPr>
          <w:p w14:paraId="162C5F1F" w14:textId="77777777" w:rsidR="003853C4" w:rsidRPr="00CB37D3" w:rsidRDefault="003853C4" w:rsidP="00C25E16">
            <w:pPr>
              <w:pStyle w:val="NoSpacing"/>
            </w:pPr>
            <w:r w:rsidRPr="00CB37D3">
              <w:t>Greater London</w:t>
            </w:r>
          </w:p>
        </w:tc>
        <w:tc>
          <w:tcPr>
            <w:tcW w:w="1429" w:type="dxa"/>
          </w:tcPr>
          <w:p w14:paraId="3F49E8A0" w14:textId="77777777" w:rsidR="003853C4" w:rsidRPr="00CB37D3" w:rsidRDefault="0061690C" w:rsidP="00C25E16">
            <w:pPr>
              <w:pStyle w:val="NoSpacing"/>
            </w:pPr>
            <w:r w:rsidRPr="00CB37D3">
              <w:t>4</w:t>
            </w:r>
            <w:r w:rsidR="000958DA">
              <w:t>0</w:t>
            </w:r>
            <w:r w:rsidRPr="00CB37D3">
              <w:t>8,</w:t>
            </w:r>
            <w:r w:rsidR="000958DA">
              <w:t>307</w:t>
            </w:r>
          </w:p>
        </w:tc>
        <w:tc>
          <w:tcPr>
            <w:tcW w:w="1489" w:type="dxa"/>
          </w:tcPr>
          <w:p w14:paraId="116E1D17" w14:textId="77777777" w:rsidR="003853C4" w:rsidRPr="00CB37D3" w:rsidRDefault="0061690C" w:rsidP="00C25E16">
            <w:pPr>
              <w:pStyle w:val="NoSpacing"/>
            </w:pPr>
            <w:r w:rsidRPr="00CB37D3">
              <w:t>3</w:t>
            </w:r>
            <w:r w:rsidR="000958DA">
              <w:t>4</w:t>
            </w:r>
            <w:r w:rsidRPr="00CB37D3">
              <w:t>8,</w:t>
            </w:r>
            <w:r w:rsidR="000958DA">
              <w:t>371</w:t>
            </w:r>
          </w:p>
        </w:tc>
        <w:tc>
          <w:tcPr>
            <w:tcW w:w="1527" w:type="dxa"/>
          </w:tcPr>
          <w:p w14:paraId="485EC276" w14:textId="77777777" w:rsidR="003853C4" w:rsidRPr="00CB37D3" w:rsidRDefault="0061690C" w:rsidP="00C25E16">
            <w:pPr>
              <w:pStyle w:val="NoSpacing"/>
            </w:pPr>
            <w:r w:rsidRPr="00CB37D3">
              <w:t>1</w:t>
            </w:r>
            <w:r w:rsidR="002E4C73">
              <w:t>0.85</w:t>
            </w:r>
          </w:p>
        </w:tc>
        <w:tc>
          <w:tcPr>
            <w:tcW w:w="1486" w:type="dxa"/>
          </w:tcPr>
          <w:p w14:paraId="7657112A" w14:textId="77777777" w:rsidR="003853C4" w:rsidRPr="00CB37D3" w:rsidRDefault="0061690C" w:rsidP="00C25E16">
            <w:pPr>
              <w:pStyle w:val="NoSpacing"/>
            </w:pPr>
            <w:r w:rsidRPr="00CB37D3">
              <w:t>8.</w:t>
            </w:r>
            <w:r w:rsidR="002E4C73">
              <w:t>60</w:t>
            </w:r>
          </w:p>
        </w:tc>
      </w:tr>
      <w:tr w:rsidR="003853C4" w:rsidRPr="00CB37D3" w14:paraId="7A172F63" w14:textId="77777777" w:rsidTr="00C25E16">
        <w:tc>
          <w:tcPr>
            <w:tcW w:w="1384" w:type="dxa"/>
            <w:vMerge/>
          </w:tcPr>
          <w:p w14:paraId="2E4622F6" w14:textId="77777777" w:rsidR="003853C4" w:rsidRPr="00CB37D3" w:rsidRDefault="003853C4" w:rsidP="00C25E16">
            <w:pPr>
              <w:pStyle w:val="NoSpacing"/>
            </w:pPr>
          </w:p>
        </w:tc>
        <w:tc>
          <w:tcPr>
            <w:tcW w:w="1701" w:type="dxa"/>
          </w:tcPr>
          <w:p w14:paraId="53B80824" w14:textId="77777777" w:rsidR="003853C4" w:rsidRPr="00CB37D3" w:rsidRDefault="003853C4" w:rsidP="00C25E16">
            <w:pPr>
              <w:pStyle w:val="NoSpacing"/>
            </w:pPr>
            <w:r w:rsidRPr="00CB37D3">
              <w:t>England</w:t>
            </w:r>
          </w:p>
        </w:tc>
        <w:tc>
          <w:tcPr>
            <w:tcW w:w="1429" w:type="dxa"/>
          </w:tcPr>
          <w:p w14:paraId="561D1F93" w14:textId="77777777" w:rsidR="003853C4" w:rsidRPr="00CB37D3" w:rsidRDefault="0061690C" w:rsidP="00C25E16">
            <w:pPr>
              <w:pStyle w:val="NoSpacing"/>
            </w:pPr>
            <w:r w:rsidRPr="00CB37D3">
              <w:t>225,</w:t>
            </w:r>
            <w:r w:rsidR="000958DA">
              <w:t>012</w:t>
            </w:r>
          </w:p>
        </w:tc>
        <w:tc>
          <w:tcPr>
            <w:tcW w:w="1489" w:type="dxa"/>
          </w:tcPr>
          <w:p w14:paraId="365123B8" w14:textId="77777777" w:rsidR="003853C4" w:rsidRPr="00CB37D3" w:rsidRDefault="0061690C" w:rsidP="00C25E16">
            <w:pPr>
              <w:pStyle w:val="NoSpacing"/>
            </w:pPr>
            <w:r w:rsidRPr="00CB37D3">
              <w:t>202,</w:t>
            </w:r>
            <w:r w:rsidR="000958DA">
              <w:t>706</w:t>
            </w:r>
          </w:p>
        </w:tc>
        <w:tc>
          <w:tcPr>
            <w:tcW w:w="1527" w:type="dxa"/>
          </w:tcPr>
          <w:p w14:paraId="61D41119" w14:textId="77777777" w:rsidR="003853C4" w:rsidRPr="00CB37D3" w:rsidRDefault="0061690C" w:rsidP="00C25E16">
            <w:pPr>
              <w:pStyle w:val="NoSpacing"/>
            </w:pPr>
            <w:r w:rsidRPr="00CB37D3">
              <w:t>7.3</w:t>
            </w:r>
            <w:r w:rsidR="002E4C73">
              <w:t>7</w:t>
            </w:r>
          </w:p>
        </w:tc>
        <w:tc>
          <w:tcPr>
            <w:tcW w:w="1486" w:type="dxa"/>
          </w:tcPr>
          <w:p w14:paraId="1FA0E252" w14:textId="77777777" w:rsidR="003853C4" w:rsidRPr="00CB37D3" w:rsidRDefault="0061690C" w:rsidP="00C25E16">
            <w:pPr>
              <w:pStyle w:val="NoSpacing"/>
            </w:pPr>
            <w:r w:rsidRPr="00CB37D3">
              <w:t>6.8</w:t>
            </w:r>
            <w:r w:rsidR="002E4C73">
              <w:t>1</w:t>
            </w:r>
          </w:p>
        </w:tc>
      </w:tr>
      <w:tr w:rsidR="00F7711C" w:rsidRPr="00CB37D3" w14:paraId="2270360F" w14:textId="77777777" w:rsidTr="001A6CDA">
        <w:tc>
          <w:tcPr>
            <w:tcW w:w="9016" w:type="dxa"/>
            <w:gridSpan w:val="6"/>
            <w:tcBorders>
              <w:bottom w:val="single" w:sz="4" w:space="0" w:color="auto"/>
            </w:tcBorders>
          </w:tcPr>
          <w:p w14:paraId="6681F3BB" w14:textId="77777777" w:rsidR="001A6CDA" w:rsidRPr="00CB37D3" w:rsidRDefault="00F7711C" w:rsidP="00F7711C">
            <w:pPr>
              <w:pStyle w:val="NoSpacing"/>
            </w:pPr>
            <w:r w:rsidRPr="00CB37D3">
              <w:t xml:space="preserve">Notes: </w:t>
            </w:r>
            <w:r w:rsidR="00AC3667">
              <w:t>With supply effects only, c</w:t>
            </w:r>
            <w:r w:rsidRPr="00CB37D3">
              <w:t xml:space="preserve">ounterfactual price series were obtained on the assumption that there was no concomitant increase in the demand for housing, so that </w:t>
            </w:r>
            <w:r w:rsidRPr="00CB37D3">
              <w:rPr>
                <w:position w:val="-12"/>
              </w:rPr>
              <w:object w:dxaOrig="780" w:dyaOrig="380" w14:anchorId="05A5BA87">
                <v:shape id="_x0000_i1176" type="#_x0000_t75" style="width:43.5pt;height:15pt" o:ole="">
                  <v:imagedata r:id="rId262" o:title=""/>
                </v:shape>
                <o:OLEObject Type="Embed" ProgID="Equation.DSMT4" ShapeID="_x0000_i1176" DrawAspect="Content" ObjectID="_1617780090" r:id="rId299"/>
              </w:object>
            </w:r>
            <w:r w:rsidRPr="00CB37D3">
              <w:t xml:space="preserve"> across all districts and </w:t>
            </w:r>
            <w:r w:rsidRPr="00CB37D3">
              <w:rPr>
                <w:position w:val="-12"/>
              </w:rPr>
              <w:object w:dxaOrig="800" w:dyaOrig="360" w14:anchorId="41F17A00">
                <v:shape id="_x0000_i1177" type="#_x0000_t75" style="width:43.5pt;height:21pt" o:ole="">
                  <v:imagedata r:id="rId264" o:title=""/>
                </v:shape>
                <o:OLEObject Type="Embed" ProgID="Equation.DSMT4" ShapeID="_x0000_i1177" DrawAspect="Content" ObjectID="_1617780091" r:id="rId300"/>
              </w:object>
            </w:r>
            <w:r w:rsidRPr="00CB37D3">
              <w:t xml:space="preserve">outside of Greater London. Elsewhere, within Greater London,  </w:t>
            </w:r>
            <w:r w:rsidRPr="00CB37D3">
              <w:rPr>
                <w:position w:val="-12"/>
              </w:rPr>
              <w:object w:dxaOrig="1380" w:dyaOrig="360" w14:anchorId="67E22B3D">
                <v:shape id="_x0000_i1178" type="#_x0000_t75" style="width:1in;height:21pt" o:ole="">
                  <v:imagedata r:id="rId268" o:title=""/>
                </v:shape>
                <o:OLEObject Type="Embed" ProgID="Equation.DSMT4" ShapeID="_x0000_i1178" DrawAspect="Content" ObjectID="_1617780092" r:id="rId301"/>
              </w:object>
            </w:r>
          </w:p>
        </w:tc>
      </w:tr>
    </w:tbl>
    <w:p w14:paraId="134A2640" w14:textId="77777777" w:rsidR="0046179C" w:rsidRDefault="0046179C" w:rsidP="00080C04">
      <w:pPr>
        <w:keepNext/>
        <w:spacing w:after="120"/>
        <w:jc w:val="center"/>
        <w:rPr>
          <w:rFonts w:ascii="Calibri" w:eastAsia="Calibri" w:hAnsi="Calibri" w:cs="Times New Roman"/>
          <w:b/>
        </w:rPr>
      </w:pPr>
    </w:p>
    <w:p w14:paraId="103F7BC8" w14:textId="77777777" w:rsidR="001F4068" w:rsidRPr="00CB37D3" w:rsidRDefault="001A6CDA" w:rsidP="00080C04">
      <w:pPr>
        <w:keepNext/>
        <w:spacing w:after="120"/>
        <w:jc w:val="center"/>
        <w:rPr>
          <w:rFonts w:ascii="Calibri" w:eastAsia="Calibri" w:hAnsi="Calibri" w:cs="Times New Roman"/>
          <w:b/>
        </w:rPr>
      </w:pPr>
      <w:r>
        <w:rPr>
          <w:rFonts w:ascii="Calibri" w:eastAsia="Calibri" w:hAnsi="Calibri" w:cs="Times New Roman"/>
          <w:b/>
        </w:rPr>
        <w:t>F</w:t>
      </w:r>
      <w:r w:rsidR="00CB37D3">
        <w:rPr>
          <w:rFonts w:ascii="Calibri" w:eastAsia="Calibri" w:hAnsi="Calibri" w:cs="Times New Roman"/>
          <w:b/>
        </w:rPr>
        <w:t>igure 7</w:t>
      </w:r>
      <w:r w:rsidR="001F4068" w:rsidRPr="00CB37D3">
        <w:rPr>
          <w:rFonts w:ascii="Calibri" w:eastAsia="Calibri" w:hAnsi="Calibri" w:cs="Times New Roman"/>
          <w:b/>
        </w:rPr>
        <w:t xml:space="preserve"> : Affordability with 15% increased supply </w:t>
      </w:r>
    </w:p>
    <w:p w14:paraId="6E7C671E" w14:textId="77777777" w:rsidR="001F4068" w:rsidRPr="00CB37D3" w:rsidRDefault="008F12C8" w:rsidP="00080C04">
      <w:pPr>
        <w:spacing w:after="0"/>
        <w:rPr>
          <w:rFonts w:ascii="Calibri" w:eastAsia="Calibri" w:hAnsi="Calibri" w:cs="Times New Roman"/>
          <w:b/>
        </w:rPr>
      </w:pPr>
      <w:r>
        <w:rPr>
          <w:rFonts w:ascii="Calibri" w:eastAsia="Calibri" w:hAnsi="Calibri" w:cs="Times New Roman"/>
          <w:b/>
        </w:rPr>
        <w:t xml:space="preserve">                                  </w:t>
      </w:r>
      <w:r w:rsidR="00CB37D3">
        <w:rPr>
          <w:rFonts w:ascii="Calibri" w:eastAsia="Calibri" w:hAnsi="Calibri" w:cs="Times New Roman"/>
          <w:b/>
        </w:rPr>
        <w:t>Figure 7a</w:t>
      </w:r>
      <w:r w:rsidR="001F4068" w:rsidRPr="00CB37D3">
        <w:rPr>
          <w:rFonts w:ascii="Calibri" w:eastAsia="Calibri" w:hAnsi="Calibri" w:cs="Times New Roman"/>
          <w:b/>
        </w:rPr>
        <w:t xml:space="preserve">: England                     </w:t>
      </w:r>
      <w:r w:rsidR="00107457" w:rsidRPr="00CB37D3">
        <w:rPr>
          <w:rFonts w:ascii="Calibri" w:eastAsia="Calibri" w:hAnsi="Calibri" w:cs="Times New Roman"/>
          <w:b/>
        </w:rPr>
        <w:t xml:space="preserve">                  </w:t>
      </w:r>
      <w:r w:rsidR="00CB37D3">
        <w:rPr>
          <w:rFonts w:ascii="Calibri" w:eastAsia="Calibri" w:hAnsi="Calibri" w:cs="Times New Roman"/>
          <w:b/>
        </w:rPr>
        <w:t>Figure 7</w:t>
      </w:r>
      <w:r w:rsidR="001F4068" w:rsidRPr="00CB37D3">
        <w:rPr>
          <w:rFonts w:ascii="Calibri" w:eastAsia="Calibri" w:hAnsi="Calibri" w:cs="Times New Roman"/>
          <w:b/>
        </w:rPr>
        <w:t>b: South East England</w:t>
      </w:r>
    </w:p>
    <w:p w14:paraId="358CE455" w14:textId="77777777" w:rsidR="008913F0" w:rsidRDefault="001F4068" w:rsidP="001F4068">
      <w:pPr>
        <w:jc w:val="center"/>
        <w:rPr>
          <w:rFonts w:ascii="Calibri" w:eastAsia="Calibri" w:hAnsi="Calibri" w:cs="Times New Roman"/>
          <w:sz w:val="18"/>
          <w:szCs w:val="18"/>
        </w:rPr>
      </w:pPr>
      <w:r w:rsidRPr="00CB37D3">
        <w:rPr>
          <w:noProof/>
        </w:rPr>
        <w:t xml:space="preserve"> </w:t>
      </w:r>
      <w:r w:rsidRPr="00CB37D3">
        <w:rPr>
          <w:rFonts w:ascii="Calibri" w:eastAsia="Calibri" w:hAnsi="Calibri" w:cs="Times New Roman"/>
          <w:noProof/>
        </w:rPr>
        <w:t xml:space="preserve"> </w:t>
      </w:r>
      <w:r w:rsidRPr="00CB37D3">
        <w:rPr>
          <w:noProof/>
        </w:rPr>
        <w:t xml:space="preserve"> </w:t>
      </w:r>
      <w:r w:rsidR="008913F0" w:rsidRPr="003F3E5A">
        <w:rPr>
          <w:noProof/>
          <w:lang w:eastAsia="en-GB"/>
        </w:rPr>
        <w:drawing>
          <wp:inline distT="0" distB="0" distL="0" distR="0" wp14:anchorId="6AA1A9CF" wp14:editId="56FC648E">
            <wp:extent cx="2703451" cy="2445488"/>
            <wp:effectExtent l="0" t="0" r="1905" b="0"/>
            <wp:docPr id="18"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2"/>
                    <a:stretch>
                      <a:fillRect/>
                    </a:stretch>
                  </pic:blipFill>
                  <pic:spPr>
                    <a:xfrm>
                      <a:off x="0" y="0"/>
                      <a:ext cx="2703451" cy="2445488"/>
                    </a:xfrm>
                    <a:prstGeom prst="rect">
                      <a:avLst/>
                    </a:prstGeom>
                  </pic:spPr>
                </pic:pic>
              </a:graphicData>
            </a:graphic>
          </wp:inline>
        </w:drawing>
      </w:r>
      <w:r w:rsidR="008913F0">
        <w:rPr>
          <w:noProof/>
          <w:lang w:eastAsia="en-GB"/>
        </w:rPr>
        <w:drawing>
          <wp:inline distT="0" distB="0" distL="0" distR="0" wp14:anchorId="2BAA8D2E" wp14:editId="48F6DF46">
            <wp:extent cx="2491847" cy="2445488"/>
            <wp:effectExtent l="0" t="0" r="381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3"/>
                    <a:stretch>
                      <a:fillRect/>
                    </a:stretch>
                  </pic:blipFill>
                  <pic:spPr>
                    <a:xfrm>
                      <a:off x="0" y="0"/>
                      <a:ext cx="2491544" cy="2445191"/>
                    </a:xfrm>
                    <a:prstGeom prst="rect">
                      <a:avLst/>
                    </a:prstGeom>
                  </pic:spPr>
                </pic:pic>
              </a:graphicData>
            </a:graphic>
          </wp:inline>
        </w:drawing>
      </w:r>
    </w:p>
    <w:p w14:paraId="79206339" w14:textId="77777777" w:rsidR="008913F0" w:rsidRDefault="008913F0" w:rsidP="008913F0">
      <w:pPr>
        <w:jc w:val="center"/>
        <w:rPr>
          <w:rFonts w:ascii="Calibri" w:eastAsia="Calibri" w:hAnsi="Calibri" w:cs="Times New Roman"/>
          <w:sz w:val="18"/>
          <w:szCs w:val="18"/>
        </w:rPr>
      </w:pPr>
      <w:r w:rsidRPr="00CB37D3">
        <w:rPr>
          <w:rFonts w:ascii="Calibri" w:eastAsia="Calibri" w:hAnsi="Calibri" w:cs="Times New Roman"/>
          <w:sz w:val="18"/>
          <w:szCs w:val="18"/>
        </w:rPr>
        <w:t xml:space="preserve">Key: Vertical scale: number of Districts; Horizontal scale: price to annual wage ratio. Shades on the map and the histogram correspond to the same affordability ratios. </w:t>
      </w:r>
    </w:p>
    <w:p w14:paraId="020AAC9F" w14:textId="0403AB97" w:rsidR="0046179C" w:rsidRDefault="0046179C" w:rsidP="008913F0">
      <w:pPr>
        <w:jc w:val="center"/>
        <w:rPr>
          <w:rFonts w:ascii="Calibri" w:eastAsia="Calibri" w:hAnsi="Calibri" w:cs="Times New Roman"/>
          <w:sz w:val="18"/>
          <w:szCs w:val="18"/>
        </w:rPr>
      </w:pPr>
    </w:p>
    <w:p w14:paraId="3DB63F9A" w14:textId="77777777" w:rsidR="0046179C" w:rsidRDefault="0046179C" w:rsidP="008913F0">
      <w:pPr>
        <w:jc w:val="center"/>
        <w:rPr>
          <w:rFonts w:ascii="Calibri" w:eastAsia="Calibri" w:hAnsi="Calibri" w:cs="Times New Roman"/>
          <w:sz w:val="18"/>
          <w:szCs w:val="18"/>
        </w:rPr>
      </w:pPr>
    </w:p>
    <w:p w14:paraId="474C49E2" w14:textId="77777777" w:rsidR="0046179C" w:rsidRDefault="0046179C" w:rsidP="008913F0">
      <w:pPr>
        <w:jc w:val="center"/>
        <w:rPr>
          <w:rFonts w:ascii="Calibri" w:eastAsia="Calibri" w:hAnsi="Calibri" w:cs="Times New Roman"/>
          <w:sz w:val="18"/>
          <w:szCs w:val="18"/>
        </w:rPr>
      </w:pPr>
    </w:p>
    <w:p w14:paraId="2C6E49D7" w14:textId="77777777" w:rsidR="0046179C" w:rsidRDefault="0046179C" w:rsidP="008913F0">
      <w:pPr>
        <w:jc w:val="center"/>
        <w:rPr>
          <w:rFonts w:ascii="Calibri" w:eastAsia="Calibri" w:hAnsi="Calibri" w:cs="Times New Roman"/>
          <w:sz w:val="18"/>
          <w:szCs w:val="18"/>
        </w:rPr>
      </w:pPr>
    </w:p>
    <w:p w14:paraId="5AFBAC09" w14:textId="77777777" w:rsidR="0046179C" w:rsidRDefault="0046179C" w:rsidP="008913F0">
      <w:pPr>
        <w:jc w:val="center"/>
        <w:rPr>
          <w:rFonts w:ascii="Calibri" w:eastAsia="Calibri" w:hAnsi="Calibri" w:cs="Times New Roman"/>
          <w:sz w:val="18"/>
          <w:szCs w:val="18"/>
        </w:rPr>
      </w:pPr>
    </w:p>
    <w:p w14:paraId="6A8B7372" w14:textId="77777777" w:rsidR="00CF4C7D" w:rsidRPr="00CB37D3" w:rsidRDefault="00CF4C7D" w:rsidP="00CF4C7D">
      <w:pPr>
        <w:jc w:val="both"/>
        <w:rPr>
          <w:rFonts w:ascii="Calibri" w:eastAsia="Calibri" w:hAnsi="Calibri" w:cs="Times New Roman"/>
        </w:rPr>
      </w:pPr>
      <w:r w:rsidRPr="00CB37D3">
        <w:rPr>
          <w:rFonts w:ascii="Calibri" w:eastAsia="Calibri" w:hAnsi="Calibri" w:cs="Times New Roman"/>
        </w:rPr>
        <w:lastRenderedPageBreak/>
        <w:t xml:space="preserve">Table </w:t>
      </w:r>
      <w:r w:rsidR="003909B0">
        <w:rPr>
          <w:rFonts w:ascii="Calibri" w:eastAsia="Calibri" w:hAnsi="Calibri" w:cs="Times New Roman"/>
        </w:rPr>
        <w:t>7</w:t>
      </w:r>
      <w:r w:rsidRPr="00CB37D3">
        <w:rPr>
          <w:rFonts w:ascii="Calibri" w:eastAsia="Calibri" w:hAnsi="Calibri" w:cs="Times New Roman"/>
        </w:rPr>
        <w:t xml:space="preserve">: The effects on prices and affordability in 2012 of a hypothetical 1.6M increase in supply </w:t>
      </w:r>
    </w:p>
    <w:tbl>
      <w:tblPr>
        <w:tblStyle w:val="TableGrid1"/>
        <w:tblW w:w="0" w:type="auto"/>
        <w:tblLook w:val="04A0" w:firstRow="1" w:lastRow="0" w:firstColumn="1" w:lastColumn="0" w:noHBand="0" w:noVBand="1"/>
      </w:tblPr>
      <w:tblGrid>
        <w:gridCol w:w="1384"/>
        <w:gridCol w:w="1701"/>
        <w:gridCol w:w="1429"/>
        <w:gridCol w:w="1489"/>
        <w:gridCol w:w="1527"/>
        <w:gridCol w:w="1486"/>
      </w:tblGrid>
      <w:tr w:rsidR="00CF4C7D" w:rsidRPr="00CB37D3" w14:paraId="64E40BCD" w14:textId="77777777" w:rsidTr="00274FF1">
        <w:tc>
          <w:tcPr>
            <w:tcW w:w="1384" w:type="dxa"/>
          </w:tcPr>
          <w:p w14:paraId="02D8D26E" w14:textId="77777777" w:rsidR="00CF4C7D" w:rsidRPr="00CB37D3" w:rsidRDefault="00CF4C7D" w:rsidP="00274FF1">
            <w:pPr>
              <w:pStyle w:val="NoSpacing"/>
            </w:pPr>
          </w:p>
        </w:tc>
        <w:tc>
          <w:tcPr>
            <w:tcW w:w="1701" w:type="dxa"/>
          </w:tcPr>
          <w:p w14:paraId="530D7CA8" w14:textId="77777777" w:rsidR="00CF4C7D" w:rsidRPr="00CB37D3" w:rsidRDefault="00CF4C7D" w:rsidP="00274FF1">
            <w:pPr>
              <w:pStyle w:val="NoSpacing"/>
            </w:pPr>
          </w:p>
        </w:tc>
        <w:tc>
          <w:tcPr>
            <w:tcW w:w="2918" w:type="dxa"/>
            <w:gridSpan w:val="2"/>
          </w:tcPr>
          <w:p w14:paraId="477429CD" w14:textId="77777777" w:rsidR="00CF4C7D" w:rsidRPr="00CB37D3" w:rsidRDefault="00CF4C7D" w:rsidP="00274FF1">
            <w:pPr>
              <w:pStyle w:val="NoSpacing"/>
              <w:jc w:val="center"/>
            </w:pPr>
            <w:r w:rsidRPr="00CB37D3">
              <w:t>Counterfactual price</w:t>
            </w:r>
          </w:p>
        </w:tc>
        <w:tc>
          <w:tcPr>
            <w:tcW w:w="3013" w:type="dxa"/>
            <w:gridSpan w:val="2"/>
          </w:tcPr>
          <w:p w14:paraId="4E74761D" w14:textId="77777777" w:rsidR="00CF4C7D" w:rsidRPr="00CB37D3" w:rsidRDefault="00CF4C7D" w:rsidP="00274FF1">
            <w:pPr>
              <w:pStyle w:val="NoSpacing"/>
              <w:jc w:val="center"/>
            </w:pPr>
            <w:r w:rsidRPr="00CB37D3">
              <w:t>Counterfactual Affordability</w:t>
            </w:r>
          </w:p>
        </w:tc>
      </w:tr>
      <w:tr w:rsidR="00CF4C7D" w:rsidRPr="00CB37D3" w14:paraId="2EF6F0F9" w14:textId="77777777" w:rsidTr="00274FF1">
        <w:tc>
          <w:tcPr>
            <w:tcW w:w="1384" w:type="dxa"/>
            <w:vMerge w:val="restart"/>
          </w:tcPr>
          <w:p w14:paraId="1BA5AC70" w14:textId="77777777" w:rsidR="00CF4C7D" w:rsidRPr="00CB37D3" w:rsidRDefault="00CF4C7D" w:rsidP="00274FF1">
            <w:pPr>
              <w:pStyle w:val="NoSpacing"/>
            </w:pPr>
            <w:r w:rsidRPr="00CB37D3">
              <w:t>Both supply and demand effects</w:t>
            </w:r>
          </w:p>
        </w:tc>
        <w:tc>
          <w:tcPr>
            <w:tcW w:w="1701" w:type="dxa"/>
          </w:tcPr>
          <w:p w14:paraId="3DD50CEB" w14:textId="77777777" w:rsidR="00CF4C7D" w:rsidRPr="00CB37D3" w:rsidRDefault="00CF4C7D" w:rsidP="00274FF1">
            <w:pPr>
              <w:pStyle w:val="NoSpacing"/>
            </w:pPr>
          </w:p>
        </w:tc>
        <w:tc>
          <w:tcPr>
            <w:tcW w:w="1429" w:type="dxa"/>
          </w:tcPr>
          <w:p w14:paraId="315D711C" w14:textId="77777777" w:rsidR="00CF4C7D" w:rsidRPr="00CB37D3" w:rsidRDefault="00CF4C7D" w:rsidP="00274FF1">
            <w:pPr>
              <w:pStyle w:val="NoSpacing"/>
            </w:pPr>
            <w:r w:rsidRPr="00CB37D3">
              <w:t>mean</w:t>
            </w:r>
          </w:p>
        </w:tc>
        <w:tc>
          <w:tcPr>
            <w:tcW w:w="1489" w:type="dxa"/>
          </w:tcPr>
          <w:p w14:paraId="68C8FB90" w14:textId="77777777" w:rsidR="00CF4C7D" w:rsidRPr="00CB37D3" w:rsidRDefault="00CF4C7D" w:rsidP="00274FF1">
            <w:pPr>
              <w:pStyle w:val="NoSpacing"/>
            </w:pPr>
            <w:r w:rsidRPr="00CB37D3">
              <w:t>median</w:t>
            </w:r>
          </w:p>
        </w:tc>
        <w:tc>
          <w:tcPr>
            <w:tcW w:w="1527" w:type="dxa"/>
          </w:tcPr>
          <w:p w14:paraId="0167AC97" w14:textId="77777777" w:rsidR="00CF4C7D" w:rsidRPr="00CB37D3" w:rsidRDefault="00CF4C7D" w:rsidP="00274FF1">
            <w:pPr>
              <w:pStyle w:val="NoSpacing"/>
            </w:pPr>
            <w:r w:rsidRPr="00CB37D3">
              <w:t>mean</w:t>
            </w:r>
          </w:p>
        </w:tc>
        <w:tc>
          <w:tcPr>
            <w:tcW w:w="1486" w:type="dxa"/>
          </w:tcPr>
          <w:p w14:paraId="0154D834" w14:textId="77777777" w:rsidR="00CF4C7D" w:rsidRPr="00CB37D3" w:rsidRDefault="00CF4C7D" w:rsidP="00274FF1">
            <w:pPr>
              <w:pStyle w:val="NoSpacing"/>
            </w:pPr>
            <w:r w:rsidRPr="00CB37D3">
              <w:t>median</w:t>
            </w:r>
          </w:p>
        </w:tc>
      </w:tr>
      <w:tr w:rsidR="00CF4C7D" w:rsidRPr="00CB37D3" w14:paraId="01CF527B" w14:textId="77777777" w:rsidTr="00274FF1">
        <w:tc>
          <w:tcPr>
            <w:tcW w:w="1384" w:type="dxa"/>
            <w:vMerge/>
          </w:tcPr>
          <w:p w14:paraId="52875AA1" w14:textId="77777777" w:rsidR="00CF4C7D" w:rsidRPr="00CB37D3" w:rsidRDefault="00CF4C7D" w:rsidP="00274FF1">
            <w:pPr>
              <w:pStyle w:val="NoSpacing"/>
            </w:pPr>
          </w:p>
        </w:tc>
        <w:tc>
          <w:tcPr>
            <w:tcW w:w="1701" w:type="dxa"/>
          </w:tcPr>
          <w:p w14:paraId="2DACBFB3" w14:textId="77777777" w:rsidR="00CF4C7D" w:rsidRPr="00CB37D3" w:rsidRDefault="00CF4C7D" w:rsidP="00274FF1">
            <w:pPr>
              <w:pStyle w:val="NoSpacing"/>
            </w:pPr>
            <w:r w:rsidRPr="00CB37D3">
              <w:t>Greater London</w:t>
            </w:r>
          </w:p>
        </w:tc>
        <w:tc>
          <w:tcPr>
            <w:tcW w:w="1429" w:type="dxa"/>
          </w:tcPr>
          <w:p w14:paraId="5742F2B8" w14:textId="77777777" w:rsidR="00CF4C7D" w:rsidRPr="00CB37D3" w:rsidRDefault="00976B86" w:rsidP="00274FF1">
            <w:pPr>
              <w:pStyle w:val="NoSpacing"/>
            </w:pPr>
            <w:r>
              <w:t>383,058</w:t>
            </w:r>
          </w:p>
        </w:tc>
        <w:tc>
          <w:tcPr>
            <w:tcW w:w="1489" w:type="dxa"/>
          </w:tcPr>
          <w:p w14:paraId="3E665BA1" w14:textId="77777777" w:rsidR="00CF4C7D" w:rsidRPr="00CB37D3" w:rsidRDefault="008E4C5D" w:rsidP="00274FF1">
            <w:pPr>
              <w:pStyle w:val="NoSpacing"/>
            </w:pPr>
            <w:r w:rsidRPr="00CB37D3">
              <w:t>3</w:t>
            </w:r>
            <w:r w:rsidR="00976B86">
              <w:t>45,647</w:t>
            </w:r>
          </w:p>
        </w:tc>
        <w:tc>
          <w:tcPr>
            <w:tcW w:w="1527" w:type="dxa"/>
          </w:tcPr>
          <w:p w14:paraId="77D600B5" w14:textId="77777777" w:rsidR="00CF4C7D" w:rsidRPr="00CB37D3" w:rsidRDefault="008E4C5D" w:rsidP="00274FF1">
            <w:pPr>
              <w:pStyle w:val="NoSpacing"/>
            </w:pPr>
            <w:r w:rsidRPr="00CB37D3">
              <w:t>10.</w:t>
            </w:r>
            <w:r w:rsidR="00976B86">
              <w:t>09</w:t>
            </w:r>
          </w:p>
        </w:tc>
        <w:tc>
          <w:tcPr>
            <w:tcW w:w="1486" w:type="dxa"/>
          </w:tcPr>
          <w:p w14:paraId="67E61C0F" w14:textId="77777777" w:rsidR="00CF4C7D" w:rsidRPr="00CB37D3" w:rsidRDefault="008E4C5D" w:rsidP="00274FF1">
            <w:pPr>
              <w:pStyle w:val="NoSpacing"/>
            </w:pPr>
            <w:r w:rsidRPr="00CB37D3">
              <w:t>8.3</w:t>
            </w:r>
            <w:r w:rsidR="00976B86">
              <w:t>6</w:t>
            </w:r>
          </w:p>
        </w:tc>
      </w:tr>
      <w:tr w:rsidR="00CF4C7D" w:rsidRPr="00CB37D3" w14:paraId="30EB223A" w14:textId="77777777" w:rsidTr="00274FF1">
        <w:tc>
          <w:tcPr>
            <w:tcW w:w="1384" w:type="dxa"/>
            <w:vMerge/>
          </w:tcPr>
          <w:p w14:paraId="099BE2CC" w14:textId="77777777" w:rsidR="00CF4C7D" w:rsidRPr="00CB37D3" w:rsidRDefault="00CF4C7D" w:rsidP="00274FF1">
            <w:pPr>
              <w:pStyle w:val="NoSpacing"/>
            </w:pPr>
          </w:p>
        </w:tc>
        <w:tc>
          <w:tcPr>
            <w:tcW w:w="1701" w:type="dxa"/>
          </w:tcPr>
          <w:p w14:paraId="3C5862BC" w14:textId="77777777" w:rsidR="00CF4C7D" w:rsidRPr="00CB37D3" w:rsidRDefault="00CF4C7D" w:rsidP="00274FF1">
            <w:pPr>
              <w:pStyle w:val="NoSpacing"/>
            </w:pPr>
            <w:r w:rsidRPr="00CB37D3">
              <w:t>England</w:t>
            </w:r>
          </w:p>
        </w:tc>
        <w:tc>
          <w:tcPr>
            <w:tcW w:w="1429" w:type="dxa"/>
          </w:tcPr>
          <w:p w14:paraId="25D0A0BA" w14:textId="77777777" w:rsidR="00CF4C7D" w:rsidRPr="00CB37D3" w:rsidRDefault="008E4C5D" w:rsidP="00274FF1">
            <w:pPr>
              <w:pStyle w:val="NoSpacing"/>
            </w:pPr>
            <w:r w:rsidRPr="00CB37D3">
              <w:t>22</w:t>
            </w:r>
            <w:r w:rsidR="00976B86">
              <w:t>1</w:t>
            </w:r>
            <w:r w:rsidRPr="00CB37D3">
              <w:t>,</w:t>
            </w:r>
            <w:r w:rsidR="00976B86">
              <w:t>380</w:t>
            </w:r>
          </w:p>
        </w:tc>
        <w:tc>
          <w:tcPr>
            <w:tcW w:w="1489" w:type="dxa"/>
          </w:tcPr>
          <w:p w14:paraId="4FB2D357" w14:textId="77777777" w:rsidR="00CF4C7D" w:rsidRPr="00CB37D3" w:rsidRDefault="00976B86" w:rsidP="00274FF1">
            <w:pPr>
              <w:pStyle w:val="NoSpacing"/>
            </w:pPr>
            <w:r>
              <w:t>198,906</w:t>
            </w:r>
          </w:p>
        </w:tc>
        <w:tc>
          <w:tcPr>
            <w:tcW w:w="1527" w:type="dxa"/>
          </w:tcPr>
          <w:p w14:paraId="1A628D4B" w14:textId="77777777" w:rsidR="00CF4C7D" w:rsidRPr="00CB37D3" w:rsidRDefault="008E4C5D" w:rsidP="00274FF1">
            <w:pPr>
              <w:pStyle w:val="NoSpacing"/>
            </w:pPr>
            <w:r w:rsidRPr="00CB37D3">
              <w:t>7.</w:t>
            </w:r>
            <w:r w:rsidR="00976B86">
              <w:t>26</w:t>
            </w:r>
          </w:p>
        </w:tc>
        <w:tc>
          <w:tcPr>
            <w:tcW w:w="1486" w:type="dxa"/>
          </w:tcPr>
          <w:p w14:paraId="51D3442C" w14:textId="77777777" w:rsidR="00CF4C7D" w:rsidRPr="00CB37D3" w:rsidRDefault="008E4C5D" w:rsidP="00274FF1">
            <w:pPr>
              <w:pStyle w:val="NoSpacing"/>
            </w:pPr>
            <w:r w:rsidRPr="00CB37D3">
              <w:t>6.7</w:t>
            </w:r>
            <w:r w:rsidR="00976B86">
              <w:t>3</w:t>
            </w:r>
          </w:p>
        </w:tc>
      </w:tr>
      <w:tr w:rsidR="00CF4C7D" w:rsidRPr="00CB37D3" w14:paraId="0C1261EA" w14:textId="77777777" w:rsidTr="00274FF1">
        <w:tc>
          <w:tcPr>
            <w:tcW w:w="1384" w:type="dxa"/>
          </w:tcPr>
          <w:p w14:paraId="478CE788" w14:textId="77777777" w:rsidR="00CF4C7D" w:rsidRPr="00CB37D3" w:rsidRDefault="00CF4C7D" w:rsidP="00274FF1">
            <w:pPr>
              <w:pStyle w:val="NoSpacing"/>
            </w:pPr>
          </w:p>
        </w:tc>
        <w:tc>
          <w:tcPr>
            <w:tcW w:w="1701" w:type="dxa"/>
          </w:tcPr>
          <w:p w14:paraId="039B2BCB" w14:textId="77777777" w:rsidR="00CF4C7D" w:rsidRPr="00CB37D3" w:rsidRDefault="00CF4C7D" w:rsidP="00274FF1">
            <w:pPr>
              <w:pStyle w:val="NoSpacing"/>
            </w:pPr>
          </w:p>
        </w:tc>
        <w:tc>
          <w:tcPr>
            <w:tcW w:w="2918" w:type="dxa"/>
            <w:gridSpan w:val="2"/>
          </w:tcPr>
          <w:p w14:paraId="72EBC6FC" w14:textId="77777777" w:rsidR="00CF4C7D" w:rsidRPr="00CB37D3" w:rsidRDefault="00CF4C7D" w:rsidP="00274FF1">
            <w:pPr>
              <w:pStyle w:val="NoSpacing"/>
              <w:jc w:val="center"/>
            </w:pPr>
            <w:r w:rsidRPr="00CB37D3">
              <w:t>Counterfactual price</w:t>
            </w:r>
          </w:p>
        </w:tc>
        <w:tc>
          <w:tcPr>
            <w:tcW w:w="3013" w:type="dxa"/>
            <w:gridSpan w:val="2"/>
          </w:tcPr>
          <w:p w14:paraId="5A3DB33F" w14:textId="77777777" w:rsidR="00CF4C7D" w:rsidRPr="00CB37D3" w:rsidRDefault="00CF4C7D" w:rsidP="00274FF1">
            <w:pPr>
              <w:pStyle w:val="NoSpacing"/>
              <w:jc w:val="center"/>
            </w:pPr>
            <w:r w:rsidRPr="00CB37D3">
              <w:t>Counterfactual Affordability</w:t>
            </w:r>
          </w:p>
        </w:tc>
      </w:tr>
      <w:tr w:rsidR="00CF4C7D" w:rsidRPr="00CB37D3" w14:paraId="551DD283" w14:textId="77777777" w:rsidTr="00274FF1">
        <w:tc>
          <w:tcPr>
            <w:tcW w:w="1384" w:type="dxa"/>
            <w:vMerge w:val="restart"/>
          </w:tcPr>
          <w:p w14:paraId="3843024F" w14:textId="77777777" w:rsidR="00CF4C7D" w:rsidRPr="00CB37D3" w:rsidRDefault="00CF4C7D" w:rsidP="00274FF1">
            <w:pPr>
              <w:pStyle w:val="NoSpacing"/>
            </w:pPr>
            <w:r w:rsidRPr="00CB37D3">
              <w:t>Supply effects</w:t>
            </w:r>
          </w:p>
          <w:p w14:paraId="7DBC624B" w14:textId="77777777" w:rsidR="00CF4C7D" w:rsidRPr="00CB37D3" w:rsidRDefault="00CF4C7D" w:rsidP="00274FF1">
            <w:pPr>
              <w:pStyle w:val="NoSpacing"/>
            </w:pPr>
            <w:r w:rsidRPr="00CB37D3">
              <w:t>only</w:t>
            </w:r>
          </w:p>
        </w:tc>
        <w:tc>
          <w:tcPr>
            <w:tcW w:w="1701" w:type="dxa"/>
          </w:tcPr>
          <w:p w14:paraId="3F13D008" w14:textId="77777777" w:rsidR="00CF4C7D" w:rsidRPr="00CB37D3" w:rsidRDefault="00CF4C7D" w:rsidP="00274FF1">
            <w:pPr>
              <w:pStyle w:val="NoSpacing"/>
            </w:pPr>
          </w:p>
        </w:tc>
        <w:tc>
          <w:tcPr>
            <w:tcW w:w="1429" w:type="dxa"/>
          </w:tcPr>
          <w:p w14:paraId="76209540" w14:textId="77777777" w:rsidR="00CF4C7D" w:rsidRPr="00CB37D3" w:rsidRDefault="00CF4C7D" w:rsidP="00274FF1">
            <w:pPr>
              <w:pStyle w:val="NoSpacing"/>
            </w:pPr>
            <w:r w:rsidRPr="00CB37D3">
              <w:t>mean</w:t>
            </w:r>
          </w:p>
        </w:tc>
        <w:tc>
          <w:tcPr>
            <w:tcW w:w="1489" w:type="dxa"/>
          </w:tcPr>
          <w:p w14:paraId="5B0AA9FD" w14:textId="77777777" w:rsidR="00CF4C7D" w:rsidRPr="00CB37D3" w:rsidRDefault="00CF4C7D" w:rsidP="00274FF1">
            <w:pPr>
              <w:pStyle w:val="NoSpacing"/>
            </w:pPr>
            <w:r w:rsidRPr="00CB37D3">
              <w:t>median</w:t>
            </w:r>
          </w:p>
        </w:tc>
        <w:tc>
          <w:tcPr>
            <w:tcW w:w="1527" w:type="dxa"/>
          </w:tcPr>
          <w:p w14:paraId="432844EC" w14:textId="77777777" w:rsidR="00CF4C7D" w:rsidRPr="00CB37D3" w:rsidRDefault="00CF4C7D" w:rsidP="00274FF1">
            <w:pPr>
              <w:pStyle w:val="NoSpacing"/>
            </w:pPr>
            <w:r w:rsidRPr="00CB37D3">
              <w:t>mean</w:t>
            </w:r>
          </w:p>
        </w:tc>
        <w:tc>
          <w:tcPr>
            <w:tcW w:w="1486" w:type="dxa"/>
          </w:tcPr>
          <w:p w14:paraId="7AE8EECB" w14:textId="77777777" w:rsidR="00CF4C7D" w:rsidRPr="00CB37D3" w:rsidRDefault="00CF4C7D" w:rsidP="00274FF1">
            <w:pPr>
              <w:pStyle w:val="NoSpacing"/>
            </w:pPr>
            <w:r w:rsidRPr="00CB37D3">
              <w:t>median</w:t>
            </w:r>
          </w:p>
        </w:tc>
      </w:tr>
      <w:tr w:rsidR="00CF4C7D" w:rsidRPr="00CB37D3" w14:paraId="07154D57" w14:textId="77777777" w:rsidTr="00274FF1">
        <w:tc>
          <w:tcPr>
            <w:tcW w:w="1384" w:type="dxa"/>
            <w:vMerge/>
          </w:tcPr>
          <w:p w14:paraId="7421D3AA" w14:textId="77777777" w:rsidR="00CF4C7D" w:rsidRPr="00CB37D3" w:rsidRDefault="00CF4C7D" w:rsidP="00274FF1">
            <w:pPr>
              <w:pStyle w:val="NoSpacing"/>
            </w:pPr>
          </w:p>
        </w:tc>
        <w:tc>
          <w:tcPr>
            <w:tcW w:w="1701" w:type="dxa"/>
          </w:tcPr>
          <w:p w14:paraId="50C2060F" w14:textId="77777777" w:rsidR="00CF4C7D" w:rsidRPr="00CB37D3" w:rsidRDefault="00CF4C7D" w:rsidP="00274FF1">
            <w:pPr>
              <w:pStyle w:val="NoSpacing"/>
            </w:pPr>
            <w:r w:rsidRPr="00CB37D3">
              <w:t>Greater London</w:t>
            </w:r>
          </w:p>
        </w:tc>
        <w:tc>
          <w:tcPr>
            <w:tcW w:w="1429" w:type="dxa"/>
          </w:tcPr>
          <w:p w14:paraId="3E6F5D78" w14:textId="77777777" w:rsidR="00CF4C7D" w:rsidRPr="00CB37D3" w:rsidRDefault="00F244DB" w:rsidP="00274FF1">
            <w:pPr>
              <w:pStyle w:val="NoSpacing"/>
            </w:pPr>
            <w:r w:rsidRPr="00CB37D3">
              <w:t>3</w:t>
            </w:r>
            <w:r w:rsidR="00976B86">
              <w:t>70</w:t>
            </w:r>
            <w:r w:rsidRPr="00CB37D3">
              <w:t>,2</w:t>
            </w:r>
            <w:r w:rsidR="00976B86">
              <w:t>7</w:t>
            </w:r>
            <w:r w:rsidRPr="00CB37D3">
              <w:t>4</w:t>
            </w:r>
          </w:p>
        </w:tc>
        <w:tc>
          <w:tcPr>
            <w:tcW w:w="1489" w:type="dxa"/>
          </w:tcPr>
          <w:p w14:paraId="51618D46" w14:textId="77777777" w:rsidR="00CF4C7D" w:rsidRPr="00CB37D3" w:rsidRDefault="00F244DB" w:rsidP="00274FF1">
            <w:pPr>
              <w:pStyle w:val="NoSpacing"/>
            </w:pPr>
            <w:r w:rsidRPr="00CB37D3">
              <w:t>3</w:t>
            </w:r>
            <w:r w:rsidR="00976B86">
              <w:t>37</w:t>
            </w:r>
            <w:r w:rsidRPr="00CB37D3">
              <w:t>,</w:t>
            </w:r>
            <w:r w:rsidR="00976B86">
              <w:t>708</w:t>
            </w:r>
          </w:p>
        </w:tc>
        <w:tc>
          <w:tcPr>
            <w:tcW w:w="1527" w:type="dxa"/>
          </w:tcPr>
          <w:p w14:paraId="2675979D" w14:textId="77777777" w:rsidR="00CF4C7D" w:rsidRPr="00CB37D3" w:rsidRDefault="00976B86" w:rsidP="00274FF1">
            <w:pPr>
              <w:pStyle w:val="NoSpacing"/>
            </w:pPr>
            <w:r>
              <w:t>9.73</w:t>
            </w:r>
          </w:p>
        </w:tc>
        <w:tc>
          <w:tcPr>
            <w:tcW w:w="1486" w:type="dxa"/>
          </w:tcPr>
          <w:p w14:paraId="08462C11" w14:textId="77777777" w:rsidR="00CF4C7D" w:rsidRPr="00CB37D3" w:rsidRDefault="00F244DB" w:rsidP="00274FF1">
            <w:pPr>
              <w:pStyle w:val="NoSpacing"/>
            </w:pPr>
            <w:r w:rsidRPr="00CB37D3">
              <w:t>8.2</w:t>
            </w:r>
            <w:r w:rsidR="00976B86">
              <w:t>5</w:t>
            </w:r>
          </w:p>
        </w:tc>
      </w:tr>
      <w:tr w:rsidR="00CF4C7D" w:rsidRPr="00CB37D3" w14:paraId="42AAF5E6" w14:textId="77777777" w:rsidTr="00274FF1">
        <w:tc>
          <w:tcPr>
            <w:tcW w:w="1384" w:type="dxa"/>
            <w:vMerge/>
          </w:tcPr>
          <w:p w14:paraId="5744A8D1" w14:textId="77777777" w:rsidR="00CF4C7D" w:rsidRPr="00CB37D3" w:rsidRDefault="00CF4C7D" w:rsidP="00274FF1">
            <w:pPr>
              <w:pStyle w:val="NoSpacing"/>
            </w:pPr>
          </w:p>
        </w:tc>
        <w:tc>
          <w:tcPr>
            <w:tcW w:w="1701" w:type="dxa"/>
          </w:tcPr>
          <w:p w14:paraId="000D4C32" w14:textId="77777777" w:rsidR="00CF4C7D" w:rsidRPr="00CB37D3" w:rsidRDefault="00CF4C7D" w:rsidP="00274FF1">
            <w:pPr>
              <w:pStyle w:val="NoSpacing"/>
            </w:pPr>
            <w:r w:rsidRPr="00CB37D3">
              <w:t>England</w:t>
            </w:r>
          </w:p>
        </w:tc>
        <w:tc>
          <w:tcPr>
            <w:tcW w:w="1429" w:type="dxa"/>
          </w:tcPr>
          <w:p w14:paraId="1930CDB8" w14:textId="77777777" w:rsidR="00CF4C7D" w:rsidRPr="00CB37D3" w:rsidRDefault="00F244DB" w:rsidP="00274FF1">
            <w:pPr>
              <w:pStyle w:val="NoSpacing"/>
            </w:pPr>
            <w:r w:rsidRPr="00CB37D3">
              <w:t>2</w:t>
            </w:r>
            <w:r w:rsidR="00976B86">
              <w:t>18,238</w:t>
            </w:r>
          </w:p>
        </w:tc>
        <w:tc>
          <w:tcPr>
            <w:tcW w:w="1489" w:type="dxa"/>
          </w:tcPr>
          <w:p w14:paraId="0050BE20" w14:textId="77777777" w:rsidR="00CF4C7D" w:rsidRPr="00CB37D3" w:rsidRDefault="00F244DB" w:rsidP="00274FF1">
            <w:pPr>
              <w:pStyle w:val="NoSpacing"/>
            </w:pPr>
            <w:r w:rsidRPr="00CB37D3">
              <w:t>19</w:t>
            </w:r>
            <w:r w:rsidR="00976B86">
              <w:t>5</w:t>
            </w:r>
            <w:r w:rsidRPr="00CB37D3">
              <w:t>,1</w:t>
            </w:r>
            <w:r w:rsidR="00976B86">
              <w:t>57</w:t>
            </w:r>
          </w:p>
        </w:tc>
        <w:tc>
          <w:tcPr>
            <w:tcW w:w="1527" w:type="dxa"/>
          </w:tcPr>
          <w:p w14:paraId="349A8E30" w14:textId="77777777" w:rsidR="00CF4C7D" w:rsidRPr="00CB37D3" w:rsidRDefault="00F244DB" w:rsidP="00274FF1">
            <w:pPr>
              <w:pStyle w:val="NoSpacing"/>
            </w:pPr>
            <w:r w:rsidRPr="00CB37D3">
              <w:t>7.</w:t>
            </w:r>
            <w:r w:rsidR="00D75666">
              <w:t>1</w:t>
            </w:r>
            <w:r w:rsidRPr="00CB37D3">
              <w:t>6</w:t>
            </w:r>
          </w:p>
        </w:tc>
        <w:tc>
          <w:tcPr>
            <w:tcW w:w="1486" w:type="dxa"/>
          </w:tcPr>
          <w:p w14:paraId="284D9071" w14:textId="77777777" w:rsidR="00CF4C7D" w:rsidRPr="00CB37D3" w:rsidRDefault="00F244DB" w:rsidP="00274FF1">
            <w:pPr>
              <w:pStyle w:val="NoSpacing"/>
            </w:pPr>
            <w:r w:rsidRPr="00CB37D3">
              <w:t>6.</w:t>
            </w:r>
            <w:r w:rsidR="00976B86">
              <w:t>6</w:t>
            </w:r>
            <w:r w:rsidRPr="00CB37D3">
              <w:t>7</w:t>
            </w:r>
          </w:p>
        </w:tc>
      </w:tr>
      <w:tr w:rsidR="00F7711C" w:rsidRPr="00CB37D3" w14:paraId="5B3440F3" w14:textId="77777777" w:rsidTr="003379E6">
        <w:tc>
          <w:tcPr>
            <w:tcW w:w="9016" w:type="dxa"/>
            <w:gridSpan w:val="6"/>
          </w:tcPr>
          <w:p w14:paraId="33A850E5" w14:textId="77777777" w:rsidR="00F7711C" w:rsidRPr="00CB37D3" w:rsidRDefault="00F7711C" w:rsidP="00274FF1">
            <w:pPr>
              <w:pStyle w:val="NoSpacing"/>
            </w:pPr>
            <w:r w:rsidRPr="00CB37D3">
              <w:t xml:space="preserve">Notes: </w:t>
            </w:r>
            <w:r w:rsidR="00AC3667">
              <w:t>With supply effects only, c</w:t>
            </w:r>
            <w:r w:rsidRPr="00CB37D3">
              <w:t xml:space="preserve">ounterfactual price series were obtained on the assumption that there was no concomitant increase in the demand for housing, so that </w:t>
            </w:r>
            <w:r w:rsidRPr="00CB37D3">
              <w:rPr>
                <w:position w:val="-12"/>
              </w:rPr>
              <w:object w:dxaOrig="780" w:dyaOrig="380" w14:anchorId="41E057CC">
                <v:shape id="_x0000_i1179" type="#_x0000_t75" style="width:43.5pt;height:15pt" o:ole="">
                  <v:imagedata r:id="rId262" o:title=""/>
                </v:shape>
                <o:OLEObject Type="Embed" ProgID="Equation.DSMT4" ShapeID="_x0000_i1179" DrawAspect="Content" ObjectID="_1617780093" r:id="rId304"/>
              </w:object>
            </w:r>
            <w:r w:rsidRPr="00CB37D3">
              <w:t xml:space="preserve"> across all districts and </w:t>
            </w:r>
            <w:r w:rsidRPr="00CB37D3">
              <w:rPr>
                <w:position w:val="-12"/>
              </w:rPr>
              <w:object w:dxaOrig="800" w:dyaOrig="360" w14:anchorId="5694FF01">
                <v:shape id="_x0000_i1180" type="#_x0000_t75" style="width:43.5pt;height:21pt" o:ole="">
                  <v:imagedata r:id="rId264" o:title=""/>
                </v:shape>
                <o:OLEObject Type="Embed" ProgID="Equation.DSMT4" ShapeID="_x0000_i1180" DrawAspect="Content" ObjectID="_1617780094" r:id="rId305"/>
              </w:object>
            </w:r>
            <w:r w:rsidRPr="00CB37D3">
              <w:t xml:space="preserve">outside of Greater London. Elsewhere, within Greater London we are </w:t>
            </w:r>
            <w:r w:rsidRPr="00CB37D3">
              <w:rPr>
                <w:rFonts w:ascii="Calibri" w:eastAsia="Calibri" w:hAnsi="Calibri" w:cs="Times New Roman"/>
              </w:rPr>
              <w:t>allocating the 1.6M new housing units to London Boroughs on the basis of their share of green-belt land.</w:t>
            </w:r>
          </w:p>
        </w:tc>
      </w:tr>
    </w:tbl>
    <w:p w14:paraId="7EAC895C" w14:textId="77777777" w:rsidR="001F4068" w:rsidRPr="00CB37D3" w:rsidRDefault="001F4068" w:rsidP="001F4068">
      <w:pPr>
        <w:jc w:val="both"/>
        <w:rPr>
          <w:rFonts w:ascii="Calibri" w:eastAsia="Calibri" w:hAnsi="Calibri" w:cs="Times New Roman"/>
        </w:rPr>
      </w:pPr>
    </w:p>
    <w:p w14:paraId="3C1E7B85" w14:textId="77777777" w:rsidR="00B83AED" w:rsidRPr="00CB37D3" w:rsidRDefault="001F4068" w:rsidP="00080C04">
      <w:pPr>
        <w:spacing w:line="480" w:lineRule="auto"/>
        <w:jc w:val="both"/>
        <w:rPr>
          <w:rFonts w:ascii="Calibri" w:eastAsia="Calibri" w:hAnsi="Calibri" w:cs="Times New Roman"/>
        </w:rPr>
      </w:pPr>
      <w:r w:rsidRPr="00CB37D3">
        <w:rPr>
          <w:rFonts w:ascii="Calibri" w:eastAsia="Calibri" w:hAnsi="Calibri" w:cs="Times New Roman"/>
        </w:rPr>
        <w:t>Our final simulation is summarised by Table</w:t>
      </w:r>
      <w:r w:rsidR="003909B0">
        <w:rPr>
          <w:rFonts w:ascii="Calibri" w:eastAsia="Calibri" w:hAnsi="Calibri" w:cs="Times New Roman"/>
        </w:rPr>
        <w:t xml:space="preserve"> 7</w:t>
      </w:r>
      <w:r w:rsidRPr="00CB37D3">
        <w:rPr>
          <w:rFonts w:ascii="Calibri" w:eastAsia="Calibri" w:hAnsi="Calibri" w:cs="Times New Roman"/>
        </w:rPr>
        <w:t xml:space="preserve">. This is based on the suggestion by </w:t>
      </w:r>
      <w:r w:rsidR="00652ED9" w:rsidRPr="00CB37D3">
        <w:rPr>
          <w:rFonts w:ascii="Calibri" w:eastAsia="Calibri" w:hAnsi="Calibri" w:cs="Times New Roman"/>
        </w:rPr>
        <w:t>Cheshire (</w:t>
      </w:r>
      <w:r w:rsidRPr="00CB37D3">
        <w:rPr>
          <w:rFonts w:ascii="Calibri" w:eastAsia="Calibri" w:hAnsi="Calibri" w:cs="Times New Roman"/>
        </w:rPr>
        <w:t xml:space="preserve">2014) that ‘building on greenbelt land would only have to be very modest to provide more than enough land for housing for generations to come: there is enough greenbelt land just within the confines of Greater London – 32,500 hectares – to build 1.6 million houses at average densities’. We put this to the test by estimating </w:t>
      </w:r>
      <w:r w:rsidR="00652ED9" w:rsidRPr="00CB37D3">
        <w:rPr>
          <w:rFonts w:ascii="Calibri" w:eastAsia="Calibri" w:hAnsi="Calibri" w:cs="Times New Roman"/>
        </w:rPr>
        <w:t>what the</w:t>
      </w:r>
      <w:r w:rsidRPr="00CB37D3">
        <w:rPr>
          <w:rFonts w:ascii="Calibri" w:eastAsia="Calibri" w:hAnsi="Calibri" w:cs="Times New Roman"/>
        </w:rPr>
        <w:t xml:space="preserve"> effect of an extra 1.6</w:t>
      </w:r>
      <w:r w:rsidR="00DF1B0D">
        <w:rPr>
          <w:rFonts w:ascii="Calibri" w:eastAsia="Calibri" w:hAnsi="Calibri" w:cs="Times New Roman"/>
        </w:rPr>
        <w:t xml:space="preserve"> </w:t>
      </w:r>
      <w:r w:rsidRPr="00CB37D3">
        <w:rPr>
          <w:rFonts w:ascii="Calibri" w:eastAsia="Calibri" w:hAnsi="Calibri" w:cs="Times New Roman"/>
        </w:rPr>
        <w:t xml:space="preserve">million houses would be, in this case allocating the housing to London Boroughs on the basis of their share of green-belt land. This does have a major impact on affordability, reducing it to a mean </w:t>
      </w:r>
      <w:r w:rsidR="002A7951" w:rsidRPr="00CB37D3">
        <w:rPr>
          <w:rFonts w:ascii="Calibri" w:eastAsia="Calibri" w:hAnsi="Calibri" w:cs="Times New Roman"/>
        </w:rPr>
        <w:t xml:space="preserve">of </w:t>
      </w:r>
      <w:r w:rsidR="002A7951">
        <w:rPr>
          <w:rFonts w:ascii="Calibri" w:eastAsia="Calibri" w:hAnsi="Calibri" w:cs="Times New Roman"/>
        </w:rPr>
        <w:t>9</w:t>
      </w:r>
      <w:r w:rsidR="0007164C">
        <w:rPr>
          <w:rFonts w:ascii="Calibri" w:eastAsia="Calibri" w:hAnsi="Calibri" w:cs="Times New Roman"/>
        </w:rPr>
        <w:t>.73</w:t>
      </w:r>
      <w:r w:rsidRPr="00CB37D3">
        <w:rPr>
          <w:rFonts w:ascii="Calibri" w:eastAsia="Calibri" w:hAnsi="Calibri" w:cs="Times New Roman"/>
        </w:rPr>
        <w:t xml:space="preserve"> and a median value of </w:t>
      </w:r>
      <w:r w:rsidR="008E4C5D" w:rsidRPr="00CB37D3">
        <w:rPr>
          <w:rFonts w:ascii="Calibri" w:eastAsia="Calibri" w:hAnsi="Calibri" w:cs="Times New Roman"/>
        </w:rPr>
        <w:t>8.2</w:t>
      </w:r>
      <w:r w:rsidR="0007164C">
        <w:rPr>
          <w:rFonts w:ascii="Calibri" w:eastAsia="Calibri" w:hAnsi="Calibri" w:cs="Times New Roman"/>
        </w:rPr>
        <w:t>5</w:t>
      </w:r>
      <w:r w:rsidRPr="00CB37D3">
        <w:rPr>
          <w:rFonts w:ascii="Calibri" w:eastAsia="Calibri" w:hAnsi="Calibri" w:cs="Times New Roman"/>
        </w:rPr>
        <w:t>. Me</w:t>
      </w:r>
      <w:r w:rsidR="008E4C5D" w:rsidRPr="00CB37D3">
        <w:rPr>
          <w:rFonts w:ascii="Calibri" w:eastAsia="Calibri" w:hAnsi="Calibri" w:cs="Times New Roman"/>
        </w:rPr>
        <w:t>an prices would fall by about £</w:t>
      </w:r>
      <w:r w:rsidR="0007164C">
        <w:rPr>
          <w:rFonts w:ascii="Calibri" w:eastAsia="Calibri" w:hAnsi="Calibri" w:cs="Times New Roman"/>
        </w:rPr>
        <w:t>7</w:t>
      </w:r>
      <w:r w:rsidRPr="00CB37D3">
        <w:rPr>
          <w:rFonts w:ascii="Calibri" w:eastAsia="Calibri" w:hAnsi="Calibri" w:cs="Times New Roman"/>
        </w:rPr>
        <w:t xml:space="preserve">0,000. </w:t>
      </w:r>
      <w:r w:rsidR="00A54E04" w:rsidRPr="00CB37D3">
        <w:rPr>
          <w:rFonts w:ascii="Calibri" w:eastAsia="Calibri" w:hAnsi="Calibri" w:cs="Times New Roman"/>
        </w:rPr>
        <w:t xml:space="preserve">There is a marginal impact </w:t>
      </w:r>
      <w:r w:rsidRPr="00CB37D3">
        <w:rPr>
          <w:rFonts w:ascii="Calibri" w:eastAsia="Calibri" w:hAnsi="Calibri" w:cs="Times New Roman"/>
        </w:rPr>
        <w:t>when we factor in the effect of increased demand is to r</w:t>
      </w:r>
      <w:r w:rsidR="008E4C5D" w:rsidRPr="00CB37D3">
        <w:rPr>
          <w:rFonts w:ascii="Calibri" w:eastAsia="Calibri" w:hAnsi="Calibri" w:cs="Times New Roman"/>
        </w:rPr>
        <w:t>aise mean affordability to 10.</w:t>
      </w:r>
      <w:r w:rsidR="0007164C">
        <w:rPr>
          <w:rFonts w:ascii="Calibri" w:eastAsia="Calibri" w:hAnsi="Calibri" w:cs="Times New Roman"/>
        </w:rPr>
        <w:t>09</w:t>
      </w:r>
      <w:r w:rsidR="008E4C5D" w:rsidRPr="00CB37D3">
        <w:rPr>
          <w:rFonts w:ascii="Calibri" w:eastAsia="Calibri" w:hAnsi="Calibri" w:cs="Times New Roman"/>
        </w:rPr>
        <w:t xml:space="preserve"> and the median rises to 8.3</w:t>
      </w:r>
      <w:r w:rsidR="0007164C">
        <w:rPr>
          <w:rFonts w:ascii="Calibri" w:eastAsia="Calibri" w:hAnsi="Calibri" w:cs="Times New Roman"/>
        </w:rPr>
        <w:t>6</w:t>
      </w:r>
      <w:r w:rsidRPr="00CB37D3">
        <w:rPr>
          <w:rFonts w:ascii="Calibri" w:eastAsia="Calibri" w:hAnsi="Calibri" w:cs="Times New Roman"/>
        </w:rPr>
        <w:t>. These are both significantly below the 2012 mean and median values</w:t>
      </w:r>
      <w:r w:rsidR="008D6A2C" w:rsidRPr="00CB37D3">
        <w:rPr>
          <w:rFonts w:ascii="Calibri" w:eastAsia="Calibri" w:hAnsi="Calibri" w:cs="Times New Roman"/>
        </w:rPr>
        <w:t xml:space="preserve">. </w:t>
      </w:r>
      <w:r w:rsidRPr="00CB37D3">
        <w:rPr>
          <w:rFonts w:ascii="Calibri" w:eastAsia="Calibri" w:hAnsi="Calibri" w:cs="Times New Roman"/>
        </w:rPr>
        <w:t>Prices in this scenario are on average about £</w:t>
      </w:r>
      <w:r w:rsidR="0007164C">
        <w:rPr>
          <w:rFonts w:ascii="Calibri" w:eastAsia="Calibri" w:hAnsi="Calibri" w:cs="Times New Roman"/>
        </w:rPr>
        <w:t>5</w:t>
      </w:r>
      <w:r w:rsidR="00A54E04" w:rsidRPr="00CB37D3">
        <w:rPr>
          <w:rFonts w:ascii="Calibri" w:eastAsia="Calibri" w:hAnsi="Calibri" w:cs="Times New Roman"/>
        </w:rPr>
        <w:t>5</w:t>
      </w:r>
      <w:r w:rsidRPr="00CB37D3">
        <w:rPr>
          <w:rFonts w:ascii="Calibri" w:eastAsia="Calibri" w:hAnsi="Calibri" w:cs="Times New Roman"/>
        </w:rPr>
        <w:t>,000 below what they otherwise would be. It might be supposed that the extra housing would be occupied by many commuters who currently travel in from outside Greater London, but for simplicity we have not adjusted the levels of housing demand downwards in out-of-London districts to allow for a potential exodus of former residents. If this was a large effect, then the lower prices out</w:t>
      </w:r>
      <w:r w:rsidR="00F53FA0" w:rsidRPr="00CB37D3">
        <w:rPr>
          <w:rFonts w:ascii="Calibri" w:eastAsia="Calibri" w:hAnsi="Calibri" w:cs="Times New Roman"/>
        </w:rPr>
        <w:t>-</w:t>
      </w:r>
      <w:r w:rsidRPr="00CB37D3">
        <w:rPr>
          <w:rFonts w:ascii="Calibri" w:eastAsia="Calibri" w:hAnsi="Calibri" w:cs="Times New Roman"/>
        </w:rPr>
        <w:t>of</w:t>
      </w:r>
      <w:r w:rsidR="00F53FA0" w:rsidRPr="00CB37D3">
        <w:rPr>
          <w:rFonts w:ascii="Calibri" w:eastAsia="Calibri" w:hAnsi="Calibri" w:cs="Times New Roman"/>
        </w:rPr>
        <w:t>-</w:t>
      </w:r>
      <w:r w:rsidRPr="00CB37D3">
        <w:rPr>
          <w:rFonts w:ascii="Calibri" w:eastAsia="Calibri" w:hAnsi="Calibri" w:cs="Times New Roman"/>
        </w:rPr>
        <w:t xml:space="preserve">London would to an extent spillover into Greater London itself and </w:t>
      </w:r>
      <w:r w:rsidR="00B83AED" w:rsidRPr="00CB37D3">
        <w:rPr>
          <w:rFonts w:ascii="Calibri" w:eastAsia="Calibri" w:hAnsi="Calibri" w:cs="Times New Roman"/>
        </w:rPr>
        <w:t xml:space="preserve">could </w:t>
      </w:r>
      <w:r w:rsidRPr="00CB37D3">
        <w:rPr>
          <w:rFonts w:ascii="Calibri" w:eastAsia="Calibri" w:hAnsi="Calibri" w:cs="Times New Roman"/>
        </w:rPr>
        <w:t xml:space="preserve">have a further dampening effect on the level of prices and make housing more affordable. Likewise, if the new supply was largely filled by a ‘churning’ of Greater London residents, with Londoners moving out to former green-belt areas and releasing </w:t>
      </w:r>
      <w:r w:rsidRPr="00CB37D3">
        <w:rPr>
          <w:rFonts w:ascii="Calibri" w:eastAsia="Calibri" w:hAnsi="Calibri" w:cs="Times New Roman"/>
        </w:rPr>
        <w:lastRenderedPageBreak/>
        <w:t xml:space="preserve">accommodation elsewhere in the capital, then extra demand in the green-belt could be to some extent compensated by the spillover effects of reduced demand elsewhere in London. In reality, new housing could be filled by a mix of current London residents, former commuters, and by migrants from outside the commuting belt or from overseas. The scale of these effects on demand is difficult to assess, but our estimation is that at best, with zero impact from additional </w:t>
      </w:r>
      <w:r w:rsidR="00652ED9" w:rsidRPr="00CB37D3">
        <w:rPr>
          <w:rFonts w:ascii="Calibri" w:eastAsia="Calibri" w:hAnsi="Calibri" w:cs="Times New Roman"/>
        </w:rPr>
        <w:t>demand, mean</w:t>
      </w:r>
      <w:r w:rsidRPr="00CB37D3">
        <w:rPr>
          <w:rFonts w:ascii="Calibri" w:eastAsia="Calibri" w:hAnsi="Calibri" w:cs="Times New Roman"/>
        </w:rPr>
        <w:t xml:space="preserve"> affordability would be </w:t>
      </w:r>
      <w:r w:rsidR="00006546" w:rsidRPr="00C33576">
        <w:rPr>
          <w:rFonts w:ascii="Calibri" w:hAnsi="Calibri"/>
        </w:rPr>
        <w:t>9.73</w:t>
      </w:r>
      <w:r w:rsidRPr="00CB37D3">
        <w:rPr>
          <w:rFonts w:ascii="Calibri" w:eastAsia="Calibri" w:hAnsi="Calibri" w:cs="Times New Roman"/>
        </w:rPr>
        <w:t>, so even with this exceptionally large increase in the provision of housing services in Greater London, affordability is still worse than in England as a whole.</w:t>
      </w:r>
      <w:r w:rsidR="008D6A2C" w:rsidRPr="00CB37D3">
        <w:rPr>
          <w:rFonts w:ascii="Calibri" w:eastAsia="Calibri" w:hAnsi="Calibri" w:cs="Times New Roman"/>
        </w:rPr>
        <w:t xml:space="preserve"> </w:t>
      </w:r>
    </w:p>
    <w:p w14:paraId="787562C6" w14:textId="77777777" w:rsidR="001F4068" w:rsidRPr="00CB37D3" w:rsidRDefault="001F4068" w:rsidP="00080C04">
      <w:pPr>
        <w:pStyle w:val="Heading2"/>
        <w:spacing w:line="480" w:lineRule="auto"/>
      </w:pPr>
      <w:r w:rsidRPr="00CB37D3">
        <w:t>Conclusions</w:t>
      </w:r>
    </w:p>
    <w:p w14:paraId="4A5B2E61" w14:textId="77777777" w:rsidR="001F4068" w:rsidRPr="00CB37D3" w:rsidRDefault="001F4068" w:rsidP="00080C04">
      <w:pPr>
        <w:spacing w:line="480" w:lineRule="auto"/>
        <w:jc w:val="both"/>
      </w:pPr>
      <w:r w:rsidRPr="00CB37D3">
        <w:t>Housing affordability has been a key political and economic concern in the UK for a number of years.</w:t>
      </w:r>
      <w:r w:rsidR="009942FE">
        <w:t xml:space="preserve"> A lack of new housing supply in highly-priced areas is generally mentioned as the main cause of affordability problems.</w:t>
      </w:r>
      <w:r w:rsidRPr="00CB37D3">
        <w:t xml:space="preserve"> However, this study shows that simply increasing the stock of housing may not be </w:t>
      </w:r>
      <w:r w:rsidR="009942FE">
        <w:t xml:space="preserve">sufficient for </w:t>
      </w:r>
      <w:r w:rsidRPr="00CB37D3">
        <w:t xml:space="preserve">reducing prices as the corresponding demand also needs to be considered. </w:t>
      </w:r>
      <w:r w:rsidR="00F7711C" w:rsidRPr="00CB37D3">
        <w:t>Unlike Glaeser et al. (200</w:t>
      </w:r>
      <w:r w:rsidR="000277C9">
        <w:t>6</w:t>
      </w:r>
      <w:r w:rsidR="00F7711C" w:rsidRPr="00CB37D3">
        <w:t xml:space="preserve">) we show that even if wages </w:t>
      </w:r>
      <w:r w:rsidR="009942FE">
        <w:t>remain unchanged</w:t>
      </w:r>
      <w:r w:rsidR="00F7711C" w:rsidRPr="00CB37D3">
        <w:t>, new supply can have a much smaller effect</w:t>
      </w:r>
      <w:r w:rsidR="009942FE">
        <w:t xml:space="preserve"> on affordability</w:t>
      </w:r>
      <w:r w:rsidR="00F7711C" w:rsidRPr="00CB37D3">
        <w:t xml:space="preserve"> than anticipated. </w:t>
      </w:r>
      <w:r w:rsidR="009942FE">
        <w:t xml:space="preserve">This is mainly due to changes to the size </w:t>
      </w:r>
      <w:r w:rsidR="00DF1B0D">
        <w:t xml:space="preserve">of </w:t>
      </w:r>
      <w:r w:rsidR="009942FE">
        <w:t>the local labour f</w:t>
      </w:r>
      <w:r w:rsidR="00650AB5">
        <w:t xml:space="preserve">orce, </w:t>
      </w:r>
      <w:r w:rsidR="00DF1B0D">
        <w:t xml:space="preserve">a </w:t>
      </w:r>
      <w:r w:rsidR="00650AB5">
        <w:t xml:space="preserve">factor that </w:t>
      </w:r>
      <w:r w:rsidR="00DF1B0D">
        <w:t xml:space="preserve">has </w:t>
      </w:r>
      <w:r w:rsidR="00650AB5">
        <w:t xml:space="preserve">been largely ignored in local and regional housing market forecasts. </w:t>
      </w:r>
    </w:p>
    <w:p w14:paraId="270F212C" w14:textId="32DD8594" w:rsidR="001F4068" w:rsidRPr="00CB37D3" w:rsidRDefault="005E48D3" w:rsidP="00080C04">
      <w:pPr>
        <w:spacing w:line="480" w:lineRule="auto"/>
        <w:jc w:val="both"/>
      </w:pPr>
      <w:r>
        <w:t>P</w:t>
      </w:r>
      <w:r w:rsidR="001F4068" w:rsidRPr="00CB37D3">
        <w:t>olic</w:t>
      </w:r>
      <w:r>
        <w:t>i</w:t>
      </w:r>
      <w:r w:rsidR="001F4068" w:rsidRPr="00CB37D3">
        <w:t>es that reduce prices effectively are difficult to identify. In fact, even new supply does not appear to be a good way of reducing house prices as the corresponding demand also needs to be considered. Simulation results presented in this study show that improvements in the affordability ratio resulting from new supply are likely to be relatively modest</w:t>
      </w:r>
      <w:r w:rsidR="00E16E91" w:rsidRPr="00CB37D3">
        <w:t>.</w:t>
      </w:r>
      <w:r w:rsidR="009850F2">
        <w:t xml:space="preserve"> The key implication for policymakers is that they should carefully consider the interaction between supply and demand when designing and implementing new housing policies. </w:t>
      </w:r>
    </w:p>
    <w:p w14:paraId="0A7857F9" w14:textId="77777777" w:rsidR="009942FE" w:rsidRDefault="001F4068" w:rsidP="00080C04">
      <w:pPr>
        <w:spacing w:line="480" w:lineRule="auto"/>
        <w:jc w:val="both"/>
      </w:pPr>
      <w:r w:rsidRPr="00CB37D3">
        <w:t>It is also important to note the effect of commu</w:t>
      </w:r>
      <w:r w:rsidR="00E37107" w:rsidRPr="00CB37D3">
        <w:t>t</w:t>
      </w:r>
      <w:r w:rsidRPr="00CB37D3">
        <w:t>ing patter</w:t>
      </w:r>
      <w:r w:rsidR="00E37107" w:rsidRPr="00CB37D3">
        <w:t>n</w:t>
      </w:r>
      <w:r w:rsidRPr="00CB37D3">
        <w:t xml:space="preserve">s on housing markets. In this study, it is assumed that commuting costs will remain as in the Census year 2001. However, they have risen inexorably, up 18% over the last 3 years. With growing transport costs, it will become increasingly difficult to find substitutes for housing in a particular location. This is likely to increase house prices </w:t>
      </w:r>
      <w:r w:rsidRPr="00CB37D3">
        <w:lastRenderedPageBreak/>
        <w:t>and reduce affordability. In turn, this would make</w:t>
      </w:r>
      <w:r w:rsidR="009942FE">
        <w:t xml:space="preserve"> long-distance </w:t>
      </w:r>
      <w:r w:rsidRPr="00CB37D3">
        <w:t>commu</w:t>
      </w:r>
      <w:r w:rsidR="00E37107" w:rsidRPr="00CB37D3">
        <w:t>t</w:t>
      </w:r>
      <w:r w:rsidRPr="00CB37D3">
        <w:t xml:space="preserve">ing more attractive. </w:t>
      </w:r>
      <w:r w:rsidR="009942FE">
        <w:t>If so</w:t>
      </w:r>
      <w:r w:rsidRPr="00CB37D3">
        <w:t xml:space="preserve">, rising commuting costs are unlikely to reduce demand for it. Instead, the cost of the substitute (housing close to a workplace) is likely to grow accordingly. This shows that increasing commuting costs are likely to lead to lower housing affordability but not a reduced number of commuters. This has interesting implications for urban sustainability as it suggests that the best way to reduce commuting trips is to improve housing affordability. At the same time, it indicates that reducing transportation costs could help reduce house prices. More research is needed to confirm this logic but it appears that commuting patterns are closely linked to housing affordability.  </w:t>
      </w:r>
    </w:p>
    <w:p w14:paraId="45D3ADC5" w14:textId="77777777" w:rsidR="001F4068" w:rsidRDefault="009942FE" w:rsidP="00080C04">
      <w:pPr>
        <w:spacing w:line="480" w:lineRule="auto"/>
        <w:jc w:val="both"/>
      </w:pPr>
      <w:r>
        <w:t xml:space="preserve">Overall, our empirical prediction shows that increasing housing supply appears to have only a weak impact on affordability levels once the spatial dynamic effects of a supply shock are taken into account. Future work might seek to </w:t>
      </w:r>
      <w:r w:rsidR="00395BD7" w:rsidRPr="00600223">
        <w:t>explore</w:t>
      </w:r>
      <w:r>
        <w:t xml:space="preserve"> this prediction with </w:t>
      </w:r>
      <w:r w:rsidR="00395BD7" w:rsidRPr="00600223">
        <w:t>more extensive</w:t>
      </w:r>
      <w:r>
        <w:t xml:space="preserve"> empirical data. </w:t>
      </w:r>
    </w:p>
    <w:p w14:paraId="64BE2EE3" w14:textId="77777777" w:rsidR="00916CF3" w:rsidRDefault="00916CF3" w:rsidP="00080C04">
      <w:pPr>
        <w:spacing w:line="480" w:lineRule="auto"/>
        <w:jc w:val="both"/>
      </w:pPr>
    </w:p>
    <w:p w14:paraId="6F19AFE0" w14:textId="77777777" w:rsidR="00916CF3" w:rsidRDefault="00916CF3" w:rsidP="00080C04">
      <w:pPr>
        <w:spacing w:line="480" w:lineRule="auto"/>
        <w:jc w:val="both"/>
      </w:pPr>
    </w:p>
    <w:p w14:paraId="477D166A" w14:textId="77777777" w:rsidR="001F4068" w:rsidRPr="00CB37D3" w:rsidRDefault="001F4068" w:rsidP="001F4068">
      <w:pPr>
        <w:pStyle w:val="Heading2"/>
      </w:pPr>
      <w:r w:rsidRPr="00CB37D3">
        <w:t>References</w:t>
      </w:r>
    </w:p>
    <w:p w14:paraId="24D1CC08" w14:textId="77777777" w:rsidR="007E4C54" w:rsidRPr="00CB37D3" w:rsidRDefault="007E4C54" w:rsidP="00C33576">
      <w:pPr>
        <w:spacing w:after="0"/>
        <w:ind w:left="284" w:hanging="284"/>
      </w:pPr>
      <w:r w:rsidRPr="00CB37D3">
        <w:t>Arellano, M., &amp; Bond, S. (1991). Some tests of specification for panel data: Monte Carlo evidence and an application to employment equations. The review of economic studies, 58(2), 277-297.</w:t>
      </w:r>
    </w:p>
    <w:p w14:paraId="1F8D1B7C" w14:textId="77777777" w:rsidR="007E4C54" w:rsidRPr="00CB37D3" w:rsidRDefault="007E4C54" w:rsidP="00C33576">
      <w:pPr>
        <w:spacing w:after="0"/>
        <w:ind w:left="284" w:hanging="284"/>
      </w:pPr>
      <w:r w:rsidRPr="00CB37D3">
        <w:t>Aslund, O., &amp; Rooth, D. O. (2007). Do when and where matter? Initial labour market conditions and immigrant earnings. The Economic Journal, 117(518), 422-448.</w:t>
      </w:r>
    </w:p>
    <w:p w14:paraId="03642FF4" w14:textId="77777777" w:rsidR="007E4C54" w:rsidRPr="00CB37D3" w:rsidRDefault="007E4C54" w:rsidP="00C33576">
      <w:pPr>
        <w:spacing w:after="0"/>
        <w:ind w:left="284" w:hanging="284"/>
      </w:pPr>
      <w:r w:rsidRPr="00CB37D3">
        <w:t>Ball, M., Meen, G., &amp; Nygaard, C. (2010). Housing supply price elasticities revisited: Evidence from international, national, local and company data. Journal of Housing Economics, 19(4), 255-268.</w:t>
      </w:r>
    </w:p>
    <w:p w14:paraId="35905731" w14:textId="77777777" w:rsidR="007E4C54" w:rsidRDefault="007E4C54" w:rsidP="00C33576">
      <w:pPr>
        <w:spacing w:after="0"/>
        <w:ind w:left="284" w:hanging="284"/>
      </w:pPr>
      <w:r w:rsidRPr="00CB37D3">
        <w:t>Baltagi, B.H., Fingleton, B. and Pirotte, A. (2014). Estimating and forecasting with a dynamic spatial panel data model, Oxford Bulletin of Economics and Statistics, Vol. 76, pp. 112-136.</w:t>
      </w:r>
    </w:p>
    <w:p w14:paraId="7D6DCB70" w14:textId="77777777" w:rsidR="004C261D" w:rsidRPr="00CB37D3" w:rsidRDefault="004C261D" w:rsidP="00C33576">
      <w:pPr>
        <w:spacing w:after="0"/>
        <w:ind w:left="284" w:hanging="284"/>
      </w:pPr>
      <w:r w:rsidRPr="004C261D">
        <w:rPr>
          <w:bCs/>
        </w:rPr>
        <w:t>Baltagi B</w:t>
      </w:r>
      <w:r>
        <w:rPr>
          <w:bCs/>
        </w:rPr>
        <w:t>.H.</w:t>
      </w:r>
      <w:r w:rsidRPr="004C261D">
        <w:rPr>
          <w:bCs/>
        </w:rPr>
        <w:t xml:space="preserve">, Fingleton B, </w:t>
      </w:r>
      <w:r w:rsidR="00D214D5">
        <w:rPr>
          <w:bCs/>
        </w:rPr>
        <w:t>and</w:t>
      </w:r>
      <w:r w:rsidRPr="004C261D">
        <w:rPr>
          <w:bCs/>
        </w:rPr>
        <w:t xml:space="preserve"> Pirotte</w:t>
      </w:r>
      <w:r w:rsidR="00D214D5">
        <w:rPr>
          <w:bCs/>
        </w:rPr>
        <w:t>,</w:t>
      </w:r>
      <w:r w:rsidRPr="004C261D">
        <w:rPr>
          <w:bCs/>
        </w:rPr>
        <w:t xml:space="preserve"> A</w:t>
      </w:r>
      <w:r w:rsidR="00D214D5">
        <w:rPr>
          <w:bCs/>
        </w:rPr>
        <w:t>.</w:t>
      </w:r>
      <w:r w:rsidRPr="004C261D">
        <w:rPr>
          <w:bCs/>
        </w:rPr>
        <w:t xml:space="preserve"> (2018) ‘A Time-Space Dynamic Panel Data Model  with Spatial Moving Average Errors’ </w:t>
      </w:r>
      <w:r w:rsidR="003F3E5A">
        <w:t>, MPRA Working Paper.</w:t>
      </w:r>
    </w:p>
    <w:p w14:paraId="78228351" w14:textId="77777777" w:rsidR="007E4C54" w:rsidRPr="00CB37D3" w:rsidRDefault="007E4C54" w:rsidP="00C33576">
      <w:pPr>
        <w:spacing w:after="0"/>
        <w:ind w:left="284" w:hanging="284"/>
      </w:pPr>
      <w:r w:rsidRPr="00CB37D3">
        <w:t>Barker, K. 2004. Review of Housing Supply-Delivering Stability: Securing Our Future Housing Needs, Final Report, London: ODPM.</w:t>
      </w:r>
    </w:p>
    <w:p w14:paraId="5F14AF8A" w14:textId="77777777" w:rsidR="007E4C54" w:rsidRPr="00CB37D3" w:rsidRDefault="007E4C54" w:rsidP="00C33576">
      <w:pPr>
        <w:spacing w:after="0"/>
        <w:ind w:left="284" w:hanging="284"/>
      </w:pPr>
      <w:r w:rsidRPr="00CB37D3">
        <w:t>Bernstein, J., Brocht, C., &amp; Spade-Aguilar, M. (2000). How much is enough?: Basic family budgets for working families. Economic Policy Inst.</w:t>
      </w:r>
    </w:p>
    <w:p w14:paraId="379F1760" w14:textId="77777777" w:rsidR="007E4C54" w:rsidRPr="007E4C54" w:rsidRDefault="007E4C54" w:rsidP="00C33576">
      <w:pPr>
        <w:spacing w:after="0"/>
        <w:ind w:left="284" w:hanging="284"/>
      </w:pPr>
      <w:r w:rsidRPr="007E4C54">
        <w:t>Bissell, D. (2014). Transforming commuting mobilities: the memory of practice. Environment and Planning A, 46(8), 1946-1965.</w:t>
      </w:r>
    </w:p>
    <w:p w14:paraId="6D509A56" w14:textId="77777777" w:rsidR="007E4C54" w:rsidRPr="00CB37D3" w:rsidRDefault="007E4C54" w:rsidP="00C33576">
      <w:pPr>
        <w:spacing w:after="0"/>
        <w:ind w:left="284" w:hanging="284"/>
      </w:pPr>
      <w:r w:rsidRPr="00CB37D3">
        <w:t>Bond, S. (2002). .Dynamic panel data models: a guide to micro data methods and practice., Portuguese Economic Journal, Vol. 1, pp. 141-162.</w:t>
      </w:r>
    </w:p>
    <w:p w14:paraId="483DB4A0" w14:textId="77777777" w:rsidR="007E4C54" w:rsidRPr="00CB37D3" w:rsidRDefault="007E4C54" w:rsidP="00C33576">
      <w:pPr>
        <w:spacing w:after="0"/>
        <w:ind w:left="284" w:hanging="284"/>
      </w:pPr>
      <w:r w:rsidRPr="00CB37D3">
        <w:lastRenderedPageBreak/>
        <w:t>Bramley, G. (1994). An affordability crisis in British housing: dimensions, causes and policy impact. Housing Studies, 9(1), 103-124.</w:t>
      </w:r>
    </w:p>
    <w:p w14:paraId="024740CF" w14:textId="77777777" w:rsidR="007E4C54" w:rsidRPr="00CB37D3" w:rsidRDefault="007E4C54" w:rsidP="00C33576">
      <w:pPr>
        <w:spacing w:after="0"/>
        <w:ind w:left="284" w:hanging="284"/>
      </w:pPr>
      <w:r w:rsidRPr="00CB37D3">
        <w:t>Chamberlain, G. (1984). Panel data. Handbook of econometrics, 2, 1247-1318.</w:t>
      </w:r>
    </w:p>
    <w:p w14:paraId="028E0125" w14:textId="77777777" w:rsidR="007E4C54" w:rsidRPr="00CB37D3" w:rsidRDefault="007E4C54" w:rsidP="00C33576">
      <w:pPr>
        <w:spacing w:after="0"/>
        <w:ind w:left="284" w:hanging="284"/>
      </w:pPr>
      <w:r w:rsidRPr="00CB37D3">
        <w:t>Cheshire, P. (2014) Turning houses into gold: the failure of British planning. CentrePiece, Spring 2014, 15-18.</w:t>
      </w:r>
    </w:p>
    <w:p w14:paraId="1CCEA7E9" w14:textId="77777777" w:rsidR="007E4C54" w:rsidRPr="00CB37D3" w:rsidRDefault="007E4C54" w:rsidP="00C33576">
      <w:pPr>
        <w:spacing w:after="0"/>
        <w:ind w:left="284" w:hanging="284"/>
      </w:pPr>
      <w:r w:rsidRPr="00CB37D3">
        <w:t>Crook, A., Burgess, G., Dunning, R, Ferarri, E, Henneberry, J, Lyall Grant, F, Monk, S, Rowley, S, Watkins, C and Whitehead, C. 2010. The Incidence, Value and Delivery of Planning Obligations in England in 2007–08, London: DCLG.</w:t>
      </w:r>
    </w:p>
    <w:p w14:paraId="3F0C5A59" w14:textId="77777777" w:rsidR="007E4C54" w:rsidRPr="00CB37D3" w:rsidRDefault="007E4C54" w:rsidP="00C33576">
      <w:pPr>
        <w:spacing w:after="0"/>
        <w:ind w:left="284" w:hanging="284"/>
      </w:pPr>
      <w:r w:rsidRPr="00CB37D3">
        <w:t xml:space="preserve">Crook, T., Currie, J., Jackson, A, Monk, S, Rowley, S, Smith, K and Whitehead, C. 2002. Planning Gain and Affordable Housing: Making it Count, York: Joseph Rowntree Foundation. </w:t>
      </w:r>
    </w:p>
    <w:p w14:paraId="57F2F02E" w14:textId="77777777" w:rsidR="007E4C54" w:rsidRPr="00CB37D3" w:rsidRDefault="007E4C54" w:rsidP="00C33576">
      <w:pPr>
        <w:spacing w:after="0"/>
        <w:ind w:left="284" w:hanging="284"/>
      </w:pPr>
      <w:r w:rsidRPr="00CB37D3">
        <w:t>Debarsy, N., Ertur, C. and LeSage, J.P. (2012). .Interpreting dynamic space-time panel data models., Statistical Methodology, Vol. 9, pp. 158-171.</w:t>
      </w:r>
    </w:p>
    <w:p w14:paraId="1DF50B7A" w14:textId="77777777" w:rsidR="007E4C54" w:rsidRPr="007E4C54" w:rsidRDefault="007E4C54" w:rsidP="00C33576">
      <w:pPr>
        <w:spacing w:after="0"/>
        <w:ind w:left="284" w:hanging="284"/>
      </w:pPr>
      <w:r w:rsidRPr="007E4C54">
        <w:t>Doran, J., &amp; Fingleton, B. (2013). US metropolitan area resilience: insights from dynamic spatial panel estimation.Environment and Planning A, 0308518X17736067.</w:t>
      </w:r>
    </w:p>
    <w:p w14:paraId="5CC5F6F9" w14:textId="77777777" w:rsidR="007E4C54" w:rsidRPr="00CB37D3" w:rsidRDefault="007E4C54" w:rsidP="00C33576">
      <w:pPr>
        <w:spacing w:after="0"/>
        <w:ind w:left="284" w:hanging="284"/>
      </w:pPr>
      <w:r w:rsidRPr="00CB37D3">
        <w:t>Elhorst, J.P. (2001). .Dynamic models in space and time., Geographical Analysis, Vol. 33, pp. 119-140.</w:t>
      </w:r>
    </w:p>
    <w:p w14:paraId="31A09C61" w14:textId="77777777" w:rsidR="007E4C54" w:rsidRPr="00CB37D3" w:rsidRDefault="007E4C54" w:rsidP="00C33576">
      <w:pPr>
        <w:spacing w:after="0"/>
        <w:ind w:left="284" w:hanging="284"/>
      </w:pPr>
      <w:r w:rsidRPr="00CB37D3">
        <w:t>Eliasson, K., Lindgren, U., &amp; Westerlund, O. (2003). Geographical labour mobility: migration or commuting?. Regional Studies, 37(8), 827-837.</w:t>
      </w:r>
    </w:p>
    <w:p w14:paraId="799BFA9E" w14:textId="77777777" w:rsidR="007E4C54" w:rsidRPr="00CB37D3" w:rsidRDefault="007E4C54" w:rsidP="00C33576">
      <w:pPr>
        <w:spacing w:after="0"/>
        <w:ind w:left="284" w:hanging="284"/>
      </w:pPr>
      <w:r w:rsidRPr="00CB37D3">
        <w:t>Fingleton, B. (2008). Housing supply, housing demand, and affordability. Urban Studies, 45(8), 1545-1563.</w:t>
      </w:r>
    </w:p>
    <w:p w14:paraId="6FEA873E" w14:textId="77777777" w:rsidR="00000FDA" w:rsidRPr="009A0F89" w:rsidRDefault="00000FDA" w:rsidP="00C33576">
      <w:pPr>
        <w:jc w:val="both"/>
      </w:pPr>
      <w:r w:rsidRPr="009A0F89">
        <w:t xml:space="preserve">Gallin, J. (2006). The long‐run relationship between house prices and income: evidence from local housing markets. </w:t>
      </w:r>
      <w:r w:rsidRPr="00C33576">
        <w:rPr>
          <w:i/>
        </w:rPr>
        <w:t>Real Estate Economics</w:t>
      </w:r>
      <w:r w:rsidRPr="009A0F89">
        <w:t>, 34(3), 417-438.</w:t>
      </w:r>
    </w:p>
    <w:p w14:paraId="13533B81" w14:textId="77777777" w:rsidR="007E4C54" w:rsidRPr="00CB37D3" w:rsidRDefault="007E4C54" w:rsidP="00C33576">
      <w:pPr>
        <w:spacing w:after="0"/>
        <w:ind w:left="284" w:hanging="284"/>
      </w:pPr>
      <w:r w:rsidRPr="00CB37D3">
        <w:t>Gans, J., &amp; King, S. (2004). The housing lifeline: A housing affordability policy. Agenda: A Journal of Policy Analysis and Reform, 143-155.</w:t>
      </w:r>
    </w:p>
    <w:p w14:paraId="7B1E7F94" w14:textId="77777777" w:rsidR="002971AB" w:rsidRDefault="002971AB" w:rsidP="00C33576">
      <w:pPr>
        <w:spacing w:after="0"/>
        <w:ind w:left="284" w:hanging="284"/>
      </w:pPr>
      <w:r w:rsidRPr="002971AB">
        <w:t>Gibbons, S., Overman, H. G., &amp; Resende, G. (2011). Real earnings disparities in Britain.</w:t>
      </w:r>
      <w:r>
        <w:t xml:space="preserve"> LSE Working Paper. </w:t>
      </w:r>
    </w:p>
    <w:p w14:paraId="5C11480D" w14:textId="77777777" w:rsidR="002971AB" w:rsidRDefault="002971AB" w:rsidP="00C33576">
      <w:pPr>
        <w:spacing w:after="0"/>
        <w:ind w:left="284" w:hanging="284"/>
      </w:pPr>
      <w:r w:rsidRPr="002971AB">
        <w:t xml:space="preserve">Gibbons, S., Mourato, S., &amp; Resende, G. M. (2014). The amenity value of English nature: a hedonic price approach. </w:t>
      </w:r>
      <w:r w:rsidRPr="00C33576">
        <w:t>Environmental and Resource Economics</w:t>
      </w:r>
      <w:r w:rsidRPr="002971AB">
        <w:t>, 57(2), 175-196.</w:t>
      </w:r>
    </w:p>
    <w:p w14:paraId="1E05FB28" w14:textId="77777777" w:rsidR="0033372B" w:rsidRDefault="0033372B" w:rsidP="00C33576">
      <w:pPr>
        <w:spacing w:after="0" w:line="240" w:lineRule="auto"/>
        <w:ind w:left="284" w:hanging="284"/>
      </w:pPr>
      <w:r>
        <w:t>Glaeser,</w:t>
      </w:r>
      <w:r w:rsidR="000277C9">
        <w:t xml:space="preserve"> E.</w:t>
      </w:r>
      <w:r>
        <w:t xml:space="preserve"> Gyourko,</w:t>
      </w:r>
      <w:r w:rsidR="000277C9">
        <w:t xml:space="preserve"> J.; </w:t>
      </w:r>
      <w:r>
        <w:t>Saks</w:t>
      </w:r>
      <w:r w:rsidR="000277C9">
        <w:t>, R. (2006).</w:t>
      </w:r>
      <w:r>
        <w:t xml:space="preserve"> Urban growth and housing supply, </w:t>
      </w:r>
      <w:r w:rsidRPr="00C33576">
        <w:t>Journal of Economic Geography</w:t>
      </w:r>
      <w:r w:rsidR="000277C9">
        <w:t>, 6(1),</w:t>
      </w:r>
      <w:r>
        <w:t xml:space="preserve"> 71–89</w:t>
      </w:r>
    </w:p>
    <w:p w14:paraId="6680FE9A" w14:textId="77777777" w:rsidR="007E4C54" w:rsidRPr="00CB37D3" w:rsidRDefault="007E4C54" w:rsidP="00C33576">
      <w:pPr>
        <w:spacing w:after="0" w:line="240" w:lineRule="auto"/>
        <w:ind w:left="284" w:hanging="284"/>
      </w:pPr>
      <w:r w:rsidRPr="00CB37D3">
        <w:t>Glaeser, Edward L., and Joseph Gyourko, 2003. “The Impact of Building Restrictions on Housing Affordability,” Federal Reserve Bank of New York Economic Policy Review 9 (2): 21–39.</w:t>
      </w:r>
    </w:p>
    <w:p w14:paraId="7DB44850" w14:textId="77777777" w:rsidR="007E4C54" w:rsidRPr="00CB37D3" w:rsidRDefault="007E4C54" w:rsidP="00C33576">
      <w:pPr>
        <w:spacing w:after="0"/>
        <w:ind w:left="284" w:hanging="284"/>
      </w:pPr>
      <w:r w:rsidRPr="00CB37D3">
        <w:t>Goodman, A. C. (1988). An econometric model of housing price, permanent income, tenure choice, and housing demand. Journal of Urban Economics, 23(3), 327-353.</w:t>
      </w:r>
    </w:p>
    <w:p w14:paraId="08471443" w14:textId="77777777" w:rsidR="007E4C54" w:rsidRPr="00CB37D3" w:rsidRDefault="007E4C54" w:rsidP="00C33576">
      <w:pPr>
        <w:spacing w:after="0"/>
        <w:ind w:left="284" w:hanging="284"/>
      </w:pPr>
      <w:r w:rsidRPr="00CB37D3">
        <w:t>Gurran, N., &amp; Whitehead, C. (2011). Planning and affordable housing in Australia and the UK: a comparative perspective. Housing studies, 26(7-8), 1193-1214.</w:t>
      </w:r>
    </w:p>
    <w:p w14:paraId="29E0F0BC" w14:textId="77777777" w:rsidR="007E4C54" w:rsidRDefault="007E4C54" w:rsidP="00C33576">
      <w:pPr>
        <w:spacing w:after="0"/>
        <w:ind w:left="284" w:hanging="284"/>
      </w:pPr>
      <w:r w:rsidRPr="00CB37D3">
        <w:t>Haynes, K. E. (1997). Labor markets and regional transportation improvements: the case of high-speed trains An introduction and review. The annals of regional science, 31(1), 57-76.</w:t>
      </w:r>
    </w:p>
    <w:p w14:paraId="35801E16" w14:textId="77777777" w:rsidR="007D4B6F" w:rsidRPr="00CB37D3" w:rsidRDefault="007D4B6F" w:rsidP="00C33576">
      <w:pPr>
        <w:spacing w:after="0"/>
        <w:ind w:left="284" w:hanging="284"/>
      </w:pPr>
      <w:r w:rsidRPr="007D4B6F">
        <w:t>Holly, S., Pesaran, M. H., &amp; Yamagata, T. (2011). The spatial and temporal diffusion of house prices in the UK. Journal of Urban Economics, 69(1), 2-23.</w:t>
      </w:r>
    </w:p>
    <w:p w14:paraId="0F0EF7E7" w14:textId="77777777" w:rsidR="007E4C54" w:rsidRDefault="007E4C54" w:rsidP="00C33576">
      <w:pPr>
        <w:spacing w:after="0"/>
        <w:ind w:left="284" w:hanging="284"/>
      </w:pPr>
      <w:r w:rsidRPr="00CB37D3">
        <w:t>Hilber, Christian A. L. and Vermeulen, Wouter, (2016). The Impact of Supply Constraints on House Prices in England. Economic Journal.</w:t>
      </w:r>
    </w:p>
    <w:p w14:paraId="4C491E73" w14:textId="77777777" w:rsidR="007D4B6F" w:rsidRPr="00CB37D3" w:rsidRDefault="007D4B6F" w:rsidP="00C33576">
      <w:pPr>
        <w:spacing w:after="0"/>
        <w:ind w:left="284" w:hanging="284"/>
      </w:pPr>
      <w:r w:rsidRPr="007D4B6F">
        <w:t>Iacoviello, M. (2005). House prices, borrowing constraints, and monetary policy in the business cycle. American economic review, 95(3), 739-764.</w:t>
      </w:r>
    </w:p>
    <w:p w14:paraId="2C221132" w14:textId="77777777" w:rsidR="007E4C54" w:rsidRPr="00CB37D3" w:rsidRDefault="007E4C54" w:rsidP="00C33576">
      <w:pPr>
        <w:spacing w:after="0"/>
        <w:ind w:left="284" w:hanging="284"/>
      </w:pPr>
      <w:r w:rsidRPr="00C33576">
        <w:t>Kapoor, M., Kelejian, H. H., &amp; Prucha, I. R. (2007). Panel data models with spatially correlated error components. Journal of econometrics, 140(1), 97-130.</w:t>
      </w:r>
    </w:p>
    <w:p w14:paraId="31FA88D3" w14:textId="77777777" w:rsidR="007E4C54" w:rsidRPr="00CB37D3" w:rsidRDefault="007E4C54" w:rsidP="00C33576">
      <w:pPr>
        <w:spacing w:after="0"/>
        <w:ind w:left="284" w:hanging="284"/>
      </w:pPr>
      <w:r w:rsidRPr="00CB37D3">
        <w:lastRenderedPageBreak/>
        <w:t>Lambson, V. E., McQueen, G. R., &amp; Slade, B. A. (2004). Do out‐of‐state buyers pay more for real estate? An examination of anchoring‐induced bias and search costs. Real Estate Economics, 32(1), 85-126.</w:t>
      </w:r>
    </w:p>
    <w:p w14:paraId="735FE270" w14:textId="77777777" w:rsidR="00000FDA" w:rsidRDefault="00000FDA" w:rsidP="00C33576">
      <w:pPr>
        <w:spacing w:after="0"/>
        <w:jc w:val="both"/>
      </w:pPr>
      <w:r w:rsidRPr="00DF06B9">
        <w:t xml:space="preserve">MacDonald, R., &amp; Taylor, M. P. (1993). Regional house prices in Britain: long‐run relationships and short‐run dynamics. </w:t>
      </w:r>
      <w:r w:rsidRPr="00C33576">
        <w:rPr>
          <w:i/>
        </w:rPr>
        <w:t>Scottish Journal of Political Economy</w:t>
      </w:r>
      <w:r w:rsidRPr="00DF06B9">
        <w:t>, 40(1), 43-55.</w:t>
      </w:r>
    </w:p>
    <w:p w14:paraId="407ED015" w14:textId="77777777" w:rsidR="00636B5F" w:rsidRPr="00636B5F" w:rsidRDefault="00636B5F" w:rsidP="00C33576">
      <w:pPr>
        <w:spacing w:after="0"/>
        <w:jc w:val="both"/>
      </w:pPr>
      <w:r w:rsidRPr="00C33576">
        <w:t>Malpezzi, S. (1999). A Simple Error Correction Model of House Prices, Journal of Housing Economics, 8, 27–62.</w:t>
      </w:r>
    </w:p>
    <w:p w14:paraId="5C0196F6" w14:textId="77777777" w:rsidR="00636B5F" w:rsidRPr="00C33576" w:rsidRDefault="00636B5F" w:rsidP="00C33576">
      <w:pPr>
        <w:spacing w:after="0"/>
        <w:jc w:val="both"/>
      </w:pPr>
      <w:r w:rsidRPr="00C33576">
        <w:t>Meen, G. (2002). The time-series behavior of house prices: a transatlantic divide?. Journal of Housing Economics, 11(1), 1-23.</w:t>
      </w:r>
    </w:p>
    <w:p w14:paraId="44093355" w14:textId="77777777" w:rsidR="007E4C54" w:rsidRPr="00636B5F" w:rsidRDefault="007E4C54" w:rsidP="00C33576">
      <w:pPr>
        <w:spacing w:after="0"/>
        <w:ind w:left="284" w:hanging="284"/>
      </w:pPr>
      <w:r w:rsidRPr="00636B5F">
        <w:t>Meen, G. (2005). On the economics of the Barker Review of housing supply. Housing Studies, 20(6), 949-971.</w:t>
      </w:r>
    </w:p>
    <w:p w14:paraId="30032729" w14:textId="77777777" w:rsidR="007E4C54" w:rsidRDefault="007E4C54" w:rsidP="00C33576">
      <w:pPr>
        <w:spacing w:after="0"/>
        <w:ind w:left="284" w:hanging="284"/>
      </w:pPr>
      <w:r w:rsidRPr="007E4C54">
        <w:t>Morrison, N., &amp; Monk, S. (2006). Job-housing mismatch: affordability crisis in Surrey, South East England.Environment and Planning A, 38(6), 1115-1130.</w:t>
      </w:r>
    </w:p>
    <w:p w14:paraId="04021D39" w14:textId="77777777" w:rsidR="007E4C54" w:rsidRPr="00CB37D3" w:rsidRDefault="007E4C54" w:rsidP="00C33576">
      <w:pPr>
        <w:spacing w:after="0"/>
        <w:ind w:left="284" w:hanging="284"/>
      </w:pPr>
      <w:r w:rsidRPr="00CB37D3">
        <w:t>Mulalic, I., Van Ommeren, J. N., &amp; Pilegaard, N. (2014). Wages and Commuting: Quasi‐natural Experiments' Evidence from Firms that Relocate. The Economic Journal, 124(579), 1086-1105.</w:t>
      </w:r>
    </w:p>
    <w:p w14:paraId="6027D891" w14:textId="77777777" w:rsidR="007E4C54" w:rsidRPr="00CB37D3" w:rsidRDefault="007E4C54" w:rsidP="00C33576">
      <w:pPr>
        <w:spacing w:after="0"/>
        <w:ind w:left="284" w:hanging="284"/>
      </w:pPr>
      <w:r w:rsidRPr="00CB37D3">
        <w:t>Mutl, J. (2006) Dynamic panel data models with spatially correlated disturbances, PhD thesis, University of Maryland, College Park.</w:t>
      </w:r>
    </w:p>
    <w:p w14:paraId="73AC09BD" w14:textId="77777777" w:rsidR="007E4C54" w:rsidRPr="00CB37D3" w:rsidRDefault="007E4C54" w:rsidP="00C33576">
      <w:pPr>
        <w:spacing w:after="0"/>
        <w:ind w:left="284" w:hanging="284"/>
      </w:pPr>
      <w:r w:rsidRPr="00CB37D3">
        <w:t>Nelson, A. C., Pendall, R., Dawkins, C. J., &amp; Knaap, G. J. (2002). The link between growth management and housing affordability: The academic evidence. Growth management and affordable housing: Do they conflict, 117-158.</w:t>
      </w:r>
    </w:p>
    <w:p w14:paraId="29FE9A69" w14:textId="77777777" w:rsidR="007E4C54" w:rsidRPr="00CB37D3" w:rsidRDefault="007E4C54" w:rsidP="00C33576">
      <w:pPr>
        <w:spacing w:after="0"/>
        <w:ind w:left="284" w:hanging="284"/>
      </w:pPr>
      <w:r w:rsidRPr="00CB37D3">
        <w:t>Nerlove, M (1958) Distributed lags and demand analysis for agricultural and other commodities, Agricultural Handbook 141, United States Department of Agriculture</w:t>
      </w:r>
    </w:p>
    <w:p w14:paraId="277686A3" w14:textId="77777777" w:rsidR="007E4C54" w:rsidRPr="00CB37D3" w:rsidRDefault="007E4C54" w:rsidP="00C33576">
      <w:pPr>
        <w:spacing w:after="0"/>
        <w:ind w:left="284" w:hanging="284"/>
      </w:pPr>
      <w:r w:rsidRPr="00CB37D3">
        <w:t>Parent, O. and LeSage, J.P. (2011). .A space-time .lter for panel data models containing random e¤ects., Computational Statistics and Data Analysis, Vol. 55, pp. 475-490.</w:t>
      </w:r>
    </w:p>
    <w:p w14:paraId="0917E28D" w14:textId="77777777" w:rsidR="007E4C54" w:rsidRPr="00CB37D3" w:rsidRDefault="007E4C54" w:rsidP="00C33576">
      <w:pPr>
        <w:spacing w:after="0"/>
        <w:ind w:left="284" w:hanging="284"/>
      </w:pPr>
      <w:r w:rsidRPr="00CB37D3">
        <w:t>Parent, O. and LeSage, J.P. (2012). .Spatial dynamic panel data models with random e¤ects., Regional Science &amp; Urban Economics, Vol. 42, pp. 727-738.</w:t>
      </w:r>
    </w:p>
    <w:p w14:paraId="745AEBB3" w14:textId="77777777" w:rsidR="00C712A4" w:rsidRDefault="00C712A4" w:rsidP="00C33576">
      <w:pPr>
        <w:spacing w:after="0"/>
        <w:ind w:left="284" w:hanging="284"/>
      </w:pPr>
      <w:r>
        <w:t xml:space="preserve">Roback, J. (1982).Wages, Rents, and the Quality of Life, </w:t>
      </w:r>
      <w:r w:rsidRPr="00C33576">
        <w:t>Journal of Political Economy,</w:t>
      </w:r>
      <w:r>
        <w:t xml:space="preserve"> 90 (4 ):  1257-78. </w:t>
      </w:r>
    </w:p>
    <w:p w14:paraId="5F111FDF" w14:textId="77777777" w:rsidR="00C712A4" w:rsidRDefault="00C712A4" w:rsidP="00C33576">
      <w:pPr>
        <w:spacing w:after="0"/>
        <w:ind w:left="284" w:hanging="284"/>
      </w:pPr>
      <w:r>
        <w:t xml:space="preserve">Rosen, S. (1979). Wage-Based Indexes of Urban Quality of Life.  In: </w:t>
      </w:r>
      <w:r w:rsidRPr="00C33576">
        <w:t>Current Issues in Urban Economics</w:t>
      </w:r>
      <w:r>
        <w:t>, edited by P. Mieszkowski and M. Straszheim. Baltimore:  Johns Hopkins Univerity Press.</w:t>
      </w:r>
    </w:p>
    <w:p w14:paraId="2F0092F1" w14:textId="77777777" w:rsidR="007E4C54" w:rsidRPr="00CB37D3" w:rsidRDefault="007E4C54" w:rsidP="00C33576">
      <w:pPr>
        <w:spacing w:after="0"/>
        <w:ind w:left="284" w:hanging="284"/>
      </w:pPr>
      <w:r w:rsidRPr="00CB37D3">
        <w:t>Sa, F. (2015). Immigration and House Prices in the UK. The Economic Journal, 125(587), 1393-1424.</w:t>
      </w:r>
    </w:p>
    <w:p w14:paraId="4411F4BA" w14:textId="77777777" w:rsidR="007E4C54" w:rsidRPr="00CB37D3" w:rsidRDefault="007E4C54" w:rsidP="00C33576">
      <w:pPr>
        <w:spacing w:after="0"/>
        <w:ind w:left="284" w:hanging="284"/>
      </w:pPr>
      <w:r w:rsidRPr="00CB37D3">
        <w:t>Sevestre, P., &amp; Trognon, A. (1996). Dynamic linear models. In The Econometrics of Panel Data (pp. 120-144). Springer Netherlands.</w:t>
      </w:r>
    </w:p>
    <w:p w14:paraId="7FE660DA" w14:textId="77777777" w:rsidR="007E4C54" w:rsidRPr="00CB37D3" w:rsidRDefault="007E4C54" w:rsidP="00C33576">
      <w:pPr>
        <w:spacing w:after="0"/>
        <w:ind w:left="284" w:hanging="284"/>
      </w:pPr>
      <w:r w:rsidRPr="00CB37D3">
        <w:t>Stone, M. E. (2006). What is housing affordability? The case for the residual income approach. Housing policy debate, 17(1), 151-184.</w:t>
      </w:r>
    </w:p>
    <w:p w14:paraId="441E90DE" w14:textId="77777777" w:rsidR="007E4C54" w:rsidRPr="00CB37D3" w:rsidRDefault="007E4C54" w:rsidP="00C33576">
      <w:pPr>
        <w:spacing w:after="0"/>
        <w:ind w:left="284" w:hanging="284"/>
      </w:pPr>
      <w:r w:rsidRPr="00CB37D3">
        <w:t>Sultana, S. (2002). Job/housing imbalance and commuting time in the Atlanta metropolitan area: exploration of causes of longer commuting time. Urban Geography, 23(8), 728-749.</w:t>
      </w:r>
    </w:p>
    <w:p w14:paraId="63A87049" w14:textId="77777777" w:rsidR="007E4C54" w:rsidRPr="00CB37D3" w:rsidRDefault="007E4C54" w:rsidP="00C33576">
      <w:pPr>
        <w:spacing w:after="0"/>
        <w:ind w:left="284" w:hanging="284"/>
      </w:pPr>
      <w:r w:rsidRPr="00CB37D3">
        <w:t>Szumilo, N., Laszkiewicz, E. and Fuerst, F. (2017), The Spatial Impact of Employment Centres on Housing Markets. Spatial Economic Analysis.</w:t>
      </w:r>
    </w:p>
    <w:p w14:paraId="4FE87FFA" w14:textId="77777777" w:rsidR="007E4C54" w:rsidRDefault="007E4C54" w:rsidP="00C33576">
      <w:pPr>
        <w:spacing w:after="0"/>
        <w:ind w:left="284" w:hanging="284"/>
      </w:pPr>
      <w:r w:rsidRPr="00CB37D3">
        <w:t>Tse, C. Y., &amp; Chan, A. W. (2003). Estimating the commuting cost and commuting time property price gradients. Regional Science and Urban Economics, 33(6), 745-767.</w:t>
      </w:r>
    </w:p>
    <w:p w14:paraId="25828365" w14:textId="77777777" w:rsidR="00000FDA" w:rsidRPr="00C33576" w:rsidRDefault="00000FDA" w:rsidP="00C33576">
      <w:pPr>
        <w:spacing w:after="0"/>
        <w:ind w:left="284" w:hanging="284"/>
      </w:pPr>
      <w:r w:rsidRPr="00C33576">
        <w:t>Weiner, D., &amp; Fuerst, F. (2017). The Dynamics of House Prices in Israel and the Effect of the Investor's Fear Gauge. Journal of Housing Research, 26(1), 95-117.</w:t>
      </w:r>
    </w:p>
    <w:p w14:paraId="1AF790E9" w14:textId="77777777" w:rsidR="007E4C54" w:rsidRPr="00CB37D3" w:rsidRDefault="007E4C54" w:rsidP="00C33576">
      <w:pPr>
        <w:spacing w:after="0"/>
        <w:ind w:left="284" w:hanging="284"/>
      </w:pPr>
      <w:r w:rsidRPr="00CB37D3">
        <w:lastRenderedPageBreak/>
        <w:t>White, M. and Allmendinger, P. 2003. Land-use planning and the housing market: a comparative review of the UK and the USA. Urban Studies, 40(5–6): 953–972</w:t>
      </w:r>
    </w:p>
    <w:p w14:paraId="267EFE9B" w14:textId="77777777" w:rsidR="007E4C54" w:rsidRPr="00CB37D3" w:rsidRDefault="007E4C54" w:rsidP="00C33576">
      <w:pPr>
        <w:spacing w:after="0"/>
        <w:ind w:left="284" w:hanging="284"/>
      </w:pPr>
      <w:r w:rsidRPr="00CB37D3">
        <w:t>Whitehead, C. M. E. 2007. Planning policies and affordable housing: England as a successful case study?. Housing Studies, 22(1): 25–44.</w:t>
      </w:r>
    </w:p>
    <w:p w14:paraId="70FA507B" w14:textId="77777777" w:rsidR="007E4C54" w:rsidRPr="00CB37D3" w:rsidDel="008A1339" w:rsidRDefault="007E4C54" w:rsidP="00C33576">
      <w:pPr>
        <w:spacing w:after="0"/>
        <w:ind w:left="284" w:hanging="284"/>
      </w:pPr>
      <w:r w:rsidRPr="00CB37D3">
        <w:t>Yates, J. (2008). Australia's housing affordability crisis. Australian Economic Review, 41(2), 200-214.</w:t>
      </w:r>
    </w:p>
    <w:p w14:paraId="4DEE6629" w14:textId="77777777" w:rsidR="001F4068" w:rsidRPr="00CB37D3" w:rsidRDefault="001F4068" w:rsidP="001F4068">
      <w:pPr>
        <w:pStyle w:val="Heading2"/>
        <w:pageBreakBefore/>
        <w:ind w:left="714" w:hanging="357"/>
      </w:pPr>
      <w:r w:rsidRPr="00CB37D3">
        <w:lastRenderedPageBreak/>
        <w:t>Appendix</w:t>
      </w:r>
    </w:p>
    <w:p w14:paraId="4DD206E3" w14:textId="77777777" w:rsidR="001F4068" w:rsidRPr="00CB37D3" w:rsidRDefault="001F4068" w:rsidP="001F4068"/>
    <w:p w14:paraId="0D5F240F" w14:textId="77777777" w:rsidR="001F4068" w:rsidRPr="00CB37D3" w:rsidRDefault="001F4068" w:rsidP="001F4068">
      <w:pPr>
        <w:pStyle w:val="NormalWeb"/>
        <w:spacing w:before="0" w:beforeAutospacing="0" w:after="0" w:afterAutospacing="0"/>
        <w:jc w:val="both"/>
      </w:pPr>
      <w:r w:rsidRPr="00C33576">
        <w:rPr>
          <w:rFonts w:eastAsiaTheme="minorEastAsia" w:hAnsi="Calibri"/>
          <w:kern w:val="24"/>
        </w:rPr>
        <w:t xml:space="preserve">Sample of the </w:t>
      </w:r>
      <w:r w:rsidRPr="00C33576">
        <w:rPr>
          <w:rFonts w:eastAsiaTheme="minorEastAsia" w:hAnsi="Calibri"/>
          <w:i/>
          <w:kern w:val="24"/>
        </w:rPr>
        <w:t>N</w:t>
      </w:r>
      <w:r w:rsidRPr="00C33576">
        <w:rPr>
          <w:rFonts w:eastAsiaTheme="minorEastAsia" w:hAnsi="Calibri"/>
          <w:kern w:val="24"/>
        </w:rPr>
        <w:t xml:space="preserve"> by </w:t>
      </w:r>
      <w:r w:rsidRPr="00C33576">
        <w:rPr>
          <w:rFonts w:eastAsiaTheme="minorEastAsia" w:hAnsi="Calibri"/>
          <w:i/>
          <w:kern w:val="24"/>
        </w:rPr>
        <w:t>N</w:t>
      </w:r>
      <w:r w:rsidRPr="00C33576">
        <w:rPr>
          <w:rFonts w:eastAsiaTheme="minorEastAsia" w:hAnsi="Calibri"/>
          <w:kern w:val="24"/>
        </w:rPr>
        <w:t xml:space="preserve"> (N=353) commuting matrix constructed using </w:t>
      </w:r>
      <w:r w:rsidRPr="00C33576">
        <w:rPr>
          <w:rFonts w:asciiTheme="minorHAnsi" w:eastAsiaTheme="minorEastAsia" w:hAnsi="Calibri"/>
          <w:kern w:val="24"/>
        </w:rPr>
        <w:t xml:space="preserve">2001 census - UK travel flows at local authority levels. </w:t>
      </w:r>
    </w:p>
    <w:p w14:paraId="15F71504" w14:textId="77777777" w:rsidR="001F4068" w:rsidRPr="00CB37D3" w:rsidRDefault="001F4068" w:rsidP="001F4068">
      <w:pPr>
        <w:pStyle w:val="NormalWeb"/>
        <w:spacing w:before="0" w:beforeAutospacing="0" w:after="0" w:afterAutospacing="0"/>
        <w:jc w:val="both"/>
      </w:pPr>
    </w:p>
    <w:tbl>
      <w:tblPr>
        <w:tblW w:w="7103" w:type="dxa"/>
        <w:tblCellMar>
          <w:left w:w="0" w:type="dxa"/>
          <w:right w:w="0" w:type="dxa"/>
        </w:tblCellMar>
        <w:tblLook w:val="0600" w:firstRow="0" w:lastRow="0" w:firstColumn="0" w:lastColumn="0" w:noHBand="1" w:noVBand="1"/>
      </w:tblPr>
      <w:tblGrid>
        <w:gridCol w:w="1433"/>
        <w:gridCol w:w="850"/>
        <w:gridCol w:w="1276"/>
        <w:gridCol w:w="851"/>
        <w:gridCol w:w="1417"/>
        <w:gridCol w:w="1276"/>
      </w:tblGrid>
      <w:tr w:rsidR="001F4068" w:rsidRPr="00CB37D3" w14:paraId="3C6EB967" w14:textId="77777777" w:rsidTr="0006784E">
        <w:trPr>
          <w:trHeight w:val="300"/>
        </w:trPr>
        <w:tc>
          <w:tcPr>
            <w:tcW w:w="7103" w:type="dxa"/>
            <w:gridSpan w:val="6"/>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tcPr>
          <w:p w14:paraId="42EDEB75" w14:textId="77777777" w:rsidR="001F4068" w:rsidRPr="00C33576" w:rsidRDefault="001F4068" w:rsidP="0006784E">
            <w:pPr>
              <w:spacing w:after="0" w:line="300" w:lineRule="atLeast"/>
              <w:textAlignment w:val="center"/>
              <w:rPr>
                <w:rFonts w:ascii="Calibri" w:hAnsi="Calibri"/>
                <w:b/>
                <w:kern w:val="24"/>
                <w:sz w:val="24"/>
              </w:rPr>
            </w:pPr>
            <w:r w:rsidRPr="00C33576">
              <w:rPr>
                <w:rFonts w:ascii="Calibri" w:hAnsi="Calibri"/>
                <w:b/>
                <w:kern w:val="24"/>
                <w:sz w:val="24"/>
              </w:rPr>
              <w:t>Table A1. A sample of the matrix of travel flows between districts.</w:t>
            </w:r>
          </w:p>
        </w:tc>
      </w:tr>
      <w:tr w:rsidR="001F4068" w:rsidRPr="00CB37D3" w14:paraId="32D36F25" w14:textId="77777777" w:rsidTr="0006784E">
        <w:trPr>
          <w:trHeight w:val="300"/>
        </w:trPr>
        <w:tc>
          <w:tcPr>
            <w:tcW w:w="143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ECB6C58" w14:textId="77777777" w:rsidR="001F4068" w:rsidRPr="00CB37D3" w:rsidRDefault="001F4068" w:rsidP="0006784E">
            <w:pPr>
              <w:spacing w:after="0" w:line="240" w:lineRule="auto"/>
              <w:jc w:val="center"/>
              <w:rPr>
                <w:rFonts w:ascii="Arial" w:eastAsia="Times New Roman" w:hAnsi="Arial" w:cs="Arial"/>
                <w:sz w:val="16"/>
                <w:szCs w:val="16"/>
                <w:lang w:eastAsia="en-GB"/>
              </w:rPr>
            </w:pPr>
          </w:p>
        </w:tc>
        <w:tc>
          <w:tcPr>
            <w:tcW w:w="85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5D087A8E"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Luton</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29528CE7"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Mid Bedfordshire</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5EF4424C"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Bedford</w:t>
            </w:r>
          </w:p>
        </w:tc>
        <w:tc>
          <w:tcPr>
            <w:tcW w:w="1417"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5BA04948"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South Bedfordshire</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2F2829AC"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Bracknell Forest</w:t>
            </w:r>
          </w:p>
        </w:tc>
      </w:tr>
      <w:tr w:rsidR="001F4068" w:rsidRPr="00CB37D3" w14:paraId="7FBBF08B" w14:textId="77777777" w:rsidTr="0006784E">
        <w:trPr>
          <w:trHeight w:val="300"/>
        </w:trPr>
        <w:tc>
          <w:tcPr>
            <w:tcW w:w="143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745BB91A"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Luton</w:t>
            </w:r>
          </w:p>
        </w:tc>
        <w:tc>
          <w:tcPr>
            <w:tcW w:w="85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DD91267"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54399</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BA3F248"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1071</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B92672F"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865</w:t>
            </w:r>
          </w:p>
        </w:tc>
        <w:tc>
          <w:tcPr>
            <w:tcW w:w="1417"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A8D444D"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6876</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88209BB"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28</w:t>
            </w:r>
          </w:p>
        </w:tc>
      </w:tr>
      <w:tr w:rsidR="001F4068" w:rsidRPr="00CB37D3" w14:paraId="55B72931" w14:textId="77777777" w:rsidTr="0006784E">
        <w:trPr>
          <w:trHeight w:val="300"/>
        </w:trPr>
        <w:tc>
          <w:tcPr>
            <w:tcW w:w="143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68080BBD"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Mid Bedfordshire</w:t>
            </w:r>
          </w:p>
        </w:tc>
        <w:tc>
          <w:tcPr>
            <w:tcW w:w="85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17B74C9F"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3961</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6E032602"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29925</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9D6080D"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5675</w:t>
            </w:r>
          </w:p>
        </w:tc>
        <w:tc>
          <w:tcPr>
            <w:tcW w:w="1417"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2FF8ECC"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1662</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1160B2A"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30</w:t>
            </w:r>
          </w:p>
        </w:tc>
      </w:tr>
      <w:tr w:rsidR="001F4068" w:rsidRPr="00CB37D3" w14:paraId="6A678077" w14:textId="77777777" w:rsidTr="0006784E">
        <w:trPr>
          <w:trHeight w:val="300"/>
        </w:trPr>
        <w:tc>
          <w:tcPr>
            <w:tcW w:w="143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6EB41BF5"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Bedford</w:t>
            </w:r>
          </w:p>
        </w:tc>
        <w:tc>
          <w:tcPr>
            <w:tcW w:w="85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EA17A12"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1888</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63D4C5F3"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4458</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4BAEB11"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50165</w:t>
            </w:r>
          </w:p>
        </w:tc>
        <w:tc>
          <w:tcPr>
            <w:tcW w:w="1417"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1D8EBAE"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599</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39D63978"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17</w:t>
            </w:r>
          </w:p>
        </w:tc>
      </w:tr>
      <w:tr w:rsidR="001F4068" w:rsidRPr="00CB37D3" w14:paraId="0ACE42F2" w14:textId="77777777" w:rsidTr="0006784E">
        <w:trPr>
          <w:trHeight w:val="300"/>
        </w:trPr>
        <w:tc>
          <w:tcPr>
            <w:tcW w:w="143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1FB84733"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South Bedfordshire</w:t>
            </w:r>
          </w:p>
        </w:tc>
        <w:tc>
          <w:tcPr>
            <w:tcW w:w="85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B902D91"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9446</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6530FCCC"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987</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35F1852"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716</w:t>
            </w:r>
          </w:p>
        </w:tc>
        <w:tc>
          <w:tcPr>
            <w:tcW w:w="1417"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1234BF15"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27556</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C935270"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43</w:t>
            </w:r>
          </w:p>
        </w:tc>
      </w:tr>
      <w:tr w:rsidR="001F4068" w:rsidRPr="00CB37D3" w14:paraId="17E0D929" w14:textId="77777777" w:rsidTr="0006784E">
        <w:trPr>
          <w:trHeight w:val="300"/>
        </w:trPr>
        <w:tc>
          <w:tcPr>
            <w:tcW w:w="1433"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14:paraId="25EAF07E" w14:textId="77777777" w:rsidR="001F4068" w:rsidRPr="00CB37D3" w:rsidRDefault="001F4068" w:rsidP="0006784E">
            <w:pPr>
              <w:spacing w:after="0" w:line="300" w:lineRule="atLeast"/>
              <w:jc w:val="center"/>
              <w:textAlignment w:val="center"/>
              <w:rPr>
                <w:rFonts w:ascii="Arial" w:eastAsia="Times New Roman" w:hAnsi="Arial" w:cs="Arial"/>
                <w:sz w:val="16"/>
                <w:szCs w:val="16"/>
                <w:lang w:eastAsia="en-GB"/>
              </w:rPr>
            </w:pPr>
            <w:r w:rsidRPr="00C33576">
              <w:rPr>
                <w:rFonts w:ascii="Calibri" w:hAnsi="Calibri"/>
                <w:kern w:val="24"/>
                <w:sz w:val="16"/>
              </w:rPr>
              <w:t>Bracknell Forest</w:t>
            </w:r>
          </w:p>
        </w:tc>
        <w:tc>
          <w:tcPr>
            <w:tcW w:w="85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118DC8D"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12</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1D1F1B3"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1E32501F"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8</w:t>
            </w:r>
          </w:p>
        </w:tc>
        <w:tc>
          <w:tcPr>
            <w:tcW w:w="1417"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B3884EA"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6</w:t>
            </w:r>
          </w:p>
        </w:tc>
        <w:tc>
          <w:tcPr>
            <w:tcW w:w="1276"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124FBBB5"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30840</w:t>
            </w:r>
          </w:p>
        </w:tc>
      </w:tr>
    </w:tbl>
    <w:p w14:paraId="27F7BB89" w14:textId="77777777" w:rsidR="001F4068" w:rsidRPr="00CB37D3" w:rsidRDefault="001F4068" w:rsidP="001F4068">
      <w:pPr>
        <w:pStyle w:val="NormalWeb"/>
        <w:spacing w:before="0" w:beforeAutospacing="0" w:after="0" w:afterAutospacing="0"/>
        <w:jc w:val="center"/>
      </w:pPr>
    </w:p>
    <w:tbl>
      <w:tblPr>
        <w:tblW w:w="5760" w:type="dxa"/>
        <w:tblCellMar>
          <w:left w:w="0" w:type="dxa"/>
          <w:right w:w="0" w:type="dxa"/>
        </w:tblCellMar>
        <w:tblLook w:val="0600" w:firstRow="0" w:lastRow="0" w:firstColumn="0" w:lastColumn="0" w:noHBand="1" w:noVBand="1"/>
      </w:tblPr>
      <w:tblGrid>
        <w:gridCol w:w="960"/>
        <w:gridCol w:w="960"/>
        <w:gridCol w:w="960"/>
        <w:gridCol w:w="960"/>
        <w:gridCol w:w="960"/>
        <w:gridCol w:w="960"/>
      </w:tblGrid>
      <w:tr w:rsidR="001F4068" w:rsidRPr="00CB37D3" w14:paraId="661A0CC7" w14:textId="77777777" w:rsidTr="0006784E">
        <w:tc>
          <w:tcPr>
            <w:tcW w:w="5760" w:type="dxa"/>
            <w:gridSpan w:val="6"/>
            <w:tcBorders>
              <w:top w:val="single" w:sz="8" w:space="0" w:color="FFFFFF"/>
              <w:left w:val="single" w:sz="8" w:space="0" w:color="FFFFFF"/>
              <w:right w:val="single" w:sz="8" w:space="0" w:color="FFFFFF"/>
            </w:tcBorders>
            <w:shd w:val="clear" w:color="auto" w:fill="E9EDF4"/>
          </w:tcPr>
          <w:p w14:paraId="65E22EBD" w14:textId="77777777" w:rsidR="001F4068" w:rsidRPr="00C33576" w:rsidRDefault="001F4068" w:rsidP="0006784E">
            <w:pPr>
              <w:spacing w:after="0" w:line="240" w:lineRule="auto"/>
              <w:textAlignment w:val="bottom"/>
              <w:rPr>
                <w:rFonts w:ascii="Calibri" w:hAnsi="Calibri"/>
                <w:b/>
                <w:kern w:val="24"/>
                <w:sz w:val="24"/>
              </w:rPr>
            </w:pPr>
            <w:r w:rsidRPr="00C33576">
              <w:rPr>
                <w:rFonts w:ascii="Calibri" w:hAnsi="Calibri"/>
                <w:b/>
                <w:kern w:val="24"/>
                <w:sz w:val="24"/>
              </w:rPr>
              <w:t xml:space="preserve">Matrix </w:t>
            </w:r>
            <w:r w:rsidR="00C3256A" w:rsidRPr="004F5B24">
              <w:rPr>
                <w:rFonts w:ascii="Calibri" w:hAnsi="Calibri"/>
                <w:b/>
                <w:kern w:val="24"/>
                <w:position w:val="-6"/>
                <w:sz w:val="24"/>
              </w:rPr>
              <w:object w:dxaOrig="240" w:dyaOrig="340" w14:anchorId="2D07B7A9">
                <v:shape id="_x0000_i1181" type="#_x0000_t75" style="width:15pt;height:15pt" o:ole="">
                  <v:imagedata r:id="rId306" o:title=""/>
                </v:shape>
                <o:OLEObject Type="Embed" ProgID="Equation.DSMT4" ShapeID="_x0000_i1181" DrawAspect="Content" ObjectID="_1617780095" r:id="rId307"/>
              </w:object>
            </w:r>
            <w:r w:rsidRPr="00C33576">
              <w:rPr>
                <w:rFonts w:ascii="Calibri" w:hAnsi="Calibri"/>
                <w:b/>
                <w:kern w:val="24"/>
                <w:sz w:val="24"/>
              </w:rPr>
              <w:t xml:space="preserve">corresponding to Districts listed in table A1: </w:t>
            </w:r>
          </w:p>
          <w:p w14:paraId="3127FCCD" w14:textId="77777777" w:rsidR="001F4068" w:rsidRPr="00C33576" w:rsidRDefault="001F4068" w:rsidP="0006784E">
            <w:pPr>
              <w:spacing w:after="0" w:line="240" w:lineRule="auto"/>
              <w:jc w:val="center"/>
              <w:textAlignment w:val="bottom"/>
              <w:rPr>
                <w:rFonts w:ascii="Calibri" w:hAnsi="Calibri"/>
                <w:kern w:val="24"/>
                <w:sz w:val="16"/>
              </w:rPr>
            </w:pPr>
            <w:r w:rsidRPr="00C33576">
              <w:rPr>
                <w:rFonts w:ascii="Calibri" w:hAnsi="Calibri"/>
                <w:kern w:val="24"/>
                <w:sz w:val="16"/>
              </w:rPr>
              <w:t>The proportions of commuters travelling from District i to work in each of the N Districts</w:t>
            </w:r>
          </w:p>
        </w:tc>
      </w:tr>
      <w:tr w:rsidR="001F4068" w:rsidRPr="00CB37D3" w14:paraId="1361B3DB" w14:textId="77777777" w:rsidTr="0006784E">
        <w:tc>
          <w:tcPr>
            <w:tcW w:w="960" w:type="dxa"/>
            <w:vMerge w:val="restart"/>
            <w:tcBorders>
              <w:top w:val="single" w:sz="8" w:space="0" w:color="FFFFFF"/>
              <w:left w:val="single" w:sz="8" w:space="0" w:color="FFFFFF"/>
              <w:right w:val="single" w:sz="8" w:space="0" w:color="FFFFFF"/>
            </w:tcBorders>
            <w:shd w:val="clear" w:color="auto" w:fill="E9EDF4"/>
          </w:tcPr>
          <w:p w14:paraId="10691300" w14:textId="77777777" w:rsidR="001F4068" w:rsidRPr="00C33576" w:rsidRDefault="00332CC1" w:rsidP="0006784E">
            <w:pPr>
              <w:spacing w:after="0" w:line="240" w:lineRule="auto"/>
              <w:jc w:val="both"/>
              <w:textAlignment w:val="bottom"/>
              <w:rPr>
                <w:rFonts w:ascii="Calibri" w:hAnsi="Calibri"/>
                <w:kern w:val="24"/>
                <w:sz w:val="16"/>
              </w:rPr>
            </w:pPr>
            <w:r>
              <w:rPr>
                <w:rFonts w:ascii="Calibri" w:hAnsi="Calibri"/>
                <w:color w:val="000000" w:themeColor="dark1"/>
                <w:kern w:val="24"/>
                <w:sz w:val="16"/>
              </w:rPr>
              <w:object w:dxaOrig="279" w:dyaOrig="360" w14:anchorId="1C1D9042">
                <v:shape id="_x0000_s1026" type="#_x0000_t75" style="position:absolute;left:0;text-align:left;margin-left:11.6pt;margin-top:30.7pt;width:22pt;height:17pt;z-index:251661312;visibility:visible;mso-position-horizontal-relative:text;mso-position-vertical-relative:text">
                  <v:imagedata r:id="rId308" o:title=""/>
                </v:shape>
                <o:OLEObject Type="Embed" ProgID="Equation.DSMT4" ShapeID="_x0000_s1026" DrawAspect="Content" ObjectID="_1617780108" r:id="rId309"/>
              </w:objec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A0A9F46" w14:textId="77777777" w:rsidR="001F4068" w:rsidRPr="00CB37D3" w:rsidRDefault="001F4068" w:rsidP="0006784E">
            <w:pPr>
              <w:spacing w:after="0" w:line="240" w:lineRule="auto"/>
              <w:jc w:val="center"/>
              <w:textAlignment w:val="bottom"/>
              <w:rPr>
                <w:rFonts w:ascii="Arial" w:eastAsia="Times New Roman" w:hAnsi="Arial" w:cs="Arial"/>
                <w:sz w:val="16"/>
                <w:szCs w:val="16"/>
                <w:lang w:eastAsia="en-GB"/>
              </w:rPr>
            </w:pPr>
            <w:r w:rsidRPr="00C33576">
              <w:rPr>
                <w:rFonts w:ascii="Calibri" w:hAnsi="Calibri"/>
                <w:kern w:val="24"/>
                <w:sz w:val="16"/>
              </w:rPr>
              <w:t>0.6624</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48D03B6" w14:textId="77777777" w:rsidR="001F4068" w:rsidRPr="00CB37D3" w:rsidRDefault="001F4068" w:rsidP="0006784E">
            <w:pPr>
              <w:spacing w:after="0" w:line="240" w:lineRule="auto"/>
              <w:jc w:val="center"/>
              <w:textAlignment w:val="bottom"/>
              <w:rPr>
                <w:rFonts w:ascii="Arial" w:eastAsia="Times New Roman" w:hAnsi="Arial" w:cs="Arial"/>
                <w:sz w:val="16"/>
                <w:szCs w:val="16"/>
                <w:lang w:eastAsia="en-GB"/>
              </w:rPr>
            </w:pPr>
            <w:r w:rsidRPr="00C33576">
              <w:rPr>
                <w:rFonts w:ascii="Calibri" w:hAnsi="Calibri"/>
                <w:kern w:val="24"/>
                <w:sz w:val="16"/>
              </w:rPr>
              <w:t>0.0130</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60D461AA" w14:textId="77777777" w:rsidR="001F4068" w:rsidRPr="00CB37D3" w:rsidRDefault="001F4068" w:rsidP="0006784E">
            <w:pPr>
              <w:spacing w:after="0" w:line="240" w:lineRule="auto"/>
              <w:jc w:val="center"/>
              <w:textAlignment w:val="bottom"/>
              <w:rPr>
                <w:rFonts w:ascii="Arial" w:eastAsia="Times New Roman" w:hAnsi="Arial" w:cs="Arial"/>
                <w:sz w:val="16"/>
                <w:szCs w:val="16"/>
                <w:lang w:eastAsia="en-GB"/>
              </w:rPr>
            </w:pPr>
            <w:r w:rsidRPr="00C33576">
              <w:rPr>
                <w:rFonts w:ascii="Calibri" w:hAnsi="Calibri"/>
                <w:kern w:val="24"/>
                <w:sz w:val="16"/>
              </w:rPr>
              <w:t>0.0105</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EB39D09" w14:textId="77777777" w:rsidR="001F4068" w:rsidRPr="00CB37D3" w:rsidRDefault="001F4068" w:rsidP="0006784E">
            <w:pPr>
              <w:spacing w:after="0" w:line="240" w:lineRule="auto"/>
              <w:jc w:val="center"/>
              <w:textAlignment w:val="bottom"/>
              <w:rPr>
                <w:rFonts w:ascii="Arial" w:eastAsia="Times New Roman" w:hAnsi="Arial" w:cs="Arial"/>
                <w:sz w:val="16"/>
                <w:szCs w:val="16"/>
                <w:lang w:eastAsia="en-GB"/>
              </w:rPr>
            </w:pPr>
            <w:r w:rsidRPr="00C33576">
              <w:rPr>
                <w:rFonts w:ascii="Calibri" w:hAnsi="Calibri"/>
                <w:kern w:val="24"/>
                <w:sz w:val="16"/>
              </w:rPr>
              <w:t>0.0837</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B9C39C9" w14:textId="77777777" w:rsidR="001F4068" w:rsidRPr="00CB37D3" w:rsidRDefault="001F4068" w:rsidP="0006784E">
            <w:pPr>
              <w:spacing w:after="0" w:line="240" w:lineRule="auto"/>
              <w:jc w:val="center"/>
              <w:textAlignment w:val="bottom"/>
              <w:rPr>
                <w:rFonts w:ascii="Arial" w:eastAsia="Times New Roman" w:hAnsi="Arial" w:cs="Arial"/>
                <w:sz w:val="16"/>
                <w:szCs w:val="16"/>
                <w:lang w:eastAsia="en-GB"/>
              </w:rPr>
            </w:pPr>
            <w:r w:rsidRPr="00C33576">
              <w:rPr>
                <w:rFonts w:ascii="Calibri" w:hAnsi="Calibri"/>
                <w:kern w:val="24"/>
                <w:sz w:val="16"/>
              </w:rPr>
              <w:t>0.0003</w:t>
            </w:r>
          </w:p>
        </w:tc>
      </w:tr>
      <w:tr w:rsidR="001F4068" w:rsidRPr="00CB37D3" w14:paraId="34805E4D" w14:textId="77777777" w:rsidTr="0006784E">
        <w:trPr>
          <w:trHeight w:val="300"/>
        </w:trPr>
        <w:tc>
          <w:tcPr>
            <w:tcW w:w="960" w:type="dxa"/>
            <w:vMerge/>
            <w:tcBorders>
              <w:left w:val="single" w:sz="8" w:space="0" w:color="FFFFFF"/>
              <w:right w:val="single" w:sz="8" w:space="0" w:color="FFFFFF"/>
            </w:tcBorders>
            <w:shd w:val="clear" w:color="auto" w:fill="E9EDF4"/>
          </w:tcPr>
          <w:p w14:paraId="263D9840" w14:textId="77777777" w:rsidR="001F4068" w:rsidRPr="00C33576" w:rsidRDefault="001F4068" w:rsidP="0006784E">
            <w:pPr>
              <w:spacing w:after="0" w:line="300" w:lineRule="atLeast"/>
              <w:jc w:val="both"/>
              <w:textAlignment w:val="bottom"/>
              <w:rPr>
                <w:rFonts w:ascii="Calibri" w:hAnsi="Calibri"/>
                <w:kern w:val="24"/>
                <w:sz w:val="16"/>
              </w:rPr>
            </w:pP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40691DD"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0.0623</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B16911F"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0.4706</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1BCA10D4"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0.0892</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31F46231"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0.0261</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767CF17"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0.0005</w:t>
            </w:r>
          </w:p>
        </w:tc>
      </w:tr>
      <w:tr w:rsidR="001F4068" w:rsidRPr="00CB37D3" w14:paraId="32D99845" w14:textId="77777777" w:rsidTr="0006784E">
        <w:trPr>
          <w:trHeight w:val="300"/>
        </w:trPr>
        <w:tc>
          <w:tcPr>
            <w:tcW w:w="960" w:type="dxa"/>
            <w:vMerge/>
            <w:tcBorders>
              <w:left w:val="single" w:sz="8" w:space="0" w:color="FFFFFF"/>
              <w:right w:val="single" w:sz="8" w:space="0" w:color="FFFFFF"/>
            </w:tcBorders>
            <w:shd w:val="clear" w:color="auto" w:fill="E9EDF4"/>
          </w:tcPr>
          <w:p w14:paraId="3BAE8B9C" w14:textId="77777777" w:rsidR="001F4068" w:rsidRPr="00C33576" w:rsidRDefault="001F4068" w:rsidP="0006784E">
            <w:pPr>
              <w:spacing w:after="0" w:line="300" w:lineRule="atLeast"/>
              <w:jc w:val="both"/>
              <w:textAlignment w:val="bottom"/>
              <w:rPr>
                <w:rFonts w:ascii="Calibri" w:hAnsi="Calibri"/>
                <w:kern w:val="24"/>
                <w:sz w:val="16"/>
              </w:rPr>
            </w:pP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322EBF22"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0.0269</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6673E90"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0.0634</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1D7F188"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0.7137</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459B25E"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0.0085</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101C9054"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0.0002</w:t>
            </w:r>
          </w:p>
        </w:tc>
      </w:tr>
      <w:tr w:rsidR="001F4068" w:rsidRPr="00CB37D3" w14:paraId="1AE6A803" w14:textId="77777777" w:rsidTr="0006784E">
        <w:trPr>
          <w:trHeight w:val="300"/>
        </w:trPr>
        <w:tc>
          <w:tcPr>
            <w:tcW w:w="960" w:type="dxa"/>
            <w:vMerge/>
            <w:tcBorders>
              <w:left w:val="single" w:sz="8" w:space="0" w:color="FFFFFF"/>
              <w:right w:val="single" w:sz="8" w:space="0" w:color="FFFFFF"/>
            </w:tcBorders>
            <w:shd w:val="clear" w:color="auto" w:fill="E9EDF4"/>
          </w:tcPr>
          <w:p w14:paraId="60B359EB" w14:textId="77777777" w:rsidR="001F4068" w:rsidRPr="00C33576" w:rsidRDefault="001F4068" w:rsidP="0006784E">
            <w:pPr>
              <w:spacing w:after="0" w:line="300" w:lineRule="atLeast"/>
              <w:jc w:val="both"/>
              <w:textAlignment w:val="bottom"/>
              <w:rPr>
                <w:rFonts w:ascii="Calibri" w:hAnsi="Calibri"/>
                <w:kern w:val="24"/>
                <w:sz w:val="16"/>
              </w:rPr>
            </w:pP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B8D77D1"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0.1654</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D3A78E5"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0.0173</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73CDF94"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0.0125</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655A0A4E"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0.4824</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A4A2E7F"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0.0008</w:t>
            </w:r>
          </w:p>
        </w:tc>
      </w:tr>
      <w:tr w:rsidR="001F4068" w:rsidRPr="00CB37D3" w14:paraId="7DDB5874" w14:textId="77777777" w:rsidTr="0006784E">
        <w:trPr>
          <w:trHeight w:val="300"/>
        </w:trPr>
        <w:tc>
          <w:tcPr>
            <w:tcW w:w="960" w:type="dxa"/>
            <w:vMerge/>
            <w:tcBorders>
              <w:left w:val="single" w:sz="8" w:space="0" w:color="FFFFFF"/>
              <w:bottom w:val="single" w:sz="8" w:space="0" w:color="FFFFFF"/>
              <w:right w:val="single" w:sz="8" w:space="0" w:color="FFFFFF"/>
            </w:tcBorders>
            <w:shd w:val="clear" w:color="auto" w:fill="E9EDF4"/>
          </w:tcPr>
          <w:p w14:paraId="1DC847D2" w14:textId="77777777" w:rsidR="001F4068" w:rsidRPr="00C33576" w:rsidRDefault="001F4068" w:rsidP="0006784E">
            <w:pPr>
              <w:spacing w:after="0" w:line="300" w:lineRule="atLeast"/>
              <w:jc w:val="both"/>
              <w:textAlignment w:val="bottom"/>
              <w:rPr>
                <w:rFonts w:ascii="Calibri" w:hAnsi="Calibri"/>
                <w:kern w:val="24"/>
                <w:sz w:val="16"/>
              </w:rPr>
            </w:pP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777F6C4"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0.0002</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0428EE0"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0.0000</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47000C3"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0.0001</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67DA2D6D"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0.0001</w:t>
            </w:r>
          </w:p>
        </w:tc>
        <w:tc>
          <w:tcPr>
            <w:tcW w:w="9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380DA0B7"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0.5156</w:t>
            </w:r>
          </w:p>
        </w:tc>
      </w:tr>
    </w:tbl>
    <w:p w14:paraId="62DD6162" w14:textId="77777777" w:rsidR="001F4068" w:rsidRPr="00CB37D3" w:rsidRDefault="001F4068" w:rsidP="001F4068">
      <w:pPr>
        <w:pStyle w:val="NormalWeb"/>
        <w:spacing w:before="0" w:beforeAutospacing="0" w:after="0" w:afterAutospacing="0"/>
        <w:jc w:val="both"/>
      </w:pPr>
    </w:p>
    <w:tbl>
      <w:tblPr>
        <w:tblW w:w="5654" w:type="dxa"/>
        <w:tblCellMar>
          <w:left w:w="0" w:type="dxa"/>
          <w:right w:w="0" w:type="dxa"/>
        </w:tblCellMar>
        <w:tblLook w:val="0600" w:firstRow="0" w:lastRow="0" w:firstColumn="0" w:lastColumn="0" w:noHBand="1" w:noVBand="1"/>
      </w:tblPr>
      <w:tblGrid>
        <w:gridCol w:w="866"/>
        <w:gridCol w:w="992"/>
        <w:gridCol w:w="992"/>
        <w:gridCol w:w="851"/>
        <w:gridCol w:w="992"/>
        <w:gridCol w:w="961"/>
      </w:tblGrid>
      <w:tr w:rsidR="001F4068" w:rsidRPr="00CB37D3" w14:paraId="6DE89C44" w14:textId="77777777" w:rsidTr="0006784E">
        <w:trPr>
          <w:trHeight w:val="300"/>
        </w:trPr>
        <w:tc>
          <w:tcPr>
            <w:tcW w:w="5654" w:type="dxa"/>
            <w:gridSpan w:val="6"/>
            <w:tcBorders>
              <w:top w:val="single" w:sz="8" w:space="0" w:color="FFFFFF"/>
              <w:left w:val="single" w:sz="8" w:space="0" w:color="FFFFFF"/>
              <w:bottom w:val="single" w:sz="8" w:space="0" w:color="FFFFFF"/>
              <w:right w:val="single" w:sz="8" w:space="0" w:color="FFFFFF"/>
            </w:tcBorders>
            <w:shd w:val="clear" w:color="auto" w:fill="E9EDF4"/>
          </w:tcPr>
          <w:p w14:paraId="61EDE78F" w14:textId="77777777" w:rsidR="001F4068" w:rsidRPr="00C33576" w:rsidRDefault="001F4068" w:rsidP="0006784E">
            <w:pPr>
              <w:spacing w:after="0" w:line="240" w:lineRule="auto"/>
              <w:textAlignment w:val="bottom"/>
              <w:rPr>
                <w:rFonts w:ascii="Calibri" w:hAnsi="Calibri"/>
                <w:b/>
                <w:kern w:val="24"/>
                <w:sz w:val="24"/>
              </w:rPr>
            </w:pPr>
            <w:r w:rsidRPr="00C33576">
              <w:rPr>
                <w:rFonts w:ascii="Calibri" w:hAnsi="Calibri"/>
                <w:b/>
                <w:kern w:val="24"/>
                <w:sz w:val="24"/>
              </w:rPr>
              <w:t xml:space="preserve">Matrix </w:t>
            </w:r>
            <w:r w:rsidRPr="00C33576">
              <w:rPr>
                <w:rFonts w:ascii="Calibri" w:hAnsi="Calibri"/>
                <w:b/>
                <w:i/>
                <w:kern w:val="24"/>
                <w:sz w:val="24"/>
              </w:rPr>
              <w:t>W</w:t>
            </w:r>
            <w:r w:rsidRPr="00C33576">
              <w:rPr>
                <w:rFonts w:ascii="Calibri" w:hAnsi="Calibri"/>
                <w:b/>
                <w:kern w:val="24"/>
                <w:sz w:val="24"/>
              </w:rPr>
              <w:t xml:space="preserve"> corresponding to Districts listed in table A1: </w:t>
            </w:r>
          </w:p>
          <w:p w14:paraId="7ED9358F" w14:textId="77777777" w:rsidR="001F4068" w:rsidRPr="00CB37D3" w:rsidRDefault="001F4068" w:rsidP="0006784E">
            <w:pPr>
              <w:pStyle w:val="NoSpacing"/>
              <w:rPr>
                <w:rFonts w:cstheme="minorHAnsi"/>
                <w:sz w:val="16"/>
                <w:szCs w:val="16"/>
                <w:lang w:eastAsia="en-GB"/>
              </w:rPr>
            </w:pPr>
            <w:r w:rsidRPr="00CB37D3">
              <w:rPr>
                <w:rFonts w:cstheme="minorHAnsi"/>
                <w:sz w:val="16"/>
                <w:szCs w:val="16"/>
                <w:lang w:eastAsia="en-GB"/>
              </w:rPr>
              <w:t xml:space="preserve">Same as </w:t>
            </w:r>
            <m:oMath>
              <m:acc>
                <m:accPr>
                  <m:chr m:val="̃"/>
                  <m:ctrlPr>
                    <w:rPr>
                      <w:rFonts w:ascii="Cambria Math" w:hAnsi="Cambria Math" w:cstheme="minorHAnsi"/>
                      <w:sz w:val="16"/>
                      <w:szCs w:val="16"/>
                      <w:lang w:eastAsia="en-GB"/>
                    </w:rPr>
                  </m:ctrlPr>
                </m:accPr>
                <m:e>
                  <m:r>
                    <w:rPr>
                      <w:rFonts w:ascii="Cambria Math" w:hAnsi="Cambria Math" w:cstheme="minorHAnsi"/>
                      <w:sz w:val="16"/>
                      <w:szCs w:val="16"/>
                      <w:lang w:eastAsia="en-GB"/>
                    </w:rPr>
                    <m:t>C</m:t>
                  </m:r>
                </m:e>
              </m:acc>
            </m:oMath>
            <w:r w:rsidRPr="00CB37D3">
              <w:rPr>
                <w:rFonts w:cstheme="minorHAnsi"/>
                <w:sz w:val="16"/>
                <w:szCs w:val="16"/>
                <w:lang w:eastAsia="en-GB"/>
              </w:rPr>
              <w:t xml:space="preserve"> but the leading diagonal cells are set to zero prior to standardisation (the frequency in each row divided by the row total).</w:t>
            </w:r>
          </w:p>
        </w:tc>
      </w:tr>
      <w:tr w:rsidR="001F4068" w:rsidRPr="00CB37D3" w14:paraId="5EA05F0B" w14:textId="77777777" w:rsidTr="0006784E">
        <w:trPr>
          <w:trHeight w:val="300"/>
        </w:trPr>
        <w:tc>
          <w:tcPr>
            <w:tcW w:w="866" w:type="dxa"/>
            <w:vMerge w:val="restart"/>
            <w:tcBorders>
              <w:top w:val="single" w:sz="8" w:space="0" w:color="FFFFFF"/>
              <w:left w:val="single" w:sz="8" w:space="0" w:color="FFFFFF"/>
              <w:right w:val="single" w:sz="8" w:space="0" w:color="FFFFFF"/>
            </w:tcBorders>
            <w:shd w:val="clear" w:color="auto" w:fill="E9EDF4"/>
          </w:tcPr>
          <w:p w14:paraId="0FBFDD82" w14:textId="77777777" w:rsidR="001F4068" w:rsidRPr="00C33576" w:rsidRDefault="00332CC1" w:rsidP="0006784E">
            <w:pPr>
              <w:spacing w:after="0" w:line="300" w:lineRule="atLeast"/>
              <w:jc w:val="both"/>
              <w:textAlignment w:val="bottom"/>
              <w:rPr>
                <w:rFonts w:ascii="Calibri" w:hAnsi="Calibri"/>
                <w:kern w:val="24"/>
                <w:sz w:val="16"/>
              </w:rPr>
            </w:pPr>
            <w:r>
              <w:rPr>
                <w:rFonts w:ascii="Calibri" w:hAnsi="Calibri"/>
                <w:color w:val="000000" w:themeColor="dark1"/>
                <w:kern w:val="24"/>
                <w:sz w:val="16"/>
              </w:rPr>
              <w:object w:dxaOrig="279" w:dyaOrig="360" w14:anchorId="353400DB">
                <v:shape id="_x0000_s1027" type="#_x0000_t75" style="position:absolute;left:0;text-align:left;margin-left:10.05pt;margin-top:29.85pt;width:24pt;height:13.95pt;z-index:251662336;visibility:visible;mso-position-horizontal-relative:text;mso-position-vertical-relative:text">
                  <v:imagedata r:id="rId310" o:title=""/>
                </v:shape>
                <o:OLEObject Type="Embed" ProgID="Equation.DSMT4" ShapeID="_x0000_s1027" DrawAspect="Content" ObjectID="_1617780109" r:id="rId311"/>
              </w:objec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EA180FE"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0.0000</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4DE7607"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0.0386</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562B7A6"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0.0312</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372C0B42"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0.2480</w:t>
            </w:r>
          </w:p>
        </w:tc>
        <w:tc>
          <w:tcPr>
            <w:tcW w:w="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FB8C668"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0.0010</w:t>
            </w:r>
          </w:p>
        </w:tc>
      </w:tr>
      <w:tr w:rsidR="001F4068" w:rsidRPr="00CB37D3" w14:paraId="72A5C1FC" w14:textId="77777777" w:rsidTr="0006784E">
        <w:trPr>
          <w:trHeight w:val="300"/>
        </w:trPr>
        <w:tc>
          <w:tcPr>
            <w:tcW w:w="866" w:type="dxa"/>
            <w:vMerge/>
            <w:tcBorders>
              <w:left w:val="single" w:sz="8" w:space="0" w:color="FFFFFF"/>
              <w:right w:val="single" w:sz="8" w:space="0" w:color="FFFFFF"/>
            </w:tcBorders>
            <w:shd w:val="clear" w:color="auto" w:fill="E9EDF4"/>
          </w:tcPr>
          <w:p w14:paraId="496B0BFA" w14:textId="77777777" w:rsidR="001F4068" w:rsidRPr="00C33576" w:rsidRDefault="001F4068" w:rsidP="0006784E">
            <w:pPr>
              <w:spacing w:after="0" w:line="300" w:lineRule="atLeast"/>
              <w:jc w:val="both"/>
              <w:textAlignment w:val="bottom"/>
              <w:rPr>
                <w:rFonts w:ascii="Calibri" w:hAnsi="Calibri"/>
                <w:kern w:val="24"/>
                <w:sz w:val="16"/>
              </w:rPr>
            </w:pP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AB74DA3"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0.1176</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52A3B8F"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0.0000</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03BB284"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0.1686</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1D3C5C6E"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0.0494</w:t>
            </w:r>
          </w:p>
        </w:tc>
        <w:tc>
          <w:tcPr>
            <w:tcW w:w="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FB29FB5"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0.0009</w:t>
            </w:r>
          </w:p>
        </w:tc>
      </w:tr>
      <w:tr w:rsidR="001F4068" w:rsidRPr="00CB37D3" w14:paraId="37F0B627" w14:textId="77777777" w:rsidTr="0006784E">
        <w:trPr>
          <w:trHeight w:val="300"/>
        </w:trPr>
        <w:tc>
          <w:tcPr>
            <w:tcW w:w="866" w:type="dxa"/>
            <w:vMerge/>
            <w:tcBorders>
              <w:left w:val="single" w:sz="8" w:space="0" w:color="FFFFFF"/>
              <w:right w:val="single" w:sz="8" w:space="0" w:color="FFFFFF"/>
            </w:tcBorders>
            <w:shd w:val="clear" w:color="auto" w:fill="E9EDF4"/>
          </w:tcPr>
          <w:p w14:paraId="5C0FDB94" w14:textId="77777777" w:rsidR="001F4068" w:rsidRPr="00C33576" w:rsidRDefault="001F4068" w:rsidP="0006784E">
            <w:pPr>
              <w:spacing w:after="0" w:line="300" w:lineRule="atLeast"/>
              <w:jc w:val="both"/>
              <w:textAlignment w:val="bottom"/>
              <w:rPr>
                <w:rFonts w:ascii="Calibri" w:hAnsi="Calibri"/>
                <w:kern w:val="24"/>
                <w:sz w:val="16"/>
              </w:rPr>
            </w:pP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6767A07E"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0.0938</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D84F8EA"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0.2215</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14DD524"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0.0000</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61F69F64"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0.0298</w:t>
            </w:r>
          </w:p>
        </w:tc>
        <w:tc>
          <w:tcPr>
            <w:tcW w:w="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4D4DACF3"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0.0008</w:t>
            </w:r>
          </w:p>
        </w:tc>
      </w:tr>
      <w:tr w:rsidR="001F4068" w:rsidRPr="00CB37D3" w14:paraId="19D45B19" w14:textId="77777777" w:rsidTr="0006784E">
        <w:trPr>
          <w:trHeight w:val="300"/>
        </w:trPr>
        <w:tc>
          <w:tcPr>
            <w:tcW w:w="866" w:type="dxa"/>
            <w:vMerge/>
            <w:tcBorders>
              <w:left w:val="single" w:sz="8" w:space="0" w:color="FFFFFF"/>
              <w:right w:val="single" w:sz="8" w:space="0" w:color="FFFFFF"/>
            </w:tcBorders>
            <w:shd w:val="clear" w:color="auto" w:fill="E9EDF4"/>
          </w:tcPr>
          <w:p w14:paraId="2888C1C6" w14:textId="77777777" w:rsidR="001F4068" w:rsidRPr="00C33576" w:rsidRDefault="001F4068" w:rsidP="0006784E">
            <w:pPr>
              <w:spacing w:after="0" w:line="300" w:lineRule="atLeast"/>
              <w:jc w:val="both"/>
              <w:textAlignment w:val="bottom"/>
              <w:rPr>
                <w:rFonts w:ascii="Calibri" w:hAnsi="Calibri"/>
                <w:kern w:val="24"/>
                <w:sz w:val="16"/>
              </w:rPr>
            </w:pP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17E86F9"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0.3195</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E0CC139"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0.0334</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1A5D551E"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0.0242</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997163A"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0.0000</w:t>
            </w:r>
          </w:p>
        </w:tc>
        <w:tc>
          <w:tcPr>
            <w:tcW w:w="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043C56A3"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0.0015</w:t>
            </w:r>
          </w:p>
        </w:tc>
      </w:tr>
      <w:tr w:rsidR="001F4068" w:rsidRPr="00F039D2" w14:paraId="713526CB" w14:textId="77777777" w:rsidTr="0006784E">
        <w:trPr>
          <w:trHeight w:val="300"/>
        </w:trPr>
        <w:tc>
          <w:tcPr>
            <w:tcW w:w="866" w:type="dxa"/>
            <w:vMerge/>
            <w:tcBorders>
              <w:left w:val="single" w:sz="8" w:space="0" w:color="FFFFFF"/>
              <w:bottom w:val="single" w:sz="8" w:space="0" w:color="FFFFFF"/>
              <w:right w:val="single" w:sz="8" w:space="0" w:color="FFFFFF"/>
            </w:tcBorders>
            <w:shd w:val="clear" w:color="auto" w:fill="E9EDF4"/>
          </w:tcPr>
          <w:p w14:paraId="02B7842F" w14:textId="77777777" w:rsidR="001F4068" w:rsidRPr="00C33576" w:rsidRDefault="001F4068" w:rsidP="0006784E">
            <w:pPr>
              <w:spacing w:after="0" w:line="300" w:lineRule="atLeast"/>
              <w:jc w:val="both"/>
              <w:textAlignment w:val="bottom"/>
              <w:rPr>
                <w:rFonts w:ascii="Calibri" w:hAnsi="Calibri"/>
                <w:kern w:val="24"/>
                <w:sz w:val="16"/>
              </w:rPr>
            </w:pP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5556B818"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0.0004</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AE15353"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0.0000</w:t>
            </w:r>
          </w:p>
        </w:tc>
        <w:tc>
          <w:tcPr>
            <w:tcW w:w="85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3146897F"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0.0003</w:t>
            </w:r>
          </w:p>
        </w:tc>
        <w:tc>
          <w:tcPr>
            <w:tcW w:w="99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7A1587CD" w14:textId="77777777" w:rsidR="001F4068" w:rsidRPr="00CB37D3"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0.0002</w:t>
            </w:r>
          </w:p>
        </w:tc>
        <w:tc>
          <w:tcPr>
            <w:tcW w:w="96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14:paraId="2707CC4B" w14:textId="77777777" w:rsidR="001F4068" w:rsidRPr="00F039D2" w:rsidRDefault="001F4068" w:rsidP="0006784E">
            <w:pPr>
              <w:spacing w:after="0" w:line="300" w:lineRule="atLeast"/>
              <w:jc w:val="center"/>
              <w:textAlignment w:val="bottom"/>
              <w:rPr>
                <w:rFonts w:ascii="Arial" w:eastAsia="Times New Roman" w:hAnsi="Arial" w:cs="Arial"/>
                <w:sz w:val="16"/>
                <w:szCs w:val="16"/>
                <w:lang w:eastAsia="en-GB"/>
              </w:rPr>
            </w:pPr>
            <w:r w:rsidRPr="00C33576">
              <w:rPr>
                <w:rFonts w:ascii="Calibri" w:hAnsi="Calibri"/>
                <w:kern w:val="24"/>
                <w:sz w:val="16"/>
              </w:rPr>
              <w:t>0.0000</w:t>
            </w:r>
          </w:p>
        </w:tc>
      </w:tr>
    </w:tbl>
    <w:p w14:paraId="1F1E39E0" w14:textId="77777777" w:rsidR="001F4068" w:rsidRPr="00F039D2" w:rsidRDefault="001F4068" w:rsidP="001F4068">
      <w:pPr>
        <w:pStyle w:val="NormalWeb"/>
        <w:spacing w:before="0" w:beforeAutospacing="0" w:after="0" w:afterAutospacing="0"/>
        <w:jc w:val="both"/>
        <w:rPr>
          <w:sz w:val="16"/>
          <w:szCs w:val="16"/>
        </w:rPr>
      </w:pPr>
    </w:p>
    <w:p w14:paraId="659F113A" w14:textId="77777777" w:rsidR="001F4068" w:rsidRPr="00F039D2" w:rsidRDefault="001F4068" w:rsidP="001F4068">
      <w:pPr>
        <w:jc w:val="both"/>
      </w:pPr>
    </w:p>
    <w:p w14:paraId="2264C985" w14:textId="77777777" w:rsidR="00600223" w:rsidRDefault="00600223" w:rsidP="001F4068">
      <w:pPr>
        <w:jc w:val="both"/>
      </w:pPr>
    </w:p>
    <w:p w14:paraId="0F93B8EE" w14:textId="77777777" w:rsidR="00600223" w:rsidRDefault="00600223" w:rsidP="001F4068">
      <w:pPr>
        <w:jc w:val="both"/>
      </w:pPr>
    </w:p>
    <w:p w14:paraId="312A2C1F" w14:textId="77777777" w:rsidR="00600223" w:rsidRDefault="00600223" w:rsidP="001F4068">
      <w:pPr>
        <w:jc w:val="both"/>
      </w:pPr>
    </w:p>
    <w:p w14:paraId="39EB7ACD" w14:textId="77777777" w:rsidR="00600223" w:rsidRDefault="00600223" w:rsidP="001F4068">
      <w:pPr>
        <w:jc w:val="both"/>
      </w:pPr>
    </w:p>
    <w:p w14:paraId="19D2E6A3" w14:textId="77777777" w:rsidR="00600223" w:rsidRDefault="00600223" w:rsidP="001F4068">
      <w:pPr>
        <w:jc w:val="both"/>
      </w:pPr>
    </w:p>
    <w:p w14:paraId="4AE6BEBA" w14:textId="77777777" w:rsidR="00600223" w:rsidRDefault="00600223" w:rsidP="001F4068">
      <w:pPr>
        <w:jc w:val="both"/>
      </w:pPr>
    </w:p>
    <w:p w14:paraId="112FB24D" w14:textId="77777777" w:rsidR="00600223" w:rsidRDefault="00600223" w:rsidP="00C33576">
      <w:pPr>
        <w:jc w:val="center"/>
      </w:pPr>
    </w:p>
    <w:p w14:paraId="6DD7E772" w14:textId="77777777" w:rsidR="00DA3C92" w:rsidRPr="00600223" w:rsidRDefault="00DA3C92" w:rsidP="00C33576">
      <w:pPr>
        <w:jc w:val="center"/>
      </w:pPr>
    </w:p>
    <w:tbl>
      <w:tblPr>
        <w:tblStyle w:val="TableGrid"/>
        <w:tblW w:w="0" w:type="auto"/>
        <w:jc w:val="center"/>
        <w:tblLook w:val="04A0" w:firstRow="1" w:lastRow="0" w:firstColumn="1" w:lastColumn="0" w:noHBand="0" w:noVBand="1"/>
      </w:tblPr>
      <w:tblGrid>
        <w:gridCol w:w="911"/>
        <w:gridCol w:w="7320"/>
      </w:tblGrid>
      <w:tr w:rsidR="007D4B6F" w:rsidRPr="007D4B6F" w14:paraId="50055896" w14:textId="77777777" w:rsidTr="00C33576">
        <w:trPr>
          <w:jc w:val="center"/>
        </w:trPr>
        <w:tc>
          <w:tcPr>
            <w:tcW w:w="8231" w:type="dxa"/>
            <w:gridSpan w:val="2"/>
          </w:tcPr>
          <w:p w14:paraId="0ED6F874" w14:textId="77777777" w:rsidR="007D4B6F" w:rsidRPr="00C33576" w:rsidRDefault="007D4B6F" w:rsidP="007D4B6F">
            <w:pPr>
              <w:spacing w:after="0" w:line="240" w:lineRule="auto"/>
              <w:jc w:val="center"/>
              <w:rPr>
                <w:b/>
              </w:rPr>
            </w:pPr>
            <w:r w:rsidRPr="00C33576">
              <w:rPr>
                <w:b/>
              </w:rPr>
              <w:lastRenderedPageBreak/>
              <w:t xml:space="preserve">List of variables used in the study. </w:t>
            </w:r>
          </w:p>
          <w:p w14:paraId="68062D51" w14:textId="77777777" w:rsidR="007D4B6F" w:rsidRPr="00C33576" w:rsidRDefault="007D4B6F" w:rsidP="007D4B6F">
            <w:pPr>
              <w:spacing w:after="0" w:line="240" w:lineRule="auto"/>
              <w:jc w:val="center"/>
              <w:rPr>
                <w:sz w:val="16"/>
              </w:rPr>
            </w:pPr>
            <w:r w:rsidRPr="00C33576">
              <w:rPr>
                <w:sz w:val="16"/>
              </w:rPr>
              <w:t xml:space="preserve">(Note that the table only includes variables that the paper defines without using equations. The rest are defined in the main body as they are introduced.) </w:t>
            </w:r>
          </w:p>
        </w:tc>
      </w:tr>
      <w:tr w:rsidR="007D4B6F" w:rsidRPr="007D4B6F" w14:paraId="41F6C137" w14:textId="77777777" w:rsidTr="00C33576">
        <w:trPr>
          <w:jc w:val="center"/>
        </w:trPr>
        <w:tc>
          <w:tcPr>
            <w:tcW w:w="8231" w:type="dxa"/>
            <w:gridSpan w:val="2"/>
          </w:tcPr>
          <w:p w14:paraId="78245C5D" w14:textId="77777777" w:rsidR="007D4B6F" w:rsidRPr="00C33576" w:rsidRDefault="007D4B6F" w:rsidP="007D4B6F">
            <w:pPr>
              <w:spacing w:after="0" w:line="240" w:lineRule="auto"/>
              <w:jc w:val="center"/>
              <w:rPr>
                <w:b/>
              </w:rPr>
            </w:pPr>
          </w:p>
          <w:p w14:paraId="25F84EE0" w14:textId="77777777" w:rsidR="007D4B6F" w:rsidRPr="00C33576" w:rsidRDefault="007D4B6F" w:rsidP="007D4B6F">
            <w:pPr>
              <w:spacing w:after="0" w:line="240" w:lineRule="auto"/>
              <w:jc w:val="center"/>
              <w:rPr>
                <w:b/>
              </w:rPr>
            </w:pPr>
            <w:r w:rsidRPr="00C33576">
              <w:rPr>
                <w:b/>
              </w:rPr>
              <w:t>Model</w:t>
            </w:r>
          </w:p>
        </w:tc>
      </w:tr>
      <w:tr w:rsidR="007D4B6F" w:rsidRPr="007D4B6F" w14:paraId="3B46F9AD" w14:textId="77777777" w:rsidTr="00C33576">
        <w:trPr>
          <w:jc w:val="center"/>
        </w:trPr>
        <w:tc>
          <w:tcPr>
            <w:tcW w:w="911" w:type="dxa"/>
          </w:tcPr>
          <w:p w14:paraId="325F2CA7" w14:textId="77777777" w:rsidR="007D4B6F" w:rsidRPr="00C33576" w:rsidRDefault="007D4B6F" w:rsidP="007D4B6F">
            <w:pPr>
              <w:spacing w:after="0" w:line="240" w:lineRule="auto"/>
              <w:rPr>
                <w:i/>
              </w:rPr>
            </w:pPr>
            <w:r w:rsidRPr="00C33576">
              <w:rPr>
                <w:i/>
              </w:rPr>
              <w:t>I</w:t>
            </w:r>
          </w:p>
        </w:tc>
        <w:tc>
          <w:tcPr>
            <w:tcW w:w="7320" w:type="dxa"/>
          </w:tcPr>
          <w:p w14:paraId="0840DC10" w14:textId="77777777" w:rsidR="007D4B6F" w:rsidRPr="00C33576" w:rsidRDefault="007D4B6F" w:rsidP="007D4B6F">
            <w:pPr>
              <w:spacing w:after="0" w:line="240" w:lineRule="auto"/>
            </w:pPr>
            <w:r w:rsidRPr="00C33576">
              <w:t>income within commuting distance</w:t>
            </w:r>
          </w:p>
        </w:tc>
      </w:tr>
      <w:tr w:rsidR="007D4B6F" w:rsidRPr="007D4B6F" w14:paraId="4F7B969E" w14:textId="77777777" w:rsidTr="00C33576">
        <w:trPr>
          <w:jc w:val="center"/>
        </w:trPr>
        <w:tc>
          <w:tcPr>
            <w:tcW w:w="911" w:type="dxa"/>
          </w:tcPr>
          <w:p w14:paraId="2CE52D9A" w14:textId="77777777" w:rsidR="007D4B6F" w:rsidRPr="00C33576" w:rsidRDefault="007D4B6F" w:rsidP="007D4B6F">
            <w:pPr>
              <w:spacing w:after="0" w:line="240" w:lineRule="auto"/>
              <w:rPr>
                <w:i/>
              </w:rPr>
            </w:pPr>
            <w:r w:rsidRPr="00C33576">
              <w:rPr>
                <w:i/>
              </w:rPr>
              <w:t>E</w:t>
            </w:r>
          </w:p>
        </w:tc>
        <w:tc>
          <w:tcPr>
            <w:tcW w:w="7320" w:type="dxa"/>
          </w:tcPr>
          <w:p w14:paraId="6F1338EC" w14:textId="77777777" w:rsidR="007D4B6F" w:rsidRPr="00C33576" w:rsidRDefault="007D4B6F" w:rsidP="007D4B6F">
            <w:pPr>
              <w:spacing w:after="0" w:line="240" w:lineRule="auto"/>
            </w:pPr>
            <w:r w:rsidRPr="00C33576">
              <w:t>The number of workers</w:t>
            </w:r>
          </w:p>
        </w:tc>
      </w:tr>
      <w:tr w:rsidR="007D4B6F" w:rsidRPr="007D4B6F" w14:paraId="4A36BE6C" w14:textId="77777777" w:rsidTr="00C33576">
        <w:trPr>
          <w:jc w:val="center"/>
        </w:trPr>
        <w:tc>
          <w:tcPr>
            <w:tcW w:w="911" w:type="dxa"/>
          </w:tcPr>
          <w:p w14:paraId="534DFFFE" w14:textId="77777777" w:rsidR="007D4B6F" w:rsidRPr="00C33576" w:rsidRDefault="007D4B6F" w:rsidP="007D4B6F">
            <w:pPr>
              <w:spacing w:after="0" w:line="240" w:lineRule="auto"/>
              <w:rPr>
                <w:i/>
              </w:rPr>
            </w:pPr>
            <w:r w:rsidRPr="00C33576">
              <w:rPr>
                <w:i/>
              </w:rPr>
              <w:t>w</w:t>
            </w:r>
          </w:p>
        </w:tc>
        <w:tc>
          <w:tcPr>
            <w:tcW w:w="7320" w:type="dxa"/>
          </w:tcPr>
          <w:p w14:paraId="72628FE2" w14:textId="77777777" w:rsidR="007D4B6F" w:rsidRPr="00C33576" w:rsidRDefault="007D4B6F" w:rsidP="007D4B6F">
            <w:pPr>
              <w:spacing w:after="0" w:line="240" w:lineRule="auto"/>
            </w:pPr>
            <w:r w:rsidRPr="00C33576">
              <w:t>Average wages</w:t>
            </w:r>
          </w:p>
        </w:tc>
      </w:tr>
      <w:tr w:rsidR="007D4B6F" w:rsidRPr="007D4B6F" w14:paraId="7735B8EA" w14:textId="77777777" w:rsidTr="00C33576">
        <w:trPr>
          <w:jc w:val="center"/>
        </w:trPr>
        <w:tc>
          <w:tcPr>
            <w:tcW w:w="911" w:type="dxa"/>
          </w:tcPr>
          <w:p w14:paraId="31340FAD" w14:textId="77777777" w:rsidR="007D4B6F" w:rsidRPr="00C33576" w:rsidRDefault="007D4B6F" w:rsidP="007D4B6F">
            <w:pPr>
              <w:spacing w:after="0" w:line="240" w:lineRule="auto"/>
              <w:rPr>
                <w:i/>
              </w:rPr>
            </w:pPr>
            <w:r w:rsidRPr="00C33576">
              <w:rPr>
                <w:i/>
              </w:rPr>
              <w:t>p</w:t>
            </w:r>
          </w:p>
        </w:tc>
        <w:tc>
          <w:tcPr>
            <w:tcW w:w="7320" w:type="dxa"/>
          </w:tcPr>
          <w:p w14:paraId="354A1C8A" w14:textId="77777777" w:rsidR="007D4B6F" w:rsidRPr="00C33576" w:rsidRDefault="007D4B6F" w:rsidP="007D4B6F">
            <w:pPr>
              <w:spacing w:after="0" w:line="240" w:lineRule="auto"/>
            </w:pPr>
            <w:r w:rsidRPr="00C33576">
              <w:t>Average house price</w:t>
            </w:r>
          </w:p>
        </w:tc>
      </w:tr>
      <w:tr w:rsidR="007D4B6F" w:rsidRPr="007D4B6F" w14:paraId="7ABBF4D8" w14:textId="77777777" w:rsidTr="00C33576">
        <w:trPr>
          <w:jc w:val="center"/>
        </w:trPr>
        <w:tc>
          <w:tcPr>
            <w:tcW w:w="911" w:type="dxa"/>
          </w:tcPr>
          <w:p w14:paraId="6303E097" w14:textId="77777777" w:rsidR="007D4B6F" w:rsidRPr="00C33576" w:rsidRDefault="007D4B6F" w:rsidP="007D4B6F">
            <w:pPr>
              <w:spacing w:after="0" w:line="240" w:lineRule="auto"/>
              <w:rPr>
                <w:i/>
              </w:rPr>
            </w:pPr>
            <w:r w:rsidRPr="00C33576">
              <w:rPr>
                <w:i/>
              </w:rPr>
              <w:t>i</w:t>
            </w:r>
          </w:p>
        </w:tc>
        <w:tc>
          <w:tcPr>
            <w:tcW w:w="7320" w:type="dxa"/>
          </w:tcPr>
          <w:p w14:paraId="26CBFD2A" w14:textId="77777777" w:rsidR="007D4B6F" w:rsidRPr="00C33576" w:rsidRDefault="007D4B6F" w:rsidP="007D4B6F">
            <w:pPr>
              <w:spacing w:after="0" w:line="240" w:lineRule="auto"/>
            </w:pPr>
            <w:r w:rsidRPr="00C33576">
              <w:t>District</w:t>
            </w:r>
          </w:p>
        </w:tc>
      </w:tr>
      <w:tr w:rsidR="007D4B6F" w:rsidRPr="007D4B6F" w14:paraId="1A0555A1" w14:textId="77777777" w:rsidTr="00C33576">
        <w:trPr>
          <w:jc w:val="center"/>
        </w:trPr>
        <w:tc>
          <w:tcPr>
            <w:tcW w:w="911" w:type="dxa"/>
          </w:tcPr>
          <w:p w14:paraId="17ACF257" w14:textId="77777777" w:rsidR="007D4B6F" w:rsidRPr="00C33576" w:rsidRDefault="007D4B6F" w:rsidP="007D4B6F">
            <w:pPr>
              <w:spacing w:after="0" w:line="240" w:lineRule="auto"/>
              <w:rPr>
                <w:i/>
              </w:rPr>
            </w:pPr>
            <w:r w:rsidRPr="00C33576">
              <w:rPr>
                <w:i/>
              </w:rPr>
              <w:t>t</w:t>
            </w:r>
          </w:p>
        </w:tc>
        <w:tc>
          <w:tcPr>
            <w:tcW w:w="7320" w:type="dxa"/>
          </w:tcPr>
          <w:p w14:paraId="60D9AE6C" w14:textId="77777777" w:rsidR="007D4B6F" w:rsidRPr="00C33576" w:rsidRDefault="007D4B6F" w:rsidP="007D4B6F">
            <w:pPr>
              <w:spacing w:after="0" w:line="240" w:lineRule="auto"/>
            </w:pPr>
            <w:r w:rsidRPr="00C33576">
              <w:t>Time period (year)</w:t>
            </w:r>
          </w:p>
        </w:tc>
      </w:tr>
      <w:tr w:rsidR="007D4B6F" w:rsidRPr="007D4B6F" w14:paraId="19DA8FAC" w14:textId="77777777" w:rsidTr="00C33576">
        <w:trPr>
          <w:jc w:val="center"/>
        </w:trPr>
        <w:tc>
          <w:tcPr>
            <w:tcW w:w="911" w:type="dxa"/>
          </w:tcPr>
          <w:p w14:paraId="59B2C6A5" w14:textId="77777777" w:rsidR="007D4B6F" w:rsidRPr="00C33576" w:rsidRDefault="007D4B6F" w:rsidP="007D4B6F">
            <w:pPr>
              <w:spacing w:after="0" w:line="240" w:lineRule="auto"/>
              <w:rPr>
                <w:i/>
              </w:rPr>
            </w:pPr>
          </w:p>
          <w:p w14:paraId="3A7B9AE2" w14:textId="77777777" w:rsidR="007D4B6F" w:rsidRDefault="007D4B6F" w:rsidP="007D4B6F">
            <w:pPr>
              <w:spacing w:after="0" w:line="240" w:lineRule="auto"/>
              <w:rPr>
                <w:i/>
                <w:color w:val="C00000"/>
              </w:rPr>
            </w:pPr>
            <w:r w:rsidRPr="007D4B6F">
              <w:rPr>
                <w:i/>
                <w:color w:val="C00000"/>
                <w:position w:val="-12"/>
              </w:rPr>
              <w:object w:dxaOrig="300" w:dyaOrig="400" w14:anchorId="271192F9">
                <v:shape id="_x0000_i1184" type="#_x0000_t75" style="width:15pt;height:15pt" o:ole="">
                  <v:imagedata r:id="rId54" o:title=""/>
                </v:shape>
                <o:OLEObject Type="Embed" ProgID="Equation.DSMT4" ShapeID="_x0000_i1184" DrawAspect="Content" ObjectID="_1617780096" r:id="rId312"/>
              </w:object>
            </w:r>
          </w:p>
          <w:p w14:paraId="32F19C01" w14:textId="77777777" w:rsidR="00AC3667" w:rsidRPr="00C33576" w:rsidRDefault="00AC3667" w:rsidP="007D4B6F">
            <w:pPr>
              <w:spacing w:after="0" w:line="240" w:lineRule="auto"/>
              <w:rPr>
                <w:rFonts w:ascii="Calibri" w:hAnsi="Calibri"/>
                <w:i/>
              </w:rPr>
            </w:pPr>
          </w:p>
        </w:tc>
        <w:tc>
          <w:tcPr>
            <w:tcW w:w="7320" w:type="dxa"/>
          </w:tcPr>
          <w:p w14:paraId="79FAAC46" w14:textId="77777777" w:rsidR="007D4B6F" w:rsidRPr="00C33576" w:rsidRDefault="007D4B6F" w:rsidP="007D4B6F">
            <w:pPr>
              <w:spacing w:after="0" w:line="240" w:lineRule="auto"/>
            </w:pPr>
            <w:r w:rsidRPr="00C33576">
              <w:rPr>
                <w:i/>
              </w:rPr>
              <w:t>N</w:t>
            </w:r>
            <w:r w:rsidRPr="00C33576">
              <w:t xml:space="preserve"> by </w:t>
            </w:r>
            <w:r w:rsidRPr="00C33576">
              <w:rPr>
                <w:i/>
              </w:rPr>
              <w:t>N</w:t>
            </w:r>
            <w:r w:rsidRPr="00C33576">
              <w:t xml:space="preserve"> matrix in which row </w:t>
            </w:r>
            <w:r w:rsidRPr="00C33576">
              <w:rPr>
                <w:i/>
              </w:rPr>
              <w:t>i</w:t>
            </w:r>
            <w:r w:rsidRPr="00C33576">
              <w:t xml:space="preserve"> (</w:t>
            </w:r>
            <w:r w:rsidRPr="00C33576">
              <w:rPr>
                <w:i/>
              </w:rPr>
              <w:t xml:space="preserve">i </w:t>
            </w:r>
            <w:r w:rsidRPr="00C33576">
              <w:t>= 1,…,</w:t>
            </w:r>
            <w:r w:rsidRPr="00C33576">
              <w:rPr>
                <w:i/>
              </w:rPr>
              <w:t>N</w:t>
            </w:r>
            <w:r w:rsidRPr="00C33576">
              <w:t xml:space="preserve">) contains the proportions of commuters travelling from District </w:t>
            </w:r>
            <w:r w:rsidRPr="00C33576">
              <w:rPr>
                <w:i/>
              </w:rPr>
              <w:t>i</w:t>
            </w:r>
            <w:r w:rsidRPr="00C33576">
              <w:t xml:space="preserve">  to work in each of the </w:t>
            </w:r>
            <w:r w:rsidRPr="00C33576">
              <w:rPr>
                <w:i/>
              </w:rPr>
              <w:t>N</w:t>
            </w:r>
            <w:r w:rsidRPr="00C33576">
              <w:t xml:space="preserve"> Districts</w:t>
            </w:r>
          </w:p>
          <w:p w14:paraId="20AFF86F" w14:textId="77777777" w:rsidR="00AC3667" w:rsidRPr="00C33576" w:rsidRDefault="00AC3667" w:rsidP="007D4B6F">
            <w:pPr>
              <w:spacing w:after="0" w:line="240" w:lineRule="auto"/>
            </w:pPr>
          </w:p>
        </w:tc>
      </w:tr>
      <w:tr w:rsidR="00AC3667" w:rsidRPr="007D4B6F" w14:paraId="6BEE2454" w14:textId="77777777" w:rsidTr="00C33576">
        <w:trPr>
          <w:jc w:val="center"/>
        </w:trPr>
        <w:tc>
          <w:tcPr>
            <w:tcW w:w="911" w:type="dxa"/>
          </w:tcPr>
          <w:p w14:paraId="70C668B0" w14:textId="77777777" w:rsidR="00AC3667" w:rsidRPr="00C33576" w:rsidRDefault="00AC3667" w:rsidP="007D4B6F">
            <w:pPr>
              <w:spacing w:after="0" w:line="240" w:lineRule="auto"/>
              <w:rPr>
                <w:i/>
              </w:rPr>
            </w:pPr>
            <w:r w:rsidRPr="007D4B6F">
              <w:rPr>
                <w:i/>
                <w:color w:val="C00000"/>
                <w:position w:val="-12"/>
              </w:rPr>
              <w:object w:dxaOrig="360" w:dyaOrig="360" w14:anchorId="684023E2">
                <v:shape id="_x0000_i1185" type="#_x0000_t75" style="width:15pt;height:15pt" o:ole="">
                  <v:imagedata r:id="rId56" o:title=""/>
                </v:shape>
                <o:OLEObject Type="Embed" ProgID="Equation.DSMT4" ShapeID="_x0000_i1185" DrawAspect="Content" ObjectID="_1617780097" r:id="rId313"/>
              </w:object>
            </w:r>
          </w:p>
        </w:tc>
        <w:tc>
          <w:tcPr>
            <w:tcW w:w="7320" w:type="dxa"/>
          </w:tcPr>
          <w:p w14:paraId="06AB126A" w14:textId="77777777" w:rsidR="00AC3667" w:rsidRPr="00C33576" w:rsidRDefault="00AC3667" w:rsidP="007D4B6F">
            <w:pPr>
              <w:spacing w:after="0" w:line="240" w:lineRule="auto"/>
              <w:rPr>
                <w:i/>
              </w:rPr>
            </w:pPr>
            <w:r w:rsidRPr="00C33576">
              <w:rPr>
                <w:i/>
              </w:rPr>
              <w:t>N</w:t>
            </w:r>
            <w:r w:rsidRPr="00C33576">
              <w:t xml:space="preserve"> by </w:t>
            </w:r>
            <w:r w:rsidRPr="00C33576">
              <w:rPr>
                <w:i/>
              </w:rPr>
              <w:t>N</w:t>
            </w:r>
            <w:r w:rsidRPr="00C33576">
              <w:t xml:space="preserve"> matrix based on commuting frequencies, with zeros on main diagonal, and row normalised so that rows sum to 1.0</w:t>
            </w:r>
          </w:p>
        </w:tc>
      </w:tr>
      <w:tr w:rsidR="007D4B6F" w:rsidRPr="007D4B6F" w14:paraId="66CEE748" w14:textId="77777777" w:rsidTr="00C33576">
        <w:trPr>
          <w:jc w:val="center"/>
        </w:trPr>
        <w:tc>
          <w:tcPr>
            <w:tcW w:w="911" w:type="dxa"/>
          </w:tcPr>
          <w:p w14:paraId="29F490B8" w14:textId="77777777" w:rsidR="007D4B6F" w:rsidRPr="00C33576" w:rsidRDefault="007D4B6F" w:rsidP="007D4B6F">
            <w:pPr>
              <w:spacing w:after="0" w:line="240" w:lineRule="auto"/>
              <w:rPr>
                <w:i/>
              </w:rPr>
            </w:pPr>
            <w:r w:rsidRPr="00C33576">
              <w:rPr>
                <w:i/>
              </w:rPr>
              <w:t xml:space="preserve">S </w:t>
            </w:r>
          </w:p>
        </w:tc>
        <w:tc>
          <w:tcPr>
            <w:tcW w:w="7320" w:type="dxa"/>
          </w:tcPr>
          <w:p w14:paraId="2660B365" w14:textId="77777777" w:rsidR="007D4B6F" w:rsidRPr="00C33576" w:rsidRDefault="007D4B6F" w:rsidP="007D4B6F">
            <w:pPr>
              <w:spacing w:after="0" w:line="240" w:lineRule="auto"/>
            </w:pPr>
            <w:r w:rsidRPr="00C33576">
              <w:t>Stock of dwellings</w:t>
            </w:r>
          </w:p>
        </w:tc>
      </w:tr>
      <w:tr w:rsidR="00E84198" w:rsidRPr="007D4B6F" w14:paraId="00B070D1" w14:textId="77777777" w:rsidTr="00C33576">
        <w:trPr>
          <w:jc w:val="center"/>
        </w:trPr>
        <w:tc>
          <w:tcPr>
            <w:tcW w:w="911" w:type="dxa"/>
          </w:tcPr>
          <w:p w14:paraId="2A8B9AD6" w14:textId="77777777" w:rsidR="00E84198" w:rsidRPr="00C33576" w:rsidRDefault="00E84198" w:rsidP="007D4B6F">
            <w:pPr>
              <w:spacing w:after="0" w:line="240" w:lineRule="auto"/>
              <w:rPr>
                <w:i/>
              </w:rPr>
            </w:pPr>
            <w:r w:rsidRPr="00C33576">
              <w:rPr>
                <w:i/>
              </w:rPr>
              <w:t>B</w:t>
            </w:r>
          </w:p>
        </w:tc>
        <w:tc>
          <w:tcPr>
            <w:tcW w:w="7320" w:type="dxa"/>
          </w:tcPr>
          <w:p w14:paraId="48BFC9E0" w14:textId="77777777" w:rsidR="00E84198" w:rsidRPr="00C33576" w:rsidRDefault="00E84198" w:rsidP="007D4B6F">
            <w:pPr>
              <w:spacing w:after="0" w:line="240" w:lineRule="auto"/>
            </w:pPr>
            <w:r w:rsidRPr="00C33576">
              <w:t>Bank of England interest rate</w:t>
            </w:r>
          </w:p>
        </w:tc>
      </w:tr>
      <w:tr w:rsidR="00E84198" w:rsidRPr="007D4B6F" w14:paraId="5D01F1CC" w14:textId="77777777" w:rsidTr="00C33576">
        <w:trPr>
          <w:jc w:val="center"/>
        </w:trPr>
        <w:tc>
          <w:tcPr>
            <w:tcW w:w="911" w:type="dxa"/>
          </w:tcPr>
          <w:p w14:paraId="0BE4BE9F" w14:textId="77777777" w:rsidR="00E84198" w:rsidRPr="00C33576" w:rsidRDefault="00E84198" w:rsidP="007D4B6F">
            <w:pPr>
              <w:spacing w:after="0" w:line="240" w:lineRule="auto"/>
              <w:rPr>
                <w:i/>
              </w:rPr>
            </w:pPr>
            <w:r w:rsidRPr="00C33576">
              <w:rPr>
                <w:i/>
              </w:rPr>
              <w:t>F</w:t>
            </w:r>
          </w:p>
        </w:tc>
        <w:tc>
          <w:tcPr>
            <w:tcW w:w="7320" w:type="dxa"/>
          </w:tcPr>
          <w:p w14:paraId="6171922F" w14:textId="77777777" w:rsidR="00E84198" w:rsidRPr="00C33576" w:rsidRDefault="00E84198" w:rsidP="007D4B6F">
            <w:pPr>
              <w:spacing w:after="0" w:line="240" w:lineRule="auto"/>
            </w:pPr>
            <w:r w:rsidRPr="00C33576">
              <w:t>FTSE</w:t>
            </w:r>
            <w:r w:rsidR="002975A4">
              <w:t xml:space="preserve"> ALL SHARES</w:t>
            </w:r>
            <w:r w:rsidRPr="00C33576">
              <w:t xml:space="preserve"> index</w:t>
            </w:r>
          </w:p>
        </w:tc>
      </w:tr>
      <w:tr w:rsidR="007D4B6F" w:rsidRPr="007D4B6F" w14:paraId="14929109" w14:textId="77777777" w:rsidTr="00C33576">
        <w:trPr>
          <w:jc w:val="center"/>
        </w:trPr>
        <w:tc>
          <w:tcPr>
            <w:tcW w:w="911" w:type="dxa"/>
          </w:tcPr>
          <w:p w14:paraId="2EA603AA" w14:textId="77777777" w:rsidR="007D4B6F" w:rsidRPr="007E1040" w:rsidRDefault="007D4B6F" w:rsidP="007D4B6F">
            <w:pPr>
              <w:spacing w:after="0" w:line="240" w:lineRule="auto"/>
              <w:rPr>
                <w:i/>
              </w:rPr>
            </w:pPr>
            <m:oMathPara>
              <m:oMathParaPr>
                <m:jc m:val="left"/>
              </m:oMathParaPr>
              <m:oMath>
                <m:r>
                  <w:rPr>
                    <w:rFonts w:ascii="Cambria Math" w:hAnsi="Cambria Math"/>
                  </w:rPr>
                  <m:t>ω, ς</m:t>
                </m:r>
              </m:oMath>
            </m:oMathPara>
          </w:p>
        </w:tc>
        <w:tc>
          <w:tcPr>
            <w:tcW w:w="7320" w:type="dxa"/>
          </w:tcPr>
          <w:p w14:paraId="31E76175" w14:textId="77777777" w:rsidR="007D4B6F" w:rsidRPr="007E1040" w:rsidRDefault="007D4B6F" w:rsidP="007D4B6F">
            <w:pPr>
              <w:spacing w:after="0" w:line="240" w:lineRule="auto"/>
            </w:pPr>
            <w:r w:rsidRPr="007E1040">
              <w:t>Random disturbances of demand and supply equations</w:t>
            </w:r>
          </w:p>
        </w:tc>
      </w:tr>
      <w:tr w:rsidR="007D4B6F" w:rsidRPr="007D4B6F" w14:paraId="491F4197" w14:textId="77777777" w:rsidTr="00C33576">
        <w:trPr>
          <w:jc w:val="center"/>
        </w:trPr>
        <w:tc>
          <w:tcPr>
            <w:tcW w:w="8231" w:type="dxa"/>
            <w:gridSpan w:val="2"/>
          </w:tcPr>
          <w:p w14:paraId="55D2BD57" w14:textId="77777777" w:rsidR="007D4B6F" w:rsidRPr="00C33576" w:rsidRDefault="007D4B6F" w:rsidP="007D4B6F">
            <w:pPr>
              <w:spacing w:after="0" w:line="240" w:lineRule="auto"/>
            </w:pPr>
          </w:p>
          <w:p w14:paraId="10B69FDB" w14:textId="77777777" w:rsidR="007D4B6F" w:rsidRPr="00C33576" w:rsidRDefault="00E71411" w:rsidP="007D4B6F">
            <w:pPr>
              <w:spacing w:after="0" w:line="240" w:lineRule="auto"/>
              <w:jc w:val="center"/>
              <w:rPr>
                <w:b/>
              </w:rPr>
            </w:pPr>
            <w:r w:rsidRPr="00C33576">
              <w:rPr>
                <w:b/>
              </w:rPr>
              <w:t>Parameters of dynamic spatial panel specification</w:t>
            </w:r>
          </w:p>
        </w:tc>
      </w:tr>
      <w:tr w:rsidR="007D4B6F" w:rsidRPr="007D4B6F" w14:paraId="63D8BA56" w14:textId="77777777" w:rsidTr="00C33576">
        <w:trPr>
          <w:jc w:val="center"/>
        </w:trPr>
        <w:tc>
          <w:tcPr>
            <w:tcW w:w="911" w:type="dxa"/>
          </w:tcPr>
          <w:p w14:paraId="4F241E10" w14:textId="77777777" w:rsidR="007D4B6F" w:rsidRPr="00C33576" w:rsidRDefault="007D4B6F" w:rsidP="007D4B6F">
            <w:pPr>
              <w:pStyle w:val="NoSpacing"/>
              <w:rPr>
                <w:i/>
              </w:rPr>
            </w:pPr>
            <w:r w:rsidRPr="007D4B6F">
              <w:rPr>
                <w:i/>
                <w:color w:val="C00000"/>
                <w:position w:val="-10"/>
              </w:rPr>
              <w:object w:dxaOrig="200" w:dyaOrig="260" w14:anchorId="7FAD959A">
                <v:shape id="_x0000_i1186" type="#_x0000_t75" style="width:15pt;height:15pt" o:ole="">
                  <v:imagedata r:id="rId147" o:title=""/>
                </v:shape>
                <o:OLEObject Type="Embed" ProgID="Equation.DSMT4" ShapeID="_x0000_i1186" DrawAspect="Content" ObjectID="_1617780098" r:id="rId314"/>
              </w:object>
            </w:r>
          </w:p>
        </w:tc>
        <w:tc>
          <w:tcPr>
            <w:tcW w:w="7320" w:type="dxa"/>
          </w:tcPr>
          <w:p w14:paraId="37A22E58" w14:textId="77777777" w:rsidR="007D4B6F" w:rsidRPr="00C33576" w:rsidRDefault="007D4B6F" w:rsidP="007D4B6F">
            <w:pPr>
              <w:spacing w:after="0" w:line="240" w:lineRule="auto"/>
            </w:pPr>
            <w:r w:rsidRPr="00C33576">
              <w:t>Coefficient of the temporal lag of price</w:t>
            </w:r>
          </w:p>
        </w:tc>
      </w:tr>
      <w:tr w:rsidR="007D4B6F" w:rsidRPr="007D4B6F" w14:paraId="7A1CD3D7" w14:textId="77777777" w:rsidTr="00C33576">
        <w:trPr>
          <w:jc w:val="center"/>
        </w:trPr>
        <w:tc>
          <w:tcPr>
            <w:tcW w:w="911" w:type="dxa"/>
          </w:tcPr>
          <w:p w14:paraId="0C716351" w14:textId="77777777" w:rsidR="007D4B6F" w:rsidRPr="00C33576" w:rsidRDefault="007D4B6F" w:rsidP="007D4B6F">
            <w:pPr>
              <w:pStyle w:val="NoSpacing"/>
              <w:rPr>
                <w:i/>
                <w:vertAlign w:val="subscript"/>
              </w:rPr>
            </w:pPr>
            <w:r w:rsidRPr="007D4B6F">
              <w:rPr>
                <w:color w:val="C00000"/>
                <w:position w:val="-12"/>
                <w:vertAlign w:val="subscript"/>
              </w:rPr>
              <w:object w:dxaOrig="279" w:dyaOrig="360" w14:anchorId="4151227E">
                <v:shape id="_x0000_i1187" type="#_x0000_t75" style="width:15pt;height:21pt" o:ole="">
                  <v:imagedata r:id="rId149" o:title=""/>
                </v:shape>
                <o:OLEObject Type="Embed" ProgID="Equation.DSMT4" ShapeID="_x0000_i1187" DrawAspect="Content" ObjectID="_1617780099" r:id="rId315"/>
              </w:object>
            </w:r>
          </w:p>
        </w:tc>
        <w:tc>
          <w:tcPr>
            <w:tcW w:w="7320" w:type="dxa"/>
          </w:tcPr>
          <w:p w14:paraId="74FBC761" w14:textId="77777777" w:rsidR="007D4B6F" w:rsidRPr="00C33576" w:rsidRDefault="007D4B6F" w:rsidP="007D4B6F">
            <w:pPr>
              <w:spacing w:after="0" w:line="240" w:lineRule="auto"/>
            </w:pPr>
            <w:r w:rsidRPr="00C33576">
              <w:t>Coefficient of the spatial lag of price</w:t>
            </w:r>
          </w:p>
        </w:tc>
      </w:tr>
      <w:tr w:rsidR="007D4B6F" w:rsidRPr="007D4B6F" w14:paraId="77BF71F1" w14:textId="77777777" w:rsidTr="00C33576">
        <w:trPr>
          <w:jc w:val="center"/>
        </w:trPr>
        <w:tc>
          <w:tcPr>
            <w:tcW w:w="911" w:type="dxa"/>
          </w:tcPr>
          <w:p w14:paraId="3EF7C5D5" w14:textId="77777777" w:rsidR="007D4B6F" w:rsidRPr="00C33576" w:rsidRDefault="007D4B6F" w:rsidP="007D4B6F">
            <w:pPr>
              <w:pStyle w:val="NoSpacing"/>
              <w:rPr>
                <w:i/>
                <w:vertAlign w:val="subscript"/>
              </w:rPr>
            </w:pPr>
            <w:r w:rsidRPr="007D4B6F">
              <w:rPr>
                <w:i/>
                <w:color w:val="C00000"/>
                <w:position w:val="-12"/>
              </w:rPr>
              <w:object w:dxaOrig="260" w:dyaOrig="360" w14:anchorId="60A504D4">
                <v:shape id="_x0000_i1188" type="#_x0000_t75" style="width:15pt;height:21pt" o:ole="">
                  <v:imagedata r:id="rId151" o:title=""/>
                </v:shape>
                <o:OLEObject Type="Embed" ProgID="Equation.DSMT4" ShapeID="_x0000_i1188" DrawAspect="Content" ObjectID="_1617780100" r:id="rId316"/>
              </w:object>
            </w:r>
          </w:p>
        </w:tc>
        <w:tc>
          <w:tcPr>
            <w:tcW w:w="7320" w:type="dxa"/>
          </w:tcPr>
          <w:p w14:paraId="426D576B" w14:textId="77777777" w:rsidR="007D4B6F" w:rsidRPr="00C33576" w:rsidRDefault="007D4B6F" w:rsidP="007D4B6F">
            <w:pPr>
              <w:spacing w:after="0" w:line="240" w:lineRule="auto"/>
            </w:pPr>
            <w:r w:rsidRPr="00C33576">
              <w:t>Coefficient of income</w:t>
            </w:r>
          </w:p>
        </w:tc>
      </w:tr>
      <w:tr w:rsidR="007D4B6F" w:rsidRPr="007D4B6F" w14:paraId="66589030" w14:textId="77777777" w:rsidTr="00C33576">
        <w:trPr>
          <w:jc w:val="center"/>
        </w:trPr>
        <w:tc>
          <w:tcPr>
            <w:tcW w:w="911" w:type="dxa"/>
          </w:tcPr>
          <w:p w14:paraId="06833519" w14:textId="77777777" w:rsidR="007D4B6F" w:rsidRPr="00C33576" w:rsidRDefault="007D4B6F" w:rsidP="007D4B6F">
            <w:pPr>
              <w:pStyle w:val="NoSpacing"/>
              <w:rPr>
                <w:i/>
                <w:vertAlign w:val="subscript"/>
              </w:rPr>
            </w:pPr>
            <w:r w:rsidRPr="007D4B6F">
              <w:rPr>
                <w:i/>
                <w:color w:val="C00000"/>
                <w:position w:val="-12"/>
                <w:vertAlign w:val="subscript"/>
              </w:rPr>
              <w:object w:dxaOrig="300" w:dyaOrig="360" w14:anchorId="35B716AD">
                <v:shape id="_x0000_i1189" type="#_x0000_t75" style="width:21pt;height:21pt" o:ole="">
                  <v:imagedata r:id="rId153" o:title=""/>
                </v:shape>
                <o:OLEObject Type="Embed" ProgID="Equation.DSMT4" ShapeID="_x0000_i1189" DrawAspect="Content" ObjectID="_1617780101" r:id="rId317"/>
              </w:object>
            </w:r>
          </w:p>
        </w:tc>
        <w:tc>
          <w:tcPr>
            <w:tcW w:w="7320" w:type="dxa"/>
          </w:tcPr>
          <w:p w14:paraId="7298AE03" w14:textId="77777777" w:rsidR="007D4B6F" w:rsidRPr="00C33576" w:rsidRDefault="007D4B6F" w:rsidP="007D4B6F">
            <w:pPr>
              <w:spacing w:after="0" w:line="240" w:lineRule="auto"/>
            </w:pPr>
            <w:r w:rsidRPr="00C33576">
              <w:t>Coefficient of dwelling stock</w:t>
            </w:r>
          </w:p>
        </w:tc>
      </w:tr>
      <w:tr w:rsidR="00E84198" w:rsidRPr="007D4B6F" w14:paraId="561F2E49" w14:textId="77777777" w:rsidTr="00C33576">
        <w:trPr>
          <w:jc w:val="center"/>
        </w:trPr>
        <w:tc>
          <w:tcPr>
            <w:tcW w:w="911" w:type="dxa"/>
          </w:tcPr>
          <w:p w14:paraId="6EA07F3D" w14:textId="77777777" w:rsidR="00E84198" w:rsidRPr="00C33576" w:rsidRDefault="00E84198" w:rsidP="007D4B6F">
            <w:pPr>
              <w:pStyle w:val="NoSpacing"/>
              <w:rPr>
                <w:i/>
                <w:vertAlign w:val="subscript"/>
              </w:rPr>
            </w:pPr>
            <w:r w:rsidRPr="007D4B6F">
              <w:rPr>
                <w:i/>
                <w:color w:val="C00000"/>
                <w:position w:val="-12"/>
                <w:vertAlign w:val="subscript"/>
              </w:rPr>
              <w:object w:dxaOrig="279" w:dyaOrig="360" w14:anchorId="4BEDC6A2">
                <v:shape id="_x0000_i1190" type="#_x0000_t75" style="width:15pt;height:21pt" o:ole="">
                  <v:imagedata r:id="rId318" o:title=""/>
                </v:shape>
                <o:OLEObject Type="Embed" ProgID="Equation.DSMT4" ShapeID="_x0000_i1190" DrawAspect="Content" ObjectID="_1617780102" r:id="rId319"/>
              </w:object>
            </w:r>
          </w:p>
        </w:tc>
        <w:tc>
          <w:tcPr>
            <w:tcW w:w="7320" w:type="dxa"/>
          </w:tcPr>
          <w:p w14:paraId="1E3E4664" w14:textId="77777777" w:rsidR="00E84198" w:rsidRPr="00C33576" w:rsidRDefault="00E84198" w:rsidP="007D4B6F">
            <w:pPr>
              <w:spacing w:after="0" w:line="240" w:lineRule="auto"/>
            </w:pPr>
            <w:r w:rsidRPr="00C33576">
              <w:t xml:space="preserve">Interest rate coefficient </w:t>
            </w:r>
          </w:p>
        </w:tc>
      </w:tr>
      <w:tr w:rsidR="00E84198" w:rsidRPr="007D4B6F" w14:paraId="6270AD3B" w14:textId="77777777" w:rsidTr="00C33576">
        <w:trPr>
          <w:jc w:val="center"/>
        </w:trPr>
        <w:tc>
          <w:tcPr>
            <w:tcW w:w="911" w:type="dxa"/>
          </w:tcPr>
          <w:p w14:paraId="053F9D0F" w14:textId="77777777" w:rsidR="00E84198" w:rsidRPr="00C33576" w:rsidRDefault="00E84198" w:rsidP="007D4B6F">
            <w:pPr>
              <w:pStyle w:val="NoSpacing"/>
              <w:rPr>
                <w:i/>
                <w:vertAlign w:val="subscript"/>
              </w:rPr>
            </w:pPr>
            <w:r w:rsidRPr="007D4B6F">
              <w:rPr>
                <w:i/>
                <w:color w:val="C00000"/>
                <w:position w:val="-12"/>
                <w:vertAlign w:val="subscript"/>
              </w:rPr>
              <w:object w:dxaOrig="300" w:dyaOrig="360" w14:anchorId="7BEA223E">
                <v:shape id="_x0000_i1191" type="#_x0000_t75" style="width:21pt;height:21pt" o:ole="">
                  <v:imagedata r:id="rId320" o:title=""/>
                </v:shape>
                <o:OLEObject Type="Embed" ProgID="Equation.DSMT4" ShapeID="_x0000_i1191" DrawAspect="Content" ObjectID="_1617780103" r:id="rId321"/>
              </w:object>
            </w:r>
          </w:p>
        </w:tc>
        <w:tc>
          <w:tcPr>
            <w:tcW w:w="7320" w:type="dxa"/>
          </w:tcPr>
          <w:p w14:paraId="7479098F" w14:textId="77777777" w:rsidR="00E84198" w:rsidRPr="00C33576" w:rsidRDefault="00E84198" w:rsidP="007D4B6F">
            <w:pPr>
              <w:spacing w:after="0" w:line="240" w:lineRule="auto"/>
            </w:pPr>
            <w:r w:rsidRPr="00C33576">
              <w:t>Share index coefficient</w:t>
            </w:r>
          </w:p>
        </w:tc>
      </w:tr>
      <w:tr w:rsidR="007D4B6F" w:rsidRPr="007D4B6F" w14:paraId="46EF7358" w14:textId="77777777" w:rsidTr="00C33576">
        <w:trPr>
          <w:jc w:val="center"/>
        </w:trPr>
        <w:tc>
          <w:tcPr>
            <w:tcW w:w="911" w:type="dxa"/>
          </w:tcPr>
          <w:p w14:paraId="17B29B0F" w14:textId="77777777" w:rsidR="007D4B6F" w:rsidRPr="00C33576" w:rsidRDefault="007D4B6F" w:rsidP="007D4B6F">
            <w:pPr>
              <w:pStyle w:val="NoSpacing"/>
              <w:rPr>
                <w:i/>
              </w:rPr>
            </w:pPr>
            <w:r w:rsidRPr="007D4B6F">
              <w:rPr>
                <w:i/>
                <w:color w:val="C00000"/>
                <w:position w:val="-6"/>
              </w:rPr>
              <w:object w:dxaOrig="200" w:dyaOrig="279" w14:anchorId="6030AC38">
                <v:shape id="_x0000_i1192" type="#_x0000_t75" style="width:15pt;height:15pt" o:ole="">
                  <v:imagedata r:id="rId159" o:title=""/>
                </v:shape>
                <o:OLEObject Type="Embed" ProgID="Equation.DSMT4" ShapeID="_x0000_i1192" DrawAspect="Content" ObjectID="_1617780104" r:id="rId322"/>
              </w:object>
            </w:r>
          </w:p>
        </w:tc>
        <w:tc>
          <w:tcPr>
            <w:tcW w:w="7320" w:type="dxa"/>
          </w:tcPr>
          <w:p w14:paraId="39F35422" w14:textId="77777777" w:rsidR="007D4B6F" w:rsidRPr="00C33576" w:rsidRDefault="007D4B6F" w:rsidP="007D4B6F">
            <w:pPr>
              <w:spacing w:after="0" w:line="240" w:lineRule="auto"/>
            </w:pPr>
            <w:r w:rsidRPr="00C33576">
              <w:t>Coefficient of the spatial lag of the temporal lag of price</w:t>
            </w:r>
          </w:p>
        </w:tc>
      </w:tr>
      <w:tr w:rsidR="007D4B6F" w:rsidRPr="007D4B6F" w14:paraId="063FEAEE" w14:textId="77777777" w:rsidTr="00C33576">
        <w:trPr>
          <w:jc w:val="center"/>
        </w:trPr>
        <w:tc>
          <w:tcPr>
            <w:tcW w:w="911" w:type="dxa"/>
          </w:tcPr>
          <w:p w14:paraId="6B28CC62" w14:textId="77777777" w:rsidR="007D4B6F" w:rsidRPr="00C33576" w:rsidRDefault="007D4B6F" w:rsidP="007D4B6F">
            <w:pPr>
              <w:pStyle w:val="NoSpacing"/>
              <w:rPr>
                <w:i/>
                <w:vertAlign w:val="subscript"/>
              </w:rPr>
            </w:pPr>
            <w:r w:rsidRPr="007D4B6F">
              <w:rPr>
                <w:i/>
                <w:color w:val="C00000"/>
                <w:position w:val="-12"/>
              </w:rPr>
              <w:object w:dxaOrig="300" w:dyaOrig="360" w14:anchorId="464BB862">
                <v:shape id="_x0000_i1193" type="#_x0000_t75" style="width:21pt;height:21pt" o:ole="">
                  <v:imagedata r:id="rId161" o:title=""/>
                </v:shape>
                <o:OLEObject Type="Embed" ProgID="Equation.DSMT4" ShapeID="_x0000_i1193" DrawAspect="Content" ObjectID="_1617780105" r:id="rId323"/>
              </w:object>
            </w:r>
          </w:p>
        </w:tc>
        <w:tc>
          <w:tcPr>
            <w:tcW w:w="7320" w:type="dxa"/>
          </w:tcPr>
          <w:p w14:paraId="1735CE81" w14:textId="77777777" w:rsidR="007D4B6F" w:rsidRPr="00C33576" w:rsidRDefault="007D4B6F" w:rsidP="007D4B6F">
            <w:pPr>
              <w:spacing w:after="0" w:line="240" w:lineRule="auto"/>
            </w:pPr>
            <w:r w:rsidRPr="00C33576">
              <w:t xml:space="preserve">Coefficient of the </w:t>
            </w:r>
            <w:r w:rsidR="00E71411" w:rsidRPr="00C33576">
              <w:t>autoregressive spatial error process</w:t>
            </w:r>
          </w:p>
        </w:tc>
      </w:tr>
      <w:tr w:rsidR="007D4B6F" w:rsidRPr="007D4B6F" w14:paraId="5AEA2D5D" w14:textId="77777777" w:rsidTr="00C33576">
        <w:trPr>
          <w:jc w:val="center"/>
        </w:trPr>
        <w:tc>
          <w:tcPr>
            <w:tcW w:w="911" w:type="dxa"/>
          </w:tcPr>
          <w:p w14:paraId="5D246B8D" w14:textId="77777777" w:rsidR="007D4B6F" w:rsidRPr="00C33576" w:rsidRDefault="007D4B6F" w:rsidP="007D4B6F">
            <w:pPr>
              <w:pStyle w:val="NoSpacing"/>
              <w:rPr>
                <w:i/>
                <w:vertAlign w:val="subscript"/>
              </w:rPr>
            </w:pPr>
            <w:r w:rsidRPr="007D4B6F">
              <w:rPr>
                <w:i/>
                <w:color w:val="C00000"/>
                <w:position w:val="-14"/>
              </w:rPr>
              <w:object w:dxaOrig="320" w:dyaOrig="400" w14:anchorId="61ED71D9">
                <v:shape id="_x0000_i1194" type="#_x0000_t75" style="width:21pt;height:21pt" o:ole="">
                  <v:imagedata r:id="rId163" o:title=""/>
                </v:shape>
                <o:OLEObject Type="Embed" ProgID="Equation.DSMT4" ShapeID="_x0000_i1194" DrawAspect="Content" ObjectID="_1617780106" r:id="rId324"/>
              </w:object>
            </w:r>
          </w:p>
        </w:tc>
        <w:tc>
          <w:tcPr>
            <w:tcW w:w="7320" w:type="dxa"/>
          </w:tcPr>
          <w:p w14:paraId="593ED7D0" w14:textId="77777777" w:rsidR="007D4B6F" w:rsidRPr="00C33576" w:rsidRDefault="007D4B6F" w:rsidP="007D4B6F">
            <w:pPr>
              <w:spacing w:after="0" w:line="240" w:lineRule="auto"/>
            </w:pPr>
            <w:r w:rsidRPr="00C33576">
              <w:t xml:space="preserve">Variance of the </w:t>
            </w:r>
            <w:r w:rsidR="00E71411" w:rsidRPr="00C33576">
              <w:t>time-invariant error component</w:t>
            </w:r>
            <w:r w:rsidRPr="00C33576">
              <w:t xml:space="preserve"> </w:t>
            </w:r>
          </w:p>
        </w:tc>
      </w:tr>
      <w:tr w:rsidR="007D4B6F" w:rsidRPr="007D4B6F" w14:paraId="498788B1" w14:textId="77777777" w:rsidTr="00C33576">
        <w:trPr>
          <w:jc w:val="center"/>
        </w:trPr>
        <w:tc>
          <w:tcPr>
            <w:tcW w:w="911" w:type="dxa"/>
          </w:tcPr>
          <w:p w14:paraId="64DB2AB7" w14:textId="77777777" w:rsidR="007D4B6F" w:rsidRPr="00C33576" w:rsidRDefault="007D4B6F" w:rsidP="007D4B6F">
            <w:pPr>
              <w:pStyle w:val="NoSpacing"/>
              <w:rPr>
                <w:i/>
                <w:vertAlign w:val="subscript"/>
              </w:rPr>
            </w:pPr>
            <w:r w:rsidRPr="007D4B6F">
              <w:rPr>
                <w:i/>
                <w:color w:val="C00000"/>
                <w:position w:val="-12"/>
              </w:rPr>
              <w:object w:dxaOrig="320" w:dyaOrig="380" w14:anchorId="6D358166">
                <v:shape id="_x0000_i1195" type="#_x0000_t75" style="width:21pt;height:15pt" o:ole="">
                  <v:imagedata r:id="rId165" o:title=""/>
                </v:shape>
                <o:OLEObject Type="Embed" ProgID="Equation.DSMT4" ShapeID="_x0000_i1195" DrawAspect="Content" ObjectID="_1617780107" r:id="rId325"/>
              </w:object>
            </w:r>
          </w:p>
        </w:tc>
        <w:tc>
          <w:tcPr>
            <w:tcW w:w="7320" w:type="dxa"/>
          </w:tcPr>
          <w:p w14:paraId="470297D4" w14:textId="77777777" w:rsidR="007D4B6F" w:rsidRPr="00C33576" w:rsidRDefault="007D4B6F" w:rsidP="007D4B6F">
            <w:pPr>
              <w:spacing w:after="0" w:line="240" w:lineRule="auto"/>
            </w:pPr>
            <w:r w:rsidRPr="00C33576">
              <w:t xml:space="preserve">Variance of the </w:t>
            </w:r>
            <w:r w:rsidR="00AC3667" w:rsidRPr="00C33576">
              <w:t xml:space="preserve">transient </w:t>
            </w:r>
            <w:r w:rsidRPr="00C33576">
              <w:t xml:space="preserve">random disturbance  </w:t>
            </w:r>
          </w:p>
        </w:tc>
      </w:tr>
      <w:tr w:rsidR="007D4B6F" w:rsidRPr="007D4B6F" w14:paraId="5D8CBD19" w14:textId="77777777" w:rsidTr="00C33576">
        <w:trPr>
          <w:jc w:val="center"/>
        </w:trPr>
        <w:tc>
          <w:tcPr>
            <w:tcW w:w="911" w:type="dxa"/>
          </w:tcPr>
          <w:p w14:paraId="6F93BE9F" w14:textId="77777777" w:rsidR="007D4B6F" w:rsidRPr="00C33576" w:rsidRDefault="007D4B6F" w:rsidP="007D4B6F">
            <w:pPr>
              <w:spacing w:after="0" w:line="240" w:lineRule="auto"/>
            </w:pPr>
            <m:oMathPara>
              <m:oMathParaPr>
                <m:jc m:val="left"/>
              </m:oMathParaPr>
              <m:oMath>
                <m:r>
                  <w:rPr>
                    <w:rFonts w:ascii="Cambria Math" w:hAnsi="Cambria Math"/>
                    <w:color w:val="C00000"/>
                  </w:rPr>
                  <m:t>μ</m:t>
                </m:r>
              </m:oMath>
            </m:oMathPara>
          </w:p>
        </w:tc>
        <w:tc>
          <w:tcPr>
            <w:tcW w:w="7320" w:type="dxa"/>
          </w:tcPr>
          <w:p w14:paraId="1204CF2D" w14:textId="77777777" w:rsidR="007D4B6F" w:rsidRPr="00C33576" w:rsidRDefault="00E71411" w:rsidP="007D4B6F">
            <w:pPr>
              <w:spacing w:after="0" w:line="240" w:lineRule="auto"/>
            </w:pPr>
            <w:r w:rsidRPr="00C33576">
              <w:t>Time invariant error component accounting for unobserved sources of heterogeneity across district</w:t>
            </w:r>
          </w:p>
        </w:tc>
      </w:tr>
      <w:tr w:rsidR="007D4B6F" w:rsidRPr="007D4B6F" w14:paraId="752FCD7D" w14:textId="77777777" w:rsidTr="00C33576">
        <w:trPr>
          <w:jc w:val="center"/>
        </w:trPr>
        <w:tc>
          <w:tcPr>
            <w:tcW w:w="911" w:type="dxa"/>
          </w:tcPr>
          <w:p w14:paraId="7B3F5A6B" w14:textId="77777777" w:rsidR="007D4B6F" w:rsidRPr="00C33576" w:rsidRDefault="007D4B6F" w:rsidP="007D4B6F">
            <w:pPr>
              <w:spacing w:after="0" w:line="240" w:lineRule="auto"/>
              <w:rPr>
                <w:rFonts w:ascii="Calibri" w:hAnsi="Calibri"/>
              </w:rPr>
            </w:pPr>
            <m:oMathPara>
              <m:oMathParaPr>
                <m:jc m:val="left"/>
              </m:oMathParaPr>
              <m:oMath>
                <m:r>
                  <w:rPr>
                    <w:rFonts w:ascii="Cambria Math" w:hAnsi="Cambria Math"/>
                    <w:color w:val="C00000"/>
                  </w:rPr>
                  <m:t>υ</m:t>
                </m:r>
              </m:oMath>
            </m:oMathPara>
          </w:p>
        </w:tc>
        <w:tc>
          <w:tcPr>
            <w:tcW w:w="7320" w:type="dxa"/>
          </w:tcPr>
          <w:p w14:paraId="487CC21E" w14:textId="77777777" w:rsidR="007D4B6F" w:rsidRPr="00153558" w:rsidRDefault="00E71411" w:rsidP="007D4B6F">
            <w:pPr>
              <w:spacing w:after="0" w:line="240" w:lineRule="auto"/>
            </w:pPr>
            <w:r w:rsidRPr="00C33576">
              <w:t>Transient error component accounting for unobserved spatial and tempora</w:t>
            </w:r>
            <w:r w:rsidRPr="00153558">
              <w:t>l effects</w:t>
            </w:r>
          </w:p>
        </w:tc>
      </w:tr>
    </w:tbl>
    <w:p w14:paraId="45EB3763" w14:textId="77777777" w:rsidR="001F4068" w:rsidRPr="00F039D2" w:rsidRDefault="001F4068" w:rsidP="001F4068">
      <w:pPr>
        <w:pStyle w:val="MTDisplayEquation"/>
        <w:jc w:val="both"/>
      </w:pPr>
      <w:r w:rsidRPr="00F039D2">
        <w:tab/>
      </w:r>
    </w:p>
    <w:p w14:paraId="6BB897EB" w14:textId="77777777" w:rsidR="001F4068" w:rsidRPr="00F039D2" w:rsidRDefault="001F4068" w:rsidP="001F4068">
      <w:pPr>
        <w:jc w:val="both"/>
      </w:pPr>
    </w:p>
    <w:p w14:paraId="23A9131A" w14:textId="77777777" w:rsidR="0006784E" w:rsidRPr="00F039D2" w:rsidRDefault="0006784E"/>
    <w:sectPr w:rsidR="0006784E" w:rsidRPr="00F039D2" w:rsidSect="0006784E">
      <w:headerReference w:type="default" r:id="rId326"/>
      <w:footerReference w:type="default" r:id="rId3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7A0203" w14:textId="77777777" w:rsidR="00B07892" w:rsidRDefault="00B07892" w:rsidP="001F4068">
      <w:pPr>
        <w:spacing w:after="0" w:line="240" w:lineRule="auto"/>
      </w:pPr>
      <w:r>
        <w:separator/>
      </w:r>
    </w:p>
  </w:endnote>
  <w:endnote w:type="continuationSeparator" w:id="0">
    <w:p w14:paraId="3E35A936" w14:textId="77777777" w:rsidR="00B07892" w:rsidRDefault="00B07892" w:rsidP="001F4068">
      <w:pPr>
        <w:spacing w:after="0" w:line="240" w:lineRule="auto"/>
      </w:pPr>
      <w:r>
        <w:continuationSeparator/>
      </w:r>
    </w:p>
  </w:endnote>
  <w:endnote w:type="continuationNotice" w:id="1">
    <w:p w14:paraId="1AC2940A" w14:textId="77777777" w:rsidR="00B07892" w:rsidRDefault="00B078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TimesLTStd-Roman">
    <w:altName w:val="Times LT Std"/>
    <w:panose1 w:val="00000000000000000000"/>
    <w:charset w:val="4D"/>
    <w:family w:val="auto"/>
    <w:notTrueType/>
    <w:pitch w:val="default"/>
    <w:sig w:usb0="00000003" w:usb1="00000000" w:usb2="00000000" w:usb3="00000000" w:csb0="00000001" w:csb1="00000000"/>
  </w:font>
  <w:font w:name="TimesLTStd-Italic">
    <w:altName w:val="Times LT Std Phonetic"/>
    <w:panose1 w:val="00000000000000000000"/>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5573280"/>
      <w:docPartObj>
        <w:docPartGallery w:val="Page Numbers (Bottom of Page)"/>
        <w:docPartUnique/>
      </w:docPartObj>
    </w:sdtPr>
    <w:sdtEndPr>
      <w:rPr>
        <w:noProof/>
      </w:rPr>
    </w:sdtEndPr>
    <w:sdtContent>
      <w:p w14:paraId="6B160128" w14:textId="21C0CE7A" w:rsidR="00332CC1" w:rsidRDefault="00332CC1">
        <w:pPr>
          <w:pStyle w:val="Footer"/>
          <w:jc w:val="center"/>
        </w:pPr>
        <w:r>
          <w:fldChar w:fldCharType="begin"/>
        </w:r>
        <w:r>
          <w:instrText xml:space="preserve"> PAGE   \* MERGEFORMAT </w:instrText>
        </w:r>
        <w:r>
          <w:fldChar w:fldCharType="separate"/>
        </w:r>
        <w:r w:rsidR="00F920FB">
          <w:rPr>
            <w:noProof/>
          </w:rPr>
          <w:t>2</w:t>
        </w:r>
        <w:r>
          <w:rPr>
            <w:noProof/>
          </w:rPr>
          <w:fldChar w:fldCharType="end"/>
        </w:r>
      </w:p>
    </w:sdtContent>
  </w:sdt>
  <w:p w14:paraId="46375657" w14:textId="77777777" w:rsidR="00332CC1" w:rsidRDefault="00332C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673740" w14:textId="77777777" w:rsidR="00B07892" w:rsidRDefault="00B07892" w:rsidP="001F4068">
      <w:pPr>
        <w:spacing w:after="0" w:line="240" w:lineRule="auto"/>
      </w:pPr>
      <w:r>
        <w:separator/>
      </w:r>
    </w:p>
  </w:footnote>
  <w:footnote w:type="continuationSeparator" w:id="0">
    <w:p w14:paraId="22BF95C2" w14:textId="77777777" w:rsidR="00B07892" w:rsidRDefault="00B07892" w:rsidP="001F4068">
      <w:pPr>
        <w:spacing w:after="0" w:line="240" w:lineRule="auto"/>
      </w:pPr>
      <w:r>
        <w:continuationSeparator/>
      </w:r>
    </w:p>
  </w:footnote>
  <w:footnote w:type="continuationNotice" w:id="1">
    <w:p w14:paraId="113CADFD" w14:textId="77777777" w:rsidR="00B07892" w:rsidRDefault="00B07892">
      <w:pPr>
        <w:spacing w:after="0" w:line="240" w:lineRule="auto"/>
      </w:pPr>
    </w:p>
  </w:footnote>
  <w:footnote w:id="2">
    <w:p w14:paraId="61B0C190" w14:textId="77777777" w:rsidR="00332CC1" w:rsidRDefault="00332CC1" w:rsidP="001F4068">
      <w:pPr>
        <w:pStyle w:val="FootnoteText"/>
      </w:pPr>
      <w:r>
        <w:rPr>
          <w:rStyle w:val="FootnoteReference"/>
        </w:rPr>
        <w:footnoteRef/>
      </w:r>
      <w:r>
        <w:t xml:space="preserve"> </w:t>
      </w:r>
      <w:r w:rsidRPr="003B6BE0">
        <w:t>http://www.communities.gov.uk/publications/housing/affordabilitytargetsimplications</w:t>
      </w:r>
    </w:p>
  </w:footnote>
  <w:footnote w:id="3">
    <w:p w14:paraId="54FE94E4" w14:textId="77777777" w:rsidR="00332CC1" w:rsidRDefault="00332CC1" w:rsidP="001F4068">
      <w:pPr>
        <w:pStyle w:val="FootnoteText"/>
      </w:pPr>
      <w:r>
        <w:rPr>
          <w:rStyle w:val="FootnoteReference"/>
        </w:rPr>
        <w:footnoteRef/>
      </w:r>
      <w:r>
        <w:t xml:space="preserve"> </w:t>
      </w:r>
      <w:r w:rsidRPr="003B6BE0">
        <w:t>‘ten years ago house prices were 3.5 times people’s annual salary’ now ‘house prices are 6 times annual salary’, speech delivered by the Rt. Hon. John Prescott (The</w:t>
      </w:r>
      <w:r>
        <w:t xml:space="preserve"> then</w:t>
      </w:r>
      <w:r w:rsidRPr="003B6BE0">
        <w:t xml:space="preserve"> </w:t>
      </w:r>
      <w:r>
        <w:t>D</w:t>
      </w:r>
      <w:r w:rsidRPr="003B6BE0">
        <w:t>eputy Prime Minister) on  1st April 2005.</w:t>
      </w:r>
    </w:p>
  </w:footnote>
  <w:footnote w:id="4">
    <w:p w14:paraId="45A2D807" w14:textId="77777777" w:rsidR="00332CC1" w:rsidRDefault="00332CC1" w:rsidP="00916CF3">
      <w:pPr>
        <w:pStyle w:val="FootnoteText"/>
      </w:pPr>
      <w:r>
        <w:rPr>
          <w:rStyle w:val="FootnoteReference"/>
        </w:rPr>
        <w:footnoteRef/>
      </w:r>
      <w:r>
        <w:t xml:space="preserve"> Divided by 1000.</w:t>
      </w:r>
    </w:p>
  </w:footnote>
  <w:footnote w:id="5">
    <w:p w14:paraId="13465F49" w14:textId="77777777" w:rsidR="00332CC1" w:rsidRDefault="00332CC1" w:rsidP="00916CF3">
      <w:pPr>
        <w:pStyle w:val="FootnoteText"/>
      </w:pPr>
      <w:r>
        <w:rPr>
          <w:rStyle w:val="FootnoteReference"/>
        </w:rPr>
        <w:footnoteRef/>
      </w:r>
      <w:r>
        <w:t xml:space="preserve"> Some Central London Boroughs consistently attract foreign investment. In 2012, estate agents Savills estimated the total value of housing stock in the London boroughs of Westminster and Kensington &amp; Chelsea at £187bn, £11bn more than the value of the entire housing stock of Wales.</w:t>
      </w:r>
    </w:p>
  </w:footnote>
  <w:footnote w:id="6">
    <w:p w14:paraId="0DC225BA" w14:textId="77777777" w:rsidR="00332CC1" w:rsidRDefault="00332CC1" w:rsidP="00916CF3">
      <w:pPr>
        <w:pStyle w:val="FootnoteText"/>
      </w:pPr>
      <w:r>
        <w:rPr>
          <w:rStyle w:val="FootnoteReference"/>
        </w:rPr>
        <w:footnoteRef/>
      </w:r>
      <w:r>
        <w:t xml:space="preserve"> C</w:t>
      </w:r>
      <w:r w:rsidRPr="0075643C">
        <w:t xml:space="preserve">ommuting flow data from the </w:t>
      </w:r>
      <w:r>
        <w:t xml:space="preserve">UK </w:t>
      </w:r>
      <w:r w:rsidRPr="0075643C">
        <w:t>2001 Census</w:t>
      </w:r>
      <w:r>
        <w:t xml:space="preserve">.  A sample of the full Table is given in the appendix. </w:t>
      </w:r>
    </w:p>
  </w:footnote>
  <w:footnote w:id="7">
    <w:p w14:paraId="6C2DF881" w14:textId="77777777" w:rsidR="00332CC1" w:rsidRDefault="00332CC1" w:rsidP="00916CF3">
      <w:pPr>
        <w:pStyle w:val="FootnoteText"/>
      </w:pPr>
      <w:r>
        <w:rPr>
          <w:rStyle w:val="FootnoteReference"/>
        </w:rPr>
        <w:footnoteRef/>
      </w:r>
      <w:r>
        <w:t xml:space="preserve"> The frequency in each row divided by the row total. </w:t>
      </w:r>
    </w:p>
  </w:footnote>
  <w:footnote w:id="8">
    <w:p w14:paraId="3AA365F3" w14:textId="77777777" w:rsidR="00332CC1" w:rsidRDefault="00332CC1" w:rsidP="001F4068">
      <w:pPr>
        <w:pStyle w:val="FootnoteText"/>
      </w:pPr>
      <w:r>
        <w:rPr>
          <w:rStyle w:val="FootnoteReference"/>
        </w:rPr>
        <w:footnoteRef/>
      </w:r>
      <w:r>
        <w:t xml:space="preserve"> The outlier is the London Borough of Kensington and Chelsea.</w:t>
      </w:r>
    </w:p>
  </w:footnote>
  <w:footnote w:id="9">
    <w:p w14:paraId="298AE323" w14:textId="77777777" w:rsidR="00332CC1" w:rsidRDefault="00332CC1" w:rsidP="001F4068">
      <w:pPr>
        <w:pStyle w:val="FootnoteText"/>
      </w:pPr>
      <w:r>
        <w:rPr>
          <w:rStyle w:val="FootnoteReference"/>
        </w:rPr>
        <w:footnoteRef/>
      </w:r>
      <w:r>
        <w:t xml:space="preserve"> GMM estimation of a model with a spatial lag and spatially autoregressive random effects.</w:t>
      </w:r>
    </w:p>
  </w:footnote>
  <w:footnote w:id="10">
    <w:p w14:paraId="5038709C" w14:textId="77777777" w:rsidR="00332CC1" w:rsidRDefault="00332CC1" w:rsidP="001F4068">
      <w:pPr>
        <w:pStyle w:val="FootnoteText"/>
      </w:pPr>
      <w:r>
        <w:rPr>
          <w:rStyle w:val="FootnoteReference"/>
        </w:rPr>
        <w:footnoteRef/>
      </w:r>
      <w:r>
        <w:t xml:space="preserve"> The specific locations </w:t>
      </w:r>
      <w:r w:rsidRPr="00217E25">
        <w:t xml:space="preserve">are the </w:t>
      </w:r>
      <w:r>
        <w:t>32</w:t>
      </w:r>
      <w:r w:rsidRPr="00217E25">
        <w:t xml:space="preserve"> Boroughs </w:t>
      </w:r>
      <w:r>
        <w:t xml:space="preserve">plus </w:t>
      </w:r>
      <w:r w:rsidRPr="00217E25">
        <w:t xml:space="preserve">the City of London, </w:t>
      </w:r>
      <w:r>
        <w:t>collectively known as the 33 Boroughs of Greater London. W</w:t>
      </w:r>
      <w:r w:rsidRPr="00217E25">
        <w:t xml:space="preserve">e explore the consequences </w:t>
      </w:r>
      <w:r>
        <w:t xml:space="preserve">for residential property prices and affordability </w:t>
      </w:r>
      <w:r w:rsidRPr="00217E25">
        <w:t>of increas</w:t>
      </w:r>
      <w:r>
        <w:t>ing</w:t>
      </w:r>
      <w:r w:rsidRPr="00217E25">
        <w:t xml:space="preserve"> the </w:t>
      </w:r>
      <w:r>
        <w:t xml:space="preserve">aggregate </w:t>
      </w:r>
      <w:r w:rsidRPr="00217E25">
        <w:t xml:space="preserve">number of dwellings in these </w:t>
      </w:r>
      <w:r>
        <w:t>districts</w:t>
      </w:r>
      <w:r w:rsidRPr="00217E25">
        <w:t>.</w:t>
      </w:r>
    </w:p>
  </w:footnote>
  <w:footnote w:id="11">
    <w:p w14:paraId="2044E1AC" w14:textId="77777777" w:rsidR="00332CC1" w:rsidRDefault="00332CC1" w:rsidP="00A51912">
      <w:pPr>
        <w:pStyle w:val="FootnoteText1"/>
      </w:pPr>
      <w:r>
        <w:rPr>
          <w:rStyle w:val="FootnoteReference"/>
        </w:rPr>
        <w:footnoteRef/>
      </w:r>
      <w:r>
        <w:t xml:space="preserve"> </w:t>
      </w:r>
      <w:r w:rsidRPr="00D73819">
        <w:t xml:space="preserve">Affordability </w:t>
      </w:r>
      <w:r>
        <w:t>here i</w:t>
      </w:r>
      <w:r w:rsidRPr="00D73819">
        <w:t>s defined a</w:t>
      </w:r>
      <w:r>
        <w:t>s simulated price, which is 2012</w:t>
      </w:r>
      <w:r w:rsidRPr="00D73819">
        <w:t xml:space="preserve"> price plus net impact</w:t>
      </w:r>
      <w:r>
        <w:t xml:space="preserve">, </w:t>
      </w:r>
      <w:r w:rsidRPr="00D73819">
        <w:t>divided by the assumed annual wage</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D04EA" w14:textId="77777777" w:rsidR="00332CC1" w:rsidRDefault="00332C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B42FF2"/>
    <w:multiLevelType w:val="hybridMultilevel"/>
    <w:tmpl w:val="23E8EDFC"/>
    <w:lvl w:ilvl="0" w:tplc="868E9BAC">
      <w:start w:val="1"/>
      <w:numFmt w:val="decimal"/>
      <w:lvlText w:val="%1)"/>
      <w:lvlJc w:val="left"/>
      <w:pPr>
        <w:tabs>
          <w:tab w:val="num" w:pos="720"/>
        </w:tabs>
        <w:ind w:left="720" w:hanging="360"/>
      </w:pPr>
    </w:lvl>
    <w:lvl w:ilvl="1" w:tplc="8D00CD08" w:tentative="1">
      <w:start w:val="1"/>
      <w:numFmt w:val="decimal"/>
      <w:lvlText w:val="%2)"/>
      <w:lvlJc w:val="left"/>
      <w:pPr>
        <w:tabs>
          <w:tab w:val="num" w:pos="1440"/>
        </w:tabs>
        <w:ind w:left="1440" w:hanging="360"/>
      </w:pPr>
    </w:lvl>
    <w:lvl w:ilvl="2" w:tplc="24729740" w:tentative="1">
      <w:start w:val="1"/>
      <w:numFmt w:val="decimal"/>
      <w:lvlText w:val="%3)"/>
      <w:lvlJc w:val="left"/>
      <w:pPr>
        <w:tabs>
          <w:tab w:val="num" w:pos="2160"/>
        </w:tabs>
        <w:ind w:left="2160" w:hanging="360"/>
      </w:pPr>
    </w:lvl>
    <w:lvl w:ilvl="3" w:tplc="1170785E" w:tentative="1">
      <w:start w:val="1"/>
      <w:numFmt w:val="decimal"/>
      <w:lvlText w:val="%4)"/>
      <w:lvlJc w:val="left"/>
      <w:pPr>
        <w:tabs>
          <w:tab w:val="num" w:pos="2880"/>
        </w:tabs>
        <w:ind w:left="2880" w:hanging="360"/>
      </w:pPr>
    </w:lvl>
    <w:lvl w:ilvl="4" w:tplc="3CA2A298" w:tentative="1">
      <w:start w:val="1"/>
      <w:numFmt w:val="decimal"/>
      <w:lvlText w:val="%5)"/>
      <w:lvlJc w:val="left"/>
      <w:pPr>
        <w:tabs>
          <w:tab w:val="num" w:pos="3600"/>
        </w:tabs>
        <w:ind w:left="3600" w:hanging="360"/>
      </w:pPr>
    </w:lvl>
    <w:lvl w:ilvl="5" w:tplc="13A4E546" w:tentative="1">
      <w:start w:val="1"/>
      <w:numFmt w:val="decimal"/>
      <w:lvlText w:val="%6)"/>
      <w:lvlJc w:val="left"/>
      <w:pPr>
        <w:tabs>
          <w:tab w:val="num" w:pos="4320"/>
        </w:tabs>
        <w:ind w:left="4320" w:hanging="360"/>
      </w:pPr>
    </w:lvl>
    <w:lvl w:ilvl="6" w:tplc="3C5CF0DA" w:tentative="1">
      <w:start w:val="1"/>
      <w:numFmt w:val="decimal"/>
      <w:lvlText w:val="%7)"/>
      <w:lvlJc w:val="left"/>
      <w:pPr>
        <w:tabs>
          <w:tab w:val="num" w:pos="5040"/>
        </w:tabs>
        <w:ind w:left="5040" w:hanging="360"/>
      </w:pPr>
    </w:lvl>
    <w:lvl w:ilvl="7" w:tplc="5EAEC11E" w:tentative="1">
      <w:start w:val="1"/>
      <w:numFmt w:val="decimal"/>
      <w:lvlText w:val="%8)"/>
      <w:lvlJc w:val="left"/>
      <w:pPr>
        <w:tabs>
          <w:tab w:val="num" w:pos="5760"/>
        </w:tabs>
        <w:ind w:left="5760" w:hanging="360"/>
      </w:pPr>
    </w:lvl>
    <w:lvl w:ilvl="8" w:tplc="3E84BF7C" w:tentative="1">
      <w:start w:val="1"/>
      <w:numFmt w:val="decimal"/>
      <w:lvlText w:val="%9)"/>
      <w:lvlJc w:val="left"/>
      <w:pPr>
        <w:tabs>
          <w:tab w:val="num" w:pos="6480"/>
        </w:tabs>
        <w:ind w:left="6480" w:hanging="360"/>
      </w:pPr>
    </w:lvl>
  </w:abstractNum>
  <w:abstractNum w:abstractNumId="1" w15:restartNumberingAfterBreak="0">
    <w:nsid w:val="2F823B39"/>
    <w:multiLevelType w:val="hybridMultilevel"/>
    <w:tmpl w:val="6D584164"/>
    <w:lvl w:ilvl="0" w:tplc="01A68744">
      <w:start w:val="1"/>
      <w:numFmt w:val="bullet"/>
      <w:lvlText w:val="•"/>
      <w:lvlJc w:val="left"/>
      <w:pPr>
        <w:tabs>
          <w:tab w:val="num" w:pos="720"/>
        </w:tabs>
        <w:ind w:left="720" w:hanging="360"/>
      </w:pPr>
      <w:rPr>
        <w:rFonts w:ascii="Arial" w:hAnsi="Arial" w:hint="default"/>
      </w:rPr>
    </w:lvl>
    <w:lvl w:ilvl="1" w:tplc="B27CCF7E" w:tentative="1">
      <w:start w:val="1"/>
      <w:numFmt w:val="bullet"/>
      <w:lvlText w:val="•"/>
      <w:lvlJc w:val="left"/>
      <w:pPr>
        <w:tabs>
          <w:tab w:val="num" w:pos="1440"/>
        </w:tabs>
        <w:ind w:left="1440" w:hanging="360"/>
      </w:pPr>
      <w:rPr>
        <w:rFonts w:ascii="Arial" w:hAnsi="Arial" w:hint="default"/>
      </w:rPr>
    </w:lvl>
    <w:lvl w:ilvl="2" w:tplc="A99EA44E" w:tentative="1">
      <w:start w:val="1"/>
      <w:numFmt w:val="bullet"/>
      <w:lvlText w:val="•"/>
      <w:lvlJc w:val="left"/>
      <w:pPr>
        <w:tabs>
          <w:tab w:val="num" w:pos="2160"/>
        </w:tabs>
        <w:ind w:left="2160" w:hanging="360"/>
      </w:pPr>
      <w:rPr>
        <w:rFonts w:ascii="Arial" w:hAnsi="Arial" w:hint="default"/>
      </w:rPr>
    </w:lvl>
    <w:lvl w:ilvl="3" w:tplc="AC7CA284" w:tentative="1">
      <w:start w:val="1"/>
      <w:numFmt w:val="bullet"/>
      <w:lvlText w:val="•"/>
      <w:lvlJc w:val="left"/>
      <w:pPr>
        <w:tabs>
          <w:tab w:val="num" w:pos="2880"/>
        </w:tabs>
        <w:ind w:left="2880" w:hanging="360"/>
      </w:pPr>
      <w:rPr>
        <w:rFonts w:ascii="Arial" w:hAnsi="Arial" w:hint="default"/>
      </w:rPr>
    </w:lvl>
    <w:lvl w:ilvl="4" w:tplc="17D805A4" w:tentative="1">
      <w:start w:val="1"/>
      <w:numFmt w:val="bullet"/>
      <w:lvlText w:val="•"/>
      <w:lvlJc w:val="left"/>
      <w:pPr>
        <w:tabs>
          <w:tab w:val="num" w:pos="3600"/>
        </w:tabs>
        <w:ind w:left="3600" w:hanging="360"/>
      </w:pPr>
      <w:rPr>
        <w:rFonts w:ascii="Arial" w:hAnsi="Arial" w:hint="default"/>
      </w:rPr>
    </w:lvl>
    <w:lvl w:ilvl="5" w:tplc="A378AA28" w:tentative="1">
      <w:start w:val="1"/>
      <w:numFmt w:val="bullet"/>
      <w:lvlText w:val="•"/>
      <w:lvlJc w:val="left"/>
      <w:pPr>
        <w:tabs>
          <w:tab w:val="num" w:pos="4320"/>
        </w:tabs>
        <w:ind w:left="4320" w:hanging="360"/>
      </w:pPr>
      <w:rPr>
        <w:rFonts w:ascii="Arial" w:hAnsi="Arial" w:hint="default"/>
      </w:rPr>
    </w:lvl>
    <w:lvl w:ilvl="6" w:tplc="3B549530" w:tentative="1">
      <w:start w:val="1"/>
      <w:numFmt w:val="bullet"/>
      <w:lvlText w:val="•"/>
      <w:lvlJc w:val="left"/>
      <w:pPr>
        <w:tabs>
          <w:tab w:val="num" w:pos="5040"/>
        </w:tabs>
        <w:ind w:left="5040" w:hanging="360"/>
      </w:pPr>
      <w:rPr>
        <w:rFonts w:ascii="Arial" w:hAnsi="Arial" w:hint="default"/>
      </w:rPr>
    </w:lvl>
    <w:lvl w:ilvl="7" w:tplc="C59A5DAE" w:tentative="1">
      <w:start w:val="1"/>
      <w:numFmt w:val="bullet"/>
      <w:lvlText w:val="•"/>
      <w:lvlJc w:val="left"/>
      <w:pPr>
        <w:tabs>
          <w:tab w:val="num" w:pos="5760"/>
        </w:tabs>
        <w:ind w:left="5760" w:hanging="360"/>
      </w:pPr>
      <w:rPr>
        <w:rFonts w:ascii="Arial" w:hAnsi="Arial" w:hint="default"/>
      </w:rPr>
    </w:lvl>
    <w:lvl w:ilvl="8" w:tplc="58E0DEC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BE04902"/>
    <w:multiLevelType w:val="hybridMultilevel"/>
    <w:tmpl w:val="1A12A90E"/>
    <w:lvl w:ilvl="0" w:tplc="EA3A75BA">
      <w:start w:val="1"/>
      <w:numFmt w:val="bullet"/>
      <w:lvlText w:val="•"/>
      <w:lvlJc w:val="left"/>
      <w:pPr>
        <w:tabs>
          <w:tab w:val="num" w:pos="720"/>
        </w:tabs>
        <w:ind w:left="720" w:hanging="360"/>
      </w:pPr>
      <w:rPr>
        <w:rFonts w:ascii="Arial" w:hAnsi="Arial" w:hint="default"/>
      </w:rPr>
    </w:lvl>
    <w:lvl w:ilvl="1" w:tplc="C5F4B152">
      <w:start w:val="2099"/>
      <w:numFmt w:val="bullet"/>
      <w:lvlText w:val="–"/>
      <w:lvlJc w:val="left"/>
      <w:pPr>
        <w:tabs>
          <w:tab w:val="num" w:pos="1440"/>
        </w:tabs>
        <w:ind w:left="1440" w:hanging="360"/>
      </w:pPr>
      <w:rPr>
        <w:rFonts w:ascii="Arial" w:hAnsi="Arial" w:hint="default"/>
      </w:rPr>
    </w:lvl>
    <w:lvl w:ilvl="2" w:tplc="364C8C6E" w:tentative="1">
      <w:start w:val="1"/>
      <w:numFmt w:val="bullet"/>
      <w:lvlText w:val="•"/>
      <w:lvlJc w:val="left"/>
      <w:pPr>
        <w:tabs>
          <w:tab w:val="num" w:pos="2160"/>
        </w:tabs>
        <w:ind w:left="2160" w:hanging="360"/>
      </w:pPr>
      <w:rPr>
        <w:rFonts w:ascii="Arial" w:hAnsi="Arial" w:hint="default"/>
      </w:rPr>
    </w:lvl>
    <w:lvl w:ilvl="3" w:tplc="CD98DF10" w:tentative="1">
      <w:start w:val="1"/>
      <w:numFmt w:val="bullet"/>
      <w:lvlText w:val="•"/>
      <w:lvlJc w:val="left"/>
      <w:pPr>
        <w:tabs>
          <w:tab w:val="num" w:pos="2880"/>
        </w:tabs>
        <w:ind w:left="2880" w:hanging="360"/>
      </w:pPr>
      <w:rPr>
        <w:rFonts w:ascii="Arial" w:hAnsi="Arial" w:hint="default"/>
      </w:rPr>
    </w:lvl>
    <w:lvl w:ilvl="4" w:tplc="0F208B4E" w:tentative="1">
      <w:start w:val="1"/>
      <w:numFmt w:val="bullet"/>
      <w:lvlText w:val="•"/>
      <w:lvlJc w:val="left"/>
      <w:pPr>
        <w:tabs>
          <w:tab w:val="num" w:pos="3600"/>
        </w:tabs>
        <w:ind w:left="3600" w:hanging="360"/>
      </w:pPr>
      <w:rPr>
        <w:rFonts w:ascii="Arial" w:hAnsi="Arial" w:hint="default"/>
      </w:rPr>
    </w:lvl>
    <w:lvl w:ilvl="5" w:tplc="CFA46408" w:tentative="1">
      <w:start w:val="1"/>
      <w:numFmt w:val="bullet"/>
      <w:lvlText w:val="•"/>
      <w:lvlJc w:val="left"/>
      <w:pPr>
        <w:tabs>
          <w:tab w:val="num" w:pos="4320"/>
        </w:tabs>
        <w:ind w:left="4320" w:hanging="360"/>
      </w:pPr>
      <w:rPr>
        <w:rFonts w:ascii="Arial" w:hAnsi="Arial" w:hint="default"/>
      </w:rPr>
    </w:lvl>
    <w:lvl w:ilvl="6" w:tplc="08620556" w:tentative="1">
      <w:start w:val="1"/>
      <w:numFmt w:val="bullet"/>
      <w:lvlText w:val="•"/>
      <w:lvlJc w:val="left"/>
      <w:pPr>
        <w:tabs>
          <w:tab w:val="num" w:pos="5040"/>
        </w:tabs>
        <w:ind w:left="5040" w:hanging="360"/>
      </w:pPr>
      <w:rPr>
        <w:rFonts w:ascii="Arial" w:hAnsi="Arial" w:hint="default"/>
      </w:rPr>
    </w:lvl>
    <w:lvl w:ilvl="7" w:tplc="171CECF0" w:tentative="1">
      <w:start w:val="1"/>
      <w:numFmt w:val="bullet"/>
      <w:lvlText w:val="•"/>
      <w:lvlJc w:val="left"/>
      <w:pPr>
        <w:tabs>
          <w:tab w:val="num" w:pos="5760"/>
        </w:tabs>
        <w:ind w:left="5760" w:hanging="360"/>
      </w:pPr>
      <w:rPr>
        <w:rFonts w:ascii="Arial" w:hAnsi="Arial" w:hint="default"/>
      </w:rPr>
    </w:lvl>
    <w:lvl w:ilvl="8" w:tplc="3D7AD3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4B725B0"/>
    <w:multiLevelType w:val="hybridMultilevel"/>
    <w:tmpl w:val="06FE9440"/>
    <w:lvl w:ilvl="0" w:tplc="F7588362">
      <w:start w:val="1"/>
      <w:numFmt w:val="decimal"/>
      <w:pStyle w:val="Heading2"/>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BEC5B36"/>
    <w:multiLevelType w:val="hybridMultilevel"/>
    <w:tmpl w:val="AED23D26"/>
    <w:lvl w:ilvl="0" w:tplc="80C22C0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4"/>
  </w:num>
  <w:num w:numId="5">
    <w:abstractNumId w:val="3"/>
  </w:num>
  <w:num w:numId="6">
    <w:abstractNumId w:val="3"/>
    <w:lvlOverride w:ilvl="0">
      <w:startOverride w:val="1"/>
    </w:lvlOverride>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068"/>
    <w:rsid w:val="00000FDA"/>
    <w:rsid w:val="00006546"/>
    <w:rsid w:val="00013B83"/>
    <w:rsid w:val="00020C3E"/>
    <w:rsid w:val="00020E89"/>
    <w:rsid w:val="00022000"/>
    <w:rsid w:val="00025A2F"/>
    <w:rsid w:val="000277C9"/>
    <w:rsid w:val="00031C2E"/>
    <w:rsid w:val="00032E23"/>
    <w:rsid w:val="0004473A"/>
    <w:rsid w:val="000478A6"/>
    <w:rsid w:val="0006784E"/>
    <w:rsid w:val="0007091A"/>
    <w:rsid w:val="0007164C"/>
    <w:rsid w:val="00080C04"/>
    <w:rsid w:val="000840F0"/>
    <w:rsid w:val="00091F09"/>
    <w:rsid w:val="00094E52"/>
    <w:rsid w:val="000958DA"/>
    <w:rsid w:val="000A40C1"/>
    <w:rsid w:val="000B6167"/>
    <w:rsid w:val="000C5733"/>
    <w:rsid w:val="000E7738"/>
    <w:rsid w:val="000F0F34"/>
    <w:rsid w:val="001025FD"/>
    <w:rsid w:val="00107457"/>
    <w:rsid w:val="00111C15"/>
    <w:rsid w:val="00116C3E"/>
    <w:rsid w:val="00120517"/>
    <w:rsid w:val="00122B8C"/>
    <w:rsid w:val="001300C2"/>
    <w:rsid w:val="0015084C"/>
    <w:rsid w:val="00153558"/>
    <w:rsid w:val="00154C43"/>
    <w:rsid w:val="00156432"/>
    <w:rsid w:val="00162F48"/>
    <w:rsid w:val="00166BBB"/>
    <w:rsid w:val="0017557C"/>
    <w:rsid w:val="00185F5A"/>
    <w:rsid w:val="001879F3"/>
    <w:rsid w:val="00196065"/>
    <w:rsid w:val="001A117D"/>
    <w:rsid w:val="001A1D27"/>
    <w:rsid w:val="001A5A94"/>
    <w:rsid w:val="001A6CDA"/>
    <w:rsid w:val="001C2958"/>
    <w:rsid w:val="001D17F6"/>
    <w:rsid w:val="001F074B"/>
    <w:rsid w:val="001F4068"/>
    <w:rsid w:val="00212752"/>
    <w:rsid w:val="00214F39"/>
    <w:rsid w:val="00216A47"/>
    <w:rsid w:val="00245F94"/>
    <w:rsid w:val="0024624E"/>
    <w:rsid w:val="00254F1D"/>
    <w:rsid w:val="00260A59"/>
    <w:rsid w:val="00266B69"/>
    <w:rsid w:val="00273EB1"/>
    <w:rsid w:val="00274FF1"/>
    <w:rsid w:val="002971AB"/>
    <w:rsid w:val="002975A4"/>
    <w:rsid w:val="00297BA0"/>
    <w:rsid w:val="002A7951"/>
    <w:rsid w:val="002A7E4A"/>
    <w:rsid w:val="002B082E"/>
    <w:rsid w:val="002B74A7"/>
    <w:rsid w:val="002E1DC8"/>
    <w:rsid w:val="002E4C73"/>
    <w:rsid w:val="002F15F3"/>
    <w:rsid w:val="002F2B64"/>
    <w:rsid w:val="002F4C43"/>
    <w:rsid w:val="00300610"/>
    <w:rsid w:val="003019C4"/>
    <w:rsid w:val="0030411B"/>
    <w:rsid w:val="00310B5A"/>
    <w:rsid w:val="00320D86"/>
    <w:rsid w:val="0032120D"/>
    <w:rsid w:val="003219A1"/>
    <w:rsid w:val="00321C82"/>
    <w:rsid w:val="00332CC1"/>
    <w:rsid w:val="0033372B"/>
    <w:rsid w:val="00336A13"/>
    <w:rsid w:val="003379E6"/>
    <w:rsid w:val="00365534"/>
    <w:rsid w:val="003704AE"/>
    <w:rsid w:val="00376B1C"/>
    <w:rsid w:val="00380663"/>
    <w:rsid w:val="003837F2"/>
    <w:rsid w:val="003853C4"/>
    <w:rsid w:val="003909B0"/>
    <w:rsid w:val="00390F10"/>
    <w:rsid w:val="00395BD7"/>
    <w:rsid w:val="003A3DFF"/>
    <w:rsid w:val="003B0914"/>
    <w:rsid w:val="003B252B"/>
    <w:rsid w:val="003B57F0"/>
    <w:rsid w:val="003C68B6"/>
    <w:rsid w:val="003E07F9"/>
    <w:rsid w:val="003E7E96"/>
    <w:rsid w:val="003F2E1A"/>
    <w:rsid w:val="003F3E5A"/>
    <w:rsid w:val="0041187C"/>
    <w:rsid w:val="00416106"/>
    <w:rsid w:val="00433C74"/>
    <w:rsid w:val="00443100"/>
    <w:rsid w:val="00447FA3"/>
    <w:rsid w:val="0046179C"/>
    <w:rsid w:val="00471832"/>
    <w:rsid w:val="0048290E"/>
    <w:rsid w:val="004905FA"/>
    <w:rsid w:val="004B1E8A"/>
    <w:rsid w:val="004B4C4A"/>
    <w:rsid w:val="004C261D"/>
    <w:rsid w:val="004D05D4"/>
    <w:rsid w:val="004D3620"/>
    <w:rsid w:val="004E29F7"/>
    <w:rsid w:val="004F1E31"/>
    <w:rsid w:val="004F5B24"/>
    <w:rsid w:val="00506CB4"/>
    <w:rsid w:val="00507B09"/>
    <w:rsid w:val="005113AC"/>
    <w:rsid w:val="00515B9D"/>
    <w:rsid w:val="00522F01"/>
    <w:rsid w:val="0052506F"/>
    <w:rsid w:val="0052568C"/>
    <w:rsid w:val="00530D5F"/>
    <w:rsid w:val="00536323"/>
    <w:rsid w:val="00563A53"/>
    <w:rsid w:val="005654AD"/>
    <w:rsid w:val="005759CE"/>
    <w:rsid w:val="0058104B"/>
    <w:rsid w:val="00582AC5"/>
    <w:rsid w:val="0058469E"/>
    <w:rsid w:val="00594E73"/>
    <w:rsid w:val="00597DBD"/>
    <w:rsid w:val="005B6DEE"/>
    <w:rsid w:val="005D42C3"/>
    <w:rsid w:val="005E48D3"/>
    <w:rsid w:val="005F76D2"/>
    <w:rsid w:val="00600223"/>
    <w:rsid w:val="00600323"/>
    <w:rsid w:val="00601007"/>
    <w:rsid w:val="00611DE9"/>
    <w:rsid w:val="0061690C"/>
    <w:rsid w:val="00630F0A"/>
    <w:rsid w:val="00636B5F"/>
    <w:rsid w:val="00647739"/>
    <w:rsid w:val="00650AB5"/>
    <w:rsid w:val="00652ED9"/>
    <w:rsid w:val="0065423B"/>
    <w:rsid w:val="00655AE9"/>
    <w:rsid w:val="00656AEB"/>
    <w:rsid w:val="0069028D"/>
    <w:rsid w:val="00691A12"/>
    <w:rsid w:val="00692D1B"/>
    <w:rsid w:val="006B133C"/>
    <w:rsid w:val="006C758F"/>
    <w:rsid w:val="006D5094"/>
    <w:rsid w:val="006E320B"/>
    <w:rsid w:val="00706B8D"/>
    <w:rsid w:val="007149A1"/>
    <w:rsid w:val="0072375B"/>
    <w:rsid w:val="00723A70"/>
    <w:rsid w:val="00726E63"/>
    <w:rsid w:val="00736B36"/>
    <w:rsid w:val="00737F6C"/>
    <w:rsid w:val="00745CC2"/>
    <w:rsid w:val="00750E19"/>
    <w:rsid w:val="0075725E"/>
    <w:rsid w:val="00772B74"/>
    <w:rsid w:val="0077327F"/>
    <w:rsid w:val="007757FF"/>
    <w:rsid w:val="007947CD"/>
    <w:rsid w:val="00797B78"/>
    <w:rsid w:val="007A2D7B"/>
    <w:rsid w:val="007A6390"/>
    <w:rsid w:val="007A67D1"/>
    <w:rsid w:val="007B239E"/>
    <w:rsid w:val="007B254C"/>
    <w:rsid w:val="007C7879"/>
    <w:rsid w:val="007D148A"/>
    <w:rsid w:val="007D4B6F"/>
    <w:rsid w:val="007D70B1"/>
    <w:rsid w:val="007D7B0A"/>
    <w:rsid w:val="007E1040"/>
    <w:rsid w:val="007E4C54"/>
    <w:rsid w:val="007E7C67"/>
    <w:rsid w:val="007F1C03"/>
    <w:rsid w:val="008054A5"/>
    <w:rsid w:val="00815FE5"/>
    <w:rsid w:val="00823C71"/>
    <w:rsid w:val="00836B23"/>
    <w:rsid w:val="00840F4D"/>
    <w:rsid w:val="008459C1"/>
    <w:rsid w:val="008570EC"/>
    <w:rsid w:val="0085712F"/>
    <w:rsid w:val="00872A66"/>
    <w:rsid w:val="00876890"/>
    <w:rsid w:val="00876DE1"/>
    <w:rsid w:val="00884AF6"/>
    <w:rsid w:val="008913F0"/>
    <w:rsid w:val="0089304C"/>
    <w:rsid w:val="008A45C7"/>
    <w:rsid w:val="008A6FD0"/>
    <w:rsid w:val="008B5367"/>
    <w:rsid w:val="008B5CD9"/>
    <w:rsid w:val="008B6268"/>
    <w:rsid w:val="008B745F"/>
    <w:rsid w:val="008C1557"/>
    <w:rsid w:val="008C2F06"/>
    <w:rsid w:val="008C50E7"/>
    <w:rsid w:val="008C79DF"/>
    <w:rsid w:val="008D6A2C"/>
    <w:rsid w:val="008E260F"/>
    <w:rsid w:val="008E4C5D"/>
    <w:rsid w:val="008F12C8"/>
    <w:rsid w:val="008F5A12"/>
    <w:rsid w:val="0090050D"/>
    <w:rsid w:val="00903C2B"/>
    <w:rsid w:val="00916CF3"/>
    <w:rsid w:val="00924A32"/>
    <w:rsid w:val="00954A63"/>
    <w:rsid w:val="00955480"/>
    <w:rsid w:val="00960B43"/>
    <w:rsid w:val="00962166"/>
    <w:rsid w:val="00970A37"/>
    <w:rsid w:val="00973BB8"/>
    <w:rsid w:val="00976B86"/>
    <w:rsid w:val="009850F2"/>
    <w:rsid w:val="009942FE"/>
    <w:rsid w:val="009C1A1E"/>
    <w:rsid w:val="009C7A5E"/>
    <w:rsid w:val="009D5F77"/>
    <w:rsid w:val="009E32FA"/>
    <w:rsid w:val="009E3EBC"/>
    <w:rsid w:val="009E7D42"/>
    <w:rsid w:val="009F4B17"/>
    <w:rsid w:val="009F5E4A"/>
    <w:rsid w:val="009F6A51"/>
    <w:rsid w:val="009F7142"/>
    <w:rsid w:val="00A03799"/>
    <w:rsid w:val="00A07615"/>
    <w:rsid w:val="00A100BB"/>
    <w:rsid w:val="00A1572C"/>
    <w:rsid w:val="00A23BB0"/>
    <w:rsid w:val="00A31CE4"/>
    <w:rsid w:val="00A51912"/>
    <w:rsid w:val="00A54E04"/>
    <w:rsid w:val="00A572CE"/>
    <w:rsid w:val="00A676E5"/>
    <w:rsid w:val="00A840A9"/>
    <w:rsid w:val="00A9513F"/>
    <w:rsid w:val="00A96A56"/>
    <w:rsid w:val="00AA164B"/>
    <w:rsid w:val="00AA7D06"/>
    <w:rsid w:val="00AB542A"/>
    <w:rsid w:val="00AC3667"/>
    <w:rsid w:val="00AC418C"/>
    <w:rsid w:val="00AE2D67"/>
    <w:rsid w:val="00AF4327"/>
    <w:rsid w:val="00AF737D"/>
    <w:rsid w:val="00AF7630"/>
    <w:rsid w:val="00B044FF"/>
    <w:rsid w:val="00B07892"/>
    <w:rsid w:val="00B07F8B"/>
    <w:rsid w:val="00B27067"/>
    <w:rsid w:val="00B334B0"/>
    <w:rsid w:val="00B51300"/>
    <w:rsid w:val="00B51D25"/>
    <w:rsid w:val="00B5445A"/>
    <w:rsid w:val="00B71A84"/>
    <w:rsid w:val="00B80A00"/>
    <w:rsid w:val="00B828E9"/>
    <w:rsid w:val="00B83AED"/>
    <w:rsid w:val="00B84BA1"/>
    <w:rsid w:val="00B90815"/>
    <w:rsid w:val="00B95C9B"/>
    <w:rsid w:val="00B97C74"/>
    <w:rsid w:val="00BE6033"/>
    <w:rsid w:val="00BF4548"/>
    <w:rsid w:val="00BF46AC"/>
    <w:rsid w:val="00C0786E"/>
    <w:rsid w:val="00C10896"/>
    <w:rsid w:val="00C12118"/>
    <w:rsid w:val="00C23710"/>
    <w:rsid w:val="00C25E16"/>
    <w:rsid w:val="00C3256A"/>
    <w:rsid w:val="00C33576"/>
    <w:rsid w:val="00C41F5C"/>
    <w:rsid w:val="00C52C15"/>
    <w:rsid w:val="00C6272F"/>
    <w:rsid w:val="00C6333D"/>
    <w:rsid w:val="00C64055"/>
    <w:rsid w:val="00C712A4"/>
    <w:rsid w:val="00C740D5"/>
    <w:rsid w:val="00C90609"/>
    <w:rsid w:val="00C9581D"/>
    <w:rsid w:val="00C96E9A"/>
    <w:rsid w:val="00CA5F88"/>
    <w:rsid w:val="00CB37D3"/>
    <w:rsid w:val="00CB4894"/>
    <w:rsid w:val="00CC1E21"/>
    <w:rsid w:val="00CC5F3C"/>
    <w:rsid w:val="00CD365D"/>
    <w:rsid w:val="00CE72B1"/>
    <w:rsid w:val="00CE7DE6"/>
    <w:rsid w:val="00CF3F77"/>
    <w:rsid w:val="00CF4C7D"/>
    <w:rsid w:val="00CF689D"/>
    <w:rsid w:val="00D00102"/>
    <w:rsid w:val="00D00E19"/>
    <w:rsid w:val="00D04C1D"/>
    <w:rsid w:val="00D06B42"/>
    <w:rsid w:val="00D214D5"/>
    <w:rsid w:val="00D32907"/>
    <w:rsid w:val="00D51422"/>
    <w:rsid w:val="00D607B6"/>
    <w:rsid w:val="00D63835"/>
    <w:rsid w:val="00D66A04"/>
    <w:rsid w:val="00D70B94"/>
    <w:rsid w:val="00D75666"/>
    <w:rsid w:val="00D8555A"/>
    <w:rsid w:val="00DA1459"/>
    <w:rsid w:val="00DA3C92"/>
    <w:rsid w:val="00DA3D25"/>
    <w:rsid w:val="00DB16C2"/>
    <w:rsid w:val="00DC62A8"/>
    <w:rsid w:val="00DE2782"/>
    <w:rsid w:val="00DF06B9"/>
    <w:rsid w:val="00DF1B0D"/>
    <w:rsid w:val="00DF4541"/>
    <w:rsid w:val="00E03F0C"/>
    <w:rsid w:val="00E07F01"/>
    <w:rsid w:val="00E16E91"/>
    <w:rsid w:val="00E20A58"/>
    <w:rsid w:val="00E34C1B"/>
    <w:rsid w:val="00E37107"/>
    <w:rsid w:val="00E403A8"/>
    <w:rsid w:val="00E554D5"/>
    <w:rsid w:val="00E57B49"/>
    <w:rsid w:val="00E60291"/>
    <w:rsid w:val="00E71411"/>
    <w:rsid w:val="00E84198"/>
    <w:rsid w:val="00E86891"/>
    <w:rsid w:val="00EC5E09"/>
    <w:rsid w:val="00ED0343"/>
    <w:rsid w:val="00ED27AB"/>
    <w:rsid w:val="00ED34B2"/>
    <w:rsid w:val="00ED60FD"/>
    <w:rsid w:val="00EE18AA"/>
    <w:rsid w:val="00EF2F1B"/>
    <w:rsid w:val="00EF7095"/>
    <w:rsid w:val="00F039D2"/>
    <w:rsid w:val="00F244DB"/>
    <w:rsid w:val="00F4256B"/>
    <w:rsid w:val="00F53FA0"/>
    <w:rsid w:val="00F55BA0"/>
    <w:rsid w:val="00F56DA2"/>
    <w:rsid w:val="00F6143E"/>
    <w:rsid w:val="00F63E35"/>
    <w:rsid w:val="00F71357"/>
    <w:rsid w:val="00F75D88"/>
    <w:rsid w:val="00F7686B"/>
    <w:rsid w:val="00F7711C"/>
    <w:rsid w:val="00F77329"/>
    <w:rsid w:val="00F800BA"/>
    <w:rsid w:val="00F920FB"/>
    <w:rsid w:val="00F96F4B"/>
    <w:rsid w:val="00FA3D58"/>
    <w:rsid w:val="00FA7AEB"/>
    <w:rsid w:val="00FC1185"/>
    <w:rsid w:val="00FD50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922007"/>
  <w15:docId w15:val="{E25ACA57-2C20-4398-934F-F683EC2B7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4068"/>
    <w:pPr>
      <w:spacing w:after="200" w:line="276" w:lineRule="auto"/>
    </w:pPr>
  </w:style>
  <w:style w:type="paragraph" w:styleId="Heading2">
    <w:name w:val="heading 2"/>
    <w:basedOn w:val="Normal"/>
    <w:next w:val="Normal"/>
    <w:link w:val="Heading2Char"/>
    <w:uiPriority w:val="9"/>
    <w:unhideWhenUsed/>
    <w:qFormat/>
    <w:rsid w:val="001F4068"/>
    <w:pPr>
      <w:keepNext/>
      <w:keepLines/>
      <w:numPr>
        <w:numId w:val="5"/>
      </w:num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1F4068"/>
    <w:pPr>
      <w:keepNext/>
      <w:keepLines/>
      <w:spacing w:before="200" w:after="0"/>
      <w:outlineLvl w:val="2"/>
    </w:pPr>
    <w:rPr>
      <w:rFonts w:asciiTheme="majorHAnsi" w:eastAsiaTheme="majorEastAsia" w:hAnsiTheme="majorHAnsi"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F4068"/>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1F4068"/>
    <w:rPr>
      <w:rFonts w:asciiTheme="majorHAnsi" w:eastAsiaTheme="majorEastAsia" w:hAnsiTheme="majorHAnsi" w:cstheme="majorBidi"/>
      <w:b/>
      <w:bCs/>
    </w:rPr>
  </w:style>
  <w:style w:type="paragraph" w:styleId="FootnoteText">
    <w:name w:val="footnote text"/>
    <w:basedOn w:val="Normal"/>
    <w:link w:val="FootnoteTextChar"/>
    <w:uiPriority w:val="99"/>
    <w:semiHidden/>
    <w:unhideWhenUsed/>
    <w:rsid w:val="001F406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F4068"/>
    <w:rPr>
      <w:sz w:val="20"/>
      <w:szCs w:val="20"/>
    </w:rPr>
  </w:style>
  <w:style w:type="character" w:styleId="FootnoteReference">
    <w:name w:val="footnote reference"/>
    <w:basedOn w:val="DefaultParagraphFont"/>
    <w:uiPriority w:val="99"/>
    <w:semiHidden/>
    <w:unhideWhenUsed/>
    <w:rsid w:val="001F4068"/>
    <w:rPr>
      <w:vertAlign w:val="superscript"/>
    </w:rPr>
  </w:style>
  <w:style w:type="paragraph" w:styleId="BalloonText">
    <w:name w:val="Balloon Text"/>
    <w:basedOn w:val="Normal"/>
    <w:link w:val="BalloonTextChar"/>
    <w:uiPriority w:val="99"/>
    <w:semiHidden/>
    <w:unhideWhenUsed/>
    <w:rsid w:val="001F40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4068"/>
    <w:rPr>
      <w:rFonts w:ascii="Tahoma" w:hAnsi="Tahoma" w:cs="Tahoma"/>
      <w:sz w:val="16"/>
      <w:szCs w:val="16"/>
    </w:rPr>
  </w:style>
  <w:style w:type="paragraph" w:customStyle="1" w:styleId="MTDisplayEquation">
    <w:name w:val="MTDisplayEquation"/>
    <w:basedOn w:val="Normal"/>
    <w:next w:val="Normal"/>
    <w:link w:val="MTDisplayEquationChar"/>
    <w:rsid w:val="001F4068"/>
    <w:pPr>
      <w:tabs>
        <w:tab w:val="center" w:pos="4520"/>
        <w:tab w:val="right" w:pos="9020"/>
      </w:tabs>
    </w:pPr>
  </w:style>
  <w:style w:type="character" w:customStyle="1" w:styleId="MTDisplayEquationChar">
    <w:name w:val="MTDisplayEquation Char"/>
    <w:basedOn w:val="DefaultParagraphFont"/>
    <w:link w:val="MTDisplayEquation"/>
    <w:rsid w:val="001F4068"/>
  </w:style>
  <w:style w:type="paragraph" w:styleId="NormalWeb">
    <w:name w:val="Normal (Web)"/>
    <w:basedOn w:val="Normal"/>
    <w:uiPriority w:val="99"/>
    <w:unhideWhenUsed/>
    <w:rsid w:val="001F406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1F406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4068"/>
  </w:style>
  <w:style w:type="paragraph" w:styleId="Footer">
    <w:name w:val="footer"/>
    <w:basedOn w:val="Normal"/>
    <w:link w:val="FooterChar"/>
    <w:uiPriority w:val="99"/>
    <w:unhideWhenUsed/>
    <w:rsid w:val="001F406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4068"/>
  </w:style>
  <w:style w:type="paragraph" w:customStyle="1" w:styleId="Author">
    <w:name w:val="Author"/>
    <w:next w:val="Normal"/>
    <w:rsid w:val="001F4068"/>
    <w:pPr>
      <w:suppressAutoHyphens/>
      <w:spacing w:after="280" w:line="360" w:lineRule="auto"/>
      <w:jc w:val="center"/>
    </w:pPr>
    <w:rPr>
      <w:rFonts w:ascii="Times New Roman" w:eastAsia="Calisto MT" w:hAnsi="Times New Roman" w:cs="TimesLTStd-Roman"/>
      <w:smallCaps/>
      <w:color w:val="000000"/>
      <w:sz w:val="24"/>
      <w:lang w:val="en-US"/>
    </w:rPr>
  </w:style>
  <w:style w:type="paragraph" w:customStyle="1" w:styleId="Abstract">
    <w:name w:val="Abstract"/>
    <w:next w:val="Normal"/>
    <w:rsid w:val="001F4068"/>
    <w:pPr>
      <w:spacing w:before="100" w:after="600" w:line="360" w:lineRule="auto"/>
      <w:ind w:left="662" w:right="662"/>
      <w:jc w:val="both"/>
    </w:pPr>
    <w:rPr>
      <w:rFonts w:ascii="Times New Roman" w:eastAsia="Calisto MT" w:hAnsi="Times New Roman" w:cs="TimesLTStd-Italic"/>
      <w:i/>
      <w:iCs/>
      <w:color w:val="000000"/>
      <w:sz w:val="24"/>
      <w:lang w:val="en-US"/>
    </w:rPr>
  </w:style>
  <w:style w:type="paragraph" w:styleId="Caption">
    <w:name w:val="caption"/>
    <w:basedOn w:val="Normal"/>
    <w:next w:val="Normal"/>
    <w:uiPriority w:val="35"/>
    <w:unhideWhenUsed/>
    <w:qFormat/>
    <w:rsid w:val="001F4068"/>
    <w:pPr>
      <w:spacing w:line="240" w:lineRule="auto"/>
    </w:pPr>
    <w:rPr>
      <w:b/>
      <w:bCs/>
      <w:color w:val="4472C4" w:themeColor="accent1"/>
      <w:sz w:val="18"/>
      <w:szCs w:val="18"/>
    </w:rPr>
  </w:style>
  <w:style w:type="paragraph" w:customStyle="1" w:styleId="suggested-citation">
    <w:name w:val="suggested-citation"/>
    <w:basedOn w:val="Normal"/>
    <w:rsid w:val="001F40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1F4068"/>
    <w:rPr>
      <w:color w:val="0000FF"/>
      <w:u w:val="single"/>
    </w:rPr>
  </w:style>
  <w:style w:type="character" w:customStyle="1" w:styleId="ref-lnk">
    <w:name w:val="ref-lnk"/>
    <w:basedOn w:val="DefaultParagraphFont"/>
    <w:rsid w:val="001F4068"/>
  </w:style>
  <w:style w:type="character" w:customStyle="1" w:styleId="ref-overlay">
    <w:name w:val="ref-overlay"/>
    <w:basedOn w:val="DefaultParagraphFont"/>
    <w:rsid w:val="001F4068"/>
  </w:style>
  <w:style w:type="character" w:customStyle="1" w:styleId="hlfld-contribauthor">
    <w:name w:val="hlfld-contribauthor"/>
    <w:basedOn w:val="DefaultParagraphFont"/>
    <w:rsid w:val="001F4068"/>
  </w:style>
  <w:style w:type="character" w:customStyle="1" w:styleId="nlmgiven-names">
    <w:name w:val="nlm_given-names"/>
    <w:basedOn w:val="DefaultParagraphFont"/>
    <w:rsid w:val="001F4068"/>
  </w:style>
  <w:style w:type="character" w:customStyle="1" w:styleId="nlmyear">
    <w:name w:val="nlm_year"/>
    <w:basedOn w:val="DefaultParagraphFont"/>
    <w:rsid w:val="001F4068"/>
  </w:style>
  <w:style w:type="character" w:customStyle="1" w:styleId="nlmarticle-title">
    <w:name w:val="nlm_article-title"/>
    <w:basedOn w:val="DefaultParagraphFont"/>
    <w:rsid w:val="001F4068"/>
  </w:style>
  <w:style w:type="character" w:customStyle="1" w:styleId="nlmfpage">
    <w:name w:val="nlm_fpage"/>
    <w:basedOn w:val="DefaultParagraphFont"/>
    <w:rsid w:val="001F4068"/>
  </w:style>
  <w:style w:type="character" w:customStyle="1" w:styleId="nlmlpage">
    <w:name w:val="nlm_lpage"/>
    <w:basedOn w:val="DefaultParagraphFont"/>
    <w:rsid w:val="001F4068"/>
  </w:style>
  <w:style w:type="character" w:customStyle="1" w:styleId="ref-links">
    <w:name w:val="ref-links"/>
    <w:basedOn w:val="DefaultParagraphFont"/>
    <w:rsid w:val="001F4068"/>
  </w:style>
  <w:style w:type="character" w:customStyle="1" w:styleId="xlinks-container">
    <w:name w:val="xlinks-container"/>
    <w:basedOn w:val="DefaultParagraphFont"/>
    <w:rsid w:val="001F4068"/>
  </w:style>
  <w:style w:type="character" w:customStyle="1" w:styleId="googlescholar-container">
    <w:name w:val="googlescholar-container"/>
    <w:basedOn w:val="DefaultParagraphFont"/>
    <w:rsid w:val="001F4068"/>
  </w:style>
  <w:style w:type="character" w:customStyle="1" w:styleId="nlmpublisher-loc">
    <w:name w:val="nlm_publisher-loc"/>
    <w:basedOn w:val="DefaultParagraphFont"/>
    <w:rsid w:val="001F4068"/>
  </w:style>
  <w:style w:type="character" w:customStyle="1" w:styleId="nlmpublisher-name">
    <w:name w:val="nlm_publisher-name"/>
    <w:basedOn w:val="DefaultParagraphFont"/>
    <w:rsid w:val="001F4068"/>
  </w:style>
  <w:style w:type="table" w:customStyle="1" w:styleId="TableGrid1">
    <w:name w:val="Table Grid1"/>
    <w:basedOn w:val="TableNormal"/>
    <w:next w:val="TableGrid"/>
    <w:uiPriority w:val="59"/>
    <w:rsid w:val="001F40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1F40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F4068"/>
    <w:pPr>
      <w:spacing w:after="0" w:line="240" w:lineRule="auto"/>
    </w:pPr>
  </w:style>
  <w:style w:type="paragraph" w:customStyle="1" w:styleId="FootnoteText1">
    <w:name w:val="Footnote Text1"/>
    <w:basedOn w:val="Normal"/>
    <w:next w:val="FootnoteText"/>
    <w:uiPriority w:val="99"/>
    <w:semiHidden/>
    <w:unhideWhenUsed/>
    <w:rsid w:val="001F4068"/>
    <w:pPr>
      <w:spacing w:after="0" w:line="240" w:lineRule="auto"/>
    </w:pPr>
    <w:rPr>
      <w:sz w:val="20"/>
      <w:szCs w:val="20"/>
    </w:rPr>
  </w:style>
  <w:style w:type="character" w:styleId="PlaceholderText">
    <w:name w:val="Placeholder Text"/>
    <w:basedOn w:val="DefaultParagraphFont"/>
    <w:uiPriority w:val="99"/>
    <w:semiHidden/>
    <w:rsid w:val="001F4068"/>
    <w:rPr>
      <w:color w:val="808080"/>
    </w:rPr>
  </w:style>
  <w:style w:type="character" w:customStyle="1" w:styleId="font231">
    <w:name w:val="font231"/>
    <w:basedOn w:val="DefaultParagraphFont"/>
    <w:rsid w:val="009E7D42"/>
    <w:rPr>
      <w:rFonts w:ascii="Arial" w:hAnsi="Arial" w:cs="Arial" w:hint="default"/>
      <w:b w:val="0"/>
      <w:bCs w:val="0"/>
      <w:i/>
      <w:iCs/>
      <w:strike w:val="0"/>
      <w:dstrike w:val="0"/>
      <w:color w:val="000000"/>
      <w:sz w:val="20"/>
      <w:szCs w:val="20"/>
      <w:u w:val="none"/>
      <w:effect w:val="none"/>
    </w:rPr>
  </w:style>
  <w:style w:type="character" w:customStyle="1" w:styleId="font241">
    <w:name w:val="font241"/>
    <w:basedOn w:val="DefaultParagraphFont"/>
    <w:rsid w:val="009E7D42"/>
    <w:rPr>
      <w:rFonts w:ascii="Arial" w:hAnsi="Arial" w:cs="Arial" w:hint="default"/>
      <w:b w:val="0"/>
      <w:bCs w:val="0"/>
      <w:i w:val="0"/>
      <w:iCs w:val="0"/>
      <w:strike w:val="0"/>
      <w:dstrike w:val="0"/>
      <w:color w:val="000000"/>
      <w:sz w:val="20"/>
      <w:szCs w:val="20"/>
      <w:u w:val="none"/>
      <w:effect w:val="none"/>
    </w:rPr>
  </w:style>
  <w:style w:type="character" w:customStyle="1" w:styleId="apple-converted-space">
    <w:name w:val="apple-converted-space"/>
    <w:basedOn w:val="DefaultParagraphFont"/>
    <w:rsid w:val="007E4C54"/>
  </w:style>
  <w:style w:type="character" w:styleId="Emphasis">
    <w:name w:val="Emphasis"/>
    <w:basedOn w:val="DefaultParagraphFont"/>
    <w:uiPriority w:val="20"/>
    <w:qFormat/>
    <w:rsid w:val="0033372B"/>
    <w:rPr>
      <w:i/>
      <w:iCs/>
    </w:rPr>
  </w:style>
  <w:style w:type="character" w:customStyle="1" w:styleId="highlight">
    <w:name w:val="highlight"/>
    <w:basedOn w:val="DefaultParagraphFont"/>
    <w:rsid w:val="000C5733"/>
  </w:style>
  <w:style w:type="character" w:customStyle="1" w:styleId="UnresolvedMention1">
    <w:name w:val="Unresolved Mention1"/>
    <w:basedOn w:val="DefaultParagraphFont"/>
    <w:uiPriority w:val="99"/>
    <w:semiHidden/>
    <w:unhideWhenUsed/>
    <w:rsid w:val="003704A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129561">
      <w:bodyDiv w:val="1"/>
      <w:marLeft w:val="0"/>
      <w:marRight w:val="0"/>
      <w:marTop w:val="0"/>
      <w:marBottom w:val="0"/>
      <w:divBdr>
        <w:top w:val="none" w:sz="0" w:space="0" w:color="auto"/>
        <w:left w:val="none" w:sz="0" w:space="0" w:color="auto"/>
        <w:bottom w:val="none" w:sz="0" w:space="0" w:color="auto"/>
        <w:right w:val="none" w:sz="0" w:space="0" w:color="auto"/>
      </w:divBdr>
    </w:div>
    <w:div w:id="223178451">
      <w:bodyDiv w:val="1"/>
      <w:marLeft w:val="0"/>
      <w:marRight w:val="0"/>
      <w:marTop w:val="0"/>
      <w:marBottom w:val="0"/>
      <w:divBdr>
        <w:top w:val="none" w:sz="0" w:space="0" w:color="auto"/>
        <w:left w:val="none" w:sz="0" w:space="0" w:color="auto"/>
        <w:bottom w:val="none" w:sz="0" w:space="0" w:color="auto"/>
        <w:right w:val="none" w:sz="0" w:space="0" w:color="auto"/>
      </w:divBdr>
      <w:divsChild>
        <w:div w:id="1001355680">
          <w:marLeft w:val="0"/>
          <w:marRight w:val="0"/>
          <w:marTop w:val="0"/>
          <w:marBottom w:val="0"/>
          <w:divBdr>
            <w:top w:val="none" w:sz="0" w:space="0" w:color="auto"/>
            <w:left w:val="none" w:sz="0" w:space="0" w:color="auto"/>
            <w:bottom w:val="none" w:sz="0" w:space="0" w:color="auto"/>
            <w:right w:val="none" w:sz="0" w:space="0" w:color="auto"/>
          </w:divBdr>
        </w:div>
      </w:divsChild>
    </w:div>
    <w:div w:id="318727683">
      <w:bodyDiv w:val="1"/>
      <w:marLeft w:val="0"/>
      <w:marRight w:val="0"/>
      <w:marTop w:val="0"/>
      <w:marBottom w:val="0"/>
      <w:divBdr>
        <w:top w:val="none" w:sz="0" w:space="0" w:color="auto"/>
        <w:left w:val="none" w:sz="0" w:space="0" w:color="auto"/>
        <w:bottom w:val="none" w:sz="0" w:space="0" w:color="auto"/>
        <w:right w:val="none" w:sz="0" w:space="0" w:color="auto"/>
      </w:divBdr>
      <w:divsChild>
        <w:div w:id="1092315274">
          <w:marLeft w:val="0"/>
          <w:marRight w:val="0"/>
          <w:marTop w:val="0"/>
          <w:marBottom w:val="0"/>
          <w:divBdr>
            <w:top w:val="none" w:sz="0" w:space="0" w:color="auto"/>
            <w:left w:val="none" w:sz="0" w:space="0" w:color="auto"/>
            <w:bottom w:val="none" w:sz="0" w:space="0" w:color="auto"/>
            <w:right w:val="none" w:sz="0" w:space="0" w:color="auto"/>
          </w:divBdr>
        </w:div>
        <w:div w:id="460151237">
          <w:marLeft w:val="0"/>
          <w:marRight w:val="0"/>
          <w:marTop w:val="0"/>
          <w:marBottom w:val="0"/>
          <w:divBdr>
            <w:top w:val="none" w:sz="0" w:space="0" w:color="auto"/>
            <w:left w:val="none" w:sz="0" w:space="0" w:color="auto"/>
            <w:bottom w:val="none" w:sz="0" w:space="0" w:color="auto"/>
            <w:right w:val="none" w:sz="0" w:space="0" w:color="auto"/>
          </w:divBdr>
        </w:div>
        <w:div w:id="229921817">
          <w:marLeft w:val="0"/>
          <w:marRight w:val="0"/>
          <w:marTop w:val="0"/>
          <w:marBottom w:val="0"/>
          <w:divBdr>
            <w:top w:val="none" w:sz="0" w:space="0" w:color="auto"/>
            <w:left w:val="none" w:sz="0" w:space="0" w:color="auto"/>
            <w:bottom w:val="none" w:sz="0" w:space="0" w:color="auto"/>
            <w:right w:val="none" w:sz="0" w:space="0" w:color="auto"/>
          </w:divBdr>
        </w:div>
        <w:div w:id="1789198433">
          <w:marLeft w:val="0"/>
          <w:marRight w:val="0"/>
          <w:marTop w:val="0"/>
          <w:marBottom w:val="0"/>
          <w:divBdr>
            <w:top w:val="none" w:sz="0" w:space="0" w:color="auto"/>
            <w:left w:val="none" w:sz="0" w:space="0" w:color="auto"/>
            <w:bottom w:val="none" w:sz="0" w:space="0" w:color="auto"/>
            <w:right w:val="none" w:sz="0" w:space="0" w:color="auto"/>
          </w:divBdr>
        </w:div>
        <w:div w:id="375810429">
          <w:marLeft w:val="0"/>
          <w:marRight w:val="0"/>
          <w:marTop w:val="0"/>
          <w:marBottom w:val="0"/>
          <w:divBdr>
            <w:top w:val="none" w:sz="0" w:space="0" w:color="auto"/>
            <w:left w:val="none" w:sz="0" w:space="0" w:color="auto"/>
            <w:bottom w:val="none" w:sz="0" w:space="0" w:color="auto"/>
            <w:right w:val="none" w:sz="0" w:space="0" w:color="auto"/>
          </w:divBdr>
        </w:div>
        <w:div w:id="2019844424">
          <w:marLeft w:val="0"/>
          <w:marRight w:val="0"/>
          <w:marTop w:val="0"/>
          <w:marBottom w:val="0"/>
          <w:divBdr>
            <w:top w:val="none" w:sz="0" w:space="0" w:color="auto"/>
            <w:left w:val="none" w:sz="0" w:space="0" w:color="auto"/>
            <w:bottom w:val="none" w:sz="0" w:space="0" w:color="auto"/>
            <w:right w:val="none" w:sz="0" w:space="0" w:color="auto"/>
          </w:divBdr>
        </w:div>
        <w:div w:id="594024088">
          <w:marLeft w:val="0"/>
          <w:marRight w:val="0"/>
          <w:marTop w:val="0"/>
          <w:marBottom w:val="0"/>
          <w:divBdr>
            <w:top w:val="none" w:sz="0" w:space="0" w:color="auto"/>
            <w:left w:val="none" w:sz="0" w:space="0" w:color="auto"/>
            <w:bottom w:val="none" w:sz="0" w:space="0" w:color="auto"/>
            <w:right w:val="none" w:sz="0" w:space="0" w:color="auto"/>
          </w:divBdr>
        </w:div>
        <w:div w:id="1215120782">
          <w:marLeft w:val="0"/>
          <w:marRight w:val="0"/>
          <w:marTop w:val="0"/>
          <w:marBottom w:val="0"/>
          <w:divBdr>
            <w:top w:val="none" w:sz="0" w:space="0" w:color="auto"/>
            <w:left w:val="none" w:sz="0" w:space="0" w:color="auto"/>
            <w:bottom w:val="none" w:sz="0" w:space="0" w:color="auto"/>
            <w:right w:val="none" w:sz="0" w:space="0" w:color="auto"/>
          </w:divBdr>
        </w:div>
        <w:div w:id="1661929676">
          <w:marLeft w:val="0"/>
          <w:marRight w:val="0"/>
          <w:marTop w:val="0"/>
          <w:marBottom w:val="0"/>
          <w:divBdr>
            <w:top w:val="none" w:sz="0" w:space="0" w:color="auto"/>
            <w:left w:val="none" w:sz="0" w:space="0" w:color="auto"/>
            <w:bottom w:val="none" w:sz="0" w:space="0" w:color="auto"/>
            <w:right w:val="none" w:sz="0" w:space="0" w:color="auto"/>
          </w:divBdr>
        </w:div>
        <w:div w:id="32729231">
          <w:marLeft w:val="0"/>
          <w:marRight w:val="0"/>
          <w:marTop w:val="0"/>
          <w:marBottom w:val="0"/>
          <w:divBdr>
            <w:top w:val="none" w:sz="0" w:space="0" w:color="auto"/>
            <w:left w:val="none" w:sz="0" w:space="0" w:color="auto"/>
            <w:bottom w:val="none" w:sz="0" w:space="0" w:color="auto"/>
            <w:right w:val="none" w:sz="0" w:space="0" w:color="auto"/>
          </w:divBdr>
        </w:div>
        <w:div w:id="1859267880">
          <w:marLeft w:val="0"/>
          <w:marRight w:val="0"/>
          <w:marTop w:val="0"/>
          <w:marBottom w:val="0"/>
          <w:divBdr>
            <w:top w:val="none" w:sz="0" w:space="0" w:color="auto"/>
            <w:left w:val="none" w:sz="0" w:space="0" w:color="auto"/>
            <w:bottom w:val="none" w:sz="0" w:space="0" w:color="auto"/>
            <w:right w:val="none" w:sz="0" w:space="0" w:color="auto"/>
          </w:divBdr>
        </w:div>
        <w:div w:id="1660428030">
          <w:marLeft w:val="0"/>
          <w:marRight w:val="0"/>
          <w:marTop w:val="0"/>
          <w:marBottom w:val="0"/>
          <w:divBdr>
            <w:top w:val="none" w:sz="0" w:space="0" w:color="auto"/>
            <w:left w:val="none" w:sz="0" w:space="0" w:color="auto"/>
            <w:bottom w:val="none" w:sz="0" w:space="0" w:color="auto"/>
            <w:right w:val="none" w:sz="0" w:space="0" w:color="auto"/>
          </w:divBdr>
        </w:div>
      </w:divsChild>
    </w:div>
    <w:div w:id="480390117">
      <w:bodyDiv w:val="1"/>
      <w:marLeft w:val="0"/>
      <w:marRight w:val="0"/>
      <w:marTop w:val="0"/>
      <w:marBottom w:val="0"/>
      <w:divBdr>
        <w:top w:val="none" w:sz="0" w:space="0" w:color="auto"/>
        <w:left w:val="none" w:sz="0" w:space="0" w:color="auto"/>
        <w:bottom w:val="none" w:sz="0" w:space="0" w:color="auto"/>
        <w:right w:val="none" w:sz="0" w:space="0" w:color="auto"/>
      </w:divBdr>
      <w:divsChild>
        <w:div w:id="41296115">
          <w:marLeft w:val="0"/>
          <w:marRight w:val="0"/>
          <w:marTop w:val="0"/>
          <w:marBottom w:val="0"/>
          <w:divBdr>
            <w:top w:val="none" w:sz="0" w:space="0" w:color="auto"/>
            <w:left w:val="none" w:sz="0" w:space="0" w:color="auto"/>
            <w:bottom w:val="none" w:sz="0" w:space="0" w:color="auto"/>
            <w:right w:val="none" w:sz="0" w:space="0" w:color="auto"/>
          </w:divBdr>
        </w:div>
      </w:divsChild>
    </w:div>
    <w:div w:id="629671321">
      <w:bodyDiv w:val="1"/>
      <w:marLeft w:val="0"/>
      <w:marRight w:val="0"/>
      <w:marTop w:val="0"/>
      <w:marBottom w:val="0"/>
      <w:divBdr>
        <w:top w:val="none" w:sz="0" w:space="0" w:color="auto"/>
        <w:left w:val="none" w:sz="0" w:space="0" w:color="auto"/>
        <w:bottom w:val="none" w:sz="0" w:space="0" w:color="auto"/>
        <w:right w:val="none" w:sz="0" w:space="0" w:color="auto"/>
      </w:divBdr>
      <w:divsChild>
        <w:div w:id="807623507">
          <w:marLeft w:val="0"/>
          <w:marRight w:val="0"/>
          <w:marTop w:val="0"/>
          <w:marBottom w:val="0"/>
          <w:divBdr>
            <w:top w:val="none" w:sz="0" w:space="0" w:color="auto"/>
            <w:left w:val="none" w:sz="0" w:space="0" w:color="auto"/>
            <w:bottom w:val="none" w:sz="0" w:space="0" w:color="auto"/>
            <w:right w:val="none" w:sz="0" w:space="0" w:color="auto"/>
          </w:divBdr>
        </w:div>
      </w:divsChild>
    </w:div>
    <w:div w:id="745417683">
      <w:bodyDiv w:val="1"/>
      <w:marLeft w:val="0"/>
      <w:marRight w:val="0"/>
      <w:marTop w:val="0"/>
      <w:marBottom w:val="0"/>
      <w:divBdr>
        <w:top w:val="none" w:sz="0" w:space="0" w:color="auto"/>
        <w:left w:val="none" w:sz="0" w:space="0" w:color="auto"/>
        <w:bottom w:val="none" w:sz="0" w:space="0" w:color="auto"/>
        <w:right w:val="none" w:sz="0" w:space="0" w:color="auto"/>
      </w:divBdr>
    </w:div>
    <w:div w:id="750585814">
      <w:bodyDiv w:val="1"/>
      <w:marLeft w:val="0"/>
      <w:marRight w:val="0"/>
      <w:marTop w:val="0"/>
      <w:marBottom w:val="0"/>
      <w:divBdr>
        <w:top w:val="none" w:sz="0" w:space="0" w:color="auto"/>
        <w:left w:val="none" w:sz="0" w:space="0" w:color="auto"/>
        <w:bottom w:val="none" w:sz="0" w:space="0" w:color="auto"/>
        <w:right w:val="none" w:sz="0" w:space="0" w:color="auto"/>
      </w:divBdr>
      <w:divsChild>
        <w:div w:id="522868113">
          <w:marLeft w:val="0"/>
          <w:marRight w:val="0"/>
          <w:marTop w:val="0"/>
          <w:marBottom w:val="0"/>
          <w:divBdr>
            <w:top w:val="none" w:sz="0" w:space="0" w:color="auto"/>
            <w:left w:val="none" w:sz="0" w:space="0" w:color="auto"/>
            <w:bottom w:val="none" w:sz="0" w:space="0" w:color="auto"/>
            <w:right w:val="none" w:sz="0" w:space="0" w:color="auto"/>
          </w:divBdr>
        </w:div>
      </w:divsChild>
    </w:div>
    <w:div w:id="1056125777">
      <w:bodyDiv w:val="1"/>
      <w:marLeft w:val="0"/>
      <w:marRight w:val="0"/>
      <w:marTop w:val="0"/>
      <w:marBottom w:val="0"/>
      <w:divBdr>
        <w:top w:val="none" w:sz="0" w:space="0" w:color="auto"/>
        <w:left w:val="none" w:sz="0" w:space="0" w:color="auto"/>
        <w:bottom w:val="none" w:sz="0" w:space="0" w:color="auto"/>
        <w:right w:val="none" w:sz="0" w:space="0" w:color="auto"/>
      </w:divBdr>
    </w:div>
    <w:div w:id="1174883685">
      <w:bodyDiv w:val="1"/>
      <w:marLeft w:val="0"/>
      <w:marRight w:val="0"/>
      <w:marTop w:val="0"/>
      <w:marBottom w:val="0"/>
      <w:divBdr>
        <w:top w:val="none" w:sz="0" w:space="0" w:color="auto"/>
        <w:left w:val="none" w:sz="0" w:space="0" w:color="auto"/>
        <w:bottom w:val="none" w:sz="0" w:space="0" w:color="auto"/>
        <w:right w:val="none" w:sz="0" w:space="0" w:color="auto"/>
      </w:divBdr>
      <w:divsChild>
        <w:div w:id="1891913938">
          <w:marLeft w:val="0"/>
          <w:marRight w:val="0"/>
          <w:marTop w:val="0"/>
          <w:marBottom w:val="0"/>
          <w:divBdr>
            <w:top w:val="none" w:sz="0" w:space="0" w:color="auto"/>
            <w:left w:val="none" w:sz="0" w:space="0" w:color="auto"/>
            <w:bottom w:val="none" w:sz="0" w:space="0" w:color="auto"/>
            <w:right w:val="none" w:sz="0" w:space="0" w:color="auto"/>
          </w:divBdr>
        </w:div>
        <w:div w:id="634408853">
          <w:marLeft w:val="0"/>
          <w:marRight w:val="0"/>
          <w:marTop w:val="0"/>
          <w:marBottom w:val="0"/>
          <w:divBdr>
            <w:top w:val="none" w:sz="0" w:space="0" w:color="auto"/>
            <w:left w:val="none" w:sz="0" w:space="0" w:color="auto"/>
            <w:bottom w:val="none" w:sz="0" w:space="0" w:color="auto"/>
            <w:right w:val="none" w:sz="0" w:space="0" w:color="auto"/>
          </w:divBdr>
        </w:div>
        <w:div w:id="560212504">
          <w:marLeft w:val="0"/>
          <w:marRight w:val="0"/>
          <w:marTop w:val="0"/>
          <w:marBottom w:val="0"/>
          <w:divBdr>
            <w:top w:val="none" w:sz="0" w:space="0" w:color="auto"/>
            <w:left w:val="none" w:sz="0" w:space="0" w:color="auto"/>
            <w:bottom w:val="none" w:sz="0" w:space="0" w:color="auto"/>
            <w:right w:val="none" w:sz="0" w:space="0" w:color="auto"/>
          </w:divBdr>
        </w:div>
        <w:div w:id="1999571954">
          <w:marLeft w:val="0"/>
          <w:marRight w:val="0"/>
          <w:marTop w:val="0"/>
          <w:marBottom w:val="0"/>
          <w:divBdr>
            <w:top w:val="none" w:sz="0" w:space="0" w:color="auto"/>
            <w:left w:val="none" w:sz="0" w:space="0" w:color="auto"/>
            <w:bottom w:val="none" w:sz="0" w:space="0" w:color="auto"/>
            <w:right w:val="none" w:sz="0" w:space="0" w:color="auto"/>
          </w:divBdr>
        </w:div>
      </w:divsChild>
    </w:div>
    <w:div w:id="1336884022">
      <w:bodyDiv w:val="1"/>
      <w:marLeft w:val="0"/>
      <w:marRight w:val="0"/>
      <w:marTop w:val="0"/>
      <w:marBottom w:val="0"/>
      <w:divBdr>
        <w:top w:val="none" w:sz="0" w:space="0" w:color="auto"/>
        <w:left w:val="none" w:sz="0" w:space="0" w:color="auto"/>
        <w:bottom w:val="none" w:sz="0" w:space="0" w:color="auto"/>
        <w:right w:val="none" w:sz="0" w:space="0" w:color="auto"/>
      </w:divBdr>
      <w:divsChild>
        <w:div w:id="1898320948">
          <w:marLeft w:val="0"/>
          <w:marRight w:val="0"/>
          <w:marTop w:val="0"/>
          <w:marBottom w:val="0"/>
          <w:divBdr>
            <w:top w:val="none" w:sz="0" w:space="0" w:color="auto"/>
            <w:left w:val="none" w:sz="0" w:space="0" w:color="auto"/>
            <w:bottom w:val="none" w:sz="0" w:space="0" w:color="auto"/>
            <w:right w:val="none" w:sz="0" w:space="0" w:color="auto"/>
          </w:divBdr>
        </w:div>
        <w:div w:id="791284234">
          <w:marLeft w:val="0"/>
          <w:marRight w:val="0"/>
          <w:marTop w:val="0"/>
          <w:marBottom w:val="0"/>
          <w:divBdr>
            <w:top w:val="none" w:sz="0" w:space="0" w:color="auto"/>
            <w:left w:val="none" w:sz="0" w:space="0" w:color="auto"/>
            <w:bottom w:val="none" w:sz="0" w:space="0" w:color="auto"/>
            <w:right w:val="none" w:sz="0" w:space="0" w:color="auto"/>
          </w:divBdr>
        </w:div>
        <w:div w:id="988747262">
          <w:marLeft w:val="0"/>
          <w:marRight w:val="0"/>
          <w:marTop w:val="0"/>
          <w:marBottom w:val="0"/>
          <w:divBdr>
            <w:top w:val="none" w:sz="0" w:space="0" w:color="auto"/>
            <w:left w:val="none" w:sz="0" w:space="0" w:color="auto"/>
            <w:bottom w:val="none" w:sz="0" w:space="0" w:color="auto"/>
            <w:right w:val="none" w:sz="0" w:space="0" w:color="auto"/>
          </w:divBdr>
        </w:div>
        <w:div w:id="813136636">
          <w:marLeft w:val="0"/>
          <w:marRight w:val="0"/>
          <w:marTop w:val="0"/>
          <w:marBottom w:val="0"/>
          <w:divBdr>
            <w:top w:val="none" w:sz="0" w:space="0" w:color="auto"/>
            <w:left w:val="none" w:sz="0" w:space="0" w:color="auto"/>
            <w:bottom w:val="none" w:sz="0" w:space="0" w:color="auto"/>
            <w:right w:val="none" w:sz="0" w:space="0" w:color="auto"/>
          </w:divBdr>
        </w:div>
        <w:div w:id="1111391712">
          <w:marLeft w:val="0"/>
          <w:marRight w:val="0"/>
          <w:marTop w:val="0"/>
          <w:marBottom w:val="0"/>
          <w:divBdr>
            <w:top w:val="none" w:sz="0" w:space="0" w:color="auto"/>
            <w:left w:val="none" w:sz="0" w:space="0" w:color="auto"/>
            <w:bottom w:val="none" w:sz="0" w:space="0" w:color="auto"/>
            <w:right w:val="none" w:sz="0" w:space="0" w:color="auto"/>
          </w:divBdr>
        </w:div>
        <w:div w:id="957297787">
          <w:marLeft w:val="0"/>
          <w:marRight w:val="0"/>
          <w:marTop w:val="0"/>
          <w:marBottom w:val="0"/>
          <w:divBdr>
            <w:top w:val="none" w:sz="0" w:space="0" w:color="auto"/>
            <w:left w:val="none" w:sz="0" w:space="0" w:color="auto"/>
            <w:bottom w:val="none" w:sz="0" w:space="0" w:color="auto"/>
            <w:right w:val="none" w:sz="0" w:space="0" w:color="auto"/>
          </w:divBdr>
        </w:div>
        <w:div w:id="1548450302">
          <w:marLeft w:val="0"/>
          <w:marRight w:val="0"/>
          <w:marTop w:val="0"/>
          <w:marBottom w:val="0"/>
          <w:divBdr>
            <w:top w:val="none" w:sz="0" w:space="0" w:color="auto"/>
            <w:left w:val="none" w:sz="0" w:space="0" w:color="auto"/>
            <w:bottom w:val="none" w:sz="0" w:space="0" w:color="auto"/>
            <w:right w:val="none" w:sz="0" w:space="0" w:color="auto"/>
          </w:divBdr>
        </w:div>
        <w:div w:id="793987727">
          <w:marLeft w:val="0"/>
          <w:marRight w:val="0"/>
          <w:marTop w:val="0"/>
          <w:marBottom w:val="0"/>
          <w:divBdr>
            <w:top w:val="none" w:sz="0" w:space="0" w:color="auto"/>
            <w:left w:val="none" w:sz="0" w:space="0" w:color="auto"/>
            <w:bottom w:val="none" w:sz="0" w:space="0" w:color="auto"/>
            <w:right w:val="none" w:sz="0" w:space="0" w:color="auto"/>
          </w:divBdr>
        </w:div>
        <w:div w:id="1904676586">
          <w:marLeft w:val="0"/>
          <w:marRight w:val="0"/>
          <w:marTop w:val="0"/>
          <w:marBottom w:val="0"/>
          <w:divBdr>
            <w:top w:val="none" w:sz="0" w:space="0" w:color="auto"/>
            <w:left w:val="none" w:sz="0" w:space="0" w:color="auto"/>
            <w:bottom w:val="none" w:sz="0" w:space="0" w:color="auto"/>
            <w:right w:val="none" w:sz="0" w:space="0" w:color="auto"/>
          </w:divBdr>
        </w:div>
        <w:div w:id="868958018">
          <w:marLeft w:val="0"/>
          <w:marRight w:val="0"/>
          <w:marTop w:val="0"/>
          <w:marBottom w:val="0"/>
          <w:divBdr>
            <w:top w:val="none" w:sz="0" w:space="0" w:color="auto"/>
            <w:left w:val="none" w:sz="0" w:space="0" w:color="auto"/>
            <w:bottom w:val="none" w:sz="0" w:space="0" w:color="auto"/>
            <w:right w:val="none" w:sz="0" w:space="0" w:color="auto"/>
          </w:divBdr>
        </w:div>
        <w:div w:id="19485840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2.wmf"/><Relationship Id="rId299" Type="http://schemas.openxmlformats.org/officeDocument/2006/relationships/oleObject" Target="embeddings/oleObject152.bin"/><Relationship Id="rId303" Type="http://schemas.openxmlformats.org/officeDocument/2006/relationships/image" Target="media/image142.png"/><Relationship Id="rId21" Type="http://schemas.openxmlformats.org/officeDocument/2006/relationships/oleObject" Target="embeddings/oleObject7.bin"/><Relationship Id="rId42" Type="http://schemas.openxmlformats.org/officeDocument/2006/relationships/image" Target="media/image17.wmf"/><Relationship Id="rId63" Type="http://schemas.openxmlformats.org/officeDocument/2006/relationships/image" Target="media/image26.wmf"/><Relationship Id="rId84" Type="http://schemas.openxmlformats.org/officeDocument/2006/relationships/image" Target="media/image35.wmf"/><Relationship Id="rId138" Type="http://schemas.openxmlformats.org/officeDocument/2006/relationships/oleObject" Target="embeddings/oleObject69.bin"/><Relationship Id="rId159" Type="http://schemas.openxmlformats.org/officeDocument/2006/relationships/image" Target="media/image73.wmf"/><Relationship Id="rId324" Type="http://schemas.openxmlformats.org/officeDocument/2006/relationships/oleObject" Target="embeddings/oleObject170.bin"/><Relationship Id="rId170" Type="http://schemas.openxmlformats.org/officeDocument/2006/relationships/image" Target="media/image78.wmf"/><Relationship Id="rId191" Type="http://schemas.openxmlformats.org/officeDocument/2006/relationships/image" Target="media/image88.wmf"/><Relationship Id="rId205" Type="http://schemas.openxmlformats.org/officeDocument/2006/relationships/image" Target="media/image94.wmf"/><Relationship Id="rId226" Type="http://schemas.openxmlformats.org/officeDocument/2006/relationships/image" Target="media/image103.wmf"/><Relationship Id="rId247" Type="http://schemas.openxmlformats.org/officeDocument/2006/relationships/image" Target="media/image114.wmf"/><Relationship Id="rId107" Type="http://schemas.openxmlformats.org/officeDocument/2006/relationships/oleObject" Target="embeddings/oleObject52.bin"/><Relationship Id="rId268" Type="http://schemas.openxmlformats.org/officeDocument/2006/relationships/image" Target="media/image124.wmf"/><Relationship Id="rId289" Type="http://schemas.openxmlformats.org/officeDocument/2006/relationships/image" Target="media/image134.emf"/><Relationship Id="rId11" Type="http://schemas.openxmlformats.org/officeDocument/2006/relationships/oleObject" Target="embeddings/oleObject2.bin"/><Relationship Id="rId32" Type="http://schemas.openxmlformats.org/officeDocument/2006/relationships/oleObject" Target="embeddings/oleObject13.bin"/><Relationship Id="rId53" Type="http://schemas.openxmlformats.org/officeDocument/2006/relationships/oleObject" Target="embeddings/oleObject25.bin"/><Relationship Id="rId74" Type="http://schemas.openxmlformats.org/officeDocument/2006/relationships/image" Target="media/image31.wmf"/><Relationship Id="rId128" Type="http://schemas.openxmlformats.org/officeDocument/2006/relationships/oleObject" Target="embeddings/oleObject64.bin"/><Relationship Id="rId149" Type="http://schemas.openxmlformats.org/officeDocument/2006/relationships/image" Target="media/image68.wmf"/><Relationship Id="rId314" Type="http://schemas.openxmlformats.org/officeDocument/2006/relationships/oleObject" Target="embeddings/oleObject162.bin"/><Relationship Id="rId5" Type="http://schemas.openxmlformats.org/officeDocument/2006/relationships/webSettings" Target="webSettings.xml"/><Relationship Id="rId95" Type="http://schemas.openxmlformats.org/officeDocument/2006/relationships/image" Target="media/image42.png"/><Relationship Id="rId160" Type="http://schemas.openxmlformats.org/officeDocument/2006/relationships/oleObject" Target="embeddings/oleObject80.bin"/><Relationship Id="rId181" Type="http://schemas.openxmlformats.org/officeDocument/2006/relationships/oleObject" Target="embeddings/oleObject91.bin"/><Relationship Id="rId216" Type="http://schemas.openxmlformats.org/officeDocument/2006/relationships/image" Target="media/image99.wmf"/><Relationship Id="rId237" Type="http://schemas.openxmlformats.org/officeDocument/2006/relationships/image" Target="media/image109.wmf"/><Relationship Id="rId258" Type="http://schemas.openxmlformats.org/officeDocument/2006/relationships/image" Target="media/image119.wmf"/><Relationship Id="rId279" Type="http://schemas.openxmlformats.org/officeDocument/2006/relationships/oleObject" Target="embeddings/oleObject143.bin"/><Relationship Id="rId22" Type="http://schemas.openxmlformats.org/officeDocument/2006/relationships/image" Target="media/image8.wmf"/><Relationship Id="rId43" Type="http://schemas.openxmlformats.org/officeDocument/2006/relationships/oleObject" Target="embeddings/oleObject19.bin"/><Relationship Id="rId64" Type="http://schemas.openxmlformats.org/officeDocument/2006/relationships/oleObject" Target="embeddings/oleObject31.bin"/><Relationship Id="rId118" Type="http://schemas.openxmlformats.org/officeDocument/2006/relationships/oleObject" Target="embeddings/oleObject59.bin"/><Relationship Id="rId139" Type="http://schemas.openxmlformats.org/officeDocument/2006/relationships/image" Target="media/image63.wmf"/><Relationship Id="rId290" Type="http://schemas.openxmlformats.org/officeDocument/2006/relationships/oleObject" Target="embeddings/oleObject149.bin"/><Relationship Id="rId304" Type="http://schemas.openxmlformats.org/officeDocument/2006/relationships/oleObject" Target="embeddings/oleObject155.bin"/><Relationship Id="rId325" Type="http://schemas.openxmlformats.org/officeDocument/2006/relationships/oleObject" Target="embeddings/oleObject171.bin"/><Relationship Id="rId85" Type="http://schemas.openxmlformats.org/officeDocument/2006/relationships/oleObject" Target="embeddings/oleObject43.bin"/><Relationship Id="rId150" Type="http://schemas.openxmlformats.org/officeDocument/2006/relationships/oleObject" Target="embeddings/oleObject75.bin"/><Relationship Id="rId171" Type="http://schemas.openxmlformats.org/officeDocument/2006/relationships/oleObject" Target="embeddings/oleObject86.bin"/><Relationship Id="rId192" Type="http://schemas.openxmlformats.org/officeDocument/2006/relationships/oleObject" Target="embeddings/oleObject97.bin"/><Relationship Id="rId206" Type="http://schemas.openxmlformats.org/officeDocument/2006/relationships/oleObject" Target="embeddings/oleObject105.bin"/><Relationship Id="rId227" Type="http://schemas.openxmlformats.org/officeDocument/2006/relationships/oleObject" Target="embeddings/oleObject117.bin"/><Relationship Id="rId248" Type="http://schemas.openxmlformats.org/officeDocument/2006/relationships/oleObject" Target="embeddings/oleObject127.bin"/><Relationship Id="rId269" Type="http://schemas.openxmlformats.org/officeDocument/2006/relationships/oleObject" Target="embeddings/oleObject138.bin"/><Relationship Id="rId12" Type="http://schemas.openxmlformats.org/officeDocument/2006/relationships/image" Target="media/image3.wmf"/><Relationship Id="rId33" Type="http://schemas.openxmlformats.org/officeDocument/2006/relationships/oleObject" Target="embeddings/oleObject14.bin"/><Relationship Id="rId108" Type="http://schemas.openxmlformats.org/officeDocument/2006/relationships/image" Target="media/image49.wmf"/><Relationship Id="rId129" Type="http://schemas.openxmlformats.org/officeDocument/2006/relationships/image" Target="media/image58.wmf"/><Relationship Id="rId280" Type="http://schemas.openxmlformats.org/officeDocument/2006/relationships/image" Target="media/image130.wmf"/><Relationship Id="rId315" Type="http://schemas.openxmlformats.org/officeDocument/2006/relationships/oleObject" Target="embeddings/oleObject163.bin"/><Relationship Id="rId54" Type="http://schemas.openxmlformats.org/officeDocument/2006/relationships/image" Target="media/image22.wmf"/><Relationship Id="rId75" Type="http://schemas.openxmlformats.org/officeDocument/2006/relationships/oleObject" Target="embeddings/oleObject37.bin"/><Relationship Id="rId96" Type="http://schemas.openxmlformats.org/officeDocument/2006/relationships/image" Target="media/image43.wmf"/><Relationship Id="rId140" Type="http://schemas.openxmlformats.org/officeDocument/2006/relationships/oleObject" Target="embeddings/oleObject70.bin"/><Relationship Id="rId161" Type="http://schemas.openxmlformats.org/officeDocument/2006/relationships/image" Target="media/image74.wmf"/><Relationship Id="rId182" Type="http://schemas.openxmlformats.org/officeDocument/2006/relationships/image" Target="media/image84.wmf"/><Relationship Id="rId217" Type="http://schemas.openxmlformats.org/officeDocument/2006/relationships/oleObject" Target="embeddings/oleObject111.bin"/><Relationship Id="rId6" Type="http://schemas.openxmlformats.org/officeDocument/2006/relationships/footnotes" Target="footnotes.xml"/><Relationship Id="rId238" Type="http://schemas.openxmlformats.org/officeDocument/2006/relationships/oleObject" Target="embeddings/oleObject122.bin"/><Relationship Id="rId259" Type="http://schemas.openxmlformats.org/officeDocument/2006/relationships/oleObject" Target="embeddings/oleObject133.bin"/><Relationship Id="rId23" Type="http://schemas.openxmlformats.org/officeDocument/2006/relationships/oleObject" Target="embeddings/oleObject8.bin"/><Relationship Id="rId119" Type="http://schemas.openxmlformats.org/officeDocument/2006/relationships/image" Target="media/image53.wmf"/><Relationship Id="rId270" Type="http://schemas.openxmlformats.org/officeDocument/2006/relationships/image" Target="media/image125.wmf"/><Relationship Id="rId291" Type="http://schemas.openxmlformats.org/officeDocument/2006/relationships/oleObject" Target="embeddings/oleObject150.bin"/><Relationship Id="rId305" Type="http://schemas.openxmlformats.org/officeDocument/2006/relationships/oleObject" Target="embeddings/oleObject156.bin"/><Relationship Id="rId326" Type="http://schemas.openxmlformats.org/officeDocument/2006/relationships/header" Target="header1.xml"/><Relationship Id="rId44" Type="http://schemas.openxmlformats.org/officeDocument/2006/relationships/image" Target="media/image18.wmf"/><Relationship Id="rId65" Type="http://schemas.openxmlformats.org/officeDocument/2006/relationships/oleObject" Target="embeddings/oleObject32.bin"/><Relationship Id="rId86" Type="http://schemas.openxmlformats.org/officeDocument/2006/relationships/image" Target="media/image36.wmf"/><Relationship Id="rId130" Type="http://schemas.openxmlformats.org/officeDocument/2006/relationships/oleObject" Target="embeddings/oleObject65.bin"/><Relationship Id="rId151" Type="http://schemas.openxmlformats.org/officeDocument/2006/relationships/image" Target="media/image69.wmf"/><Relationship Id="rId172" Type="http://schemas.openxmlformats.org/officeDocument/2006/relationships/image" Target="media/image79.wmf"/><Relationship Id="rId193" Type="http://schemas.openxmlformats.org/officeDocument/2006/relationships/image" Target="media/image89.wmf"/><Relationship Id="rId207" Type="http://schemas.openxmlformats.org/officeDocument/2006/relationships/image" Target="media/image95.wmf"/><Relationship Id="rId228" Type="http://schemas.openxmlformats.org/officeDocument/2006/relationships/image" Target="media/image104.png"/><Relationship Id="rId249" Type="http://schemas.openxmlformats.org/officeDocument/2006/relationships/oleObject" Target="embeddings/oleObject128.bin"/><Relationship Id="rId13" Type="http://schemas.openxmlformats.org/officeDocument/2006/relationships/oleObject" Target="embeddings/oleObject3.bin"/><Relationship Id="rId109" Type="http://schemas.openxmlformats.org/officeDocument/2006/relationships/oleObject" Target="embeddings/oleObject53.bin"/><Relationship Id="rId260" Type="http://schemas.openxmlformats.org/officeDocument/2006/relationships/image" Target="media/image120.wmf"/><Relationship Id="rId281" Type="http://schemas.openxmlformats.org/officeDocument/2006/relationships/oleObject" Target="embeddings/oleObject144.bin"/><Relationship Id="rId316" Type="http://schemas.openxmlformats.org/officeDocument/2006/relationships/oleObject" Target="embeddings/oleObject164.bin"/><Relationship Id="rId34" Type="http://schemas.openxmlformats.org/officeDocument/2006/relationships/image" Target="media/image13.wmf"/><Relationship Id="rId55" Type="http://schemas.openxmlformats.org/officeDocument/2006/relationships/oleObject" Target="embeddings/oleObject26.bin"/><Relationship Id="rId76" Type="http://schemas.openxmlformats.org/officeDocument/2006/relationships/image" Target="media/image32.wmf"/><Relationship Id="rId97" Type="http://schemas.openxmlformats.org/officeDocument/2006/relationships/oleObject" Target="embeddings/oleObject47.bin"/><Relationship Id="rId120" Type="http://schemas.openxmlformats.org/officeDocument/2006/relationships/oleObject" Target="embeddings/oleObject60.bin"/><Relationship Id="rId141" Type="http://schemas.openxmlformats.org/officeDocument/2006/relationships/image" Target="media/image64.wmf"/><Relationship Id="rId7" Type="http://schemas.openxmlformats.org/officeDocument/2006/relationships/endnotes" Target="endnotes.xml"/><Relationship Id="rId162" Type="http://schemas.openxmlformats.org/officeDocument/2006/relationships/oleObject" Target="embeddings/oleObject81.bin"/><Relationship Id="rId183" Type="http://schemas.openxmlformats.org/officeDocument/2006/relationships/oleObject" Target="embeddings/oleObject92.bin"/><Relationship Id="rId218" Type="http://schemas.openxmlformats.org/officeDocument/2006/relationships/image" Target="media/image100.wmf"/><Relationship Id="rId239" Type="http://schemas.openxmlformats.org/officeDocument/2006/relationships/image" Target="media/image110.wmf"/><Relationship Id="rId250" Type="http://schemas.openxmlformats.org/officeDocument/2006/relationships/image" Target="media/image115.wmf"/><Relationship Id="rId271" Type="http://schemas.openxmlformats.org/officeDocument/2006/relationships/oleObject" Target="embeddings/oleObject139.bin"/><Relationship Id="rId292" Type="http://schemas.openxmlformats.org/officeDocument/2006/relationships/oleObject" Target="embeddings/oleObject151.bin"/><Relationship Id="rId306" Type="http://schemas.openxmlformats.org/officeDocument/2006/relationships/image" Target="media/image143.wmf"/><Relationship Id="rId24" Type="http://schemas.openxmlformats.org/officeDocument/2006/relationships/image" Target="media/image9.wmf"/><Relationship Id="rId45" Type="http://schemas.openxmlformats.org/officeDocument/2006/relationships/oleObject" Target="embeddings/oleObject20.bin"/><Relationship Id="rId66" Type="http://schemas.openxmlformats.org/officeDocument/2006/relationships/image" Target="media/image27.wmf"/><Relationship Id="rId87" Type="http://schemas.openxmlformats.org/officeDocument/2006/relationships/oleObject" Target="embeddings/oleObject44.bin"/><Relationship Id="rId110" Type="http://schemas.openxmlformats.org/officeDocument/2006/relationships/image" Target="media/image50.wmf"/><Relationship Id="rId131" Type="http://schemas.openxmlformats.org/officeDocument/2006/relationships/image" Target="media/image59.wmf"/><Relationship Id="rId327" Type="http://schemas.openxmlformats.org/officeDocument/2006/relationships/footer" Target="footer1.xml"/><Relationship Id="rId152" Type="http://schemas.openxmlformats.org/officeDocument/2006/relationships/oleObject" Target="embeddings/oleObject76.bin"/><Relationship Id="rId173" Type="http://schemas.openxmlformats.org/officeDocument/2006/relationships/oleObject" Target="embeddings/oleObject87.bin"/><Relationship Id="rId194" Type="http://schemas.openxmlformats.org/officeDocument/2006/relationships/oleObject" Target="embeddings/oleObject98.bin"/><Relationship Id="rId208" Type="http://schemas.openxmlformats.org/officeDocument/2006/relationships/oleObject" Target="embeddings/oleObject106.bin"/><Relationship Id="rId229" Type="http://schemas.openxmlformats.org/officeDocument/2006/relationships/image" Target="media/image105.wmf"/><Relationship Id="rId240" Type="http://schemas.openxmlformats.org/officeDocument/2006/relationships/oleObject" Target="embeddings/oleObject123.bin"/><Relationship Id="rId261" Type="http://schemas.openxmlformats.org/officeDocument/2006/relationships/oleObject" Target="embeddings/oleObject134.bin"/><Relationship Id="rId14" Type="http://schemas.openxmlformats.org/officeDocument/2006/relationships/image" Target="media/image4.wmf"/><Relationship Id="rId30" Type="http://schemas.openxmlformats.org/officeDocument/2006/relationships/image" Target="media/image11.wmf"/><Relationship Id="rId35" Type="http://schemas.openxmlformats.org/officeDocument/2006/relationships/oleObject" Target="embeddings/oleObject15.bin"/><Relationship Id="rId56" Type="http://schemas.openxmlformats.org/officeDocument/2006/relationships/image" Target="media/image23.wmf"/><Relationship Id="rId77" Type="http://schemas.openxmlformats.org/officeDocument/2006/relationships/oleObject" Target="embeddings/oleObject38.bin"/><Relationship Id="rId100" Type="http://schemas.openxmlformats.org/officeDocument/2006/relationships/image" Target="media/image45.wmf"/><Relationship Id="rId105" Type="http://schemas.openxmlformats.org/officeDocument/2006/relationships/oleObject" Target="embeddings/oleObject51.bin"/><Relationship Id="rId126" Type="http://schemas.openxmlformats.org/officeDocument/2006/relationships/oleObject" Target="embeddings/oleObject63.bin"/><Relationship Id="rId147" Type="http://schemas.openxmlformats.org/officeDocument/2006/relationships/image" Target="media/image67.wmf"/><Relationship Id="rId168" Type="http://schemas.openxmlformats.org/officeDocument/2006/relationships/image" Target="media/image77.wmf"/><Relationship Id="rId282" Type="http://schemas.openxmlformats.org/officeDocument/2006/relationships/oleObject" Target="embeddings/oleObject145.bin"/><Relationship Id="rId312" Type="http://schemas.openxmlformats.org/officeDocument/2006/relationships/oleObject" Target="embeddings/oleObject160.bin"/><Relationship Id="rId317" Type="http://schemas.openxmlformats.org/officeDocument/2006/relationships/oleObject" Target="embeddings/oleObject165.bin"/><Relationship Id="rId8" Type="http://schemas.openxmlformats.org/officeDocument/2006/relationships/image" Target="media/image1.wmf"/><Relationship Id="rId51" Type="http://schemas.openxmlformats.org/officeDocument/2006/relationships/oleObject" Target="embeddings/oleObject24.bin"/><Relationship Id="rId72" Type="http://schemas.openxmlformats.org/officeDocument/2006/relationships/image" Target="media/image30.wmf"/><Relationship Id="rId93" Type="http://schemas.openxmlformats.org/officeDocument/2006/relationships/image" Target="media/image40.png"/><Relationship Id="rId98" Type="http://schemas.openxmlformats.org/officeDocument/2006/relationships/image" Target="media/image44.wmf"/><Relationship Id="rId121" Type="http://schemas.openxmlformats.org/officeDocument/2006/relationships/image" Target="media/image54.wmf"/><Relationship Id="rId142" Type="http://schemas.openxmlformats.org/officeDocument/2006/relationships/oleObject" Target="embeddings/oleObject71.bin"/><Relationship Id="rId163" Type="http://schemas.openxmlformats.org/officeDocument/2006/relationships/image" Target="media/image75.wmf"/><Relationship Id="rId184" Type="http://schemas.openxmlformats.org/officeDocument/2006/relationships/image" Target="media/image85.wmf"/><Relationship Id="rId189" Type="http://schemas.openxmlformats.org/officeDocument/2006/relationships/image" Target="media/image87.wmf"/><Relationship Id="rId219" Type="http://schemas.openxmlformats.org/officeDocument/2006/relationships/oleObject" Target="embeddings/oleObject112.bin"/><Relationship Id="rId3" Type="http://schemas.openxmlformats.org/officeDocument/2006/relationships/styles" Target="styles.xml"/><Relationship Id="rId214" Type="http://schemas.openxmlformats.org/officeDocument/2006/relationships/image" Target="media/image98.wmf"/><Relationship Id="rId230" Type="http://schemas.openxmlformats.org/officeDocument/2006/relationships/oleObject" Target="embeddings/oleObject118.bin"/><Relationship Id="rId235" Type="http://schemas.openxmlformats.org/officeDocument/2006/relationships/image" Target="media/image108.wmf"/><Relationship Id="rId251" Type="http://schemas.openxmlformats.org/officeDocument/2006/relationships/oleObject" Target="embeddings/oleObject129.bin"/><Relationship Id="rId256" Type="http://schemas.openxmlformats.org/officeDocument/2006/relationships/image" Target="media/image118.wmf"/><Relationship Id="rId277" Type="http://schemas.openxmlformats.org/officeDocument/2006/relationships/oleObject" Target="embeddings/oleObject142.bin"/><Relationship Id="rId298" Type="http://schemas.openxmlformats.org/officeDocument/2006/relationships/image" Target="media/image140.png"/><Relationship Id="rId25" Type="http://schemas.openxmlformats.org/officeDocument/2006/relationships/oleObject" Target="embeddings/oleObject9.bin"/><Relationship Id="rId46" Type="http://schemas.openxmlformats.org/officeDocument/2006/relationships/image" Target="media/image19.wmf"/><Relationship Id="rId67" Type="http://schemas.openxmlformats.org/officeDocument/2006/relationships/oleObject" Target="embeddings/oleObject33.bin"/><Relationship Id="rId116" Type="http://schemas.openxmlformats.org/officeDocument/2006/relationships/oleObject" Target="embeddings/oleObject58.bin"/><Relationship Id="rId137" Type="http://schemas.openxmlformats.org/officeDocument/2006/relationships/image" Target="media/image62.wmf"/><Relationship Id="rId158" Type="http://schemas.openxmlformats.org/officeDocument/2006/relationships/oleObject" Target="embeddings/oleObject79.bin"/><Relationship Id="rId272" Type="http://schemas.openxmlformats.org/officeDocument/2006/relationships/image" Target="media/image126.wmf"/><Relationship Id="rId293" Type="http://schemas.openxmlformats.org/officeDocument/2006/relationships/image" Target="media/image135.png"/><Relationship Id="rId302" Type="http://schemas.openxmlformats.org/officeDocument/2006/relationships/image" Target="media/image141.png"/><Relationship Id="rId307" Type="http://schemas.openxmlformats.org/officeDocument/2006/relationships/oleObject" Target="embeddings/oleObject157.bin"/><Relationship Id="rId323" Type="http://schemas.openxmlformats.org/officeDocument/2006/relationships/oleObject" Target="embeddings/oleObject169.bin"/><Relationship Id="rId328" Type="http://schemas.openxmlformats.org/officeDocument/2006/relationships/fontTable" Target="fontTable.xml"/><Relationship Id="rId20" Type="http://schemas.openxmlformats.org/officeDocument/2006/relationships/image" Target="media/image7.wmf"/><Relationship Id="rId41" Type="http://schemas.openxmlformats.org/officeDocument/2006/relationships/oleObject" Target="embeddings/oleObject18.bin"/><Relationship Id="rId62" Type="http://schemas.openxmlformats.org/officeDocument/2006/relationships/oleObject" Target="embeddings/oleObject30.bin"/><Relationship Id="rId83" Type="http://schemas.openxmlformats.org/officeDocument/2006/relationships/oleObject" Target="embeddings/oleObject42.bin"/><Relationship Id="rId88" Type="http://schemas.openxmlformats.org/officeDocument/2006/relationships/image" Target="media/image37.wmf"/><Relationship Id="rId111" Type="http://schemas.openxmlformats.org/officeDocument/2006/relationships/oleObject" Target="embeddings/oleObject54.bin"/><Relationship Id="rId132" Type="http://schemas.openxmlformats.org/officeDocument/2006/relationships/oleObject" Target="embeddings/oleObject66.bin"/><Relationship Id="rId153" Type="http://schemas.openxmlformats.org/officeDocument/2006/relationships/image" Target="media/image70.wmf"/><Relationship Id="rId174" Type="http://schemas.openxmlformats.org/officeDocument/2006/relationships/image" Target="media/image80.wmf"/><Relationship Id="rId179" Type="http://schemas.openxmlformats.org/officeDocument/2006/relationships/oleObject" Target="embeddings/oleObject90.bin"/><Relationship Id="rId195" Type="http://schemas.openxmlformats.org/officeDocument/2006/relationships/image" Target="media/image90.wmf"/><Relationship Id="rId209" Type="http://schemas.openxmlformats.org/officeDocument/2006/relationships/image" Target="media/image96.wmf"/><Relationship Id="rId190" Type="http://schemas.openxmlformats.org/officeDocument/2006/relationships/oleObject" Target="embeddings/oleObject96.bin"/><Relationship Id="rId204" Type="http://schemas.openxmlformats.org/officeDocument/2006/relationships/oleObject" Target="embeddings/oleObject104.bin"/><Relationship Id="rId220" Type="http://schemas.openxmlformats.org/officeDocument/2006/relationships/oleObject" Target="embeddings/oleObject113.bin"/><Relationship Id="rId225" Type="http://schemas.openxmlformats.org/officeDocument/2006/relationships/oleObject" Target="embeddings/oleObject116.bin"/><Relationship Id="rId241" Type="http://schemas.openxmlformats.org/officeDocument/2006/relationships/image" Target="media/image111.wmf"/><Relationship Id="rId246" Type="http://schemas.openxmlformats.org/officeDocument/2006/relationships/oleObject" Target="embeddings/oleObject126.bin"/><Relationship Id="rId267" Type="http://schemas.openxmlformats.org/officeDocument/2006/relationships/oleObject" Target="embeddings/oleObject137.bin"/><Relationship Id="rId288" Type="http://schemas.openxmlformats.org/officeDocument/2006/relationships/oleObject" Target="embeddings/oleObject148.bin"/><Relationship Id="rId15" Type="http://schemas.openxmlformats.org/officeDocument/2006/relationships/oleObject" Target="embeddings/oleObject4.bin"/><Relationship Id="rId36" Type="http://schemas.openxmlformats.org/officeDocument/2006/relationships/image" Target="media/image14.wmf"/><Relationship Id="rId57" Type="http://schemas.openxmlformats.org/officeDocument/2006/relationships/oleObject" Target="embeddings/oleObject27.bin"/><Relationship Id="rId106" Type="http://schemas.openxmlformats.org/officeDocument/2006/relationships/image" Target="media/image48.wmf"/><Relationship Id="rId127" Type="http://schemas.openxmlformats.org/officeDocument/2006/relationships/image" Target="media/image57.wmf"/><Relationship Id="rId262" Type="http://schemas.openxmlformats.org/officeDocument/2006/relationships/image" Target="media/image121.wmf"/><Relationship Id="rId283" Type="http://schemas.openxmlformats.org/officeDocument/2006/relationships/image" Target="media/image131.wmf"/><Relationship Id="rId313" Type="http://schemas.openxmlformats.org/officeDocument/2006/relationships/oleObject" Target="embeddings/oleObject161.bin"/><Relationship Id="rId318" Type="http://schemas.openxmlformats.org/officeDocument/2006/relationships/image" Target="media/image146.wmf"/><Relationship Id="rId10" Type="http://schemas.openxmlformats.org/officeDocument/2006/relationships/image" Target="media/image2.wmf"/><Relationship Id="rId31" Type="http://schemas.openxmlformats.org/officeDocument/2006/relationships/image" Target="media/image12.wmf"/><Relationship Id="rId52" Type="http://schemas.openxmlformats.org/officeDocument/2006/relationships/image" Target="media/image21.wmf"/><Relationship Id="rId73" Type="http://schemas.openxmlformats.org/officeDocument/2006/relationships/oleObject" Target="embeddings/oleObject36.bin"/><Relationship Id="rId78" Type="http://schemas.openxmlformats.org/officeDocument/2006/relationships/oleObject" Target="embeddings/oleObject39.bin"/><Relationship Id="rId94" Type="http://schemas.openxmlformats.org/officeDocument/2006/relationships/image" Target="media/image41.png"/><Relationship Id="rId99" Type="http://schemas.openxmlformats.org/officeDocument/2006/relationships/oleObject" Target="embeddings/oleObject48.bin"/><Relationship Id="rId101" Type="http://schemas.openxmlformats.org/officeDocument/2006/relationships/oleObject" Target="embeddings/oleObject49.bin"/><Relationship Id="rId122" Type="http://schemas.openxmlformats.org/officeDocument/2006/relationships/oleObject" Target="embeddings/oleObject61.bin"/><Relationship Id="rId143" Type="http://schemas.openxmlformats.org/officeDocument/2006/relationships/image" Target="media/image65.wmf"/><Relationship Id="rId148" Type="http://schemas.openxmlformats.org/officeDocument/2006/relationships/oleObject" Target="embeddings/oleObject74.bin"/><Relationship Id="rId164" Type="http://schemas.openxmlformats.org/officeDocument/2006/relationships/oleObject" Target="embeddings/oleObject82.bin"/><Relationship Id="rId169" Type="http://schemas.openxmlformats.org/officeDocument/2006/relationships/oleObject" Target="embeddings/oleObject85.bin"/><Relationship Id="rId185" Type="http://schemas.openxmlformats.org/officeDocument/2006/relationships/oleObject" Target="embeddings/oleObject93.bin"/><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83.wmf"/><Relationship Id="rId210" Type="http://schemas.openxmlformats.org/officeDocument/2006/relationships/oleObject" Target="embeddings/oleObject107.bin"/><Relationship Id="rId215" Type="http://schemas.openxmlformats.org/officeDocument/2006/relationships/oleObject" Target="embeddings/oleObject110.bin"/><Relationship Id="rId236" Type="http://schemas.openxmlformats.org/officeDocument/2006/relationships/oleObject" Target="embeddings/oleObject121.bin"/><Relationship Id="rId257" Type="http://schemas.openxmlformats.org/officeDocument/2006/relationships/oleObject" Target="embeddings/oleObject132.bin"/><Relationship Id="rId278" Type="http://schemas.openxmlformats.org/officeDocument/2006/relationships/image" Target="media/image129.wmf"/><Relationship Id="rId26" Type="http://schemas.openxmlformats.org/officeDocument/2006/relationships/oleObject" Target="embeddings/oleObject10.bin"/><Relationship Id="rId231" Type="http://schemas.openxmlformats.org/officeDocument/2006/relationships/image" Target="media/image106.wmf"/><Relationship Id="rId252" Type="http://schemas.openxmlformats.org/officeDocument/2006/relationships/image" Target="media/image116.wmf"/><Relationship Id="rId273" Type="http://schemas.openxmlformats.org/officeDocument/2006/relationships/oleObject" Target="embeddings/oleObject140.bin"/><Relationship Id="rId294" Type="http://schemas.openxmlformats.org/officeDocument/2006/relationships/image" Target="media/image136.png"/><Relationship Id="rId308" Type="http://schemas.openxmlformats.org/officeDocument/2006/relationships/image" Target="media/image144.wmf"/><Relationship Id="rId329" Type="http://schemas.openxmlformats.org/officeDocument/2006/relationships/theme" Target="theme/theme1.xml"/><Relationship Id="rId47" Type="http://schemas.openxmlformats.org/officeDocument/2006/relationships/oleObject" Target="embeddings/oleObject21.bin"/><Relationship Id="rId68" Type="http://schemas.openxmlformats.org/officeDocument/2006/relationships/image" Target="media/image28.wmf"/><Relationship Id="rId89" Type="http://schemas.openxmlformats.org/officeDocument/2006/relationships/oleObject" Target="embeddings/oleObject45.bin"/><Relationship Id="rId112" Type="http://schemas.openxmlformats.org/officeDocument/2006/relationships/oleObject" Target="embeddings/oleObject55.bin"/><Relationship Id="rId133" Type="http://schemas.openxmlformats.org/officeDocument/2006/relationships/image" Target="media/image60.wmf"/><Relationship Id="rId154" Type="http://schemas.openxmlformats.org/officeDocument/2006/relationships/oleObject" Target="embeddings/oleObject77.bin"/><Relationship Id="rId175" Type="http://schemas.openxmlformats.org/officeDocument/2006/relationships/oleObject" Target="embeddings/oleObject88.bin"/><Relationship Id="rId196" Type="http://schemas.openxmlformats.org/officeDocument/2006/relationships/oleObject" Target="embeddings/oleObject99.bin"/><Relationship Id="rId200" Type="http://schemas.openxmlformats.org/officeDocument/2006/relationships/oleObject" Target="embeddings/oleObject102.bin"/><Relationship Id="rId16" Type="http://schemas.openxmlformats.org/officeDocument/2006/relationships/image" Target="media/image5.wmf"/><Relationship Id="rId221" Type="http://schemas.openxmlformats.org/officeDocument/2006/relationships/oleObject" Target="embeddings/oleObject114.bin"/><Relationship Id="rId242" Type="http://schemas.openxmlformats.org/officeDocument/2006/relationships/oleObject" Target="embeddings/oleObject124.bin"/><Relationship Id="rId263" Type="http://schemas.openxmlformats.org/officeDocument/2006/relationships/oleObject" Target="embeddings/oleObject135.bin"/><Relationship Id="rId284" Type="http://schemas.openxmlformats.org/officeDocument/2006/relationships/oleObject" Target="embeddings/oleObject146.bin"/><Relationship Id="rId319" Type="http://schemas.openxmlformats.org/officeDocument/2006/relationships/oleObject" Target="embeddings/oleObject166.bin"/><Relationship Id="rId37" Type="http://schemas.openxmlformats.org/officeDocument/2006/relationships/oleObject" Target="embeddings/oleObject16.bin"/><Relationship Id="rId58" Type="http://schemas.openxmlformats.org/officeDocument/2006/relationships/image" Target="media/image24.wmf"/><Relationship Id="rId79" Type="http://schemas.openxmlformats.org/officeDocument/2006/relationships/oleObject" Target="embeddings/oleObject40.bin"/><Relationship Id="rId102" Type="http://schemas.openxmlformats.org/officeDocument/2006/relationships/image" Target="media/image46.wmf"/><Relationship Id="rId123" Type="http://schemas.openxmlformats.org/officeDocument/2006/relationships/image" Target="media/image55.wmf"/><Relationship Id="rId144" Type="http://schemas.openxmlformats.org/officeDocument/2006/relationships/oleObject" Target="embeddings/oleObject72.bin"/><Relationship Id="rId90" Type="http://schemas.openxmlformats.org/officeDocument/2006/relationships/image" Target="media/image38.wmf"/><Relationship Id="rId165" Type="http://schemas.openxmlformats.org/officeDocument/2006/relationships/image" Target="media/image76.wmf"/><Relationship Id="rId186" Type="http://schemas.openxmlformats.org/officeDocument/2006/relationships/oleObject" Target="embeddings/oleObject94.bin"/><Relationship Id="rId211" Type="http://schemas.openxmlformats.org/officeDocument/2006/relationships/oleObject" Target="embeddings/oleObject108.bin"/><Relationship Id="rId232" Type="http://schemas.openxmlformats.org/officeDocument/2006/relationships/oleObject" Target="embeddings/oleObject119.bin"/><Relationship Id="rId253" Type="http://schemas.openxmlformats.org/officeDocument/2006/relationships/oleObject" Target="embeddings/oleObject130.bin"/><Relationship Id="rId274" Type="http://schemas.openxmlformats.org/officeDocument/2006/relationships/image" Target="media/image127.wmf"/><Relationship Id="rId295" Type="http://schemas.openxmlformats.org/officeDocument/2006/relationships/image" Target="media/image137.png"/><Relationship Id="rId309" Type="http://schemas.openxmlformats.org/officeDocument/2006/relationships/oleObject" Target="embeddings/oleObject158.bin"/><Relationship Id="rId27" Type="http://schemas.openxmlformats.org/officeDocument/2006/relationships/oleObject" Target="embeddings/oleObject11.bin"/><Relationship Id="rId48" Type="http://schemas.openxmlformats.org/officeDocument/2006/relationships/oleObject" Target="embeddings/oleObject22.bin"/><Relationship Id="rId69" Type="http://schemas.openxmlformats.org/officeDocument/2006/relationships/oleObject" Target="embeddings/oleObject34.bin"/><Relationship Id="rId113" Type="http://schemas.openxmlformats.org/officeDocument/2006/relationships/oleObject" Target="embeddings/oleObject56.bin"/><Relationship Id="rId134" Type="http://schemas.openxmlformats.org/officeDocument/2006/relationships/oleObject" Target="embeddings/oleObject67.bin"/><Relationship Id="rId320" Type="http://schemas.openxmlformats.org/officeDocument/2006/relationships/image" Target="media/image147.wmf"/><Relationship Id="rId80" Type="http://schemas.openxmlformats.org/officeDocument/2006/relationships/image" Target="media/image33.wmf"/><Relationship Id="rId155" Type="http://schemas.openxmlformats.org/officeDocument/2006/relationships/image" Target="media/image71.wmf"/><Relationship Id="rId176" Type="http://schemas.openxmlformats.org/officeDocument/2006/relationships/image" Target="media/image81.wmf"/><Relationship Id="rId197" Type="http://schemas.openxmlformats.org/officeDocument/2006/relationships/image" Target="media/image91.wmf"/><Relationship Id="rId201" Type="http://schemas.openxmlformats.org/officeDocument/2006/relationships/image" Target="media/image92.wmf"/><Relationship Id="rId222" Type="http://schemas.openxmlformats.org/officeDocument/2006/relationships/image" Target="media/image101.wmf"/><Relationship Id="rId243" Type="http://schemas.openxmlformats.org/officeDocument/2006/relationships/image" Target="media/image112.wmf"/><Relationship Id="rId264" Type="http://schemas.openxmlformats.org/officeDocument/2006/relationships/image" Target="media/image122.wmf"/><Relationship Id="rId285" Type="http://schemas.openxmlformats.org/officeDocument/2006/relationships/image" Target="media/image132.wmf"/><Relationship Id="rId17" Type="http://schemas.openxmlformats.org/officeDocument/2006/relationships/oleObject" Target="embeddings/oleObject5.bin"/><Relationship Id="rId38" Type="http://schemas.openxmlformats.org/officeDocument/2006/relationships/image" Target="media/image15.wmf"/><Relationship Id="rId59" Type="http://schemas.openxmlformats.org/officeDocument/2006/relationships/oleObject" Target="embeddings/oleObject28.bin"/><Relationship Id="rId103" Type="http://schemas.openxmlformats.org/officeDocument/2006/relationships/oleObject" Target="embeddings/oleObject50.bin"/><Relationship Id="rId124" Type="http://schemas.openxmlformats.org/officeDocument/2006/relationships/oleObject" Target="embeddings/oleObject62.bin"/><Relationship Id="rId310" Type="http://schemas.openxmlformats.org/officeDocument/2006/relationships/image" Target="media/image145.wmf"/><Relationship Id="rId70" Type="http://schemas.openxmlformats.org/officeDocument/2006/relationships/image" Target="media/image29.wmf"/><Relationship Id="rId91" Type="http://schemas.openxmlformats.org/officeDocument/2006/relationships/oleObject" Target="embeddings/oleObject46.bin"/><Relationship Id="rId145" Type="http://schemas.openxmlformats.org/officeDocument/2006/relationships/image" Target="media/image66.wmf"/><Relationship Id="rId166" Type="http://schemas.openxmlformats.org/officeDocument/2006/relationships/oleObject" Target="embeddings/oleObject83.bin"/><Relationship Id="rId187" Type="http://schemas.openxmlformats.org/officeDocument/2006/relationships/image" Target="media/image86.wmf"/><Relationship Id="rId1" Type="http://schemas.openxmlformats.org/officeDocument/2006/relationships/customXml" Target="../customXml/item1.xml"/><Relationship Id="rId212" Type="http://schemas.openxmlformats.org/officeDocument/2006/relationships/image" Target="media/image97.wmf"/><Relationship Id="rId233" Type="http://schemas.openxmlformats.org/officeDocument/2006/relationships/image" Target="media/image107.wmf"/><Relationship Id="rId254" Type="http://schemas.openxmlformats.org/officeDocument/2006/relationships/image" Target="media/image117.wmf"/><Relationship Id="rId28" Type="http://schemas.openxmlformats.org/officeDocument/2006/relationships/image" Target="media/image10.wmf"/><Relationship Id="rId49" Type="http://schemas.openxmlformats.org/officeDocument/2006/relationships/image" Target="media/image20.wmf"/><Relationship Id="rId114" Type="http://schemas.openxmlformats.org/officeDocument/2006/relationships/oleObject" Target="embeddings/oleObject57.bin"/><Relationship Id="rId275" Type="http://schemas.openxmlformats.org/officeDocument/2006/relationships/oleObject" Target="embeddings/oleObject141.bin"/><Relationship Id="rId296" Type="http://schemas.openxmlformats.org/officeDocument/2006/relationships/image" Target="media/image138.png"/><Relationship Id="rId300" Type="http://schemas.openxmlformats.org/officeDocument/2006/relationships/oleObject" Target="embeddings/oleObject153.bin"/><Relationship Id="rId60" Type="http://schemas.openxmlformats.org/officeDocument/2006/relationships/oleObject" Target="embeddings/oleObject29.bin"/><Relationship Id="rId81" Type="http://schemas.openxmlformats.org/officeDocument/2006/relationships/oleObject" Target="embeddings/oleObject41.bin"/><Relationship Id="rId135" Type="http://schemas.openxmlformats.org/officeDocument/2006/relationships/image" Target="media/image61.wmf"/><Relationship Id="rId156" Type="http://schemas.openxmlformats.org/officeDocument/2006/relationships/oleObject" Target="embeddings/oleObject78.bin"/><Relationship Id="rId177" Type="http://schemas.openxmlformats.org/officeDocument/2006/relationships/oleObject" Target="embeddings/oleObject89.bin"/><Relationship Id="rId198" Type="http://schemas.openxmlformats.org/officeDocument/2006/relationships/oleObject" Target="embeddings/oleObject100.bin"/><Relationship Id="rId321" Type="http://schemas.openxmlformats.org/officeDocument/2006/relationships/oleObject" Target="embeddings/oleObject167.bin"/><Relationship Id="rId202" Type="http://schemas.openxmlformats.org/officeDocument/2006/relationships/oleObject" Target="embeddings/oleObject103.bin"/><Relationship Id="rId223" Type="http://schemas.openxmlformats.org/officeDocument/2006/relationships/oleObject" Target="embeddings/oleObject115.bin"/><Relationship Id="rId244" Type="http://schemas.openxmlformats.org/officeDocument/2006/relationships/oleObject" Target="embeddings/oleObject125.bin"/><Relationship Id="rId18" Type="http://schemas.openxmlformats.org/officeDocument/2006/relationships/image" Target="media/image6.wmf"/><Relationship Id="rId39" Type="http://schemas.openxmlformats.org/officeDocument/2006/relationships/oleObject" Target="embeddings/oleObject17.bin"/><Relationship Id="rId265" Type="http://schemas.openxmlformats.org/officeDocument/2006/relationships/oleObject" Target="embeddings/oleObject136.bin"/><Relationship Id="rId286" Type="http://schemas.openxmlformats.org/officeDocument/2006/relationships/oleObject" Target="embeddings/oleObject147.bin"/><Relationship Id="rId50" Type="http://schemas.openxmlformats.org/officeDocument/2006/relationships/oleObject" Target="embeddings/oleObject23.bin"/><Relationship Id="rId104" Type="http://schemas.openxmlformats.org/officeDocument/2006/relationships/image" Target="media/image47.wmf"/><Relationship Id="rId125" Type="http://schemas.openxmlformats.org/officeDocument/2006/relationships/image" Target="media/image56.wmf"/><Relationship Id="rId146" Type="http://schemas.openxmlformats.org/officeDocument/2006/relationships/oleObject" Target="embeddings/oleObject73.bin"/><Relationship Id="rId167" Type="http://schemas.openxmlformats.org/officeDocument/2006/relationships/oleObject" Target="embeddings/oleObject84.bin"/><Relationship Id="rId188" Type="http://schemas.openxmlformats.org/officeDocument/2006/relationships/oleObject" Target="embeddings/oleObject95.bin"/><Relationship Id="rId311" Type="http://schemas.openxmlformats.org/officeDocument/2006/relationships/oleObject" Target="embeddings/oleObject159.bin"/><Relationship Id="rId71" Type="http://schemas.openxmlformats.org/officeDocument/2006/relationships/oleObject" Target="embeddings/oleObject35.bin"/><Relationship Id="rId92" Type="http://schemas.openxmlformats.org/officeDocument/2006/relationships/image" Target="media/image39.png"/><Relationship Id="rId213" Type="http://schemas.openxmlformats.org/officeDocument/2006/relationships/oleObject" Target="embeddings/oleObject109.bin"/><Relationship Id="rId234" Type="http://schemas.openxmlformats.org/officeDocument/2006/relationships/oleObject" Target="embeddings/oleObject120.bin"/><Relationship Id="rId2" Type="http://schemas.openxmlformats.org/officeDocument/2006/relationships/numbering" Target="numbering.xml"/><Relationship Id="rId29" Type="http://schemas.openxmlformats.org/officeDocument/2006/relationships/oleObject" Target="embeddings/oleObject12.bin"/><Relationship Id="rId255" Type="http://schemas.openxmlformats.org/officeDocument/2006/relationships/oleObject" Target="embeddings/oleObject131.bin"/><Relationship Id="rId276" Type="http://schemas.openxmlformats.org/officeDocument/2006/relationships/image" Target="media/image128.wmf"/><Relationship Id="rId297" Type="http://schemas.openxmlformats.org/officeDocument/2006/relationships/image" Target="media/image139.png"/><Relationship Id="rId40" Type="http://schemas.openxmlformats.org/officeDocument/2006/relationships/image" Target="media/image16.wmf"/><Relationship Id="rId115" Type="http://schemas.openxmlformats.org/officeDocument/2006/relationships/image" Target="media/image51.wmf"/><Relationship Id="rId136" Type="http://schemas.openxmlformats.org/officeDocument/2006/relationships/oleObject" Target="embeddings/oleObject68.bin"/><Relationship Id="rId157" Type="http://schemas.openxmlformats.org/officeDocument/2006/relationships/image" Target="media/image72.wmf"/><Relationship Id="rId178" Type="http://schemas.openxmlformats.org/officeDocument/2006/relationships/image" Target="media/image82.wmf"/><Relationship Id="rId301" Type="http://schemas.openxmlformats.org/officeDocument/2006/relationships/oleObject" Target="embeddings/oleObject154.bin"/><Relationship Id="rId322" Type="http://schemas.openxmlformats.org/officeDocument/2006/relationships/oleObject" Target="embeddings/oleObject168.bin"/><Relationship Id="rId61" Type="http://schemas.openxmlformats.org/officeDocument/2006/relationships/image" Target="media/image25.wmf"/><Relationship Id="rId82" Type="http://schemas.openxmlformats.org/officeDocument/2006/relationships/image" Target="media/image34.wmf"/><Relationship Id="rId199" Type="http://schemas.openxmlformats.org/officeDocument/2006/relationships/oleObject" Target="embeddings/oleObject101.bin"/><Relationship Id="rId203" Type="http://schemas.openxmlformats.org/officeDocument/2006/relationships/image" Target="media/image93.wmf"/><Relationship Id="rId19" Type="http://schemas.openxmlformats.org/officeDocument/2006/relationships/oleObject" Target="embeddings/oleObject6.bin"/><Relationship Id="rId224" Type="http://schemas.openxmlformats.org/officeDocument/2006/relationships/image" Target="media/image102.wmf"/><Relationship Id="rId245" Type="http://schemas.openxmlformats.org/officeDocument/2006/relationships/image" Target="media/image113.wmf"/><Relationship Id="rId266" Type="http://schemas.openxmlformats.org/officeDocument/2006/relationships/image" Target="media/image123.wmf"/><Relationship Id="rId287" Type="http://schemas.openxmlformats.org/officeDocument/2006/relationships/image" Target="media/image13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58806C-9296-4355-BB4B-E5056313E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11258</Words>
  <Characters>64174</Characters>
  <Application>Microsoft Office Word</Application>
  <DocSecurity>0</DocSecurity>
  <Lines>534</Lines>
  <Paragraphs>150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Microsoft</Company>
  <LinksUpToDate>false</LinksUpToDate>
  <CharactersWithSpaces>75282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Nikodem Szumilo</dc:creator>
  <cp:lastModifiedBy>Franz Fuerst</cp:lastModifiedBy>
  <cp:revision>2</cp:revision>
  <cp:lastPrinted>2018-04-15T13:01:00Z</cp:lastPrinted>
  <dcterms:created xsi:type="dcterms:W3CDTF">2019-04-26T09:30:00Z</dcterms:created>
  <dcterms:modified xsi:type="dcterms:W3CDTF">2019-04-26T09:30:00Z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