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00000001" w14:textId="77777777" w:rsidR="00B354C5" w:rsidRDefault="00833911">
      <w:pPr>
        <w:jc w:val="center"/>
      </w:pPr>
      <w:r>
        <w:t xml:space="preserve">Review of Perreault, C. 2019. </w:t>
      </w:r>
      <w:r>
        <w:rPr>
          <w:i/>
        </w:rPr>
        <w:t>The Quality of the Archaeological Record</w:t>
      </w:r>
      <w:r>
        <w:t>. Chicago: University of Chicago Press</w:t>
      </w:r>
    </w:p>
    <w:p w14:paraId="00000002" w14:textId="77777777" w:rsidR="00B354C5" w:rsidRDefault="00833911">
      <w:pPr>
        <w:jc w:val="center"/>
      </w:pPr>
      <w:r>
        <w:t>Daniel Fuks</w:t>
      </w:r>
    </w:p>
    <w:p w14:paraId="00000003" w14:textId="21A6FE83" w:rsidR="00B354C5" w:rsidRDefault="00833911">
      <w:pPr>
        <w:jc w:val="both"/>
      </w:pPr>
      <w:r>
        <w:rPr>
          <w:i/>
        </w:rPr>
        <w:t>The Quality of the Archaeological Record</w:t>
      </w:r>
      <w:r>
        <w:t xml:space="preserve"> (Perreault 2019) tackles a long-standing critique of anthropological archaeology. Presenting a theoretically grounded and mathematically modeled demonstration of the essential futility in reconstructing microscale cultural evolution patterns from the archaeological record, it calls for reorienting the archaeological research program in toto. Objectives are clearly stated at the outset, the argument follows in an organized fashion, and the clarity of exposition is enviable. However, efforts to construct a new vision for archaeology employ interspersed generalized criticisms of archaeologists</w:t>
      </w:r>
      <w:sdt>
        <w:sdtPr>
          <w:tag w:val="goog_rdk_1"/>
          <w:id w:val="-1281255940"/>
        </w:sdtPr>
        <w:sdtEndPr/>
        <w:sdtContent>
          <w:r>
            <w:t xml:space="preserve"> and </w:t>
          </w:r>
        </w:sdtContent>
      </w:sdt>
      <w:r>
        <w:t>imped</w:t>
      </w:r>
      <w:sdt>
        <w:sdtPr>
          <w:tag w:val="goog_rdk_3"/>
          <w:id w:val="-566034821"/>
        </w:sdtPr>
        <w:sdtEndPr/>
        <w:sdtContent>
          <w:r>
            <w:t>e</w:t>
          </w:r>
        </w:sdtContent>
      </w:sdt>
      <w:r>
        <w:t xml:space="preserve"> efficacy of argument while sidestepping broader theoretical issues.</w:t>
      </w:r>
    </w:p>
    <w:p w14:paraId="00000004" w14:textId="5F703CD3" w:rsidR="00B354C5" w:rsidRDefault="00833911">
      <w:pPr>
        <w:jc w:val="both"/>
      </w:pPr>
      <w:r>
        <w:t xml:space="preserve">Perreault (2019) begins by explaining that archaeology, as a historical science, must seek evidence </w:t>
      </w:r>
      <w:sdt>
        <w:sdtPr>
          <w:tag w:val="goog_rdk_6"/>
          <w:id w:val="213404953"/>
        </w:sdtPr>
        <w:sdtEndPr/>
        <w:sdtContent>
          <w:r>
            <w:t>that</w:t>
          </w:r>
        </w:sdtContent>
      </w:sdt>
      <w:sdt>
        <w:sdtPr>
          <w:tag w:val="goog_rdk_7"/>
          <w:id w:val="-73209373"/>
          <w:showingPlcHdr/>
        </w:sdtPr>
        <w:sdtEndPr/>
        <w:sdtContent>
          <w:r w:rsidR="002378B1">
            <w:t xml:space="preserve">     </w:t>
          </w:r>
        </w:sdtContent>
      </w:sdt>
      <w:r>
        <w:t xml:space="preserve"> can discriminate beyond a reasonable doubt between competing hypotheses (Chapter 1). However, rather than this ‘smoking gun’ approach, much archaeological research relies on tests of consistency, leading to confirmatory bias. Smoking guns are unlikely to ever appear for most questions preoccupying archaeologists today because these are </w:t>
      </w:r>
      <w:r>
        <w:rPr>
          <w:i/>
        </w:rPr>
        <w:t>underdetermined</w:t>
      </w:r>
      <w:r>
        <w:t xml:space="preserve"> by the archaeological record (related to the more familiar problem of </w:t>
      </w:r>
      <w:r>
        <w:rPr>
          <w:i/>
        </w:rPr>
        <w:t>equifinality</w:t>
      </w:r>
      <w:r>
        <w:t xml:space="preserve">, see Perreault 2019: 1-2). Four qualities of the archaeological record responsible for the underdetermination problem are elucidated: scope, sampling interval, resolution, and dimensionality (Chapter 2). Next, ways that </w:t>
      </w:r>
      <w:r>
        <w:rPr>
          <w:i/>
        </w:rPr>
        <w:t>mixing</w:t>
      </w:r>
      <w:r>
        <w:t xml:space="preserve"> and </w:t>
      </w:r>
      <w:r>
        <w:rPr>
          <w:i/>
        </w:rPr>
        <w:t>loss</w:t>
      </w:r>
      <w:r>
        <w:t xml:space="preserve"> of archaeological material and information affect these four qualities are discussed (Chapters 3 and 4). Perreault empirically analyzes the outcome of these largely uncontrollable forces, measuring expected sampling interval and resolution in datasets deriving from archaeological journal articles and regional databases (Chapter 5). It emerges that, despite wide-ranging variability, temporal and spatial intervals increase with age, and are almost always beyond the scale of a human lifetime. This confirms the mismatch between archaeological and ethnographic intervals, supporting the argument of Bailey’s (1981, 1983, 1987) </w:t>
      </w:r>
      <w:r>
        <w:rPr>
          <w:i/>
        </w:rPr>
        <w:t>time perspectivism</w:t>
      </w:r>
      <w:r>
        <w:t>, and of evolutionary archaeologists (Lyman 2007), in a valuable historiographic survey (Chapter 6). Perreault offers reasons why archaeologists have largely ignored the underdetermination problem and how paleontologists overcame it. Finally, he sets out his vision for a new and improved archaeology purged of individual-level processes underdetermined by the archaeological record but dually focused on cultural histories and macroscale patterns (Chapter 7). Perreault believes that understanding and honesty about the underdetermination problem should lead to such a disciplinary shift. The final chapter summarizes the argument and vision for archaeology’s future.</w:t>
      </w:r>
    </w:p>
    <w:p w14:paraId="00000005" w14:textId="77777777" w:rsidR="00B354C5" w:rsidRDefault="00833911">
      <w:pPr>
        <w:jc w:val="both"/>
      </w:pPr>
      <w:r>
        <w:t>On one hand, Perreault’s conception of culture history is broad. As “the single most important contribution that archaeology has to offer to the social sciences” (Perreault 2019: 161–2), it includes topics like trade in raw materials, agricultural diffusion, human diets, and even individual-level processes previously critiqued, “but ones that sit at the bottom of Hawkes’s pyramid and that are commensurate with the quality of the archaeological record” (</w:t>
      </w:r>
      <w:r>
        <w:rPr>
          <w:i/>
        </w:rPr>
        <w:t>idem</w:t>
      </w:r>
      <w:r>
        <w:t>: 164). On the other hand, the questions he considers most promising for macro-scale archaeology are the historical determinist type, namely, how external forces like geography and climate affected cultural evolution. Perreault also lists elements of a strategy for macro-archaeology, focusing on: (</w:t>
      </w:r>
      <w:proofErr w:type="spellStart"/>
      <w:r>
        <w:t>i</w:t>
      </w:r>
      <w:proofErr w:type="spellEnd"/>
      <w:r>
        <w:t xml:space="preserve">) a narrow set of research questions; (ii) archaeological entities and their distribution in time and space; (iii) general properties of archaeological artefacts; and (iv) large databases with wide spatial and temporal scope. </w:t>
      </w:r>
    </w:p>
    <w:p w14:paraId="00000006" w14:textId="1A111391" w:rsidR="00B354C5" w:rsidRDefault="00833911">
      <w:r>
        <w:lastRenderedPageBreak/>
        <w:t xml:space="preserve">One discussion question for readers might be, why is Perreault so concerned with answering questions about the human past definitively? Current trends in archaeology </w:t>
      </w:r>
      <w:proofErr w:type="spellStart"/>
      <w:r>
        <w:t>favour</w:t>
      </w:r>
      <w:proofErr w:type="spellEnd"/>
      <w:r>
        <w:t xml:space="preserve"> multiplicity of answers and voices: “The past would be very boring if we all agreed about it. And archaeology would not last very long if we also thought we could work out a final answer to questions such as how we became human” (Gamble 2008: 20). Yet, like others before him, Perreault wants exclusively empirical archaeology, essentially the paleontology of modern humans. He seems driven by </w:t>
      </w:r>
      <w:sdt>
        <w:sdtPr>
          <w:tag w:val="goog_rdk_10"/>
          <w:id w:val="-1476598958"/>
        </w:sdtPr>
        <w:sdtEndPr/>
        <w:sdtContent>
          <w:r>
            <w:t xml:space="preserve">a </w:t>
          </w:r>
        </w:sdtContent>
      </w:sdt>
      <w:r>
        <w:t>preoccupation with hypothesis testing via confirmation theory–a mark of the neopositivist tradition in North American archaeology–leading him to reject approaches inefficient at achieving this. Although his stated cause is archaeology-wide, Perreault eventually claims his book to be an extension and improvement on time perspectivism (Perreault 2019: 149) for the sake of cultural evolution (</w:t>
      </w:r>
      <w:r>
        <w:rPr>
          <w:i/>
        </w:rPr>
        <w:t>idem</w:t>
      </w:r>
      <w:r>
        <w:t>: 136–139). The evolutionary archaeology affiliation is also evident in an expressed desire to acquire seats for archaeologists at the “high table of social sciences” (Perreault 2019: 193; compare O’Brien and Lyman 2000: 72; Lyman 2007)–not a universally shared goal of archaeologists (</w:t>
      </w:r>
      <w:proofErr w:type="spellStart"/>
      <w:r>
        <w:t>Pluciennik</w:t>
      </w:r>
      <w:proofErr w:type="spellEnd"/>
      <w:r>
        <w:t xml:space="preserve"> 2011). Unfortunately, Perreault’s polemics and generalized criticisms of archaeologists do little to dismantle </w:t>
      </w:r>
      <w:sdt>
        <w:sdtPr>
          <w:tag w:val="goog_rdk_11"/>
          <w:id w:val="467559511"/>
        </w:sdtPr>
        <w:sdtEndPr/>
        <w:sdtContent>
          <w:r>
            <w:t xml:space="preserve">the </w:t>
          </w:r>
        </w:sdtContent>
      </w:sdt>
      <w:r>
        <w:t xml:space="preserve">stigma of scholars in this tradition as marked by “missionary </w:t>
      </w:r>
      <w:proofErr w:type="spellStart"/>
      <w:r>
        <w:t>fervour</w:t>
      </w:r>
      <w:proofErr w:type="spellEnd"/>
      <w:r>
        <w:t>” in “the conviction that their brand of scientific archaeology is the only true path” (</w:t>
      </w:r>
      <w:proofErr w:type="spellStart"/>
      <w:r>
        <w:t>Martinón</w:t>
      </w:r>
      <w:proofErr w:type="spellEnd"/>
      <w:r>
        <w:t xml:space="preserve">-Torres and Killick 2015). </w:t>
      </w:r>
    </w:p>
    <w:p w14:paraId="00000007" w14:textId="7D12C779" w:rsidR="00B354C5" w:rsidRDefault="00833911">
      <w:pPr>
        <w:jc w:val="both"/>
      </w:pPr>
      <w:r>
        <w:t xml:space="preserve">That Perreault makes no attempt to tackle theoretical critiques of time perspectivism (Shanks and Tilley 1987a: 120–127; Shanks and Tilley 1987b; Lucas 2005: 43–49) might be excused as reliance on Bailey’s (1987; 2007; 2008) responses. Yet, in setting archaeology-wide goals, Perreault should have considered insights of postmodernism, feminism, Marxism, and other reflexive approaches acknowledging archaeology’s role in reconstructing the present as much as the past. </w:t>
      </w:r>
      <w:r w:rsidR="002C130F">
        <w:t xml:space="preserve">Such approaches also offer broader frameworks for problematizing underdetermination, begetting alternative visions for the future of </w:t>
      </w:r>
      <w:r w:rsidR="001B616B">
        <w:t xml:space="preserve">archaeological </w:t>
      </w:r>
      <w:r w:rsidR="002C130F">
        <w:t>research (</w:t>
      </w:r>
      <w:proofErr w:type="spellStart"/>
      <w:r w:rsidR="002C130F">
        <w:t>Gero</w:t>
      </w:r>
      <w:proofErr w:type="spellEnd"/>
      <w:r w:rsidR="002C130F">
        <w:t xml:space="preserve"> 2007</w:t>
      </w:r>
      <w:r w:rsidR="00A31C93">
        <w:t xml:space="preserve">; </w:t>
      </w:r>
      <w:proofErr w:type="spellStart"/>
      <w:r w:rsidR="00A31C93">
        <w:t>Nativ</w:t>
      </w:r>
      <w:proofErr w:type="spellEnd"/>
      <w:r w:rsidR="00A31C93">
        <w:t xml:space="preserve"> 2017</w:t>
      </w:r>
      <w:r w:rsidR="002C130F">
        <w:t xml:space="preserve">). </w:t>
      </w:r>
      <w:r>
        <w:t xml:space="preserve">Its duality as both science and humanities makes archaeology distinctive and necessarily defiant of the type of programmatic unification Perreault envisions (Preston 2013). Indeed, a growing consensus of theorists </w:t>
      </w:r>
      <w:sdt>
        <w:sdtPr>
          <w:tag w:val="goog_rdk_12"/>
          <w:id w:val="-1167624648"/>
        </w:sdtPr>
        <w:sdtEndPr/>
        <w:sdtContent>
          <w:r>
            <w:t>considers</w:t>
          </w:r>
        </w:sdtContent>
      </w:sdt>
      <w:r>
        <w:t xml:space="preserve"> the 21</w:t>
      </w:r>
      <w:r>
        <w:rPr>
          <w:vertAlign w:val="superscript"/>
        </w:rPr>
        <w:t>st</w:t>
      </w:r>
      <w:r>
        <w:t xml:space="preserve"> century </w:t>
      </w:r>
      <w:r w:rsidR="00201534">
        <w:t xml:space="preserve">an </w:t>
      </w:r>
      <w:r>
        <w:t>era of eclectic archaeology which takes advantage of diverse theoretical and analytical options (</w:t>
      </w:r>
      <w:proofErr w:type="spellStart"/>
      <w:r>
        <w:t>Bintliff</w:t>
      </w:r>
      <w:proofErr w:type="spellEnd"/>
      <w:r>
        <w:t xml:space="preserve"> and Pearce 2011; Johnson 2020). </w:t>
      </w:r>
    </w:p>
    <w:p w14:paraId="00000008" w14:textId="1BCD2E8D" w:rsidR="00B354C5" w:rsidRDefault="00833911">
      <w:pPr>
        <w:jc w:val="both"/>
      </w:pPr>
      <w:r>
        <w:t>Perreault’s point is most powerful in that subset of archaeology concerned with cultural evolutionary hypothesis testing</w:t>
      </w:r>
      <w:r w:rsidR="00340D4D">
        <w:t>, where</w:t>
      </w:r>
      <w:r>
        <w:t xml:space="preserve"> </w:t>
      </w:r>
      <w:r w:rsidR="00340D4D">
        <w:t>m</w:t>
      </w:r>
      <w:r w:rsidR="00A4103F">
        <w:t>uch research</w:t>
      </w:r>
      <w:r>
        <w:t xml:space="preserve"> can be justifiably criticized for </w:t>
      </w:r>
      <w:r w:rsidR="00340D4D">
        <w:t>underdetermined conclusions</w:t>
      </w:r>
      <w:r>
        <w:t xml:space="preserve">. Pressure to publish exciting discoveries exacerbates the problem, pushing archaeologists to overshoot their claims. Perreault convincingly calls for more research on context-specific analysis of the quality of the archaeological record, toward better understanding archaeological data’s possibilities and limitations (see Chapter 5). Likewise, Perreault’s argument becomes more interesting when understood as a marriage of time perspectivist and cultural evolutionary approaches. It combines time perspectivism’s focus on macro-scalar archaeology that goes beyond the temporally limited ethnographic record, with a desire to produce evolutionary models of culture change. This </w:t>
      </w:r>
      <w:r w:rsidR="00340D4D">
        <w:t xml:space="preserve">apparently </w:t>
      </w:r>
      <w:r>
        <w:t>contrast</w:t>
      </w:r>
      <w:r w:rsidR="00340D4D">
        <w:t>s</w:t>
      </w:r>
      <w:r>
        <w:t xml:space="preserve"> with an approach combining evolutionary archaeology’s emphasis on cultural change with ethnographically constructed reference points in a time perspectivist framework (Arnold 2008). In even greater opposition is a </w:t>
      </w:r>
      <w:sdt>
        <w:sdtPr>
          <w:tag w:val="goog_rdk_15"/>
          <w:id w:val="-471680836"/>
        </w:sdtPr>
        <w:sdtEndPr/>
        <w:sdtContent>
          <w:proofErr w:type="gramStart"/>
          <w:r>
            <w:t>middle-range</w:t>
          </w:r>
          <w:proofErr w:type="gramEnd"/>
        </w:sdtContent>
      </w:sdt>
      <w:r>
        <w:t xml:space="preserve"> theory focused on the “household, neighborhood, settlement, polity, ethnic group, or population” level to solve the same problem of archaeology’s relevance and capacity to generate “predictive knowledge of human affairs” (</w:t>
      </w:r>
      <w:proofErr w:type="spellStart"/>
      <w:r>
        <w:t>Ortman</w:t>
      </w:r>
      <w:proofErr w:type="spellEnd"/>
      <w:r>
        <w:t xml:space="preserve"> 2019). </w:t>
      </w:r>
    </w:p>
    <w:p w14:paraId="00000009" w14:textId="6A55EE52" w:rsidR="00B354C5" w:rsidRDefault="00833911">
      <w:pPr>
        <w:jc w:val="both"/>
      </w:pPr>
      <w:r>
        <w:t>Perreault’s advocacy of macro-archaeology comes at a time when the so-called “Third Science Revolution” in archaeology (Kristiansen 2014) is pushing research in that direction, among others. Advances in chronometric dating, paleoclimatic reconstructions, and biomolecular archaeology, integrated with big data on coins, ceramics, shipwrecks, ports, papyri, roads, waterworks</w:t>
      </w:r>
      <w:sdt>
        <w:sdtPr>
          <w:tag w:val="goog_rdk_17"/>
          <w:id w:val="-454952386"/>
        </w:sdtPr>
        <w:sdtEndPr/>
        <w:sdtContent>
          <w:r>
            <w:t>,</w:t>
          </w:r>
        </w:sdtContent>
      </w:sdt>
      <w:r>
        <w:t xml:space="preserve"> and more, are producing unprecedented scope, detail, and richness in reconstructions of the past. These developments do not change </w:t>
      </w:r>
      <w:sdt>
        <w:sdtPr>
          <w:tag w:val="goog_rdk_18"/>
          <w:id w:val="-2047675865"/>
        </w:sdtPr>
        <w:sdtEndPr/>
        <w:sdtContent>
          <w:r>
            <w:t xml:space="preserve">the </w:t>
          </w:r>
        </w:sdtContent>
      </w:sdt>
      <w:r>
        <w:t xml:space="preserve">cultural attributes of archaeological artefacts and the quality of the archaeological record in Perreault’s sense but do have important implications for the issues discussed. </w:t>
      </w:r>
    </w:p>
    <w:p w14:paraId="1078C884" w14:textId="481AEDEE" w:rsidR="00340D4D" w:rsidRDefault="00833911" w:rsidP="00C9754D">
      <w:pPr>
        <w:jc w:val="both"/>
      </w:pPr>
      <w:r>
        <w:t xml:space="preserve">First, they extend the type of information </w:t>
      </w:r>
      <w:r w:rsidR="00F57D8F">
        <w:t>attainable</w:t>
      </w:r>
      <w:r>
        <w:t xml:space="preserve"> from archaeological artefacts, often transforming understandings of cultural evolutionary processes such as the evolution of food preparation, plant and animal domestication, or technological change (</w:t>
      </w:r>
      <w:proofErr w:type="spellStart"/>
      <w:r>
        <w:t>Arranz</w:t>
      </w:r>
      <w:proofErr w:type="spellEnd"/>
      <w:r>
        <w:t xml:space="preserve">-Otaegui 2018; </w:t>
      </w:r>
      <w:proofErr w:type="spellStart"/>
      <w:r>
        <w:t>Radivojević</w:t>
      </w:r>
      <w:proofErr w:type="spellEnd"/>
      <w:r>
        <w:t xml:space="preserve"> et al. 2019; </w:t>
      </w:r>
      <w:proofErr w:type="spellStart"/>
      <w:r>
        <w:t>Tornero</w:t>
      </w:r>
      <w:proofErr w:type="spellEnd"/>
      <w:r>
        <w:t xml:space="preserve"> et al. 2020). Second, cross-pollination between archaeology and other disciplines is becoming more of a two-way street. For instance, current estimates of bone collagen turnover rate</w:t>
      </w:r>
      <w:r w:rsidR="00854873">
        <w:t>—</w:t>
      </w:r>
      <w:r>
        <w:t>important in medicine and physiology as well as forensic and archaeological dating</w:t>
      </w:r>
      <w:r w:rsidR="00854873">
        <w:t>—</w:t>
      </w:r>
      <w:r>
        <w:t>are based on a study led by archaeological scientists interested in isotope analyses (Hedges et al. 2007). Archaeological science is also enriching interpretations and theory (</w:t>
      </w:r>
      <w:proofErr w:type="spellStart"/>
      <w:r>
        <w:t>Martinón</w:t>
      </w:r>
      <w:proofErr w:type="spellEnd"/>
      <w:r>
        <w:t xml:space="preserve">-Torres and Killick 2015). On the effects of modern human genetics studies, but equally relevant to more recent </w:t>
      </w:r>
      <w:proofErr w:type="spellStart"/>
      <w:r>
        <w:t>archaeogenomics</w:t>
      </w:r>
      <w:proofErr w:type="spellEnd"/>
      <w:r>
        <w:t xml:space="preserve">, </w:t>
      </w:r>
      <w:proofErr w:type="spellStart"/>
      <w:r>
        <w:t>Pluciennik</w:t>
      </w:r>
      <w:proofErr w:type="spellEnd"/>
      <w:r>
        <w:t xml:space="preserve"> (2011: 38) </w:t>
      </w:r>
      <w:r w:rsidR="00201534">
        <w:t>observes</w:t>
      </w:r>
      <w:r>
        <w:t xml:space="preserve">: “although often couched by geneticists in terms of simple ‘answers’, their primary value for later prehistory onwards has been to force archaeologists to re-engage with the complexities of the </w:t>
      </w:r>
      <w:r>
        <w:rPr>
          <w:i/>
        </w:rPr>
        <w:t>social and cultural processes</w:t>
      </w:r>
      <w:r>
        <w:t>…” (emphasis mine). Third, advances in technical processing of big data combined with the cumulative growth of archaeological databases, are advancing the type of macro-archaeology Perreault envisions (</w:t>
      </w:r>
      <w:proofErr w:type="spellStart"/>
      <w:r>
        <w:t>Turchin</w:t>
      </w:r>
      <w:proofErr w:type="spellEnd"/>
      <w:r>
        <w:t xml:space="preserve"> et al. 2018; Stephens et al. 2019</w:t>
      </w:r>
      <w:r w:rsidR="00F57D8F">
        <w:t>; cf. Bevan and Crema 2021</w:t>
      </w:r>
      <w:r>
        <w:t>). Calls for macro</w:t>
      </w:r>
      <w:r w:rsidR="00340D4D">
        <w:t>-</w:t>
      </w:r>
      <w:r>
        <w:t>archaeological synthesis and modeling come also from public archaeology and cultural resource management (</w:t>
      </w:r>
      <w:proofErr w:type="spellStart"/>
      <w:r>
        <w:t>Heilen</w:t>
      </w:r>
      <w:proofErr w:type="spellEnd"/>
      <w:r>
        <w:t xml:space="preserve"> 2020)</w:t>
      </w:r>
      <w:r w:rsidR="00E70CDF">
        <w:t xml:space="preserve">, which provide much big data </w:t>
      </w:r>
      <w:r w:rsidR="00A44C52">
        <w:t>for macro-archaeological analysis (Cooper and Green 2017)</w:t>
      </w:r>
      <w:r>
        <w:t xml:space="preserve">. Fourth, technical </w:t>
      </w:r>
      <w:r w:rsidR="00340D4D">
        <w:t xml:space="preserve">scientific </w:t>
      </w:r>
      <w:r w:rsidR="00C9754D">
        <w:t xml:space="preserve">breakthroughs </w:t>
      </w:r>
      <w:r>
        <w:t xml:space="preserve">are changing the information that can be extracted from the archaeological record, potentially affecting limitations of scope, sampling interval, resolution, and dimensionality. One result is that archaeological science is making it possible to systematically tackle some of the most distinctly ethnographic questions which Perreault considers to be inexorably underdetermined. Thus, archaeogenetic studies have revealed lineage patterns which, together with field archaeology, enable </w:t>
      </w:r>
      <w:sdt>
        <w:sdtPr>
          <w:tag w:val="goog_rdk_20"/>
          <w:id w:val="-1890726850"/>
        </w:sdtPr>
        <w:sdtEndPr/>
        <w:sdtContent>
          <w:r>
            <w:t xml:space="preserve">the </w:t>
          </w:r>
        </w:sdtContent>
      </w:sdt>
      <w:r>
        <w:t xml:space="preserve">reconstruction of ancient kinship structures (Sánchez-Quinto, et al. 2019; Schroeder 2019). In short, archaeological science is simultaneously </w:t>
      </w:r>
      <w:r w:rsidR="00C9754D">
        <w:t xml:space="preserve">extending </w:t>
      </w:r>
      <w:r>
        <w:t>the limits on archaeological data Perreault identifies and making his vision of macro-archaeology possible. Although Perreault (2019) does not deny this</w:t>
      </w:r>
      <w:r w:rsidR="00854873">
        <w:t xml:space="preserve"> (but see </w:t>
      </w:r>
      <w:proofErr w:type="spellStart"/>
      <w:r w:rsidR="00854873" w:rsidRPr="00854873">
        <w:t>Sørensen</w:t>
      </w:r>
      <w:proofErr w:type="spellEnd"/>
      <w:r w:rsidR="00854873">
        <w:t xml:space="preserve"> 2016)</w:t>
      </w:r>
      <w:r>
        <w:t xml:space="preserve">, it will be interesting to </w:t>
      </w:r>
      <w:r w:rsidR="00C9754D">
        <w:t>witness the</w:t>
      </w:r>
      <w:r>
        <w:t xml:space="preserve"> extent and ways archaeological science will </w:t>
      </w:r>
      <w:r w:rsidR="00C9754D">
        <w:t xml:space="preserve">push </w:t>
      </w:r>
      <w:r>
        <w:t>the limits of the archaeological record in coming years.</w:t>
      </w:r>
    </w:p>
    <w:p w14:paraId="0000000B" w14:textId="6CEDB82B" w:rsidR="00B354C5" w:rsidRDefault="00833911">
      <w:pPr>
        <w:jc w:val="both"/>
      </w:pPr>
      <w:r>
        <w:t xml:space="preserve">Polemics aside, this book offers a lucid, organized introduction to the problem of underdetermination in archaeology that will be valuable to students of archaeology. Perreault could have gained by less </w:t>
      </w:r>
      <w:proofErr w:type="spellStart"/>
      <w:r>
        <w:t>generali</w:t>
      </w:r>
      <w:r w:rsidR="002378B1">
        <w:t>s</w:t>
      </w:r>
      <w:r>
        <w:t>ing</w:t>
      </w:r>
      <w:proofErr w:type="spellEnd"/>
      <w:r>
        <w:t xml:space="preserve"> and greater tolerance toward archaeologists, even if many of his grievances will be familiar to specialists and lay readers. Readers are advised to sieve the polemical from the rigorous arguments</w:t>
      </w:r>
      <w:sdt>
        <w:sdtPr>
          <w:tag w:val="goog_rdk_23"/>
          <w:id w:val="-1624832172"/>
          <w:showingPlcHdr/>
        </w:sdtPr>
        <w:sdtEndPr/>
        <w:sdtContent>
          <w:r w:rsidR="002378B1">
            <w:t xml:space="preserve">     </w:t>
          </w:r>
        </w:sdtContent>
      </w:sdt>
      <w:r>
        <w:t xml:space="preserve"> while situating the latter within appropriate theoretical and historiographic context, as I have attempted to do in the foregoing. </w:t>
      </w:r>
    </w:p>
    <w:p w14:paraId="0000000F" w14:textId="77777777" w:rsidR="00B354C5" w:rsidRDefault="00833911">
      <w:pPr>
        <w:rPr>
          <w:b/>
          <w:i/>
        </w:rPr>
      </w:pPr>
      <w:r>
        <w:rPr>
          <w:b/>
          <w:i/>
        </w:rPr>
        <w:t>References</w:t>
      </w:r>
    </w:p>
    <w:p w14:paraId="00000010" w14:textId="77777777" w:rsidR="00B354C5" w:rsidRDefault="00833911">
      <w:r>
        <w:t xml:space="preserve">Arnold, P.J., III. No time like the present. In: S. </w:t>
      </w:r>
      <w:proofErr w:type="spellStart"/>
      <w:r>
        <w:t>Holdaway</w:t>
      </w:r>
      <w:proofErr w:type="spellEnd"/>
      <w:r>
        <w:t xml:space="preserve"> and L. </w:t>
      </w:r>
      <w:proofErr w:type="spellStart"/>
      <w:r>
        <w:t>Wandsnider</w:t>
      </w:r>
      <w:proofErr w:type="spellEnd"/>
      <w:r>
        <w:t xml:space="preserve"> (eds), </w:t>
      </w:r>
      <w:r>
        <w:rPr>
          <w:i/>
        </w:rPr>
        <w:t>Time in archaeology: time perspectivism revisited</w:t>
      </w:r>
      <w:r>
        <w:t xml:space="preserve"> (pp. 161–69). Salt Lake City: University of Utah Press.</w:t>
      </w:r>
    </w:p>
    <w:p w14:paraId="00000011" w14:textId="77777777" w:rsidR="00B354C5" w:rsidRDefault="00833911">
      <w:proofErr w:type="spellStart"/>
      <w:r>
        <w:t>Arranz</w:t>
      </w:r>
      <w:proofErr w:type="spellEnd"/>
      <w:r>
        <w:t xml:space="preserve">-Otaegui, A., </w:t>
      </w:r>
      <w:proofErr w:type="spellStart"/>
      <w:r>
        <w:t>Carretero</w:t>
      </w:r>
      <w:proofErr w:type="spellEnd"/>
      <w:r>
        <w:t>, L.G., Ramsey, M.N., Fuller, D.Q.</w:t>
      </w:r>
      <w:sdt>
        <w:sdtPr>
          <w:tag w:val="goog_rdk_24"/>
          <w:id w:val="1728191786"/>
        </w:sdtPr>
        <w:sdtEndPr/>
        <w:sdtContent>
          <w:r>
            <w:t>,</w:t>
          </w:r>
        </w:sdtContent>
      </w:sdt>
      <w:r>
        <w:t xml:space="preserve"> and Richter, T., 2018. Archaeobotanical evidence reveals the origins of bread 14,400 years ago in northeastern Jordan. </w:t>
      </w:r>
      <w:r>
        <w:rPr>
          <w:i/>
        </w:rPr>
        <w:t>Proceedings of the National Academy of Sciences,</w:t>
      </w:r>
      <w:r>
        <w:t xml:space="preserve"> </w:t>
      </w:r>
      <w:r>
        <w:rPr>
          <w:i/>
        </w:rPr>
        <w:t>USA</w:t>
      </w:r>
      <w:r>
        <w:t xml:space="preserve"> 115(31): 7925–7930. </w:t>
      </w:r>
      <w:hyperlink r:id="rId5">
        <w:r>
          <w:rPr>
            <w:color w:val="0563C1"/>
            <w:u w:val="single"/>
          </w:rPr>
          <w:t>https://doi.org/10.1073/pnas.1801071115</w:t>
        </w:r>
      </w:hyperlink>
    </w:p>
    <w:p w14:paraId="00000012" w14:textId="2059B276" w:rsidR="00B354C5" w:rsidRDefault="00833911">
      <w:r>
        <w:t xml:space="preserve">Bailey, G.N. 1981. Concepts, </w:t>
      </w:r>
      <w:proofErr w:type="gramStart"/>
      <w:r>
        <w:t>time-scales</w:t>
      </w:r>
      <w:proofErr w:type="gramEnd"/>
      <w:r>
        <w:t xml:space="preserve"> and explanations in economic prehistory. In: A. Sheridan and G. N. Bailey, (eds), </w:t>
      </w:r>
      <w:r>
        <w:rPr>
          <w:i/>
        </w:rPr>
        <w:t>Economic Archaeology: Towards an Integration of Ecological and Social Approaches</w:t>
      </w:r>
      <w:r>
        <w:t xml:space="preserve"> (pp. 99–117). Oxford: BAR. </w:t>
      </w:r>
    </w:p>
    <w:p w14:paraId="00000013" w14:textId="77777777" w:rsidR="00B354C5" w:rsidRDefault="00833911">
      <w:r>
        <w:t xml:space="preserve">Bailey, G.N. 1983. Concepts of time in Quaternary prehistory. </w:t>
      </w:r>
      <w:r>
        <w:rPr>
          <w:i/>
        </w:rPr>
        <w:t>Annual Review of Anthropology</w:t>
      </w:r>
      <w:r>
        <w:t xml:space="preserve"> 12: 165</w:t>
      </w:r>
      <w:proofErr w:type="gramStart"/>
      <w:r>
        <w:t>–  92</w:t>
      </w:r>
      <w:proofErr w:type="gramEnd"/>
      <w:r>
        <w:t xml:space="preserve">. </w:t>
      </w:r>
      <w:hyperlink r:id="rId6">
        <w:r>
          <w:rPr>
            <w:color w:val="0563C1"/>
            <w:u w:val="single"/>
          </w:rPr>
          <w:t>https://doi.org/10.1146/annurev.an.12.100183.001121</w:t>
        </w:r>
      </w:hyperlink>
    </w:p>
    <w:p w14:paraId="00000014" w14:textId="77777777" w:rsidR="00B354C5" w:rsidRDefault="00833911">
      <w:pPr>
        <w:rPr>
          <w:color w:val="0563C1"/>
          <w:u w:val="single"/>
        </w:rPr>
      </w:pPr>
      <w:r>
        <w:t xml:space="preserve">Bailey, G.N. 1987. Breaking the time barrier. </w:t>
      </w:r>
      <w:r>
        <w:rPr>
          <w:i/>
        </w:rPr>
        <w:t>Archaeological Review from Cambridge</w:t>
      </w:r>
      <w:r>
        <w:t xml:space="preserve"> 6(1): 5–20. </w:t>
      </w:r>
      <w:hyperlink r:id="rId7">
        <w:r>
          <w:rPr>
            <w:color w:val="0563C1"/>
            <w:u w:val="single"/>
          </w:rPr>
          <w:t>https://doi.org/10.17863/CAM.32037</w:t>
        </w:r>
      </w:hyperlink>
    </w:p>
    <w:p w14:paraId="00000015" w14:textId="0135D549" w:rsidR="00B354C5" w:rsidRDefault="00833911">
      <w:r>
        <w:t xml:space="preserve">Bailey, G.N. 2007. Time perspectives, </w:t>
      </w:r>
      <w:proofErr w:type="gramStart"/>
      <w:r>
        <w:t>palimpsests</w:t>
      </w:r>
      <w:proofErr w:type="gramEnd"/>
      <w:r>
        <w:t xml:space="preserve"> and the archaeology of time. </w:t>
      </w:r>
      <w:r>
        <w:rPr>
          <w:i/>
        </w:rPr>
        <w:t>Journal of Anthropological Archaeology</w:t>
      </w:r>
      <w:r>
        <w:t xml:space="preserve">, 26(2): 198–223. </w:t>
      </w:r>
      <w:hyperlink r:id="rId8">
        <w:r>
          <w:rPr>
            <w:color w:val="0563C1"/>
            <w:u w:val="single"/>
          </w:rPr>
          <w:t>https://doi.org/10.1016/j.jaa.2006.08.002</w:t>
        </w:r>
      </w:hyperlink>
    </w:p>
    <w:p w14:paraId="00000016" w14:textId="77777777" w:rsidR="00B354C5" w:rsidRDefault="00833911">
      <w:r>
        <w:t xml:space="preserve">Bailey, G.N. 2008. Time perspectivism: origins and consequences. In: S. </w:t>
      </w:r>
      <w:proofErr w:type="spellStart"/>
      <w:r>
        <w:t>Holdaway</w:t>
      </w:r>
      <w:proofErr w:type="spellEnd"/>
      <w:r>
        <w:t xml:space="preserve"> and L. </w:t>
      </w:r>
      <w:proofErr w:type="spellStart"/>
      <w:r>
        <w:t>Wandsnider</w:t>
      </w:r>
      <w:proofErr w:type="spellEnd"/>
      <w:r>
        <w:t xml:space="preserve"> (eds), </w:t>
      </w:r>
      <w:r>
        <w:rPr>
          <w:i/>
        </w:rPr>
        <w:t>Time in archaeology: time perspectivism revisited</w:t>
      </w:r>
      <w:r>
        <w:t xml:space="preserve"> (pp. 13–30). Salt Lake City: University of Utah Press. </w:t>
      </w:r>
    </w:p>
    <w:p w14:paraId="6AC72641" w14:textId="3812209B" w:rsidR="00F57D8F" w:rsidRDefault="00F57D8F" w:rsidP="00F57D8F">
      <w:pPr>
        <w:rPr>
          <w:lang w:val="en-GB"/>
        </w:rPr>
      </w:pPr>
      <w:r w:rsidRPr="00F57D8F">
        <w:rPr>
          <w:lang w:val="en-GB"/>
        </w:rPr>
        <w:t>Bevan A</w:t>
      </w:r>
      <w:r>
        <w:rPr>
          <w:lang w:val="en-GB"/>
        </w:rPr>
        <w:t>. and</w:t>
      </w:r>
      <w:r w:rsidRPr="00F57D8F">
        <w:rPr>
          <w:lang w:val="en-GB"/>
        </w:rPr>
        <w:t xml:space="preserve"> Crema ER. 2021</w:t>
      </w:r>
      <w:r>
        <w:rPr>
          <w:lang w:val="en-GB"/>
        </w:rPr>
        <w:t xml:space="preserve">. </w:t>
      </w:r>
      <w:r w:rsidRPr="00F57D8F">
        <w:rPr>
          <w:lang w:val="en-GB"/>
        </w:rPr>
        <w:t>Modifiable reporting unit problems and time</w:t>
      </w:r>
      <w:r>
        <w:rPr>
          <w:lang w:val="en-GB"/>
        </w:rPr>
        <w:t xml:space="preserve"> </w:t>
      </w:r>
      <w:r w:rsidRPr="00F57D8F">
        <w:rPr>
          <w:lang w:val="en-GB"/>
        </w:rPr>
        <w:t xml:space="preserve">series of long-term human activity. </w:t>
      </w:r>
      <w:r w:rsidRPr="00340D4D">
        <w:rPr>
          <w:i/>
          <w:iCs/>
          <w:lang w:val="en-GB"/>
        </w:rPr>
        <w:t>Philosophical Transactions of the Royal Society: B</w:t>
      </w:r>
      <w:r>
        <w:rPr>
          <w:lang w:val="en-GB"/>
        </w:rPr>
        <w:t>,</w:t>
      </w:r>
      <w:r w:rsidRPr="00F57D8F">
        <w:rPr>
          <w:lang w:val="en-GB"/>
        </w:rPr>
        <w:t xml:space="preserve"> 376: 20190726</w:t>
      </w:r>
      <w:r>
        <w:rPr>
          <w:lang w:val="en-GB"/>
        </w:rPr>
        <w:t xml:space="preserve">, </w:t>
      </w:r>
      <w:hyperlink r:id="rId9" w:history="1">
        <w:r w:rsidRPr="0020475A">
          <w:rPr>
            <w:rStyle w:val="Hyperlink"/>
            <w:lang w:val="en-GB"/>
          </w:rPr>
          <w:t>http://dx.doi.org/10.1098/rstb.2019.0726</w:t>
        </w:r>
      </w:hyperlink>
    </w:p>
    <w:p w14:paraId="00000017" w14:textId="102EB44A" w:rsidR="00B354C5" w:rsidRDefault="00833911" w:rsidP="00340D4D">
      <w:proofErr w:type="spellStart"/>
      <w:r>
        <w:t>Bintliff</w:t>
      </w:r>
      <w:proofErr w:type="spellEnd"/>
      <w:r>
        <w:t xml:space="preserve">, J. and Pearce, M. 2011. Introduction. In: J. </w:t>
      </w:r>
      <w:proofErr w:type="spellStart"/>
      <w:r>
        <w:t>Bintliff</w:t>
      </w:r>
      <w:proofErr w:type="spellEnd"/>
      <w:r>
        <w:t xml:space="preserve"> and M. Pearce (eds), </w:t>
      </w:r>
      <w:r>
        <w:rPr>
          <w:i/>
        </w:rPr>
        <w:t>The death of archaeological theory</w:t>
      </w:r>
      <w:r>
        <w:t>? (pp. 1–6). Oxford: Oxbow Books.</w:t>
      </w:r>
    </w:p>
    <w:p w14:paraId="4DF6E36C" w14:textId="38F0832A" w:rsidR="00A44C52" w:rsidRDefault="00A44C52" w:rsidP="00A44C52">
      <w:r w:rsidRPr="00A44C52">
        <w:t xml:space="preserve">Cooper, </w:t>
      </w:r>
      <w:proofErr w:type="gramStart"/>
      <w:r w:rsidRPr="00A44C52">
        <w:t>A.</w:t>
      </w:r>
      <w:proofErr w:type="gramEnd"/>
      <w:r w:rsidRPr="00A44C52">
        <w:t xml:space="preserve"> and Green, C. 2017 Big </w:t>
      </w:r>
      <w:r>
        <w:t>q</w:t>
      </w:r>
      <w:r w:rsidRPr="00A44C52">
        <w:t xml:space="preserve">uestions for </w:t>
      </w:r>
      <w:r>
        <w:t>l</w:t>
      </w:r>
      <w:r w:rsidRPr="00A44C52">
        <w:t xml:space="preserve">arge, </w:t>
      </w:r>
      <w:r>
        <w:t>c</w:t>
      </w:r>
      <w:r w:rsidRPr="00A44C52">
        <w:t xml:space="preserve">omplex </w:t>
      </w:r>
      <w:r>
        <w:t>d</w:t>
      </w:r>
      <w:r w:rsidRPr="00A44C52">
        <w:t>atasets: approaching time and space using composite object assemblages</w:t>
      </w:r>
      <w:r>
        <w:t>.</w:t>
      </w:r>
      <w:r w:rsidRPr="00A44C52">
        <w:t xml:space="preserve"> </w:t>
      </w:r>
      <w:r w:rsidRPr="00340D4D">
        <w:rPr>
          <w:i/>
          <w:iCs/>
        </w:rPr>
        <w:t>Internet Archaeology</w:t>
      </w:r>
      <w:r>
        <w:rPr>
          <w:i/>
          <w:iCs/>
        </w:rPr>
        <w:t>,</w:t>
      </w:r>
      <w:r w:rsidRPr="00A44C52">
        <w:t xml:space="preserve"> 45. </w:t>
      </w:r>
      <w:hyperlink r:id="rId10" w:history="1">
        <w:r w:rsidRPr="0020475A">
          <w:rPr>
            <w:rStyle w:val="Hyperlink"/>
          </w:rPr>
          <w:t>https://doi.org/10.11141/ia.45.1</w:t>
        </w:r>
      </w:hyperlink>
    </w:p>
    <w:p w14:paraId="00000018" w14:textId="71330940" w:rsidR="00B354C5" w:rsidRDefault="00833911" w:rsidP="00A44C52">
      <w:r>
        <w:t xml:space="preserve">Gamble, C. 2008. </w:t>
      </w:r>
      <w:r>
        <w:rPr>
          <w:i/>
        </w:rPr>
        <w:t>Archaeology: the basics</w:t>
      </w:r>
      <w:r>
        <w:t>, 2</w:t>
      </w:r>
      <w:r>
        <w:rPr>
          <w:vertAlign w:val="superscript"/>
        </w:rPr>
        <w:t>nd</w:t>
      </w:r>
      <w:r>
        <w:t xml:space="preserve"> </w:t>
      </w:r>
      <w:proofErr w:type="spellStart"/>
      <w:r>
        <w:t>edn</w:t>
      </w:r>
      <w:proofErr w:type="spellEnd"/>
      <w:r>
        <w:t>. London and New York: Routledge.</w:t>
      </w:r>
    </w:p>
    <w:p w14:paraId="214FFB59" w14:textId="7319FD5C" w:rsidR="00E04ADC" w:rsidRDefault="00E04ADC" w:rsidP="00E04ADC">
      <w:proofErr w:type="spellStart"/>
      <w:r w:rsidRPr="00E04ADC">
        <w:t>Gero</w:t>
      </w:r>
      <w:proofErr w:type="spellEnd"/>
      <w:r w:rsidRPr="00E04ADC">
        <w:t>, J. M. (2007). Honoring ambiguity/problematizing certitude. </w:t>
      </w:r>
      <w:r w:rsidRPr="00E04ADC">
        <w:rPr>
          <w:i/>
          <w:iCs/>
        </w:rPr>
        <w:t>Journal of Archaeological Method and Theory, 14</w:t>
      </w:r>
      <w:r w:rsidRPr="00E04ADC">
        <w:t>(3)</w:t>
      </w:r>
      <w:r>
        <w:t>:</w:t>
      </w:r>
      <w:r w:rsidRPr="00E04ADC">
        <w:t xml:space="preserve"> 311–327. </w:t>
      </w:r>
      <w:hyperlink r:id="rId11" w:history="1">
        <w:r w:rsidRPr="0020475A">
          <w:rPr>
            <w:rStyle w:val="Hyperlink"/>
          </w:rPr>
          <w:t>https://doi.org/10.1007/s10816-007-9037-1</w:t>
        </w:r>
      </w:hyperlink>
    </w:p>
    <w:p w14:paraId="00000019" w14:textId="1F231E59" w:rsidR="00B354C5" w:rsidRDefault="00833911" w:rsidP="00E04ADC">
      <w:r>
        <w:t xml:space="preserve">Hedges, R.E.M., Clement, J.G., Thomas, C.D.L., and O’Connell, T. 2007. Collagen turnover in the adult femoral mid‐shaft: Modeled from anthropogenic radiocarbon tracer measurements. </w:t>
      </w:r>
      <w:r>
        <w:rPr>
          <w:i/>
        </w:rPr>
        <w:t>American Journal of Physical Anthropology</w:t>
      </w:r>
      <w:r>
        <w:t xml:space="preserve">, 133(2): 808–816. </w:t>
      </w:r>
      <w:hyperlink r:id="rId12">
        <w:r>
          <w:rPr>
            <w:color w:val="0563C1"/>
            <w:u w:val="single"/>
          </w:rPr>
          <w:t>https://doi.org/10.1002/ajpa.20598</w:t>
        </w:r>
      </w:hyperlink>
    </w:p>
    <w:p w14:paraId="0000001A" w14:textId="77777777" w:rsidR="00B354C5" w:rsidRDefault="00833911">
      <w:proofErr w:type="spellStart"/>
      <w:r>
        <w:t>Heilen</w:t>
      </w:r>
      <w:proofErr w:type="spellEnd"/>
      <w:r>
        <w:t xml:space="preserve">, M. (2020). The Role of Modeling and Synthesis in Creative Mitigation. Advances in Archaeological Practice, 8(3), 263-274. </w:t>
      </w:r>
      <w:hyperlink r:id="rId13">
        <w:r>
          <w:rPr>
            <w:color w:val="0563C1"/>
            <w:u w:val="single"/>
          </w:rPr>
          <w:t>https://doi.org/10.1017/aap.2020.23</w:t>
        </w:r>
      </w:hyperlink>
    </w:p>
    <w:p w14:paraId="0000001B" w14:textId="77777777" w:rsidR="00B354C5" w:rsidRDefault="00833911">
      <w:r>
        <w:t>Johnson, M. 2020. </w:t>
      </w:r>
      <w:r>
        <w:rPr>
          <w:i/>
        </w:rPr>
        <w:t>Archaeological theory: an introduction</w:t>
      </w:r>
      <w:r>
        <w:t xml:space="preserve">. Hoboken, NJ: Wiley-Blackwell. </w:t>
      </w:r>
    </w:p>
    <w:p w14:paraId="0000001C" w14:textId="77777777" w:rsidR="00B354C5" w:rsidRDefault="00833911">
      <w:r>
        <w:t xml:space="preserve">Kristiansen, K., 2014. Towards a new paradigm. The third science revolution and its possible consequences in archaeology. </w:t>
      </w:r>
      <w:r>
        <w:rPr>
          <w:i/>
        </w:rPr>
        <w:t>Current Swedish Archaeology</w:t>
      </w:r>
      <w:r>
        <w:t xml:space="preserve">, 22(4): 11–71. </w:t>
      </w:r>
    </w:p>
    <w:p w14:paraId="0000001D" w14:textId="77777777" w:rsidR="00B354C5" w:rsidRDefault="00833911">
      <w:r>
        <w:t xml:space="preserve">Lucas, G. 2005. </w:t>
      </w:r>
      <w:r>
        <w:rPr>
          <w:i/>
        </w:rPr>
        <w:t>The archaeology of time</w:t>
      </w:r>
      <w:r>
        <w:t>. London and New York: Routledge.</w:t>
      </w:r>
    </w:p>
    <w:p w14:paraId="0000001E" w14:textId="77777777" w:rsidR="00B354C5" w:rsidRDefault="00833911">
      <w:r>
        <w:t xml:space="preserve">Lyman, R.L. 2007. Archaeology’s quest for a seat at the high table of anthropology. </w:t>
      </w:r>
      <w:r>
        <w:rPr>
          <w:i/>
        </w:rPr>
        <w:t>Journal of Anthropological Archaeology</w:t>
      </w:r>
      <w:r>
        <w:t xml:space="preserve"> 26(2): 133– 49. </w:t>
      </w:r>
      <w:hyperlink r:id="rId14">
        <w:r>
          <w:rPr>
            <w:color w:val="0563C1"/>
            <w:u w:val="single"/>
          </w:rPr>
          <w:t>https://doi.org/10.1016/j.jaa.2006.11.003</w:t>
        </w:r>
      </w:hyperlink>
    </w:p>
    <w:p w14:paraId="0000001F" w14:textId="77777777" w:rsidR="00B354C5" w:rsidRDefault="00833911">
      <w:proofErr w:type="spellStart"/>
      <w:r>
        <w:t>Martinón</w:t>
      </w:r>
      <w:proofErr w:type="spellEnd"/>
      <w:r>
        <w:t xml:space="preserve">-Torres, M. and Killick, D. 2015. Archaeological theories and archaeological sciences. In: A. Gardner, M. Lake, and U. Sommer (eds), </w:t>
      </w:r>
      <w:r>
        <w:rPr>
          <w:i/>
        </w:rPr>
        <w:t>The Oxford Handbook of Archaeological Theory</w:t>
      </w:r>
      <w:r>
        <w:t xml:space="preserve">. Oxford University Press. </w:t>
      </w:r>
      <w:hyperlink r:id="rId15">
        <w:r>
          <w:rPr>
            <w:color w:val="0563C1"/>
            <w:u w:val="single"/>
          </w:rPr>
          <w:t>https://doi.org/10.1093/oxfordhb/9780199567942.013.004</w:t>
        </w:r>
      </w:hyperlink>
    </w:p>
    <w:p w14:paraId="3D7069C7" w14:textId="31DF44A1" w:rsidR="00A31C93" w:rsidRDefault="00A31C93">
      <w:proofErr w:type="spellStart"/>
      <w:r w:rsidRPr="00A31C93">
        <w:t>Nativ</w:t>
      </w:r>
      <w:proofErr w:type="spellEnd"/>
      <w:r w:rsidRPr="00A31C93">
        <w:t xml:space="preserve">, A. No compensation needed: on archaeology and the archaeological. </w:t>
      </w:r>
      <w:r w:rsidRPr="00340D4D">
        <w:rPr>
          <w:i/>
          <w:iCs/>
        </w:rPr>
        <w:t>Journal of Archaeological Method and Theory</w:t>
      </w:r>
      <w:r w:rsidRPr="00A31C93">
        <w:t xml:space="preserve"> 24, 659–675 (2017). </w:t>
      </w:r>
      <w:hyperlink r:id="rId16" w:history="1">
        <w:r w:rsidRPr="00966281">
          <w:rPr>
            <w:rStyle w:val="Hyperlink"/>
          </w:rPr>
          <w:t>https://doi.org/10.1007/s10816-016-9282-2</w:t>
        </w:r>
      </w:hyperlink>
    </w:p>
    <w:p w14:paraId="00000020" w14:textId="1217FDCD" w:rsidR="00B354C5" w:rsidRDefault="00833911">
      <w:r>
        <w:t xml:space="preserve">O’Brien, M. and Lyman, R. 2000. </w:t>
      </w:r>
      <w:r>
        <w:rPr>
          <w:i/>
        </w:rPr>
        <w:t>Applying evolutionary archaeology: a systematic approach</w:t>
      </w:r>
      <w:r>
        <w:t xml:space="preserve">. New York: </w:t>
      </w:r>
      <w:proofErr w:type="spellStart"/>
      <w:r>
        <w:t>Kluver</w:t>
      </w:r>
      <w:proofErr w:type="spellEnd"/>
      <w:r>
        <w:t xml:space="preserve"> Academic/Plenum.</w:t>
      </w:r>
    </w:p>
    <w:p w14:paraId="00000021" w14:textId="77777777" w:rsidR="00B354C5" w:rsidRDefault="00833911">
      <w:r>
        <w:t xml:space="preserve">Perreault, C. 2019. </w:t>
      </w:r>
      <w:r>
        <w:rPr>
          <w:i/>
        </w:rPr>
        <w:t>The Quality of the Archaeological Record</w:t>
      </w:r>
      <w:r>
        <w:t>. Chicago: University of Chicago Press.</w:t>
      </w:r>
    </w:p>
    <w:p w14:paraId="00000022" w14:textId="77777777" w:rsidR="00B354C5" w:rsidRDefault="00833911">
      <w:proofErr w:type="spellStart"/>
      <w:r>
        <w:t>Pluciennek</w:t>
      </w:r>
      <w:proofErr w:type="spellEnd"/>
      <w:r>
        <w:t xml:space="preserve">, M. 2011. Theory, culture, fashion. In J. </w:t>
      </w:r>
      <w:proofErr w:type="spellStart"/>
      <w:r>
        <w:t>Bintliff</w:t>
      </w:r>
      <w:proofErr w:type="spellEnd"/>
      <w:r>
        <w:t xml:space="preserve"> and M. Pearce (eds), </w:t>
      </w:r>
      <w:r>
        <w:rPr>
          <w:i/>
        </w:rPr>
        <w:t>The death of archaeological theory?</w:t>
      </w:r>
      <w:r>
        <w:t xml:space="preserve"> (pp. 31–47). Oxford: Oxbow Books.</w:t>
      </w:r>
    </w:p>
    <w:p w14:paraId="00000023" w14:textId="77777777" w:rsidR="00B354C5" w:rsidRDefault="00833911">
      <w:r>
        <w:t xml:space="preserve">Preston, J., 2013. Positivist and post-positivist philosophy of science. In: A. Gardner, M. Lake, and U. Sommer (eds)., </w:t>
      </w:r>
      <w:r>
        <w:rPr>
          <w:i/>
        </w:rPr>
        <w:t>The Oxford handbook of archaeological theory</w:t>
      </w:r>
      <w:r>
        <w:t xml:space="preserve">. Oxford handbooks online. </w:t>
      </w:r>
      <w:hyperlink r:id="rId17">
        <w:r>
          <w:rPr>
            <w:color w:val="0563C1"/>
            <w:u w:val="single"/>
          </w:rPr>
          <w:t>https://doi.org/10.1093/oxfordhb/9780199567942.013.031</w:t>
        </w:r>
      </w:hyperlink>
    </w:p>
    <w:p w14:paraId="00000024" w14:textId="77777777" w:rsidR="00B354C5" w:rsidRDefault="00833911">
      <w:proofErr w:type="spellStart"/>
      <w:r>
        <w:t>Radivojević</w:t>
      </w:r>
      <w:proofErr w:type="spellEnd"/>
      <w:r>
        <w:t xml:space="preserve">, M. et al. 2019. The provenance, use, and circulation of metals in the European Bronze Age: the state of debate. </w:t>
      </w:r>
      <w:r>
        <w:rPr>
          <w:i/>
        </w:rPr>
        <w:t xml:space="preserve">J </w:t>
      </w:r>
      <w:proofErr w:type="spellStart"/>
      <w:r>
        <w:rPr>
          <w:i/>
        </w:rPr>
        <w:t>Archaeol</w:t>
      </w:r>
      <w:proofErr w:type="spellEnd"/>
      <w:r>
        <w:rPr>
          <w:i/>
        </w:rPr>
        <w:t xml:space="preserve"> Res</w:t>
      </w:r>
      <w:r>
        <w:t xml:space="preserve"> 27: 131–185. </w:t>
      </w:r>
      <w:hyperlink r:id="rId18">
        <w:r>
          <w:rPr>
            <w:color w:val="0563C1"/>
            <w:u w:val="single"/>
          </w:rPr>
          <w:t>https://doi.org/10.1007/s10814-018-9123</w:t>
        </w:r>
      </w:hyperlink>
    </w:p>
    <w:p w14:paraId="00000025" w14:textId="77777777" w:rsidR="00B354C5" w:rsidRDefault="00833911">
      <w:r>
        <w:t xml:space="preserve">Sánchez-Quinto, F. et al. 2019. Megalithic tombs in western and northern Neolithic Europe were linked to a kindred society. </w:t>
      </w:r>
      <w:r>
        <w:rPr>
          <w:i/>
        </w:rPr>
        <w:t>Proceedings of the National Academy of Sciences, USA</w:t>
      </w:r>
      <w:r>
        <w:t xml:space="preserve"> 116: 9469–9474. </w:t>
      </w:r>
      <w:hyperlink r:id="rId19">
        <w:r>
          <w:rPr>
            <w:color w:val="0563C1"/>
            <w:u w:val="single"/>
          </w:rPr>
          <w:t>https://doi.org/10.1073/pnas.1818037116</w:t>
        </w:r>
      </w:hyperlink>
    </w:p>
    <w:p w14:paraId="00000026" w14:textId="77777777" w:rsidR="00B354C5" w:rsidRDefault="00833911">
      <w:r>
        <w:t xml:space="preserve">Schroeder, H. et al. 2019. Unraveling ancestry, kinship, and violence in a Late Neolithic mass grave. </w:t>
      </w:r>
      <w:r>
        <w:rPr>
          <w:i/>
        </w:rPr>
        <w:t xml:space="preserve">Proceedings of the National Academy of Sciences, USA </w:t>
      </w:r>
      <w:r>
        <w:t xml:space="preserve">116: 10705–10710. </w:t>
      </w:r>
      <w:hyperlink r:id="rId20">
        <w:r>
          <w:rPr>
            <w:color w:val="0563C1"/>
            <w:u w:val="single"/>
          </w:rPr>
          <w:t>https://doi.org/10.1073/pnas.1820210116</w:t>
        </w:r>
      </w:hyperlink>
    </w:p>
    <w:p w14:paraId="00000027" w14:textId="77777777" w:rsidR="00B354C5" w:rsidRDefault="00833911">
      <w:r>
        <w:t xml:space="preserve">Shanks, </w:t>
      </w:r>
      <w:proofErr w:type="gramStart"/>
      <w:r>
        <w:t>M.</w:t>
      </w:r>
      <w:proofErr w:type="gramEnd"/>
      <w:r>
        <w:t xml:space="preserve"> and Tilley, C.Y., 1987a. </w:t>
      </w:r>
      <w:r>
        <w:rPr>
          <w:i/>
        </w:rPr>
        <w:t>Social theory and archaeology</w:t>
      </w:r>
      <w:r>
        <w:t>. Cambridge: Polity Press.</w:t>
      </w:r>
    </w:p>
    <w:p w14:paraId="00000028" w14:textId="4C896BA7" w:rsidR="00B354C5" w:rsidRDefault="00833911">
      <w:r>
        <w:t xml:space="preserve">Shanks, </w:t>
      </w:r>
      <w:proofErr w:type="gramStart"/>
      <w:r>
        <w:t>M.</w:t>
      </w:r>
      <w:proofErr w:type="gramEnd"/>
      <w:r>
        <w:t xml:space="preserve"> and Tilley, C.Y., 1987b. Abstract time and substantial time. </w:t>
      </w:r>
      <w:r>
        <w:rPr>
          <w:i/>
        </w:rPr>
        <w:t>Archaeological Review from Cambridge</w:t>
      </w:r>
      <w:r>
        <w:t xml:space="preserve"> 6(1): 32</w:t>
      </w:r>
      <w:r w:rsidR="004B2BD6" w:rsidRPr="004B2BD6">
        <w:t>–</w:t>
      </w:r>
      <w:r>
        <w:t xml:space="preserve">41. </w:t>
      </w:r>
      <w:hyperlink r:id="rId21">
        <w:r>
          <w:rPr>
            <w:color w:val="0563C1"/>
            <w:u w:val="single"/>
          </w:rPr>
          <w:t>https://doi.org/10.17863/CAM.32039</w:t>
        </w:r>
      </w:hyperlink>
    </w:p>
    <w:p w14:paraId="36043AD8" w14:textId="7C55C589" w:rsidR="004B2BD6" w:rsidRDefault="004B2BD6" w:rsidP="004B2BD6">
      <w:proofErr w:type="spellStart"/>
      <w:r w:rsidRPr="004B2BD6">
        <w:t>Sørensen</w:t>
      </w:r>
      <w:proofErr w:type="spellEnd"/>
      <w:r w:rsidRPr="004B2BD6">
        <w:t xml:space="preserve">, T.F. In praise of vagueness: uncertainty, </w:t>
      </w:r>
      <w:proofErr w:type="gramStart"/>
      <w:r w:rsidRPr="004B2BD6">
        <w:t>ambiguity</w:t>
      </w:r>
      <w:proofErr w:type="gramEnd"/>
      <w:r w:rsidRPr="004B2BD6">
        <w:t xml:space="preserve"> and archaeological methodology. </w:t>
      </w:r>
      <w:r w:rsidRPr="004B2BD6">
        <w:rPr>
          <w:i/>
          <w:iCs/>
        </w:rPr>
        <w:t>J</w:t>
      </w:r>
      <w:r>
        <w:rPr>
          <w:i/>
          <w:iCs/>
        </w:rPr>
        <w:t>ournal of</w:t>
      </w:r>
      <w:r w:rsidRPr="004B2BD6">
        <w:rPr>
          <w:i/>
          <w:iCs/>
        </w:rPr>
        <w:t xml:space="preserve"> Archaeol</w:t>
      </w:r>
      <w:r>
        <w:rPr>
          <w:i/>
          <w:iCs/>
        </w:rPr>
        <w:t>ogical</w:t>
      </w:r>
      <w:r w:rsidRPr="004B2BD6">
        <w:rPr>
          <w:i/>
          <w:iCs/>
        </w:rPr>
        <w:t xml:space="preserve"> Method </w:t>
      </w:r>
      <w:r>
        <w:rPr>
          <w:i/>
          <w:iCs/>
        </w:rPr>
        <w:t xml:space="preserve">and </w:t>
      </w:r>
      <w:r w:rsidRPr="004B2BD6">
        <w:rPr>
          <w:i/>
          <w:iCs/>
        </w:rPr>
        <w:t>Theory</w:t>
      </w:r>
      <w:r w:rsidRPr="004B2BD6">
        <w:t> </w:t>
      </w:r>
      <w:r w:rsidRPr="00340D4D">
        <w:t>23</w:t>
      </w:r>
      <w:r>
        <w:rPr>
          <w:b/>
          <w:bCs/>
        </w:rPr>
        <w:t>:</w:t>
      </w:r>
      <w:r w:rsidRPr="004B2BD6">
        <w:rPr>
          <w:b/>
          <w:bCs/>
        </w:rPr>
        <w:t> </w:t>
      </w:r>
      <w:r w:rsidRPr="004B2BD6">
        <w:t xml:space="preserve">741–763 (2016). </w:t>
      </w:r>
      <w:hyperlink r:id="rId22" w:history="1">
        <w:r w:rsidRPr="004B2BD6">
          <w:rPr>
            <w:rStyle w:val="Hyperlink"/>
          </w:rPr>
          <w:t>https://doi.org/10.1007/s10816-015-9257-8</w:t>
        </w:r>
      </w:hyperlink>
    </w:p>
    <w:p w14:paraId="00000029" w14:textId="77777777" w:rsidR="00B354C5" w:rsidRDefault="00833911">
      <w:r>
        <w:t xml:space="preserve">Stephens, L. et al. 2019. Archaeological assessment reveals Earth’s early transformation through land use. </w:t>
      </w:r>
      <w:r>
        <w:rPr>
          <w:i/>
        </w:rPr>
        <w:t>Science</w:t>
      </w:r>
      <w:r>
        <w:t xml:space="preserve"> 365(6456): 897–902. </w:t>
      </w:r>
      <w:hyperlink r:id="rId23">
        <w:r>
          <w:rPr>
            <w:color w:val="0563C1"/>
            <w:u w:val="single"/>
          </w:rPr>
          <w:t>https://doi.org/10.1126/science.aax1192</w:t>
        </w:r>
      </w:hyperlink>
    </w:p>
    <w:p w14:paraId="0000002A" w14:textId="77777777" w:rsidR="00B354C5" w:rsidRDefault="00833911">
      <w:pPr>
        <w:rPr>
          <w:color w:val="0563C1"/>
          <w:u w:val="single"/>
        </w:rPr>
      </w:pPr>
      <w:proofErr w:type="spellStart"/>
      <w:r>
        <w:t>Tornero</w:t>
      </w:r>
      <w:proofErr w:type="spellEnd"/>
      <w:r>
        <w:t xml:space="preserve">, C., </w:t>
      </w:r>
      <w:proofErr w:type="spellStart"/>
      <w:r>
        <w:t>Balasse</w:t>
      </w:r>
      <w:proofErr w:type="spellEnd"/>
      <w:r>
        <w:t xml:space="preserve">, M., </w:t>
      </w:r>
      <w:proofErr w:type="spellStart"/>
      <w:r>
        <w:t>Bréhard</w:t>
      </w:r>
      <w:proofErr w:type="spellEnd"/>
      <w:r>
        <w:t xml:space="preserve">, S., </w:t>
      </w:r>
      <w:proofErr w:type="spellStart"/>
      <w:r>
        <w:t>Carrère</w:t>
      </w:r>
      <w:proofErr w:type="spellEnd"/>
      <w:r>
        <w:t xml:space="preserve">, I., </w:t>
      </w:r>
      <w:proofErr w:type="spellStart"/>
      <w:r>
        <w:t>Fiorillo</w:t>
      </w:r>
      <w:proofErr w:type="spellEnd"/>
      <w:r>
        <w:t xml:space="preserve">, D., </w:t>
      </w:r>
      <w:proofErr w:type="spellStart"/>
      <w:r>
        <w:t>Guilaine</w:t>
      </w:r>
      <w:proofErr w:type="spellEnd"/>
      <w:r>
        <w:t xml:space="preserve">, J., </w:t>
      </w:r>
      <w:proofErr w:type="spellStart"/>
      <w:r>
        <w:t>Vigne</w:t>
      </w:r>
      <w:proofErr w:type="spellEnd"/>
      <w:r>
        <w:t xml:space="preserve">, J.D. and </w:t>
      </w:r>
      <w:proofErr w:type="spellStart"/>
      <w:r>
        <w:t>Manen</w:t>
      </w:r>
      <w:proofErr w:type="spellEnd"/>
      <w:r>
        <w:t xml:space="preserve">, C. 2020. Early evidence of sheep lambing de-seasoning in the western Mediterranean in the sixth millennium BCE. </w:t>
      </w:r>
      <w:r>
        <w:rPr>
          <w:i/>
        </w:rPr>
        <w:t>Scientific Reports</w:t>
      </w:r>
      <w:r>
        <w:t xml:space="preserve"> 10(1): 12798. </w:t>
      </w:r>
      <w:hyperlink r:id="rId24">
        <w:r>
          <w:rPr>
            <w:color w:val="0563C1"/>
            <w:u w:val="single"/>
          </w:rPr>
          <w:t>https://doi.org/10.1038/s41598-020-69576-w</w:t>
        </w:r>
      </w:hyperlink>
    </w:p>
    <w:p w14:paraId="0000002C" w14:textId="53602737" w:rsidR="00B354C5" w:rsidRDefault="00833911" w:rsidP="00C33938">
      <w:proofErr w:type="spellStart"/>
      <w:r>
        <w:t>Turchin</w:t>
      </w:r>
      <w:proofErr w:type="spellEnd"/>
      <w:r>
        <w:t>, P., Currie, T.E., Whitehouse, H., et al. 2018. Quantitative historical analysis uncovers a single dimension of complexity that structures global variation in human social organization. </w:t>
      </w:r>
      <w:r>
        <w:rPr>
          <w:i/>
        </w:rPr>
        <w:t>Proceedings of the National Academy of Sciences, USA</w:t>
      </w:r>
      <w:r>
        <w:t> 115(2): E144</w:t>
      </w:r>
      <w:r w:rsidR="004B2BD6" w:rsidRPr="004B2BD6">
        <w:t>–</w:t>
      </w:r>
      <w:r>
        <w:t xml:space="preserve">E151. </w:t>
      </w:r>
      <w:hyperlink r:id="rId25">
        <w:r>
          <w:rPr>
            <w:color w:val="0563C1"/>
            <w:u w:val="single"/>
          </w:rPr>
          <w:t>https://doi.org/10.1073/pnas.1708800115</w:t>
        </w:r>
      </w:hyperlink>
    </w:p>
    <w:sectPr w:rsidR="00B354C5">
      <w:pgSz w:w="12240" w:h="15840"/>
      <w:pgMar w:top="1440" w:right="1440" w:bottom="1440" w:left="1440" w:header="720" w:footer="72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Calibri Light">
    <w:panose1 w:val="020F03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354C5"/>
    <w:rsid w:val="001B616B"/>
    <w:rsid w:val="00201534"/>
    <w:rsid w:val="002378B1"/>
    <w:rsid w:val="002C130F"/>
    <w:rsid w:val="00310B4A"/>
    <w:rsid w:val="00340D4D"/>
    <w:rsid w:val="00393DC1"/>
    <w:rsid w:val="003B42FA"/>
    <w:rsid w:val="004B2BD6"/>
    <w:rsid w:val="006B2C9A"/>
    <w:rsid w:val="00765F79"/>
    <w:rsid w:val="008023D8"/>
    <w:rsid w:val="00833911"/>
    <w:rsid w:val="00854873"/>
    <w:rsid w:val="00893133"/>
    <w:rsid w:val="009D2A0F"/>
    <w:rsid w:val="00A31C93"/>
    <w:rsid w:val="00A4103F"/>
    <w:rsid w:val="00A44C52"/>
    <w:rsid w:val="00AA4841"/>
    <w:rsid w:val="00B354C5"/>
    <w:rsid w:val="00B97E6C"/>
    <w:rsid w:val="00BD0868"/>
    <w:rsid w:val="00C33938"/>
    <w:rsid w:val="00C9754D"/>
    <w:rsid w:val="00D52DFB"/>
    <w:rsid w:val="00E04ADC"/>
    <w:rsid w:val="00E70CDF"/>
    <w:rsid w:val="00F53B9D"/>
    <w:rsid w:val="00F57D8F"/>
  </w:rsids>
  <m:mathPr>
    <m:mathFont m:val="Cambria Math"/>
    <m:brkBin m:val="before"/>
    <m:brkBinSub m:val="--"/>
    <m:smallFrac m:val="0"/>
    <m:dispDef/>
    <m:lMargin m:val="0"/>
    <m:rMargin m:val="0"/>
    <m:defJc m:val="centerGroup"/>
    <m:wrapIndent m:val="1440"/>
    <m:intLim m:val="subSup"/>
    <m:naryLim m:val="undOvr"/>
  </m:mathPr>
  <w:themeFontLang w:val="en-GB"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1CC792D"/>
  <w15:docId w15:val="{C36CFF06-02ED-4A94-B8C3-C39158EFD7E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Calibri" w:eastAsia="Calibri" w:hAnsi="Calibri" w:cs="Calibri"/>
        <w:sz w:val="22"/>
        <w:szCs w:val="22"/>
        <w:lang w:val="en-US" w:eastAsia="en-GB"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759B7"/>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sz w:val="24"/>
      <w:szCs w:val="24"/>
    </w:rPr>
  </w:style>
  <w:style w:type="paragraph" w:styleId="Heading5">
    <w:name w:val="heading 5"/>
    <w:basedOn w:val="Normal"/>
    <w:next w:val="Normal"/>
    <w:uiPriority w:val="9"/>
    <w:semiHidden/>
    <w:unhideWhenUsed/>
    <w:qFormat/>
    <w:pPr>
      <w:keepNext/>
      <w:keepLines/>
      <w:spacing w:before="220" w:after="40"/>
      <w:outlineLvl w:val="4"/>
    </w:pPr>
    <w:rPr>
      <w:b/>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basedOn w:val="DefaultParagraphFont"/>
    <w:uiPriority w:val="99"/>
    <w:unhideWhenUsed/>
    <w:rsid w:val="009F42BD"/>
    <w:rPr>
      <w:color w:val="0563C1" w:themeColor="hyperlink"/>
      <w:u w:val="single"/>
    </w:rPr>
  </w:style>
  <w:style w:type="character" w:styleId="UnresolvedMention">
    <w:name w:val="Unresolved Mention"/>
    <w:basedOn w:val="DefaultParagraphFont"/>
    <w:uiPriority w:val="99"/>
    <w:semiHidden/>
    <w:unhideWhenUsed/>
    <w:rsid w:val="009F42BD"/>
    <w:rPr>
      <w:color w:val="605E5C"/>
      <w:shd w:val="clear" w:color="auto" w:fill="E1DFDD"/>
    </w:rPr>
  </w:style>
  <w:style w:type="character" w:styleId="CommentReference">
    <w:name w:val="annotation reference"/>
    <w:basedOn w:val="DefaultParagraphFont"/>
    <w:uiPriority w:val="99"/>
    <w:semiHidden/>
    <w:unhideWhenUsed/>
    <w:rsid w:val="006B0B3A"/>
    <w:rPr>
      <w:sz w:val="16"/>
      <w:szCs w:val="16"/>
    </w:rPr>
  </w:style>
  <w:style w:type="paragraph" w:styleId="CommentText">
    <w:name w:val="annotation text"/>
    <w:basedOn w:val="Normal"/>
    <w:link w:val="CommentTextChar"/>
    <w:uiPriority w:val="99"/>
    <w:semiHidden/>
    <w:unhideWhenUsed/>
    <w:rsid w:val="006B0B3A"/>
    <w:pPr>
      <w:spacing w:line="240" w:lineRule="auto"/>
    </w:pPr>
    <w:rPr>
      <w:sz w:val="20"/>
      <w:szCs w:val="20"/>
    </w:rPr>
  </w:style>
  <w:style w:type="character" w:customStyle="1" w:styleId="CommentTextChar">
    <w:name w:val="Comment Text Char"/>
    <w:basedOn w:val="DefaultParagraphFont"/>
    <w:link w:val="CommentText"/>
    <w:uiPriority w:val="99"/>
    <w:semiHidden/>
    <w:rsid w:val="006B0B3A"/>
    <w:rPr>
      <w:sz w:val="20"/>
      <w:szCs w:val="20"/>
    </w:rPr>
  </w:style>
  <w:style w:type="paragraph" w:styleId="CommentSubject">
    <w:name w:val="annotation subject"/>
    <w:basedOn w:val="CommentText"/>
    <w:next w:val="CommentText"/>
    <w:link w:val="CommentSubjectChar"/>
    <w:uiPriority w:val="99"/>
    <w:semiHidden/>
    <w:unhideWhenUsed/>
    <w:rsid w:val="006B0B3A"/>
    <w:rPr>
      <w:b/>
      <w:bCs/>
    </w:rPr>
  </w:style>
  <w:style w:type="character" w:customStyle="1" w:styleId="CommentSubjectChar">
    <w:name w:val="Comment Subject Char"/>
    <w:basedOn w:val="CommentTextChar"/>
    <w:link w:val="CommentSubject"/>
    <w:uiPriority w:val="99"/>
    <w:semiHidden/>
    <w:rsid w:val="006B0B3A"/>
    <w:rPr>
      <w:b/>
      <w:bCs/>
      <w:sz w:val="20"/>
      <w:szCs w:val="20"/>
    </w:rPr>
  </w:style>
  <w:style w:type="paragraph" w:styleId="BalloonText">
    <w:name w:val="Balloon Text"/>
    <w:basedOn w:val="Normal"/>
    <w:link w:val="BalloonTextChar"/>
    <w:uiPriority w:val="99"/>
    <w:semiHidden/>
    <w:unhideWhenUsed/>
    <w:rsid w:val="006B0B3A"/>
    <w:pPr>
      <w:spacing w:after="0" w:line="240" w:lineRule="auto"/>
    </w:pPr>
    <w:rPr>
      <w:rFonts w:ascii="Times New Roman" w:hAnsi="Times New Roman"/>
      <w:sz w:val="18"/>
      <w:szCs w:val="18"/>
    </w:rPr>
  </w:style>
  <w:style w:type="character" w:customStyle="1" w:styleId="BalloonTextChar">
    <w:name w:val="Balloon Text Char"/>
    <w:basedOn w:val="DefaultParagraphFont"/>
    <w:link w:val="BalloonText"/>
    <w:uiPriority w:val="99"/>
    <w:semiHidden/>
    <w:rsid w:val="006B0B3A"/>
    <w:rPr>
      <w:rFonts w:ascii="Times New Roman" w:hAnsi="Times New Roman"/>
      <w:sz w:val="18"/>
      <w:szCs w:val="18"/>
    </w:rPr>
  </w:style>
  <w:style w:type="paragraph" w:styleId="ListParagraph">
    <w:name w:val="List Paragraph"/>
    <w:basedOn w:val="Normal"/>
    <w:uiPriority w:val="34"/>
    <w:qFormat/>
    <w:rsid w:val="00E8558C"/>
    <w:pPr>
      <w:ind w:left="720"/>
      <w:contextualSpacing/>
    </w:pPr>
  </w:style>
  <w:style w:type="paragraph" w:styleId="NormalWeb">
    <w:name w:val="Normal (Web)"/>
    <w:basedOn w:val="Normal"/>
    <w:uiPriority w:val="99"/>
    <w:semiHidden/>
    <w:unhideWhenUsed/>
    <w:rsid w:val="008E3E8D"/>
    <w:pPr>
      <w:spacing w:before="100" w:beforeAutospacing="1" w:after="100" w:afterAutospacing="1" w:line="240" w:lineRule="auto"/>
    </w:pPr>
    <w:rPr>
      <w:rFonts w:ascii="Times New Roman" w:eastAsia="Times New Roman" w:hAnsi="Times New Roman" w:cs="Times New Roman"/>
      <w:sz w:val="24"/>
      <w:szCs w:val="24"/>
    </w:rPr>
  </w:style>
  <w:style w:type="character" w:styleId="FollowedHyperlink">
    <w:name w:val="FollowedHyperlink"/>
    <w:basedOn w:val="DefaultParagraphFont"/>
    <w:uiPriority w:val="99"/>
    <w:semiHidden/>
    <w:unhideWhenUsed/>
    <w:rsid w:val="003F5F32"/>
    <w:rPr>
      <w:color w:val="954F72" w:themeColor="followedHyperlink"/>
      <w:u w:val="single"/>
    </w:rPr>
  </w:style>
  <w:style w:type="character" w:customStyle="1" w:styleId="highwire-citation-authors">
    <w:name w:val="highwire-citation-authors"/>
    <w:basedOn w:val="DefaultParagraphFont"/>
    <w:rsid w:val="004300CE"/>
  </w:style>
  <w:style w:type="character" w:customStyle="1" w:styleId="highwire-citation-author">
    <w:name w:val="highwire-citation-author"/>
    <w:basedOn w:val="DefaultParagraphFont"/>
    <w:rsid w:val="004300CE"/>
  </w:style>
  <w:style w:type="character" w:customStyle="1" w:styleId="nlm-given-names">
    <w:name w:val="nlm-given-names"/>
    <w:basedOn w:val="DefaultParagraphFont"/>
    <w:rsid w:val="004300CE"/>
  </w:style>
  <w:style w:type="character" w:customStyle="1" w:styleId="nlm-surname">
    <w:name w:val="nlm-surname"/>
    <w:basedOn w:val="DefaultParagraphFont"/>
    <w:rsid w:val="004300CE"/>
  </w:style>
  <w:style w:type="character" w:customStyle="1" w:styleId="highwire-cite-metadata-journal">
    <w:name w:val="highwire-cite-metadata-journal"/>
    <w:basedOn w:val="DefaultParagraphFont"/>
    <w:rsid w:val="004300CE"/>
  </w:style>
  <w:style w:type="character" w:customStyle="1" w:styleId="highwire-cite-metadata-date">
    <w:name w:val="highwire-cite-metadata-date"/>
    <w:basedOn w:val="DefaultParagraphFont"/>
    <w:rsid w:val="004300CE"/>
  </w:style>
  <w:style w:type="character" w:customStyle="1" w:styleId="highwire-cite-metadata-volume">
    <w:name w:val="highwire-cite-metadata-volume"/>
    <w:basedOn w:val="DefaultParagraphFont"/>
    <w:rsid w:val="004300CE"/>
  </w:style>
  <w:style w:type="character" w:customStyle="1" w:styleId="highwire-cite-metadata-issue">
    <w:name w:val="highwire-cite-metadata-issue"/>
    <w:basedOn w:val="DefaultParagraphFont"/>
    <w:rsid w:val="004300CE"/>
  </w:style>
  <w:style w:type="character" w:customStyle="1" w:styleId="highwire-cite-metadata-pages">
    <w:name w:val="highwire-cite-metadata-pages"/>
    <w:basedOn w:val="DefaultParagraphFont"/>
    <w:rsid w:val="004300CE"/>
  </w:style>
  <w:style w:type="character" w:customStyle="1" w:styleId="highwire-cite-metadata-doi">
    <w:name w:val="highwire-cite-metadata-doi"/>
    <w:basedOn w:val="DefaultParagraphFont"/>
    <w:rsid w:val="004300CE"/>
  </w:style>
  <w:style w:type="character" w:customStyle="1" w:styleId="label">
    <w:name w:val="label"/>
    <w:basedOn w:val="DefaultParagraphFont"/>
    <w:rsid w:val="004300CE"/>
  </w:style>
  <w:style w:type="paragraph" w:styleId="Subtitle">
    <w:name w:val="Subtitle"/>
    <w:basedOn w:val="Normal"/>
    <w:next w:val="Normal"/>
    <w:uiPriority w:val="11"/>
    <w:qFormat/>
    <w:pPr>
      <w:keepNext/>
      <w:keepLines/>
      <w:spacing w:before="360" w:after="80"/>
    </w:pPr>
    <w:rPr>
      <w:rFonts w:ascii="Georgia" w:eastAsia="Georgia" w:hAnsi="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file>

<file path=word/_rels/document.xml.rels><?xml version="1.0" encoding="UTF-8" standalone="yes"?>
<Relationships xmlns="http://schemas.openxmlformats.org/package/2006/relationships"><Relationship Id="rId8" Type="http://schemas.openxmlformats.org/officeDocument/2006/relationships/hyperlink" Target="https://doi.org/10.1016/j.jaa.2006.08.002" TargetMode="External"/><Relationship Id="rId13" Type="http://schemas.openxmlformats.org/officeDocument/2006/relationships/hyperlink" Target="https://doi.org/10.1017/aap.2020.23" TargetMode="External"/><Relationship Id="rId18" Type="http://schemas.openxmlformats.org/officeDocument/2006/relationships/hyperlink" Target="https://doi.org/10.1007/s10814-018-9123" TargetMode="External"/><Relationship Id="rId26" Type="http://schemas.openxmlformats.org/officeDocument/2006/relationships/fontTable" Target="fontTable.xml"/><Relationship Id="rId3" Type="http://schemas.openxmlformats.org/officeDocument/2006/relationships/settings" Target="settings.xml"/><Relationship Id="rId21" Type="http://schemas.openxmlformats.org/officeDocument/2006/relationships/hyperlink" Target="https://doi.org/10.17863/CAM.32039" TargetMode="External"/><Relationship Id="rId7" Type="http://schemas.openxmlformats.org/officeDocument/2006/relationships/hyperlink" Target="https://doi.org/10.17863/CAM.32037" TargetMode="External"/><Relationship Id="rId12" Type="http://schemas.openxmlformats.org/officeDocument/2006/relationships/hyperlink" Target="https://doi.org/10.1002/ajpa.20598" TargetMode="External"/><Relationship Id="rId17" Type="http://schemas.openxmlformats.org/officeDocument/2006/relationships/hyperlink" Target="https://doi.org/10.1093/oxfordhb/9780199567942.013.031" TargetMode="External"/><Relationship Id="rId25" Type="http://schemas.openxmlformats.org/officeDocument/2006/relationships/hyperlink" Target="https://doi.org/10.1073/pnas.1708800115" TargetMode="External"/><Relationship Id="rId2" Type="http://schemas.openxmlformats.org/officeDocument/2006/relationships/styles" Target="styles.xml"/><Relationship Id="rId16" Type="http://schemas.openxmlformats.org/officeDocument/2006/relationships/hyperlink" Target="https://doi.org/10.1007/s10816-016-9282-2" TargetMode="External"/><Relationship Id="rId20" Type="http://schemas.openxmlformats.org/officeDocument/2006/relationships/hyperlink" Target="https://doi.org/10.1073/pnas.1820210116" TargetMode="External"/><Relationship Id="rId1" Type="http://schemas.openxmlformats.org/officeDocument/2006/relationships/customXml" Target="../customXml/item1.xml"/><Relationship Id="rId6" Type="http://schemas.openxmlformats.org/officeDocument/2006/relationships/hyperlink" Target="https://doi.org/10.1146/annurev.an.12.100183.001121" TargetMode="External"/><Relationship Id="rId11" Type="http://schemas.openxmlformats.org/officeDocument/2006/relationships/hyperlink" Target="https://doi.org/10.1007/s10816-007-9037-1" TargetMode="External"/><Relationship Id="rId24" Type="http://schemas.openxmlformats.org/officeDocument/2006/relationships/hyperlink" Target="https://doi.org/10.1038/s41598-020-69576-w" TargetMode="External"/><Relationship Id="rId5" Type="http://schemas.openxmlformats.org/officeDocument/2006/relationships/hyperlink" Target="https://doi.org/10.1073/pnas.1801071115" TargetMode="External"/><Relationship Id="rId15" Type="http://schemas.openxmlformats.org/officeDocument/2006/relationships/hyperlink" Target="https://doi.org/10.1093/oxfordhb/9780199567942.013.004" TargetMode="External"/><Relationship Id="rId23" Type="http://schemas.openxmlformats.org/officeDocument/2006/relationships/hyperlink" Target="https://doi.org/10.1126/science.aax1192" TargetMode="External"/><Relationship Id="rId10" Type="http://schemas.openxmlformats.org/officeDocument/2006/relationships/hyperlink" Target="https://doi.org/10.11141/ia.45.1" TargetMode="External"/><Relationship Id="rId19" Type="http://schemas.openxmlformats.org/officeDocument/2006/relationships/hyperlink" Target="https://doi.org/10.1073/pnas.1818037116" TargetMode="External"/><Relationship Id="rId4" Type="http://schemas.openxmlformats.org/officeDocument/2006/relationships/webSettings" Target="webSettings.xml"/><Relationship Id="rId9" Type="http://schemas.openxmlformats.org/officeDocument/2006/relationships/hyperlink" Target="http://dx.doi.org/10.1098/rstb.2019.0726" TargetMode="External"/><Relationship Id="rId14" Type="http://schemas.openxmlformats.org/officeDocument/2006/relationships/hyperlink" Target="https://doi.org/10.1016/j.jaa.2006.11.003" TargetMode="External"/><Relationship Id="rId22" Type="http://schemas.openxmlformats.org/officeDocument/2006/relationships/hyperlink" Target="https://doi.org/10.1007/s10816-015-9257-8"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go:docsCustomData xmlns:go="http://customooxmlschemas.google.com/" roundtripDataSignature="AMtx7mhjoWgusmElXuTVjfvibwmAplLH4w==">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</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5</Pages>
  <Words>2860</Words>
  <Characters>16302</Characters>
  <Application>Microsoft Office Word</Application>
  <DocSecurity>0</DocSecurity>
  <Lines>135</Lines>
  <Paragraphs>38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19124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Daniel Fuks</dc:creator>
  <cp:lastModifiedBy>Daniel Fuks</cp:lastModifiedBy>
  <cp:revision>4</cp:revision>
  <dcterms:created xsi:type="dcterms:W3CDTF">2021-04-06T11:35:00Z</dcterms:created>
  <dcterms:modified xsi:type="dcterms:W3CDTF">2021-04-06T11:36:00Z</dcterms:modified>
</cp:coreProperties>
</file>