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850547" w14:textId="77777777" w:rsidR="00670359" w:rsidRDefault="00670359" w:rsidP="00670359">
      <w:pPr>
        <w:spacing w:line="480" w:lineRule="auto"/>
        <w:jc w:val="center"/>
        <w:rPr>
          <w:rFonts w:ascii="Times New Roman" w:hAnsi="Times New Roman" w:cs="Times New Roman"/>
          <w:b/>
          <w:color w:val="000000" w:themeColor="text1"/>
          <w:sz w:val="22"/>
          <w:szCs w:val="20"/>
        </w:rPr>
      </w:pPr>
      <w:r>
        <w:rPr>
          <w:rFonts w:ascii="Times New Roman" w:hAnsi="Times New Roman" w:cs="Times New Roman"/>
          <w:b/>
          <w:color w:val="000000" w:themeColor="text1"/>
          <w:sz w:val="22"/>
          <w:szCs w:val="20"/>
        </w:rPr>
        <w:t>Promoting r</w:t>
      </w:r>
      <w:r w:rsidRPr="00266A4A">
        <w:rPr>
          <w:rFonts w:ascii="Times New Roman" w:hAnsi="Times New Roman" w:cs="Times New Roman"/>
          <w:b/>
          <w:color w:val="000000" w:themeColor="text1"/>
          <w:sz w:val="22"/>
          <w:szCs w:val="20"/>
        </w:rPr>
        <w:t>emyelination in multiple sclerosis</w:t>
      </w:r>
    </w:p>
    <w:p w14:paraId="4628597F" w14:textId="77777777" w:rsidR="00670359" w:rsidRPr="00E17010" w:rsidRDefault="00670359" w:rsidP="00670359">
      <w:pPr>
        <w:spacing w:line="480" w:lineRule="auto"/>
        <w:jc w:val="center"/>
        <w:rPr>
          <w:rFonts w:ascii="Times New Roman" w:hAnsi="Times New Roman" w:cs="Times New Roman"/>
          <w:b/>
          <w:color w:val="000000" w:themeColor="text1"/>
          <w:sz w:val="22"/>
          <w:szCs w:val="20"/>
        </w:rPr>
      </w:pPr>
    </w:p>
    <w:p w14:paraId="14FE3BC6" w14:textId="77777777" w:rsidR="00670359" w:rsidRDefault="00670359" w:rsidP="00670359">
      <w:pPr>
        <w:spacing w:line="480" w:lineRule="auto"/>
        <w:jc w:val="center"/>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Authors</w:t>
      </w:r>
    </w:p>
    <w:p w14:paraId="7847DE36" w14:textId="77777777" w:rsidR="00670359" w:rsidRPr="00B97C80" w:rsidRDefault="00670359" w:rsidP="00670359">
      <w:pPr>
        <w:spacing w:line="480" w:lineRule="auto"/>
        <w:jc w:val="cente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Nick </w:t>
      </w:r>
      <w:r w:rsidRPr="00B97C80">
        <w:rPr>
          <w:rFonts w:ascii="Times New Roman" w:hAnsi="Times New Roman" w:cs="Times New Roman"/>
          <w:color w:val="000000" w:themeColor="text1"/>
          <w:sz w:val="20"/>
          <w:szCs w:val="20"/>
        </w:rPr>
        <w:t>Cunniffe</w:t>
      </w:r>
      <w:r w:rsidRPr="00B97C80">
        <w:rPr>
          <w:rFonts w:ascii="Times New Roman" w:hAnsi="Times New Roman" w:cs="Times New Roman"/>
          <w:color w:val="000000" w:themeColor="text1"/>
          <w:sz w:val="20"/>
          <w:szCs w:val="20"/>
          <w:vertAlign w:val="superscript"/>
        </w:rPr>
        <w:t>1</w:t>
      </w:r>
      <w:r>
        <w:rPr>
          <w:rFonts w:ascii="Times New Roman" w:hAnsi="Times New Roman" w:cs="Times New Roman"/>
          <w:color w:val="000000" w:themeColor="text1"/>
          <w:sz w:val="20"/>
          <w:szCs w:val="20"/>
          <w:vertAlign w:val="superscript"/>
        </w:rPr>
        <w:t>*</w:t>
      </w:r>
    </w:p>
    <w:p w14:paraId="7824C22A" w14:textId="77777777" w:rsidR="00670359" w:rsidRDefault="00670359" w:rsidP="00670359">
      <w:pPr>
        <w:spacing w:line="480" w:lineRule="auto"/>
        <w:jc w:val="center"/>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Alasdair Coles</w:t>
      </w:r>
      <w:r w:rsidRPr="00B97C80">
        <w:rPr>
          <w:rFonts w:ascii="Times New Roman" w:hAnsi="Times New Roman" w:cs="Times New Roman"/>
          <w:color w:val="000000" w:themeColor="text1"/>
          <w:sz w:val="20"/>
          <w:szCs w:val="20"/>
          <w:vertAlign w:val="superscript"/>
        </w:rPr>
        <w:t>1</w:t>
      </w:r>
    </w:p>
    <w:p w14:paraId="3539AB89" w14:textId="77777777" w:rsidR="00670359" w:rsidRDefault="00670359" w:rsidP="00670359">
      <w:pPr>
        <w:spacing w:line="480" w:lineRule="auto"/>
        <w:rPr>
          <w:rFonts w:ascii="Times New Roman" w:hAnsi="Times New Roman" w:cs="Times New Roman"/>
          <w:color w:val="000000" w:themeColor="text1"/>
          <w:sz w:val="20"/>
          <w:szCs w:val="20"/>
          <w:vertAlign w:val="superscript"/>
        </w:rPr>
      </w:pPr>
    </w:p>
    <w:p w14:paraId="00767E5D" w14:textId="77777777" w:rsidR="00670359" w:rsidRDefault="00670359" w:rsidP="00670359">
      <w:pPr>
        <w:spacing w:line="480" w:lineRule="auto"/>
        <w:rPr>
          <w:rFonts w:ascii="Times New Roman" w:hAnsi="Times New Roman" w:cs="Times New Roman"/>
          <w:color w:val="000000" w:themeColor="text1"/>
          <w:sz w:val="20"/>
          <w:szCs w:val="20"/>
        </w:rPr>
      </w:pPr>
      <w:r w:rsidRPr="006A769F">
        <w:rPr>
          <w:rFonts w:ascii="Times New Roman" w:hAnsi="Times New Roman" w:cs="Times New Roman"/>
          <w:color w:val="000000" w:themeColor="text1"/>
          <w:sz w:val="20"/>
          <w:szCs w:val="20"/>
          <w:vertAlign w:val="superscript"/>
        </w:rPr>
        <w:t>1</w:t>
      </w:r>
      <w:r w:rsidRPr="006A769F">
        <w:rPr>
          <w:rFonts w:ascii="Times New Roman" w:hAnsi="Times New Roman" w:cs="Times New Roman"/>
          <w:color w:val="000000" w:themeColor="text1"/>
          <w:sz w:val="20"/>
          <w:szCs w:val="20"/>
        </w:rPr>
        <w:t>Department of Clinical Neurosciences, University of Cambridge, Cambridge, United Kingdom</w:t>
      </w:r>
    </w:p>
    <w:p w14:paraId="5CDA7639" w14:textId="77777777" w:rsidR="00670359" w:rsidRDefault="00670359" w:rsidP="00670359">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*Corresponding author: email </w:t>
      </w:r>
      <w:hyperlink r:id="rId8" w:history="1">
        <w:r w:rsidRPr="003E4DF5">
          <w:rPr>
            <w:rStyle w:val="Hyperlink"/>
            <w:rFonts w:ascii="Times New Roman" w:hAnsi="Times New Roman" w:cs="Times New Roman"/>
            <w:sz w:val="20"/>
            <w:szCs w:val="20"/>
          </w:rPr>
          <w:t>ngc26@cam.ac.uk</w:t>
        </w:r>
      </w:hyperlink>
      <w:r>
        <w:rPr>
          <w:rFonts w:ascii="Times New Roman" w:hAnsi="Times New Roman" w:cs="Times New Roman"/>
          <w:color w:val="000000" w:themeColor="text1"/>
          <w:sz w:val="20"/>
          <w:szCs w:val="20"/>
        </w:rPr>
        <w:t xml:space="preserve">; </w:t>
      </w:r>
      <w:proofErr w:type="spellStart"/>
      <w:r>
        <w:rPr>
          <w:rFonts w:ascii="Times New Roman" w:hAnsi="Times New Roman" w:cs="Times New Roman"/>
          <w:color w:val="000000" w:themeColor="text1"/>
          <w:sz w:val="20"/>
          <w:szCs w:val="20"/>
        </w:rPr>
        <w:t>tel</w:t>
      </w:r>
      <w:proofErr w:type="spellEnd"/>
      <w:r>
        <w:rPr>
          <w:rFonts w:ascii="Times New Roman" w:hAnsi="Times New Roman" w:cs="Times New Roman"/>
          <w:color w:val="000000" w:themeColor="text1"/>
          <w:sz w:val="20"/>
          <w:szCs w:val="20"/>
        </w:rPr>
        <w:t xml:space="preserve"> +447708024390</w:t>
      </w:r>
    </w:p>
    <w:p w14:paraId="43F64AA4" w14:textId="77777777" w:rsidR="00670359" w:rsidRPr="00B97C80" w:rsidRDefault="00670359" w:rsidP="00670359">
      <w:pPr>
        <w:spacing w:line="480" w:lineRule="auto"/>
        <w:rPr>
          <w:rFonts w:ascii="Times New Roman" w:hAnsi="Times New Roman" w:cs="Times New Roman"/>
          <w:color w:val="000000" w:themeColor="text1"/>
          <w:sz w:val="20"/>
          <w:szCs w:val="20"/>
        </w:rPr>
      </w:pPr>
    </w:p>
    <w:p w14:paraId="5A9A4407" w14:textId="77777777" w:rsidR="00670359" w:rsidRPr="006A769F" w:rsidRDefault="00670359" w:rsidP="00670359">
      <w:pPr>
        <w:spacing w:line="480" w:lineRule="auto"/>
        <w:rPr>
          <w:rFonts w:ascii="Times New Roman" w:hAnsi="Times New Roman" w:cs="Times New Roman"/>
          <w:b/>
          <w:color w:val="000000" w:themeColor="text1"/>
          <w:sz w:val="20"/>
          <w:szCs w:val="20"/>
        </w:rPr>
      </w:pPr>
      <w:r w:rsidRPr="006A769F">
        <w:rPr>
          <w:rFonts w:ascii="Times New Roman" w:hAnsi="Times New Roman" w:cs="Times New Roman"/>
          <w:b/>
          <w:color w:val="000000" w:themeColor="text1"/>
          <w:sz w:val="20"/>
          <w:szCs w:val="20"/>
        </w:rPr>
        <w:t>Abstract</w:t>
      </w:r>
    </w:p>
    <w:p w14:paraId="6B30A133" w14:textId="77777777" w:rsidR="00670359" w:rsidRDefault="00670359" w:rsidP="00670359">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The greatest unmet need in multiple sclerosis (MS) are treatments that delay, prevent or reverse progression. One of the most tractable strategies to achieve this is to therapeutically enhance endogenous remyelination; doing so restores nerve conduction and prevents neurodegeneration. The biology of remyelination – centred on the activation, migration, proliferation and differentiation of oligodendrocyte progenitors – has been increasingly clearly defined and </w:t>
      </w:r>
      <w:proofErr w:type="spellStart"/>
      <w:r>
        <w:rPr>
          <w:rFonts w:ascii="Times New Roman" w:hAnsi="Times New Roman" w:cs="Times New Roman"/>
          <w:color w:val="000000" w:themeColor="text1"/>
          <w:sz w:val="20"/>
          <w:szCs w:val="20"/>
        </w:rPr>
        <w:t>druggable</w:t>
      </w:r>
      <w:proofErr w:type="spellEnd"/>
      <w:r>
        <w:rPr>
          <w:rFonts w:ascii="Times New Roman" w:hAnsi="Times New Roman" w:cs="Times New Roman"/>
          <w:color w:val="000000" w:themeColor="text1"/>
          <w:sz w:val="20"/>
          <w:szCs w:val="20"/>
        </w:rPr>
        <w:t xml:space="preserve"> targets have now been identified in preclinical work leading to early phase clinical trials.  With some phase 2 studies reporting efficacy, the prospect of licensed remyelinating treatments in MS looks increasingly likely. However, there remain many unanswered questions and recent research has revealed a further dimension of complexity to this process that has refined our view of the barriers to remyelination in humans. In this review, we describe the process of remyelination, why this fails in MS, and the latest research that has given new insights into this process. We also discuss the translation of this research into clinical trials, highlighting the treatments that have been tested to date, and the different methods of detecting remyelination in people.</w:t>
      </w:r>
    </w:p>
    <w:p w14:paraId="43A50781" w14:textId="77777777" w:rsidR="00670359" w:rsidRPr="00B97C80" w:rsidRDefault="00670359" w:rsidP="00670359">
      <w:pPr>
        <w:spacing w:line="480" w:lineRule="auto"/>
        <w:rPr>
          <w:rFonts w:ascii="Times New Roman" w:hAnsi="Times New Roman" w:cs="Times New Roman"/>
          <w:color w:val="000000" w:themeColor="text1"/>
          <w:sz w:val="20"/>
          <w:szCs w:val="20"/>
        </w:rPr>
      </w:pPr>
      <w:r w:rsidRPr="00B97C80">
        <w:rPr>
          <w:rFonts w:ascii="Times New Roman" w:hAnsi="Times New Roman" w:cs="Times New Roman"/>
          <w:color w:val="000000" w:themeColor="text1"/>
          <w:sz w:val="20"/>
          <w:szCs w:val="20"/>
        </w:rPr>
        <w:t xml:space="preserve"> </w:t>
      </w:r>
    </w:p>
    <w:p w14:paraId="2D1DC1F2" w14:textId="77777777" w:rsidR="00670359" w:rsidRPr="006A769F" w:rsidRDefault="00670359" w:rsidP="00670359">
      <w:pPr>
        <w:spacing w:line="480" w:lineRule="auto"/>
        <w:rPr>
          <w:rFonts w:ascii="Times New Roman" w:hAnsi="Times New Roman" w:cs="Times New Roman"/>
          <w:b/>
          <w:color w:val="000000" w:themeColor="text1"/>
          <w:sz w:val="20"/>
          <w:szCs w:val="20"/>
        </w:rPr>
      </w:pPr>
      <w:r w:rsidRPr="006A769F">
        <w:rPr>
          <w:rFonts w:ascii="Times New Roman" w:hAnsi="Times New Roman" w:cs="Times New Roman"/>
          <w:b/>
          <w:color w:val="000000" w:themeColor="text1"/>
          <w:sz w:val="20"/>
          <w:szCs w:val="20"/>
        </w:rPr>
        <w:t>Keywords</w:t>
      </w:r>
    </w:p>
    <w:p w14:paraId="69A631D6" w14:textId="77777777" w:rsidR="00670359" w:rsidRPr="0098496C" w:rsidRDefault="00670359" w:rsidP="00670359">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Multiple sclerosis, remyelination, clinical trials, visual evoked potentials, magnetization transfer ratio</w:t>
      </w:r>
    </w:p>
    <w:p w14:paraId="7AF0CE82" w14:textId="2C0D0440" w:rsidR="008B6BB8" w:rsidRPr="00003E8D" w:rsidRDefault="008B6BB8" w:rsidP="00E17010">
      <w:pPr>
        <w:spacing w:line="480" w:lineRule="auto"/>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Multiple Sclerosis (MS) is a chronic, primarily inflammatory, disorder of the central nervous system</w:t>
      </w:r>
      <w:r w:rsidR="00C9205C">
        <w:rPr>
          <w:rFonts w:ascii="Times New Roman" w:hAnsi="Times New Roman" w:cs="Times New Roman"/>
          <w:color w:val="000000" w:themeColor="text1"/>
          <w:sz w:val="20"/>
          <w:szCs w:val="20"/>
        </w:rPr>
        <w:t xml:space="preserve"> (CNS)</w:t>
      </w:r>
      <w:r w:rsidRPr="00003E8D">
        <w:rPr>
          <w:rFonts w:ascii="Times New Roman" w:hAnsi="Times New Roman" w:cs="Times New Roman"/>
          <w:color w:val="000000" w:themeColor="text1"/>
          <w:sz w:val="20"/>
          <w:szCs w:val="20"/>
        </w:rPr>
        <w:t xml:space="preserve"> characterised by focal lymphocytic infiltration causing damage to myelin and </w:t>
      </w:r>
      <w:r w:rsidRPr="00B16169">
        <w:rPr>
          <w:rFonts w:ascii="Times New Roman" w:hAnsi="Times New Roman" w:cs="Times New Roman"/>
          <w:color w:val="000000" w:themeColor="text1"/>
          <w:sz w:val="20"/>
          <w:szCs w:val="20"/>
        </w:rPr>
        <w:t>axons</w:t>
      </w:r>
      <w:r w:rsidR="00B16169" w:rsidRPr="00B16169">
        <w:rPr>
          <w:rFonts w:ascii="Times New Roman" w:hAnsi="Times New Roman" w:cs="Times New Roman"/>
          <w:color w:val="000000" w:themeColor="text1"/>
          <w:sz w:val="20"/>
          <w:szCs w:val="20"/>
        </w:rPr>
        <w:fldChar w:fldCharType="begin"/>
      </w:r>
      <w:r w:rsidR="00A53D27">
        <w:rPr>
          <w:rFonts w:ascii="Times New Roman" w:hAnsi="Times New Roman" w:cs="Times New Roman"/>
          <w:color w:val="000000" w:themeColor="text1"/>
          <w:sz w:val="20"/>
          <w:szCs w:val="20"/>
        </w:rPr>
        <w:instrText xml:space="preserve"> ADDIN ZOTERO_ITEM CSL_CITATION {"citationID":"cTWRXQKx","properties":{"formattedCitation":"\\uldash{(1\\uc0\\u8211{}3)}","plainCitation":"(1–3)","dontUpdate":true,"noteIndex":0},"citationItems":[{"id":51,"uris":["http://zotero.org/users/local/OxFKn8nN/items/B5RTAJKX"],"uri":["http://zotero.org/users/local/OxFKn8nN/items/B5RTAJKX"],"itemData":{"id":51,"type":"article-journal","title":"Multiple sclerosis","container-title":"The Lancet","page":"1502-1517","volume":"372","issue":"9648","DOI":"10.1016/S0140-6736(08)61620-7","ISSN":"0140-6736","author":[{"family":"Compston","given":"Alastair"},{"family":"Coles","given":"Alasdair"}],"issued":{"date-parts":[["2008",10,25]]}}},{"id":65,"uris":["http://zotero.org/users/local/OxFKn8nN/items/JAXWYLD2"],"uri":["http://zotero.org/users/local/OxFKn8nN/items/JAXWYLD2"],"itemData":{"id":65,"type":"article-journal","title":"Multiple Sclerosis","container-title":"New England Journal of Medicine","page":"169-180","volume":"378","issue":"2","DOI":"10.1056/NEJMra1401483","ISSN":"0028-4793","journalAbbreviation":"N Engl J Med","author":[{"family":"Reich","given":"Daniel S."},{"family":"Lucchinetti","given":"Claudia F."},{"family":"Calabresi","given":"Peter A."}],"issued":{"date-parts":[["2018",1,10]]}}},{"id":67,"uris":["http://zotero.org/users/local/OxFKn8nN/items/E7YJ7UDQ"],"uri":["http://zotero.org/users/local/OxFKn8nN/items/E7YJ7UDQ"],"itemData":{"id":67,"type":"article-journal","title":"Multiple sclerosis","container-title":"The Lancet","page":"1622-1636","volume":"391","issue":"10130","DOI":"10.1016/S0140-6736(18)30481-1","ISSN":"0140-6736","author":[{"family":"Thompson","given":"Alan J"},{"family":"Baranzini","given":"Sergio E"},{"family":"Geurts","given":"Jeroen"},{"family":"Hemmer","given":"Bernhard"},{"family":"Ciccarelli","given":"Olga"}],"issued":{"date-parts":[["2018",4,21]]}}}],"schema":"https://github.com/citation-style-language/schema/raw/master/csl-citation.json"} </w:instrText>
      </w:r>
      <w:r w:rsidR="00B16169" w:rsidRPr="00B16169">
        <w:rPr>
          <w:rFonts w:ascii="Times New Roman" w:hAnsi="Times New Roman" w:cs="Times New Roman"/>
          <w:color w:val="000000" w:themeColor="text1"/>
          <w:sz w:val="20"/>
          <w:szCs w:val="20"/>
        </w:rPr>
        <w:fldChar w:fldCharType="separate"/>
      </w:r>
      <w:r w:rsidR="00A734C6">
        <w:rPr>
          <w:rFonts w:ascii="Times New Roman" w:hAnsi="Times New Roman" w:cs="Times New Roman"/>
          <w:color w:val="000000" w:themeColor="text1"/>
          <w:sz w:val="20"/>
          <w:szCs w:val="20"/>
        </w:rPr>
        <w:t>[</w:t>
      </w:r>
      <w:r w:rsidR="00B16169" w:rsidRPr="00B16169">
        <w:rPr>
          <w:rFonts w:ascii="Times New Roman" w:hAnsi="Times New Roman" w:cs="Times New Roman"/>
          <w:color w:val="000000"/>
          <w:sz w:val="20"/>
          <w:szCs w:val="20"/>
          <w:u w:val="dash"/>
          <w:lang w:val="en-US"/>
        </w:rPr>
        <w:t>1–3</w:t>
      </w:r>
      <w:r w:rsidR="00A734C6">
        <w:rPr>
          <w:rFonts w:ascii="Times New Roman" w:hAnsi="Times New Roman" w:cs="Times New Roman"/>
          <w:color w:val="000000"/>
          <w:sz w:val="20"/>
          <w:szCs w:val="20"/>
          <w:u w:val="dash"/>
          <w:lang w:val="en-US"/>
        </w:rPr>
        <w:t>]</w:t>
      </w:r>
      <w:r w:rsidR="00B16169" w:rsidRPr="00B16169">
        <w:rPr>
          <w:rFonts w:ascii="Times New Roman" w:hAnsi="Times New Roman" w:cs="Times New Roman"/>
          <w:color w:val="000000" w:themeColor="text1"/>
          <w:sz w:val="20"/>
          <w:szCs w:val="20"/>
        </w:rPr>
        <w:fldChar w:fldCharType="end"/>
      </w:r>
      <w:r w:rsidR="00031676" w:rsidRPr="00B16169">
        <w:rPr>
          <w:rFonts w:ascii="Times New Roman" w:hAnsi="Times New Roman" w:cs="Times New Roman"/>
          <w:color w:val="000000" w:themeColor="text1"/>
          <w:sz w:val="20"/>
          <w:szCs w:val="20"/>
        </w:rPr>
        <w:t>.</w:t>
      </w:r>
      <w:r w:rsidRPr="00B16169">
        <w:rPr>
          <w:rFonts w:ascii="Times New Roman" w:hAnsi="Times New Roman" w:cs="Times New Roman"/>
          <w:color w:val="000000" w:themeColor="text1"/>
          <w:sz w:val="20"/>
          <w:szCs w:val="20"/>
        </w:rPr>
        <w:t xml:space="preserve"> </w:t>
      </w:r>
      <w:r w:rsidR="00F82133">
        <w:rPr>
          <w:rFonts w:ascii="Times New Roman" w:hAnsi="Times New Roman" w:cs="Times New Roman"/>
          <w:color w:val="000000" w:themeColor="text1"/>
          <w:sz w:val="20"/>
          <w:szCs w:val="20"/>
        </w:rPr>
        <w:t>Typical</w:t>
      </w:r>
      <w:r w:rsidR="00F82133" w:rsidRPr="00B16169">
        <w:rPr>
          <w:rFonts w:ascii="Times New Roman" w:hAnsi="Times New Roman" w:cs="Times New Roman"/>
          <w:color w:val="000000" w:themeColor="text1"/>
          <w:sz w:val="20"/>
          <w:szCs w:val="20"/>
        </w:rPr>
        <w:t xml:space="preserve"> </w:t>
      </w:r>
      <w:r w:rsidRPr="00B16169">
        <w:rPr>
          <w:rFonts w:ascii="Times New Roman" w:hAnsi="Times New Roman" w:cs="Times New Roman"/>
          <w:color w:val="000000" w:themeColor="text1"/>
          <w:sz w:val="20"/>
          <w:szCs w:val="20"/>
        </w:rPr>
        <w:t>cl</w:t>
      </w:r>
      <w:r w:rsidR="00EC5F62" w:rsidRPr="00B16169">
        <w:rPr>
          <w:rFonts w:ascii="Times New Roman" w:hAnsi="Times New Roman" w:cs="Times New Roman"/>
          <w:color w:val="000000" w:themeColor="text1"/>
          <w:sz w:val="20"/>
          <w:szCs w:val="20"/>
        </w:rPr>
        <w:t xml:space="preserve">inical </w:t>
      </w:r>
      <w:r w:rsidRPr="00003E8D">
        <w:rPr>
          <w:rFonts w:ascii="Times New Roman" w:hAnsi="Times New Roman" w:cs="Times New Roman"/>
          <w:color w:val="000000" w:themeColor="text1"/>
          <w:sz w:val="20"/>
          <w:szCs w:val="20"/>
        </w:rPr>
        <w:t>features include</w:t>
      </w:r>
      <w:r w:rsidR="00FB271A">
        <w:rPr>
          <w:rFonts w:ascii="Times New Roman" w:hAnsi="Times New Roman" w:cs="Times New Roman"/>
          <w:color w:val="000000" w:themeColor="text1"/>
          <w:sz w:val="20"/>
          <w:szCs w:val="20"/>
        </w:rPr>
        <w:t xml:space="preserve"> </w:t>
      </w:r>
      <w:r w:rsidRPr="00003E8D">
        <w:rPr>
          <w:rFonts w:ascii="Times New Roman" w:hAnsi="Times New Roman" w:cs="Times New Roman"/>
          <w:color w:val="000000" w:themeColor="text1"/>
          <w:sz w:val="20"/>
          <w:szCs w:val="20"/>
        </w:rPr>
        <w:t>weakness, sensory loss, diplopia, reduced visual acuity, dysarthria, dysphagia, ataxia, and bladder dysfunction</w:t>
      </w:r>
      <w:r w:rsidR="00F82133">
        <w:rPr>
          <w:rFonts w:ascii="Times New Roman" w:hAnsi="Times New Roman" w:cs="Times New Roman"/>
          <w:color w:val="000000" w:themeColor="text1"/>
          <w:sz w:val="20"/>
          <w:szCs w:val="20"/>
        </w:rPr>
        <w:t xml:space="preserve">; largely </w:t>
      </w:r>
      <w:r w:rsidR="00142E5A">
        <w:rPr>
          <w:rFonts w:ascii="Times New Roman" w:hAnsi="Times New Roman" w:cs="Times New Roman"/>
          <w:color w:val="000000" w:themeColor="text1"/>
          <w:sz w:val="20"/>
          <w:szCs w:val="20"/>
        </w:rPr>
        <w:t>a reflection of</w:t>
      </w:r>
      <w:r w:rsidR="00F82133">
        <w:rPr>
          <w:rFonts w:ascii="Times New Roman" w:hAnsi="Times New Roman" w:cs="Times New Roman"/>
          <w:color w:val="000000" w:themeColor="text1"/>
          <w:sz w:val="20"/>
          <w:szCs w:val="20"/>
        </w:rPr>
        <w:t xml:space="preserve"> the distribution of demyelinating foci throughout the </w:t>
      </w:r>
      <w:r w:rsidR="00DF4934">
        <w:rPr>
          <w:rFonts w:ascii="Times New Roman" w:hAnsi="Times New Roman" w:cs="Times New Roman"/>
          <w:color w:val="000000" w:themeColor="text1"/>
          <w:sz w:val="20"/>
          <w:szCs w:val="20"/>
        </w:rPr>
        <w:t>CNS</w:t>
      </w:r>
      <w:r w:rsidR="00F82133">
        <w:rPr>
          <w:rFonts w:ascii="Times New Roman" w:hAnsi="Times New Roman" w:cs="Times New Roman"/>
          <w:color w:val="000000" w:themeColor="text1"/>
          <w:sz w:val="20"/>
          <w:szCs w:val="20"/>
        </w:rPr>
        <w:t>.</w:t>
      </w:r>
      <w:r w:rsidRPr="00003E8D">
        <w:rPr>
          <w:rFonts w:ascii="Times New Roman" w:hAnsi="Times New Roman" w:cs="Times New Roman"/>
          <w:color w:val="000000" w:themeColor="text1"/>
          <w:sz w:val="20"/>
          <w:szCs w:val="20"/>
        </w:rPr>
        <w:t xml:space="preserve"> In 85% of patients, there is an initial period of episodic neurological dysfunction followed by partial or complete recovery (relapsing</w:t>
      </w:r>
      <w:r w:rsidR="008748E9" w:rsidRPr="00003E8D">
        <w:rPr>
          <w:rFonts w:ascii="Times New Roman" w:hAnsi="Times New Roman" w:cs="Times New Roman"/>
          <w:color w:val="000000" w:themeColor="text1"/>
          <w:sz w:val="20"/>
          <w:szCs w:val="20"/>
        </w:rPr>
        <w:t xml:space="preserve"> </w:t>
      </w:r>
      <w:r w:rsidR="00857EBD">
        <w:rPr>
          <w:rFonts w:ascii="Times New Roman" w:hAnsi="Times New Roman" w:cs="Times New Roman"/>
          <w:color w:val="000000" w:themeColor="text1"/>
          <w:sz w:val="20"/>
          <w:szCs w:val="20"/>
        </w:rPr>
        <w:t xml:space="preserve">remitting MS, </w:t>
      </w:r>
      <w:r w:rsidR="00DF6E22" w:rsidRPr="00003E8D">
        <w:rPr>
          <w:rFonts w:ascii="Times New Roman" w:hAnsi="Times New Roman" w:cs="Times New Roman"/>
          <w:color w:val="000000" w:themeColor="text1"/>
          <w:sz w:val="20"/>
          <w:szCs w:val="20"/>
        </w:rPr>
        <w:t>RRMS</w:t>
      </w:r>
      <w:r w:rsidR="00B16169">
        <w:rPr>
          <w:rFonts w:ascii="Times New Roman" w:hAnsi="Times New Roman" w:cs="Times New Roman"/>
          <w:color w:val="000000" w:themeColor="text1"/>
          <w:sz w:val="20"/>
          <w:szCs w:val="20"/>
        </w:rPr>
        <w:t>)</w:t>
      </w:r>
      <w:r w:rsidR="006A6378">
        <w:rPr>
          <w:rFonts w:ascii="Times New Roman" w:hAnsi="Times New Roman" w:cs="Times New Roman"/>
          <w:color w:val="000000" w:themeColor="text1"/>
          <w:sz w:val="20"/>
          <w:szCs w:val="20"/>
        </w:rPr>
        <w:t>[</w:t>
      </w:r>
      <w:r w:rsidR="00354A8D">
        <w:rPr>
          <w:rFonts w:ascii="Times New Roman" w:hAnsi="Times New Roman" w:cs="Times New Roman"/>
          <w:color w:val="000000" w:themeColor="text1"/>
          <w:sz w:val="20"/>
          <w:szCs w:val="20"/>
        </w:rPr>
        <w:fldChar w:fldCharType="begin"/>
      </w:r>
      <w:r w:rsidR="006A6378">
        <w:rPr>
          <w:rFonts w:ascii="Times New Roman" w:hAnsi="Times New Roman" w:cs="Times New Roman"/>
          <w:color w:val="000000" w:themeColor="text1"/>
          <w:sz w:val="20"/>
          <w:szCs w:val="20"/>
        </w:rPr>
        <w:instrText xml:space="preserve"> ADDIN ZOTERO_ITEM CSL_CITATION {"citationID":"o76E8FjR","properties":{"formattedCitation":"(4)","plainCitation":"(4)","dontUpdate":true,"noteIndex":0},"citationItems":[{"id":71,"uris":["http://zotero.org/users/local/OxFKn8nN/items/X3F5ZSDY"],"uri":["http://zotero.org/users/local/OxFKn8nN/items/X3F5ZSDY"],"itemData":{"id":71,"type":"article-journal","title":"Key issues in the diagnosis and treatment of multiple sclerosis","container-title":"Neurology","page":"S1","volume":"59","issue":"6 suppl 3","abstract":"Understanding of the etiology and pathogenesis of MS has improved significantly in recent years. In addition, important developments have occurred in the diagnosis and treatment of this disease. This review provides a concise, up-to-date overview of key issues relating to MS and its management. The review is divided into four main sections. A description of MS, covering symptoms and signs, natural history, epidemiology, etiology, and pathology and pathogenesis. A critical analysis of the revised diagnostic criteria for MS that have recently been published by McDonald et al.1 A review of the key clinical studies that have been carried out with disease-modifying drugs for MS. A discussion of the use of MRI as a surrogate measure in MS treatment trials, with commentaries on the specific MRI-oriented publications related to the disease-modifying therapies. Definition. MS is a chronic disease of the CNS, characterized by discrete areas of demyelination and axon injury associated with inflammatory activity. A key defining feature of MS is that lesions are disseminated in both space and time, i.e., they occur at more than one site and develop on more than one occasion. Additional information on the pathology of MS is provided below. Clinically, MS symptoms emerge between the ages of 20 and 40 years in approximately 70% of patients,2,3</w:instrText>
      </w:r>
      <w:r w:rsidR="006A6378">
        <w:rPr>
          <w:rFonts w:ascii="Cambria Math" w:hAnsi="Cambria Math" w:cs="Cambria Math"/>
          <w:color w:val="000000" w:themeColor="text1"/>
          <w:sz w:val="20"/>
          <w:szCs w:val="20"/>
        </w:rPr>
        <w:instrText>⇓</w:instrText>
      </w:r>
      <w:r w:rsidR="006A6378">
        <w:rPr>
          <w:rFonts w:ascii="Times New Roman" w:hAnsi="Times New Roman" w:cs="Times New Roman"/>
          <w:color w:val="000000" w:themeColor="text1"/>
          <w:sz w:val="20"/>
          <w:szCs w:val="20"/>
        </w:rPr>
        <w:instrText xml:space="preserve"> although changes visible on MRI are much more common than clinical activity and may well precede the latter.4-6</w:instrText>
      </w:r>
      <w:r w:rsidR="006A6378">
        <w:rPr>
          <w:rFonts w:ascii="Cambria Math" w:hAnsi="Cambria Math" w:cs="Cambria Math"/>
          <w:color w:val="000000" w:themeColor="text1"/>
          <w:sz w:val="20"/>
          <w:szCs w:val="20"/>
        </w:rPr>
        <w:instrText>⇓⇓</w:instrText>
      </w:r>
      <w:r w:rsidR="006A6378">
        <w:rPr>
          <w:rFonts w:ascii="Times New Roman" w:hAnsi="Times New Roman" w:cs="Times New Roman"/>
          <w:color w:val="000000" w:themeColor="text1"/>
          <w:sz w:val="20"/>
          <w:szCs w:val="20"/>
        </w:rPr>
        <w:instrText xml:space="preserve"> Symptoms and signs. Because MS lesions can occur in many different parts of the CNS, they can cause a wide variety of symptoms and signs. An exhaustive list of clinical findings seen in MS clinics at the Universities of British Columbia and Western Ontario, Canada, is provided by Paty and Ebers,7 together with estimates of the frequencies of each finding at onset and at any time. According to …","DOI":"10.1212/WNL.59.6_suppl_3.S1","journalAbbreviation":"Neurology","author":[{"family":"O’Connor","given":"Paul"}],"editor":[{"family":"","given":","}],"issued":{"date-parts":[["2002",9,24]]}}}],"schema":"https://github.com/citation-style-language/schema/raw/master/csl-citation.json"} </w:instrText>
      </w:r>
      <w:r w:rsidR="00354A8D">
        <w:rPr>
          <w:rFonts w:ascii="Times New Roman" w:hAnsi="Times New Roman" w:cs="Times New Roman"/>
          <w:color w:val="000000" w:themeColor="text1"/>
          <w:sz w:val="20"/>
          <w:szCs w:val="20"/>
        </w:rPr>
        <w:fldChar w:fldCharType="separate"/>
      </w:r>
      <w:r w:rsidR="00354A8D">
        <w:rPr>
          <w:rFonts w:ascii="Times New Roman" w:hAnsi="Times New Roman" w:cs="Times New Roman"/>
          <w:color w:val="000000"/>
          <w:sz w:val="20"/>
          <w:lang w:val="en-US"/>
        </w:rPr>
        <w:t>4</w:t>
      </w:r>
      <w:r w:rsidR="006A6378">
        <w:rPr>
          <w:rFonts w:ascii="Times New Roman" w:hAnsi="Times New Roman" w:cs="Times New Roman"/>
          <w:color w:val="000000"/>
          <w:sz w:val="20"/>
          <w:lang w:val="en-US"/>
        </w:rPr>
        <w:t>]</w:t>
      </w:r>
      <w:r w:rsidR="00354A8D">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Over time, the clinical picture </w:t>
      </w:r>
      <w:r w:rsidR="009A4F32" w:rsidRPr="00003E8D">
        <w:rPr>
          <w:rFonts w:ascii="Times New Roman" w:hAnsi="Times New Roman" w:cs="Times New Roman"/>
          <w:color w:val="000000" w:themeColor="text1"/>
          <w:sz w:val="20"/>
          <w:szCs w:val="20"/>
        </w:rPr>
        <w:t>often</w:t>
      </w:r>
      <w:r w:rsidRPr="00003E8D">
        <w:rPr>
          <w:rFonts w:ascii="Times New Roman" w:hAnsi="Times New Roman" w:cs="Times New Roman"/>
          <w:color w:val="000000" w:themeColor="text1"/>
          <w:sz w:val="20"/>
          <w:szCs w:val="20"/>
        </w:rPr>
        <w:t xml:space="preserve"> develops to one of progressive disability (secondary</w:t>
      </w:r>
      <w:r w:rsidR="008748E9" w:rsidRPr="00003E8D">
        <w:rPr>
          <w:rFonts w:ascii="Times New Roman" w:hAnsi="Times New Roman" w:cs="Times New Roman"/>
          <w:color w:val="000000" w:themeColor="text1"/>
          <w:sz w:val="20"/>
          <w:szCs w:val="20"/>
        </w:rPr>
        <w:t xml:space="preserve"> </w:t>
      </w:r>
      <w:r w:rsidR="00857EBD">
        <w:rPr>
          <w:rFonts w:ascii="Times New Roman" w:hAnsi="Times New Roman" w:cs="Times New Roman"/>
          <w:color w:val="000000" w:themeColor="text1"/>
          <w:sz w:val="20"/>
          <w:szCs w:val="20"/>
        </w:rPr>
        <w:t xml:space="preserve">progressive MS, </w:t>
      </w:r>
      <w:r w:rsidRPr="00003E8D">
        <w:rPr>
          <w:rFonts w:ascii="Times New Roman" w:hAnsi="Times New Roman" w:cs="Times New Roman"/>
          <w:color w:val="000000" w:themeColor="text1"/>
          <w:sz w:val="20"/>
          <w:szCs w:val="20"/>
        </w:rPr>
        <w:t>SPMS</w:t>
      </w:r>
      <w:r w:rsidR="00B16169">
        <w:rPr>
          <w:rFonts w:ascii="Times New Roman" w:hAnsi="Times New Roman" w:cs="Times New Roman"/>
          <w:color w:val="000000" w:themeColor="text1"/>
          <w:sz w:val="20"/>
          <w:szCs w:val="20"/>
        </w:rPr>
        <w:t>)</w:t>
      </w:r>
      <w:r w:rsidR="00B16169">
        <w:rPr>
          <w:rFonts w:ascii="Times New Roman" w:hAnsi="Times New Roman" w:cs="Times New Roman"/>
          <w:color w:val="000000" w:themeColor="text1"/>
          <w:sz w:val="20"/>
          <w:szCs w:val="20"/>
        </w:rPr>
        <w:fldChar w:fldCharType="begin"/>
      </w:r>
      <w:r w:rsidR="006A6378">
        <w:rPr>
          <w:rFonts w:ascii="Times New Roman" w:hAnsi="Times New Roman" w:cs="Times New Roman"/>
          <w:color w:val="000000" w:themeColor="text1"/>
          <w:sz w:val="20"/>
          <w:szCs w:val="20"/>
        </w:rPr>
        <w:instrText xml:space="preserve"> ADDIN ZOTERO_ITEM CSL_CITATION {"citationID":"IaI2xZhm","properties":{"formattedCitation":"(5)","plainCitation":"(5)","dontUpdate":true,"noteIndex":0},"citationItems":[{"id":116,"uris":["http://zotero.org/users/local/OxFKn8nN/items/IB3F2LH4"],"uri":["http://zotero.org/users/local/OxFKn8nN/items/IB3F2LH4"],"itemData":{"id":116,"type":"article-journal","title":"Long-term evolution of multiple sclerosis disability in the treatment era","container-title":"Annals of neurology","page":"499-510","volume":"80","issue":"4","archive":"PubMed","archive_location":"27464262","abstract":"OBJECTIVE: To characterize the accrual of long-term disability in a cohort of actively treated multiple sclerosis (MS) patients and to assess whether clinical and magnetic resonance imaging (MRI) data used in clinical trials have long-term prognostic value. METHODS: This is a prospective study of 517 actively managed MS patients enrolled at a single center. RESULTS: More than 91% of patients were retained, with data ascertained up to 10 years after the baseline visit. At this last assessment, neurologic disability as measured by the Expanded Disability Status Scale (EDSS) was stable or improved compared to baseline in 41% of patients. Subjects with no evidence of disease activity (NEDA) by clinical and MRI criteria during the first 2 years had long-term outcomes that were no different from those of the cohort as a whole. 25-OH vitamin D serum levels were inversely associated with short-term MS disease activity; however, these levels had no association with long-term disability. At a median time of 16.8 years after disease onset, 10.7% (95% confidence interval [CI] = 7.2-14%) of patients reached an EDSS ≥ 6, and 18.1% (95% CI = 13.5-22.5%) evolved from relapsing MS to secondary progressive MS (SPMS). INTERPRETATION: Rates of worsening and evolution to SPMS were substantially lower when compared to earlier natural history studies. Notably, the NEDA 2-year endpoint was not a predictor of long-term stability. Finally, the data call into question the utility of annual MRI assessments as a treat-to-target approach for MS care. Ann Neurol 2016;80:499-510.","DOI":"10.1002/ana.24747","ISSN":"1531-8249","author":[{"family":"University of California","given":"San Francisco MS-EPIC Team:"},{"family":"Cree","given":"Bruce A C"},{"family":"Gourraud","given":"Pierre-Antoine"},{"family":"Oksenberg","given":"Jorge R"},{"family":"Bevan","given":"Carolyn"},{"family":"Crabtree-Hartman","given":"Elizabeth"},{"family":"Gelfand","given":"Jeffrey M"},{"family":"Goodin","given":"Douglas S"},{"family":"Graves","given":"Jennifer"},{"family":"Green","given":"Ari J"},{"family":"Mowry","given":"Ellen"},{"family":"Okuda","given":"Darin T"},{"family":"Pelletier","given":"Daniel"},{"family":"Büdingen","given":"H-Christian","non-dropping-particle":"von"},{"family":"Zamvil","given":"Scott S"},{"family":"Agrawal","given":"Alisha"},{"family":"Caillier","given":"Stacy"},{"family":"Ciocca","given":"Caroline"},{"family":"Gomez","given":"Refujia"},{"family":"Kanner","given":"Rachel"},{"family":"Lincoln","given":"Robin"},{"family":"Lizee","given":"Antoine"},{"family":"Qualley","given":"Pamela"},{"family":"Santaniello","given":"Adam"},{"family":"Suleiman","given":"Leena"},{"family":"Bucci","given":"Monica"},{"family":"Panara","given":"Valentina"},{"family":"Papinutto","given":"Nico"},{"family":"Stern","given":"William A"},{"family":"Zhu","given":"Alyssa H"},{"family":"Cutter","given":"Gary R"},{"family":"Baranzini","given":"Sergio"},{"family":"Henry","given":"Roland G"},{"family":"Hauser","given":"Stephen L"}],"issued":{"date-parts":[["2016",10]]}}}],"schema":"https://github.com/citation-style-language/schema/raw/master/csl-citation.json"} </w:instrText>
      </w:r>
      <w:r w:rsidR="00B16169">
        <w:rPr>
          <w:rFonts w:ascii="Times New Roman" w:hAnsi="Times New Roman" w:cs="Times New Roman"/>
          <w:color w:val="000000" w:themeColor="text1"/>
          <w:sz w:val="20"/>
          <w:szCs w:val="20"/>
        </w:rPr>
        <w:fldChar w:fldCharType="separate"/>
      </w:r>
      <w:r w:rsidR="006A6378">
        <w:rPr>
          <w:rFonts w:ascii="Times New Roman" w:hAnsi="Times New Roman" w:cs="Times New Roman"/>
          <w:color w:val="000000"/>
          <w:sz w:val="20"/>
          <w:u w:val="dash"/>
          <w:lang w:val="en-US"/>
        </w:rPr>
        <w:t>[</w:t>
      </w:r>
      <w:r w:rsidR="00354A8D">
        <w:rPr>
          <w:rFonts w:ascii="Times New Roman" w:hAnsi="Times New Roman" w:cs="Times New Roman"/>
          <w:color w:val="000000"/>
          <w:sz w:val="20"/>
          <w:u w:val="dash"/>
          <w:lang w:val="en-US"/>
        </w:rPr>
        <w:t>5</w:t>
      </w:r>
      <w:r w:rsidR="006A6378">
        <w:rPr>
          <w:rFonts w:ascii="Times New Roman" w:hAnsi="Times New Roman" w:cs="Times New Roman"/>
          <w:color w:val="000000"/>
          <w:sz w:val="20"/>
          <w:u w:val="dash"/>
          <w:lang w:val="en-US"/>
        </w:rPr>
        <w:t>]</w:t>
      </w:r>
      <w:r w:rsidR="00B16169">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while in 15% the </w:t>
      </w:r>
      <w:r w:rsidRPr="00003E8D">
        <w:rPr>
          <w:rFonts w:ascii="Times New Roman" w:hAnsi="Times New Roman" w:cs="Times New Roman"/>
          <w:color w:val="000000" w:themeColor="text1"/>
          <w:sz w:val="20"/>
          <w:szCs w:val="20"/>
        </w:rPr>
        <w:lastRenderedPageBreak/>
        <w:t>illness i</w:t>
      </w:r>
      <w:r w:rsidR="000243C0" w:rsidRPr="00003E8D">
        <w:rPr>
          <w:rFonts w:ascii="Times New Roman" w:hAnsi="Times New Roman" w:cs="Times New Roman"/>
          <w:color w:val="000000" w:themeColor="text1"/>
          <w:sz w:val="20"/>
          <w:szCs w:val="20"/>
        </w:rPr>
        <w:t>s progressive from the outset (p</w:t>
      </w:r>
      <w:r w:rsidR="00857EBD">
        <w:rPr>
          <w:rFonts w:ascii="Times New Roman" w:hAnsi="Times New Roman" w:cs="Times New Roman"/>
          <w:color w:val="000000" w:themeColor="text1"/>
          <w:sz w:val="20"/>
          <w:szCs w:val="20"/>
        </w:rPr>
        <w:t>rimary progressive MS,</w:t>
      </w:r>
      <w:r w:rsidR="00857EBD" w:rsidRPr="00003E8D">
        <w:rPr>
          <w:rFonts w:ascii="Times New Roman" w:hAnsi="Times New Roman" w:cs="Times New Roman"/>
          <w:color w:val="000000" w:themeColor="text1"/>
          <w:sz w:val="20"/>
          <w:szCs w:val="20"/>
        </w:rPr>
        <w:t xml:space="preserve"> </w:t>
      </w:r>
      <w:r w:rsidR="00B72BA1" w:rsidRPr="00003E8D">
        <w:rPr>
          <w:rFonts w:ascii="Times New Roman" w:hAnsi="Times New Roman" w:cs="Times New Roman"/>
          <w:color w:val="000000" w:themeColor="text1"/>
          <w:sz w:val="20"/>
          <w:szCs w:val="20"/>
        </w:rPr>
        <w:t>PPMS</w:t>
      </w:r>
      <w:r w:rsidR="00B16169">
        <w:rPr>
          <w:rFonts w:ascii="Times New Roman" w:hAnsi="Times New Roman" w:cs="Times New Roman"/>
          <w:color w:val="000000" w:themeColor="text1"/>
          <w:sz w:val="20"/>
          <w:szCs w:val="20"/>
        </w:rPr>
        <w:t>)</w:t>
      </w:r>
      <w:r w:rsidR="00B16169">
        <w:rPr>
          <w:rFonts w:ascii="Times New Roman" w:hAnsi="Times New Roman" w:cs="Times New Roman"/>
          <w:color w:val="000000" w:themeColor="text1"/>
          <w:sz w:val="20"/>
          <w:szCs w:val="20"/>
        </w:rPr>
        <w:fldChar w:fldCharType="begin"/>
      </w:r>
      <w:r w:rsidR="006A6378">
        <w:rPr>
          <w:rFonts w:ascii="Times New Roman" w:hAnsi="Times New Roman" w:cs="Times New Roman"/>
          <w:color w:val="000000" w:themeColor="text1"/>
          <w:sz w:val="20"/>
          <w:szCs w:val="20"/>
        </w:rPr>
        <w:instrText xml:space="preserve"> ADDIN ZOTERO_ITEM CSL_CITATION {"citationID":"of73oPLD","properties":{"formattedCitation":"(6,7)","plainCitation":"(6,7)","noteIndex":0},"citationItems":[{"id":72,"uris":["http://zotero.org/users/local/OxFKn8nN/items/G8NUGB9K"],"uri":["http://zotero.org/users/local/OxFKn8nN/items/G8NUGB9K"],"itemData":{"id":72,"type":"article-journal","title":"Defining the clinical course of multiple sclerosis: the 2013 revisions","container-title":"Neurology","page":"278-286","volume":"83","issue":"3","archive":"PubMed","archive_location":"24871874","abstract":"Accurate clinical course descriptions (phenotypes) of multiple sclerosis (MS) are important for communication, prognostication, design and recruitment of clinical trials, and treatment decision-making. Standardized descriptions published in 1996 based on a survey of international MS experts provided purely clinical phenotypes based on data and consensus at that time, but imaging and biological correlates were lacking. Increased understanding of MS and its pathology, coupled with general concern that the original descriptors may not adequately reflect more recently identified clinical aspects of the disease, prompted a re-examination of MS disease phenotypes by the International Advisory Committee on Clinical Trials of MS. While imaging and biological markers that might provide objective criteria for separating clinical phenotypes are lacking, we propose refined descriptors that include consideration of disease activity (based on clinical relapse rate and imaging findings) and disease progression. Strategies for future research to better define phenotypes are also outlined.","DOI":"10.1212/WNL.0000000000000560","ISSN":"1526-632X","author":[{"family":"Lublin","given":"Fred D"},{"family":"Reingold","given":"Stephen C"},{"family":"Cohen","given":"Jeffrey A"},{"family":"Cutter","given":"Gary R"},{"family":"Sørensen","given":"Per Soelberg"},{"family":"Thompson","given":"Alan J"},{"family":"Wolinsky","given":"Jerry S"},{"family":"Balcer","given":"Laura J"},{"family":"Banwell","given":"Brenda"},{"family":"Barkhof","given":"Frederik"},{"family":"Bebo","given":"Bruce","suffix":"Jr"},{"family":"Calabresi","given":"Peter A"},{"family":"Clanet","given":"Michel"},{"family":"Comi","given":"Giancarlo"},{"family":"Fox","given":"Robert J"},{"family":"Freedman","given":"Mark S"},{"family":"Goodman","given":"Andrew D"},{"family":"Inglese","given":"Matilde"},{"family":"Kappos","given":"Ludwig"},{"family":"Kieseier","given":"Bernd C"},{"family":"Lincoln","given":"John A"},{"family":"Lubetzki","given":"Catherine"},{"family":"Miller","given":"Aaron E"},{"family":"Montalban","given":"Xavier"},{"family":"O'Connor","given":"Paul W"},{"family":"Petkau","given":"John"},{"family":"Pozzilli","given":"Carlo"},{"family":"Rudick","given":"Richard A"},{"family":"Sormani","given":"Maria Pia"},{"family":"Stüve","given":"Olaf"},{"family":"Waubant","given":"Emmanuelle"},{"family":"Polman","given":"Chris H"}],"issued":{"date-parts":[["2014",7,15]]}}},{"id":74,"uris":["http://zotero.org/users/local/OxFKn8nN/items/3AE2VUU3"],"uri":["http://zotero.org/users/local/OxFKn8nN/items/3AE2VUU3"],"itemData":{"id":74,"type":"article-journal","title":"Primary-progressive multiple sclerosis","container-title":"The Lancet Neurology","page":"903-912","volume":"6","issue":"10","DOI":"10.1016/S1474-4422(07)70243-0","ISSN":"1474-4422","author":[{"family":"Miller","given":"David H"},{"family":"Leary","given":"Siobhan M"}],"issued":{"date-parts":[["2007",10,1]]}}}],"schema":"https://github.com/citation-style-language/schema/raw/master/csl-citation.json"} </w:instrText>
      </w:r>
      <w:r w:rsidR="00B16169">
        <w:rPr>
          <w:rFonts w:ascii="Times New Roman" w:hAnsi="Times New Roman" w:cs="Times New Roman"/>
          <w:color w:val="000000" w:themeColor="text1"/>
          <w:sz w:val="20"/>
          <w:szCs w:val="20"/>
        </w:rPr>
        <w:fldChar w:fldCharType="separate"/>
      </w:r>
      <w:r w:rsidR="00846707">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6,7</w:t>
      </w:r>
      <w:r w:rsidR="00846707">
        <w:rPr>
          <w:rFonts w:ascii="Times New Roman" w:hAnsi="Times New Roman" w:cs="Times New Roman"/>
          <w:color w:val="000000"/>
          <w:sz w:val="20"/>
          <w:u w:val="dash"/>
          <w:lang w:val="en-US"/>
        </w:rPr>
        <w:t>]</w:t>
      </w:r>
      <w:r w:rsidR="00B16169">
        <w:rPr>
          <w:rFonts w:ascii="Times New Roman" w:hAnsi="Times New Roman" w:cs="Times New Roman"/>
          <w:color w:val="000000" w:themeColor="text1"/>
          <w:sz w:val="20"/>
          <w:szCs w:val="20"/>
        </w:rPr>
        <w:fldChar w:fldCharType="end"/>
      </w:r>
      <w:r w:rsidR="009F19CA" w:rsidRPr="00003E8D">
        <w:rPr>
          <w:rFonts w:ascii="Times New Roman" w:hAnsi="Times New Roman" w:cs="Times New Roman"/>
          <w:color w:val="000000" w:themeColor="text1"/>
          <w:sz w:val="20"/>
          <w:szCs w:val="20"/>
        </w:rPr>
        <w:t>. I</w:t>
      </w:r>
      <w:r w:rsidRPr="00003E8D">
        <w:rPr>
          <w:rFonts w:ascii="Times New Roman" w:hAnsi="Times New Roman" w:cs="Times New Roman"/>
          <w:color w:val="000000" w:themeColor="text1"/>
          <w:sz w:val="20"/>
          <w:szCs w:val="20"/>
        </w:rPr>
        <w:t xml:space="preserve">n both SPMS and PPMS, the strongest predictor of </w:t>
      </w:r>
      <w:r w:rsidR="00DB3D3A" w:rsidRPr="00003E8D">
        <w:rPr>
          <w:rFonts w:ascii="Times New Roman" w:hAnsi="Times New Roman" w:cs="Times New Roman"/>
          <w:color w:val="000000" w:themeColor="text1"/>
          <w:sz w:val="20"/>
          <w:szCs w:val="20"/>
        </w:rPr>
        <w:t>the ons</w:t>
      </w:r>
      <w:r w:rsidR="008748E9" w:rsidRPr="00003E8D">
        <w:rPr>
          <w:rFonts w:ascii="Times New Roman" w:hAnsi="Times New Roman" w:cs="Times New Roman"/>
          <w:color w:val="000000" w:themeColor="text1"/>
          <w:sz w:val="20"/>
          <w:szCs w:val="20"/>
        </w:rPr>
        <w:t>e</w:t>
      </w:r>
      <w:r w:rsidR="00DB3D3A" w:rsidRPr="00003E8D">
        <w:rPr>
          <w:rFonts w:ascii="Times New Roman" w:hAnsi="Times New Roman" w:cs="Times New Roman"/>
          <w:color w:val="000000" w:themeColor="text1"/>
          <w:sz w:val="20"/>
          <w:szCs w:val="20"/>
        </w:rPr>
        <w:t xml:space="preserve">t of </w:t>
      </w:r>
      <w:r w:rsidRPr="00003E8D">
        <w:rPr>
          <w:rFonts w:ascii="Times New Roman" w:hAnsi="Times New Roman" w:cs="Times New Roman"/>
          <w:color w:val="000000" w:themeColor="text1"/>
          <w:sz w:val="20"/>
          <w:szCs w:val="20"/>
        </w:rPr>
        <w:t>progression is age, typically being seen from a</w:t>
      </w:r>
      <w:r w:rsidR="009F19CA" w:rsidRPr="00003E8D">
        <w:rPr>
          <w:rFonts w:ascii="Times New Roman" w:hAnsi="Times New Roman" w:cs="Times New Roman"/>
          <w:color w:val="000000" w:themeColor="text1"/>
          <w:sz w:val="20"/>
          <w:szCs w:val="20"/>
        </w:rPr>
        <w:t>round 40 year</w:t>
      </w:r>
      <w:r w:rsidR="00B16169">
        <w:rPr>
          <w:rFonts w:ascii="Times New Roman" w:hAnsi="Times New Roman" w:cs="Times New Roman"/>
          <w:color w:val="000000" w:themeColor="text1"/>
          <w:sz w:val="20"/>
          <w:szCs w:val="20"/>
        </w:rPr>
        <w:t>s</w:t>
      </w:r>
      <w:r w:rsidR="00B16169">
        <w:rPr>
          <w:rFonts w:ascii="Times New Roman" w:hAnsi="Times New Roman" w:cs="Times New Roman"/>
          <w:color w:val="000000" w:themeColor="text1"/>
          <w:sz w:val="20"/>
          <w:szCs w:val="20"/>
        </w:rPr>
        <w:fldChar w:fldCharType="begin"/>
      </w:r>
      <w:r w:rsidR="006A6378">
        <w:rPr>
          <w:rFonts w:ascii="Times New Roman" w:hAnsi="Times New Roman" w:cs="Times New Roman"/>
          <w:color w:val="000000" w:themeColor="text1"/>
          <w:sz w:val="20"/>
          <w:szCs w:val="20"/>
        </w:rPr>
        <w:instrText xml:space="preserve"> ADDIN ZOTERO_ITEM CSL_CITATION {"citationID":"3OJjxXbM","properties":{"formattedCitation":"(8)","plainCitation":"(8)","noteIndex":0},"citationItems":[{"id":76,"uris":["http://zotero.org/users/local/OxFKn8nN/items/8S8KEUG7"],"uri":["http://zotero.org/users/local/OxFKn8nN/items/8S8KEUG7"],"itemData":{"id":76,"type":"article-journal","title":"Age at disability milestones in multiple sclerosis","container-title":"Brain","page":"595-605","volume":"129","issue":"3","abstract":"Many efforts have been devoted to the description of the prognosis of multiple sclerosis and its possible influential factors in terms of time to reach disability milestones. By contrast, the age at which patients with multiple sclerosis reach these milestones has not yet stirred much interest. We have tested the hypothesis whether the prognosis of multiple sclerosis depends on the current age of patients and the initial course of the disease. We have assessed disease onset and course, and assignment of scores of irreversible disability in 1844 patients with multiple sclerosis. We have used three scores on the Kurtzke Disability Status Scale as benchmarks of disability accumulation: DSS 4 (limited walking but without aid), DSS 6 (walking with unilateral aid) and DSS 7 (wheelchair-bound). We used Kaplan–Meier analyses to estimate the age of the patients at assignment of disability milestones. The possible influence of the initial course of multiple sclerosis and of other clinical variables early assessable in the disease on these outcome measures was also studied, using the Kaplan–Meier curves for univariate analyses and Cox models for multivariate analyses. For the 1844 patients, median ages at time of assignment of irreversible disability were 44.3 years (95% CI 43.3–45.2) for a score of DSS 4, 54.7 years (95% CI 53.5–55.8) for DSS 6 and 63.1 years (95% CI 61.0–65.1) for DSS 7. These results were essentially similar whether the initial course of multiple sclerosis was exacerbating-remitting or progressive, and whatever the initial symptomatology. Females reached disability milestones at an older age than males. The most influential clinical factor was age at clinical onset of multiple sclerosis: the younger the onset, the younger the age at assignment of disability milestones. Therefore, prognosis in multiple sclerosis appears, at least to some extent, as age-dependent and not substantially affected by the initial course, be it exacerbating-remitting or progressive. Aside acute focal recurrent inflammation and diffuse chronic neurodegeneration, accelerated ageing-related mechanisms may operate in the central nervous system of multiple sclerosis patients.","DOI":"10.1093/brain/awh714","ISSN":"0006-8950","journalAbbreviation":"Brain","author":[{"family":"Confavreux","given":"Christian"},{"family":"Vukusic","given":"Sandra"}],"issued":{"date-parts":[["2006",3,1]]}}}],"schema":"https://github.com/citation-style-language/schema/raw/master/csl-citation.json"} </w:instrText>
      </w:r>
      <w:r w:rsidR="00B16169">
        <w:rPr>
          <w:rFonts w:ascii="Times New Roman" w:hAnsi="Times New Roman" w:cs="Times New Roman"/>
          <w:color w:val="000000" w:themeColor="text1"/>
          <w:sz w:val="20"/>
          <w:szCs w:val="20"/>
        </w:rPr>
        <w:fldChar w:fldCharType="separate"/>
      </w:r>
      <w:r w:rsidR="00846707">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8</w:t>
      </w:r>
      <w:r w:rsidR="00846707">
        <w:rPr>
          <w:rFonts w:ascii="Times New Roman" w:hAnsi="Times New Roman" w:cs="Times New Roman"/>
          <w:color w:val="000000"/>
          <w:sz w:val="20"/>
          <w:u w:val="dash"/>
          <w:lang w:val="en-US"/>
        </w:rPr>
        <w:t>]</w:t>
      </w:r>
      <w:r w:rsidR="00B16169">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w:t>
      </w:r>
    </w:p>
    <w:p w14:paraId="440F5560" w14:textId="21351BE1" w:rsidR="0079468F" w:rsidRDefault="00D91A74" w:rsidP="00C66658">
      <w:pPr>
        <w:widowControl w:val="0"/>
        <w:autoSpaceDE w:val="0"/>
        <w:autoSpaceDN w:val="0"/>
        <w:adjustRightInd w:val="0"/>
        <w:spacing w:line="480" w:lineRule="auto"/>
        <w:ind w:firstLine="720"/>
        <w:rPr>
          <w:rFonts w:ascii="Times New Roman" w:hAnsi="Times New Roman" w:cs="Times New Roman"/>
          <w:iCs/>
          <w:color w:val="000000" w:themeColor="text1"/>
          <w:sz w:val="20"/>
          <w:szCs w:val="20"/>
          <w:lang w:val="en-US"/>
        </w:rPr>
      </w:pPr>
      <w:r w:rsidRPr="00003E8D">
        <w:rPr>
          <w:rFonts w:ascii="Times New Roman" w:hAnsi="Times New Roman" w:cs="Times New Roman"/>
          <w:color w:val="000000" w:themeColor="text1"/>
          <w:sz w:val="20"/>
          <w:szCs w:val="20"/>
        </w:rPr>
        <w:t>There now exists an extensive therapeutic armame</w:t>
      </w:r>
      <w:r w:rsidR="00823508" w:rsidRPr="00003E8D">
        <w:rPr>
          <w:rFonts w:ascii="Times New Roman" w:hAnsi="Times New Roman" w:cs="Times New Roman"/>
          <w:color w:val="000000" w:themeColor="text1"/>
          <w:sz w:val="20"/>
          <w:szCs w:val="20"/>
        </w:rPr>
        <w:t xml:space="preserve">ntarium </w:t>
      </w:r>
      <w:r w:rsidR="00B61D84">
        <w:rPr>
          <w:rFonts w:ascii="Times New Roman" w:hAnsi="Times New Roman" w:cs="Times New Roman"/>
          <w:color w:val="000000" w:themeColor="text1"/>
          <w:sz w:val="20"/>
          <w:szCs w:val="20"/>
        </w:rPr>
        <w:t>against the inflammation of MS</w:t>
      </w:r>
      <w:r w:rsidR="00C564EC">
        <w:rPr>
          <w:rFonts w:ascii="Times New Roman" w:hAnsi="Times New Roman" w:cs="Times New Roman"/>
          <w:color w:val="000000" w:themeColor="text1"/>
          <w:sz w:val="20"/>
          <w:szCs w:val="20"/>
        </w:rPr>
        <w:fldChar w:fldCharType="begin"/>
      </w:r>
      <w:r w:rsidR="006A6378">
        <w:rPr>
          <w:rFonts w:ascii="Times New Roman" w:hAnsi="Times New Roman" w:cs="Times New Roman"/>
          <w:color w:val="000000" w:themeColor="text1"/>
          <w:sz w:val="20"/>
          <w:szCs w:val="20"/>
        </w:rPr>
        <w:instrText xml:space="preserve"> ADDIN ZOTERO_ITEM CSL_CITATION {"citationID":"QVFfg61P","properties":{"formattedCitation":"(9)","plainCitation":"(9)","noteIndex":0},"citationItems":[{"id":78,"uris":["http://zotero.org/users/local/OxFKn8nN/items/X3RT9Z7B"],"uri":["http://zotero.org/users/local/OxFKn8nN/items/X3RT9Z7B"],"itemData":{"id":78,"type":"article-journal","title":"Association of British Neurologists: revised (2015) guidelines for prescribing disease-modifying treatments in multiple sclerosis","container-title":"Practical Neurology","page":"273","volume":"15","issue":"4","abstract":"In June 1999, the Association of British Neurologists (ABN) first published guidelines for the use of the licensed multiple sclerosis (MS) disease-modifying treatments (at that time β-interferon and glatiramer acetate). The guidelines were revised in 2001 and have been periodically updated since then. In 2002, following the negative assessment of these treatments by the National Institute for Health and Care Excellence (NICE), the MS risk-sharing scheme started, in which patients eligible according to the 2001 ABN guidelines were provided with treatment funded through the UK National Health Service (NHS), and monitored annually for up to 10 years.1 Recruitment to the risk-sharing scheme cohort is complete. Pending a future final evaluation, the UK Department of Health's instruction to NHS funders remains in place: that patients who fulfil the ABN criteria should continue to receive treatment funded through the NHS. The British neurological community has fully accepted the risk-sharing scheme for prescribing β-interferon and glatiramer acetate. Approximately 70 ‘treating centres’ have recruited &amp;gt;5000 patients between 2002 and 2005, and these have been monitored annually for 10 years; many more patients have received these treatments since 2005. The ABN published revised guidelines in 2007, and then again in 2009, following the licensing of natalizumab and mitoxantrone.This 2015 revised guideline replaces former versions. It includes all newly approved or licensed treatments for MS and represents a consensus concerning their use. These guidelines will require future revision as other treatments receive approval (eg, daclizumab and ocrelizumab): we suggest they are reviewed after an interval of no longer than 12 months. The guideline is not intended to provide a complete description of the possible complications and monitoring of disease-modifying treatments in MS; we refer prescribing neurologists to the relevant summaries of product characteristics.MS is a complex disease. Perhaps uniquely in neurology its clinical course is characterised …","DOI":"10.1136/practneurol-2015-001139","journalAbbreviation":"Pract Neurol","author":[{"family":"Scolding","given":"Neil"},{"family":"Barnes","given":"David"},{"family":"Cader","given":"Sarah"},{"family":"Chataway","given":"Jeremy"},{"family":"Chaudhuri","given":"Abhijit"},{"family":"Coles","given":"Alasdair"},{"family":"Giovannoni","given":"Gavin"},{"family":"Miller","given":"David"},{"family":"Rashid","given":"Waqar"},{"family":"Schmierer","given":"Klaus"},{"family":"Shehu","given":"Abdullah"},{"family":"Silber","given":"Eli"},{"family":"Young","given":"Carolyn"},{"family":"Zajicek","given":"John"}],"issued":{"date-parts":[["2015",8,1]]}}}],"schema":"https://github.com/citation-style-language/schema/raw/master/csl-citation.json"} </w:instrText>
      </w:r>
      <w:r w:rsidR="00C564EC">
        <w:rPr>
          <w:rFonts w:ascii="Times New Roman" w:hAnsi="Times New Roman" w:cs="Times New Roman"/>
          <w:color w:val="000000" w:themeColor="text1"/>
          <w:sz w:val="20"/>
          <w:szCs w:val="20"/>
        </w:rPr>
        <w:fldChar w:fldCharType="separate"/>
      </w:r>
      <w:r w:rsidR="00BB07A0">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9</w:t>
      </w:r>
      <w:r w:rsidR="00BB07A0">
        <w:rPr>
          <w:rFonts w:ascii="Times New Roman" w:hAnsi="Times New Roman" w:cs="Times New Roman"/>
          <w:color w:val="000000"/>
          <w:sz w:val="20"/>
          <w:u w:val="dash"/>
          <w:lang w:val="en-US"/>
        </w:rPr>
        <w:t>]</w:t>
      </w:r>
      <w:r w:rsidR="00C564EC">
        <w:rPr>
          <w:rFonts w:ascii="Times New Roman" w:hAnsi="Times New Roman" w:cs="Times New Roman"/>
          <w:color w:val="000000" w:themeColor="text1"/>
          <w:sz w:val="20"/>
          <w:szCs w:val="20"/>
        </w:rPr>
        <w:fldChar w:fldCharType="end"/>
      </w:r>
      <w:r w:rsidR="003A5653">
        <w:rPr>
          <w:rFonts w:ascii="Times New Roman" w:hAnsi="Times New Roman" w:cs="Times New Roman"/>
          <w:color w:val="000000" w:themeColor="text1"/>
          <w:sz w:val="20"/>
          <w:szCs w:val="20"/>
        </w:rPr>
        <w:t>.</w:t>
      </w:r>
      <w:r w:rsidR="00B3305B">
        <w:rPr>
          <w:rFonts w:ascii="Times New Roman" w:hAnsi="Times New Roman" w:cs="Times New Roman"/>
          <w:color w:val="000000" w:themeColor="text1"/>
          <w:sz w:val="20"/>
          <w:szCs w:val="20"/>
        </w:rPr>
        <w:t xml:space="preserve"> </w:t>
      </w:r>
      <w:r w:rsidR="003A5653">
        <w:rPr>
          <w:rFonts w:ascii="Times New Roman" w:hAnsi="Times New Roman" w:cs="Times New Roman"/>
          <w:color w:val="000000" w:themeColor="text1"/>
          <w:sz w:val="20"/>
          <w:szCs w:val="20"/>
        </w:rPr>
        <w:t>T</w:t>
      </w:r>
      <w:r w:rsidR="00B3305B">
        <w:rPr>
          <w:rFonts w:ascii="Times New Roman" w:hAnsi="Times New Roman" w:cs="Times New Roman"/>
          <w:color w:val="000000" w:themeColor="text1"/>
          <w:sz w:val="20"/>
          <w:szCs w:val="20"/>
        </w:rPr>
        <w:t>hese</w:t>
      </w:r>
      <w:r w:rsidR="00EC5F62">
        <w:rPr>
          <w:rFonts w:ascii="Times New Roman" w:hAnsi="Times New Roman" w:cs="Times New Roman"/>
          <w:color w:val="000000" w:themeColor="text1"/>
          <w:sz w:val="20"/>
          <w:szCs w:val="20"/>
        </w:rPr>
        <w:t xml:space="preserve"> </w:t>
      </w:r>
      <w:r w:rsidR="008F0DCD" w:rsidRPr="00003E8D">
        <w:rPr>
          <w:rFonts w:ascii="Times New Roman" w:hAnsi="Times New Roman" w:cs="Times New Roman"/>
          <w:color w:val="000000" w:themeColor="text1"/>
          <w:sz w:val="20"/>
          <w:szCs w:val="20"/>
        </w:rPr>
        <w:t>disease modifying treatments (DMTs)</w:t>
      </w:r>
      <w:r w:rsidR="00EC5F62">
        <w:rPr>
          <w:rFonts w:ascii="Times New Roman" w:hAnsi="Times New Roman" w:cs="Times New Roman"/>
          <w:color w:val="000000" w:themeColor="text1"/>
          <w:sz w:val="20"/>
          <w:szCs w:val="20"/>
        </w:rPr>
        <w:t xml:space="preserve"> </w:t>
      </w:r>
      <w:r w:rsidR="002F7D61" w:rsidRPr="00003E8D">
        <w:rPr>
          <w:rFonts w:ascii="Times New Roman" w:hAnsi="Times New Roman" w:cs="Times New Roman"/>
          <w:color w:val="000000" w:themeColor="text1"/>
          <w:sz w:val="20"/>
          <w:szCs w:val="20"/>
        </w:rPr>
        <w:t>reduce the incidence and severity of new lesions by limiting the activity</w:t>
      </w:r>
      <w:r w:rsidR="00635654" w:rsidRPr="00003E8D">
        <w:rPr>
          <w:rFonts w:ascii="Times New Roman" w:hAnsi="Times New Roman" w:cs="Times New Roman"/>
          <w:color w:val="000000" w:themeColor="text1"/>
          <w:sz w:val="20"/>
          <w:szCs w:val="20"/>
        </w:rPr>
        <w:t xml:space="preserve"> and availability</w:t>
      </w:r>
      <w:r w:rsidR="00EC5F62">
        <w:rPr>
          <w:rFonts w:ascii="Times New Roman" w:hAnsi="Times New Roman" w:cs="Times New Roman"/>
          <w:color w:val="000000" w:themeColor="text1"/>
          <w:sz w:val="20"/>
          <w:szCs w:val="20"/>
        </w:rPr>
        <w:t xml:space="preserve"> of immune cells,</w:t>
      </w:r>
      <w:r w:rsidR="00C13C0C" w:rsidRPr="00003E8D">
        <w:rPr>
          <w:rFonts w:ascii="Times New Roman" w:hAnsi="Times New Roman" w:cs="Times New Roman"/>
          <w:color w:val="000000" w:themeColor="text1"/>
          <w:sz w:val="20"/>
          <w:szCs w:val="20"/>
        </w:rPr>
        <w:t xml:space="preserve"> </w:t>
      </w:r>
      <w:r w:rsidR="009A63C2" w:rsidRPr="00003E8D">
        <w:rPr>
          <w:rFonts w:ascii="Times New Roman" w:hAnsi="Times New Roman" w:cs="Times New Roman"/>
          <w:color w:val="000000" w:themeColor="text1"/>
          <w:sz w:val="20"/>
          <w:szCs w:val="20"/>
        </w:rPr>
        <w:t>manifest</w:t>
      </w:r>
      <w:r w:rsidR="00B3305B">
        <w:rPr>
          <w:rFonts w:ascii="Times New Roman" w:hAnsi="Times New Roman" w:cs="Times New Roman"/>
          <w:color w:val="000000" w:themeColor="text1"/>
          <w:sz w:val="20"/>
          <w:szCs w:val="20"/>
        </w:rPr>
        <w:t>ing</w:t>
      </w:r>
      <w:r w:rsidR="009A63C2" w:rsidRPr="00003E8D">
        <w:rPr>
          <w:rFonts w:ascii="Times New Roman" w:hAnsi="Times New Roman" w:cs="Times New Roman"/>
          <w:color w:val="000000" w:themeColor="text1"/>
          <w:sz w:val="20"/>
          <w:szCs w:val="20"/>
        </w:rPr>
        <w:t xml:space="preserve"> </w:t>
      </w:r>
      <w:r w:rsidR="001E3FF0">
        <w:rPr>
          <w:rFonts w:ascii="Times New Roman" w:hAnsi="Times New Roman" w:cs="Times New Roman"/>
          <w:color w:val="000000" w:themeColor="text1"/>
          <w:sz w:val="20"/>
          <w:szCs w:val="20"/>
        </w:rPr>
        <w:t xml:space="preserve">clinically </w:t>
      </w:r>
      <w:r w:rsidR="00EC5F62">
        <w:rPr>
          <w:rFonts w:ascii="Times New Roman" w:hAnsi="Times New Roman" w:cs="Times New Roman"/>
          <w:color w:val="000000" w:themeColor="text1"/>
          <w:sz w:val="20"/>
          <w:szCs w:val="20"/>
        </w:rPr>
        <w:t>through</w:t>
      </w:r>
      <w:r w:rsidR="009A63C2" w:rsidRPr="00003E8D">
        <w:rPr>
          <w:rFonts w:ascii="Times New Roman" w:hAnsi="Times New Roman" w:cs="Times New Roman"/>
          <w:color w:val="000000" w:themeColor="text1"/>
          <w:sz w:val="20"/>
          <w:szCs w:val="20"/>
        </w:rPr>
        <w:t xml:space="preserve"> reduction</w:t>
      </w:r>
      <w:r w:rsidR="00EC5F62">
        <w:rPr>
          <w:rFonts w:ascii="Times New Roman" w:hAnsi="Times New Roman" w:cs="Times New Roman"/>
          <w:color w:val="000000" w:themeColor="text1"/>
          <w:sz w:val="20"/>
          <w:szCs w:val="20"/>
        </w:rPr>
        <w:t>s</w:t>
      </w:r>
      <w:r w:rsidR="009A63C2" w:rsidRPr="00003E8D">
        <w:rPr>
          <w:rFonts w:ascii="Times New Roman" w:hAnsi="Times New Roman" w:cs="Times New Roman"/>
          <w:color w:val="000000" w:themeColor="text1"/>
          <w:sz w:val="20"/>
          <w:szCs w:val="20"/>
        </w:rPr>
        <w:t xml:space="preserve"> in </w:t>
      </w:r>
      <w:r w:rsidR="00AB58A9" w:rsidRPr="00003E8D">
        <w:rPr>
          <w:rFonts w:ascii="Times New Roman" w:hAnsi="Times New Roman" w:cs="Times New Roman"/>
          <w:color w:val="000000" w:themeColor="text1"/>
          <w:sz w:val="20"/>
          <w:szCs w:val="20"/>
        </w:rPr>
        <w:t>relapse rate</w:t>
      </w:r>
      <w:r w:rsidR="001504B4" w:rsidRPr="00003E8D">
        <w:rPr>
          <w:rFonts w:ascii="Times New Roman" w:hAnsi="Times New Roman" w:cs="Times New Roman"/>
          <w:color w:val="000000" w:themeColor="text1"/>
          <w:sz w:val="20"/>
          <w:szCs w:val="20"/>
        </w:rPr>
        <w:t>s</w:t>
      </w:r>
      <w:r w:rsidR="00AB58A9" w:rsidRPr="00003E8D">
        <w:rPr>
          <w:rFonts w:ascii="Times New Roman" w:hAnsi="Times New Roman" w:cs="Times New Roman"/>
          <w:color w:val="000000" w:themeColor="text1"/>
          <w:sz w:val="20"/>
          <w:szCs w:val="20"/>
        </w:rPr>
        <w:t xml:space="preserve"> and disability accrua</w:t>
      </w:r>
      <w:r w:rsidR="00C564EC">
        <w:rPr>
          <w:rFonts w:ascii="Times New Roman" w:hAnsi="Times New Roman" w:cs="Times New Roman"/>
          <w:color w:val="000000" w:themeColor="text1"/>
          <w:sz w:val="20"/>
          <w:szCs w:val="20"/>
        </w:rPr>
        <w:t>l</w:t>
      </w:r>
      <w:r w:rsidR="00C564EC">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ct5eIYYD","properties":{"formattedCitation":"(10\\uc0\\u8211{}19)","plainCitation":"(10–19)","noteIndex":0},"citationItems":[{"id":84,"uris":["http://zotero.org/users/local/OxFKn8nN/items/W5E6IF2A"],"uri":["http://zotero.org/users/local/OxFKn8nN/items/W5E6IF2A"],"itemData":{"id":84,"type":"article-journal","title":"Randomised double-blind placebo-controlled study of interferon β-1a in relapsing/remitting multiple sclerosis","container-title":"The Lancet","page":"1498-1504","volume":"352","issue":"9139","DOI":"10.1016/S0140-6736(98)03334-0","ISSN":"0140-6736","author":[{"family":"Ebers","given":"George C"}],"issued":{"date-parts":[["1998",11,7]]}}},{"id":88,"uris":["http://zotero.org/users/local/OxFKn8nN/items</w:instrText>
      </w:r>
      <w:r w:rsidR="008F64AB">
        <w:rPr>
          <w:rFonts w:ascii="Times New Roman" w:hAnsi="Times New Roman" w:cs="Times New Roman" w:hint="eastAsia"/>
          <w:color w:val="000000" w:themeColor="text1"/>
          <w:sz w:val="20"/>
          <w:szCs w:val="20"/>
        </w:rPr>
        <w:instrText>/XKA75P5G"],"uri":["http://zotero.org/users/local/OxFKn8nN/items/XKA75P5G"],"itemData":{"id":88,"type":"article-journal","title":"Copolymer 1 reduces relapse rate and improves disability in relapsing</w:instrText>
      </w:r>
      <w:r w:rsidR="008F64AB">
        <w:rPr>
          <w:rFonts w:ascii="Times New Roman" w:hAnsi="Times New Roman" w:cs="Times New Roman" w:hint="eastAsia"/>
          <w:color w:val="000000" w:themeColor="text1"/>
          <w:sz w:val="20"/>
          <w:szCs w:val="20"/>
        </w:rPr>
        <w:instrText>‐</w:instrText>
      </w:r>
      <w:r w:rsidR="008F64AB">
        <w:rPr>
          <w:rFonts w:ascii="Times New Roman" w:hAnsi="Times New Roman" w:cs="Times New Roman" w:hint="eastAsia"/>
          <w:color w:val="000000" w:themeColor="text1"/>
          <w:sz w:val="20"/>
          <w:szCs w:val="20"/>
        </w:rPr>
        <w:instrText>remitting multiple sclerosis","container-title":"Neurol</w:instrText>
      </w:r>
      <w:r w:rsidR="008F64AB">
        <w:rPr>
          <w:rFonts w:ascii="Times New Roman" w:hAnsi="Times New Roman" w:cs="Times New Roman"/>
          <w:color w:val="000000" w:themeColor="text1"/>
          <w:sz w:val="20"/>
          <w:szCs w:val="20"/>
        </w:rPr>
        <w:instrText xml:space="preserve">ogy","page":"1268","volume":"45","issue":"7","abstract":"we studied copolymer 1 (Copaxone) in a multicenter (11-university) phase III trial of patients with relapsing-remitting multiple sclerosis (MS). Two hundred fifty-one patients were randomized to receive copolymer 1 (n = 125) or placebo (n = 126) at a dosage of 20 mg by daily subcutaneous injection for 2 years. The primary end point was a difference in the MS relapse rate. The final 2-year relapse rate was 1.19 ± 0.13 for patients receiving copolymer 1 and 1.68 ± 0.13 for those receiving placebo, a 29% reduction in favor of copolymer 1 (p = 0.007) (annualized rates = 0.59 for copolymer 1 and 0.84 for placebo). Trends in the proportion of relapse-free patients and median time to first relapse favored copolymer 1. Disability was measured by the Expanded Disability Status Scale (EDSS), using a two-neurologist (examining and treating) protocol. When the proportion of patients who improved, were unchanged, or worsened by ≥1 EDSS step from baseline to conclusion (2 years) was evaluated, significantly more patients receiving copolymer 1 were found to have improved and more receiving placebo worsened (p = 0.037). Patient withdrawals were 19 (15.2%) from the copolymer 1 group and 17 (13.5%) from the placebo group at approximately the same intervals. The treatment was well tolerated. The most common adverse experience was an injection-site reaction. Rarely, a transient self-limited systemic reaction followed the injection in 15.2% of those receiving copolymer 1 and 3.2% of those receiving placebo. This reaction was characterized by flushing or chest tightness with palpitations, anxiety, or dyspnea and commonly lasted for 30 seconds to 30 minutes. This rigorous study confirmed the findings of a previous pilot trial and demonstrated that copolymer 1 treatment can significantly and beneficially alter the course of relapsing-remitting MS in a well-tolerated fashion.","DOI":"10.1212/WNL.45.7.1268","journalAbbreviation":"Neurology","author":[{"family":"Johnson","given":"K. P."},{"family":"Brooks","given":"B. R."},{"family":"Cohen","given":"J. A."},{"family":"Ford","given":"C. C."},{"family":"Goldstein","given":"J."},{"family":"Lisak","given":"R. P."},{"family":"Myers","given":"L. W."},{"family":"Panitch","given":"H. S."},{"family":"Rose","given":"J. W."},{"family":"Schiffer","given":"R. B."},{"family":"Vollmer","given":"T."},{"family":"Weiner","given":"L. P."},{"family":"Wolinsky","given":"J. S."}],"issued":{"date-parts":[["1995",7,1]]}}},{"id":95,"uris":["http://zotero.org/users/local/OxFKn8nN/items/V9DYIPCV"],"uri":["http://zotero.org/users/local/OxFKn8nN/items/V9DYIPCV"],"itemData":{"id":95,"type":"article-journal","title":"Oral teriflunomide for patients with relapsing multiple sclerosis (TOWER): a randomised, double-blind, placebo-controlled, phase 3 trial","container-title":"The Lancet Neurology","page":"247-256","volume":"13","issue":"3","DOI":"10.1016/S1474-4422(13)70308-9","ISSN":"1474-4422","author":[{"family":"Confavreux","given":"Christian"},{"family":"O'Connor","given":"Paul"},{"family":"Comi","given":"Giancarlo"},{"family":"Freedman","given":"Mark S"},{"family":"Miller","given":"Aaron E"},{"family":"Olsson","given":"Tomas P"},{"family":"Wolinsky","given":"Jerry S"},{"family":"Bagulho","given":"Teresa"},{"family":"Delhay","given":"Jean-Luc"},{"family":"Dukovic","given":"Deborah"},{"family":"Truffinet","given":"Philippe"},{"family":"Kappos","given":"Ludwig"}],"issued":{"date-parts":[["2014",3,1]]}}},{"id":98,"uris":["http://zotero.org/users/local/OxFKn8nN/items/LFNFTTIR"],"uri":["http://zotero.org/users/local/OxFKn8nN/items/LFNFTTIR"],"itemData":{"id":98,"type":"article-journal","title":"Placebo-Controlled Phase 3 Study of Oral BG-12 for Relapsing Multiple Sclerosis","container-title":"New England Journal of Medicine","page":"1098-1107","volume":"367","issue":"12","DOI":"10.1056/NEJMoa1114287","ISSN":"0028-4793","journalAbbreviation":"N Engl J Med","author":[{"family":"Gold","given":"Ralf"},{"family":"Kappos","given":"Ludwig"},{"family":"Arnold","given":"Douglas L."},{"family":"Bar-Or","given":"Amit"},{"family":"Giovannoni","given":"Gavin"},{"family":"Selmaj","given":"Krzysztof"},{"family":"Tornatore","given":"Carlo"},{"family":"Sweetser","given":"Marianne T."},{"family":"Yang","given":"Minhua"},{"family":"Sheikh","given":"Sarah I."},{"family":"Dawson","given":"Katherine T."}],"issued":{"date-parts":[["2012",9,19]]}}},{"id":104,"uris":["http://zotero.org/users/local/OxFKn8nN/items/R9TZU52N"],"uri":["http://zotero.org/users/local/OxFKn8nN/items/R9TZU52N"],"itemData":{"id":104,"type":"article-journal","title":"Safety and efficacy of fingolimod in patients with relapsing-remitting multiple sclerosis (FREEDOMS II): a double-blind, randomised, placebo-controlled, phase 3 trial","container-title":"The Lancet Neurology","page":"545-556","volume":"13","issue":"6","abstract":"Summary\nBackground\nFingolimod has shown reductions in clinical and MRI disease activity in patients with relapsing-remitting multiple sclerosis. We further assessed the efficacy and safety of fingolimod in such patients.\nMethods\nWe did this placebo-controlled, double-blind phase 3 study predominantly in the USA (101 of 117 centres). Using a computer-generated sequence, we randomly allocated eligible patients—those aged 18–55 years with relapsing-remitting multiple sclerosis—to receive fingolimod 0·5 mg, fingolimod 1·25 mg, or placebo orally once daily (1:1:1; stratified by study centre). On Nov 12, 2009, all patients assigned to fingolimod 1·25 mg were switched to the 0·5 mg dose in a blinded manner after a review of data from other phase 3 trials and recommendation from the data and safety monitoring board, but were analysed as being in the 1·25 mg group in the primary outcome analysis. Our primary endpoint was annualised relapse rate at month 24, analysed by intention to treat. Secondary endpoints included percentage brain volume change (PBVC) from baseline and time-to-disability-progression confirmed at 3 months. This trial is registered with ClinicalTrilals.gov, number NCT00355134.\nFindings\nBetween June 30, 2006, and March 4, 2009, we enrolled and randomly allocated 1083 patients: 370 to fingolimod 1·25 mg, 358 to fingolimod 0·5 mg, and 355 to placebo. Mean annualised relapse rate was 0·40 (95% CI 0·34–0·48) in patients given placebo and 0·21 (0·17–0·25) in patients given fingolimod 0·5 mg: rate ratio 0·52 (95% CI 0·40–0·66; p&lt;0·0001), corresponding to a reduction of 48% with fingolimod 0·5 mg versus placebo. Mean PBVC was −0·86 (SD 1·22) for fingolimod 0·5 mg versus −1·28 (1·50) for placebo (treatment difference −0·41, 95% CI −0·62 to −0·20; p=0·0002). We recorded no statistically significant between-group difference in confirmed disability progression (hazard rate 0·83 with fingolimod 0·5 mg vs placebo; 95% CI 0·61–1·12; p=0·227). Fingolimod 0·5 mg caused more of the following adverse events versus placebo: lymphopenia (27 [8%] patients vs 0 patients), increased alanine aminotransferase (29 [8%] vs six [2%]), herpes zoster infection (nine [3%] vs three [1%]), hypertension (32 [9%] vs 11 [3%]), first-dose bradycardia (five [1%] vs one [&lt;0·5%]), and first-degree atrioventricular block (17 [5%] vs seven [2%]). 53 (15%) of 358 patients given fingolimod 0·5 mg and 45 (13%) of 355 patients given placebo had serious adverse events over 24 months, which included basal-cell carcinoma (ten [3%] patients vs two [1%] patients), macular oedema (three [1%] vs two [1%]), infections (11 [3%] vs four [1%]), and neoplasms (13 [4%] vs eight [2%]).\nInterpretation\nOur findings expand knowledge of the safety profile of fingolimod and strengthen evidence for its beneficial effects on relapse rates in patients with relapsing-remitting multiple sclerosis. We saw no effect of fingolimod on disability progression. Our findings substantiate the beneficial profile of fingolimod as a disease-modifying agent in the management of patients with relapsing-remitting multiple sclerosis.\nFunding\nNovartis Pharma AG.","DOI":"10.1016/S1474-4422(14)70049-3","ISSN":"1474-4422","journalAbbreviation":"The Lancet Neurology","author":[{"family":"Calabresi","given":"Peter A"},{"family":"Radue","given":"Ernst-Wilhelm"},{"family":"Goodin","given":"Douglas"},{"family":"Jeffery","given":"Douglas"},{"family":"Rammohan","given":"Kottil W"},{"family":"Reder","given":"Anthony T"},{"family":"Vollmer","given":"Timothy"},{"family":"Agius","given":"Mark A"},{"family":"Kappos","given":"Ludwig"},{"family":"Stites","given":"Tracy"},{"family":"Li","given":"Bingbing"},{"family":"Cappiello","given":"Linda"},{"family":"Rosenstiel","given":"Philipp","non-dropping-particle":"von"},{"family":"Lublin","given":"Fred D"}],"issued":{"date-parts":[["2014",6,1]]}}},{"id":107,"uris":["http://zotero.org/users/local/OxFKn8nN/items/NPA5IH9I"],"uri":["http://zotero.org/users/local/OxFKn8nN/items/NPA5IH9I"],"itemData":{"id":107,"type":"article-journal","title":"A Placebo-Controlled Trial of Oral Cladribine for Relapsing Multiple Sclerosis","container-title":"New England Journal of Medicine","page":"416-426","volume":"362","issue":"5","DOI":"10.1056/NEJMoa0902533","ISSN":"0028-4793","journalAbbreviation":"N Engl J Med","author":[{"family":"Giovannoni","given":"Gavin"},{"family":"Comi","given":"Giancarlo"},{"family":"Cook","given":"Stuart"},{"family":"Rammohan","given":"Kottil"},{"family":"Rieckmann","given":"Peter"},{"family":"Sørensen","given":"Per Soelberg"},{"family":"Vermersch","given":"Patrick"},{"family":"Chang","given":"Peter"},{"family":"Hamlett","given":"Anthony"},{"family":"Musch","given":"Bruno"},{"family":"Greenberg","given":"Steven J."}],"issued":{"date-parts":[["2010",2,4]]}}},{"id":109,"uris":["http://zotero.org/users/local/OxFKn8nN/items/3PKUTH6N"],"uri":["http://zotero.org/users/local/OxFKn8nN/items/3PKUTH6N"],"itemData":{"id":109,"type":"article-journal","title":"A Randomized, Placebo-Controlled Trial of Natalizumab for Relapsing Multiple Sclerosis","container-title":"New England Journal of Medicine","page":"899-910","volume":"354","issue":"9","DOI":"10.1056/NEJMoa044397","ISSN":"0028-4793","journalAbbreviation":"N Engl J Med","author":[{"family":"Polman","given":"Chris H."},{"family":"O'Connor","given":"Paul W."},{"family":"Havrdova","given":"Eva"},{"family":"Hutchinson","given":"Michael"},{"family":"Kappos","given":"Ludwig"},{"family":"Miller","given":"David H."},{"family":"Phillips","given":"J. Theodore"},{"family":"Lublin","given":"Fred D."},{"family":"Giovannoni","given":"Gavin"},{"family":"Wajgt","given":"Andrzej"},{"family":"Toal","given":"Martin"},{"family":"Lynn","given":"Frances"},{"family":"Panzara","given":"Michael A."},{"family":"Sandrock","given":"Alfred W."}],"issued":{"date-parts":[["2006",3,2]]}}},{"id":112,"uris":["http://zotero.org/users/local/OxFKn8nN/items/PPZ63ZDA"],"uri":["http://zotero.org/users/local/OxFKn8nN/items/PPZ63ZDA"],"itemData":{"id":112,"type":"article-journal","title":"Alemtuzumab for patients with relapsing multiple sclerosis after disease-modifying therapy: a randomised controlled phase 3 trial","container-title":"The Lancet","page":"1829-1839","volume":"380","issue":"9856","DOI":"10.1016/S0140-6736(12)61768-1","ISSN":"0140-6736","author":[{"family":"Coles","given":"Alasdair J"},{"family":"Twyman","given":"Cary L"},{"family":"Arnold","given":"Douglas L"},{"family":"Cohen","given":"Jeffrey A"},{"family":"Confavreux","given":"Christian"},{"family":"Fox","given":"Edward J"},{"family":"Hartung","given":"Hans-Peter"},{"family":"Havrdova","given":"Eva"},{"family":"Selmaj","given":"Krzysztof W"},{"family":"Weiner","given":"Howard L"},{"family":"Miller","given":"Tamara"},{"family":"Fisher","given":"Elizabeth"},{"family":"Sandbrink","given":"Rupert"},{"family":"Lake","given":"Stephen L"},{"family":"Margolin","given":"David H"},{"family":"Oyuela","given":"Pedro"},{"family":"Panzara","given":"Michael A"},{"family":"Compston","given":"D Alastair S"}],"issued":{"date-parts":[["2012",11,24]]}}},{"id":115,"uris":["http://zotero.org/users/local/OxFKn8nN/items/LMLR2BIR"],"uri":["http://zotero.org/users/local/OxFKn8nN/items/LMLR2BIR"],"itemData":{"id":115,"type":"article-journal","title":"Alemtuzumab versus interferon beta 1a as first-line treatment for patients with relapsing-remitting multiple sclerosis: a randomised controlled phase 3 trial","container-title":"The Lancet","page":"1819-1828","volume":"380","issue":"9856","abstract":"Summary\nBackground\nThe anti-CD52 monoclonal antibody alemtuzumab reduced disease activity in a phase 2 trial of previously untreated patients with relapsing-remitting multiple sclerosis. We aimed to assess efficacy and safety of first-line alemtuzumab compared with interferon beta 1a in a phase 3 trial.\nMethods\nIn our 2 year, rater-masked, randomised controlled phase 3 trial, we enrolled adults aged 18–50 years with previously untreated relapsing-remitting multiple sclerosis. Eligible participants were randomly allocated in a 2:1 ratio by an interactive voice response system, stratified by site, to receive intravenous alemtuzumab 12 mg per day or subcutaneous interferon beta 1a 44 μg. Interferon beta 1a was given three-times per week and alemtuzumab was given once per day for 5 days at baseline and once per day for 3 days at 12 months. Coprimary endpoints were relapse rate and time to 6 month sustained accumulation of disability in all patients who received at least one dose of study drug. This study is registered with ClinicalTrials.gov, number NCT00530348.\nFindings\n187 (96%) of 195 patients randomly allocated interferon beta 1a and 376 (97%) of 386 patients randomly allocated alemtuzumab were included in the primary analyses. 75 (40%) patients in the interferon beta 1a group relapsed (122 events) compared with 82 (22%) patients in the alemtuzumab group (119 events; rate ratio 0·45 [95% CI 0·32–0·63]; p&lt;0.0001), corresponding to a 54·9% improvement with alemtuzumab. Based on Kaplan-Meier estimates, 59% of patients in the interferon beta 1a group were relapse-free at 2 years compared with 78% of patients in the alemtuzumab group (p&lt;0·0001). 20 (11%) of patients in the interferon beta 1a group had sustained accumulation of disability compared with 30 (8%) in the alemtuzumab group (hazard ratio 0·70 [95% CI 0·40–1·23]; p=0·22). 338 (90%) of patients in the alemtuzumab group had infusion-associated reactions; 12 (3%) of which were regarded as serious. Infections, predominantly of mild or moderate severity, occurred in 253 (67%) patients treated with alemtuzumab versus 85 (45%) patients treated with interferon beta 1a. 62 (16%) patients treated with alemtuzumab had herpes infections (predominantly cutaneous) compared with three (2%) patients treated with interferon beta 1a. By 24 months, 68 (18%) patients in the alemtuzumab group had thyroid-associated adverse events compared with 12 (6%) in the interferon beta 1a group, and three (1%) had immune thrombocytopenia compared with none in the interferon beta 1a group. Two patients in the alemtuzumab group developed thyroid papillary carcinoma.\nInterpretation\nAlemtuzumab's consistent safety profile and benefit in terms of reductions of relapse support its use for patients with previously untreated relapsing-remitting multiple sclerosis; however, benefit in terms of disability endpoints noted in previous trials was not observed here.\nFunding\nGenzyme (Sanofi) and Bayer Schering Pharma.","DOI":"10.1016/S0140-6736(12)61769-3","ISSN":"0140-6736","journalAbbreviation":"The Lancet","author":[{"family":"Cohen","given":"Jeffrey A"},{"family":"Coles","given":"Alasdair J"},{"family":"Arnold","given":"Douglas L"},{"family":"Confavreux","given":"Christian"},{"family":"Fox","given":"Edward J"},{"family":"Hartung","given":"Hans-Peter"},{"family":"Havrdova","given":"Eva"},{"family":"Selmaj","given":"Krzysztof W"},{"family":"Weiner","given":"Howard L"},{"family":"Fisher","given":"Elizabeth"},{"family":"Brinar","given":"Vesna V"},{"family":"Giovannoni","given":"Gavin"},{"family":"Stojanovic","given":"Miroslav"},{"family":"Ertik","given":"Bella I"},{"family":"Lake","given":"Stephen L"},{"family":"Margolin","given":"David H"},{"family":"Panzara","given":"Michael A"},{"family":"Compston","given":"D Alastair S"}],"issued":{"date-parts":[["2012",11,24]]}}},{"id":120,"uris":["http://zotero.org/users/local/OxFKn8nN/items/VZCLZJ8A"],"uri":["http://zotero.org/users/local/OxFKn8nN/items/VZCLZJ8A"],"itemData":{"id":120,"type":"article-journal","title":"Ocrelizumab versus Interferon Beta-1a in Relapsing Multiple Sclerosis","container-title":"New England Journal of Medicine","page":"221-234","volume":"376","issue":"3","DOI":"10.1056/NEJMoa1601277","ISSN":"0028-4793","journalAbbreviation":"N Engl J Med","author":[{"family":"Hauser","given":"Stephen L."},{"family":"Bar-Or","given":"Amit"},{"family":"Comi","given":"Giancarlo"},{"family":"Giovannoni","given":"Gavin"},{"family":"Hartung","given":"Hans-Peter"},{"family":"Hemmer","given":"Bernhard"},{"family":"Lublin","given":"Fred"},{"family":"Montalban","given":"Xavier"},{"family":"Rammohan","given":"Kottil W."},{"family":"Selmaj","given":"Krzysztof"},{"family":"Traboulsee","given":"Anthony"},{"family":"Wolinsky","given":"Jerry S."},{"family":"Arnold","given":"Douglas L."},{"family":"Klingelschmitt","given":"Gaelle"},{"family":"Masterman","given":"Donna"},{"family":"Fontoura","given":"Paulo"},{"family":"Belachew","given":"Shibeshih"},{"family":"Chin","given":"Peter"},{"family":"Mairon","given":"Nicole"},{"family":"Garren","given":"Hideki"},{"family":"Kappos","given":"Ludwig"}],"issued":{"date-parts":[["2016",12,21]]}}}],"schema":"https://github.com/citation-style-language/schema/raw/master/csl-citation.json"} </w:instrText>
      </w:r>
      <w:r w:rsidR="00C564EC">
        <w:rPr>
          <w:rFonts w:ascii="Times New Roman" w:hAnsi="Times New Roman" w:cs="Times New Roman"/>
          <w:color w:val="000000" w:themeColor="text1"/>
          <w:sz w:val="20"/>
          <w:szCs w:val="20"/>
        </w:rPr>
        <w:fldChar w:fldCharType="separate"/>
      </w:r>
      <w:r w:rsidR="00BB07A0">
        <w:rPr>
          <w:rFonts w:ascii="Times New Roman" w:hAnsi="Times New Roman" w:cs="Times New Roman"/>
          <w:color w:val="000000"/>
          <w:sz w:val="20"/>
          <w:lang w:val="en-US"/>
        </w:rPr>
        <w:t>[</w:t>
      </w:r>
      <w:r w:rsidR="00081F0D" w:rsidRPr="00DB0E48">
        <w:rPr>
          <w:rFonts w:ascii="Times New Roman" w:hAnsi="Times New Roman" w:cs="Times New Roman"/>
          <w:color w:val="000000"/>
          <w:sz w:val="20"/>
          <w:lang w:val="en-US"/>
        </w:rPr>
        <w:t>10–19</w:t>
      </w:r>
      <w:r w:rsidR="00BB07A0">
        <w:rPr>
          <w:rFonts w:ascii="Times New Roman" w:hAnsi="Times New Roman" w:cs="Times New Roman"/>
          <w:color w:val="000000"/>
          <w:sz w:val="20"/>
          <w:lang w:val="en-US"/>
        </w:rPr>
        <w:t>]</w:t>
      </w:r>
      <w:r w:rsidR="00C564EC">
        <w:rPr>
          <w:rFonts w:ascii="Times New Roman" w:hAnsi="Times New Roman" w:cs="Times New Roman"/>
          <w:color w:val="000000" w:themeColor="text1"/>
          <w:sz w:val="20"/>
          <w:szCs w:val="20"/>
        </w:rPr>
        <w:fldChar w:fldCharType="end"/>
      </w:r>
      <w:r w:rsidR="006E1F30" w:rsidRPr="00003E8D">
        <w:rPr>
          <w:rFonts w:ascii="Times New Roman" w:hAnsi="Times New Roman" w:cs="Times New Roman"/>
          <w:color w:val="000000" w:themeColor="text1"/>
          <w:sz w:val="20"/>
          <w:szCs w:val="20"/>
        </w:rPr>
        <w:t>.</w:t>
      </w:r>
      <w:r w:rsidR="00C56C5D" w:rsidRPr="00003E8D">
        <w:rPr>
          <w:rFonts w:ascii="Times New Roman" w:hAnsi="Times New Roman" w:cs="Times New Roman"/>
          <w:color w:val="000000" w:themeColor="text1"/>
          <w:sz w:val="20"/>
          <w:szCs w:val="20"/>
        </w:rPr>
        <w:t xml:space="preserve"> </w:t>
      </w:r>
      <w:r w:rsidR="001C04EF" w:rsidRPr="00003E8D">
        <w:rPr>
          <w:rFonts w:ascii="Times New Roman" w:hAnsi="Times New Roman" w:cs="Times New Roman"/>
          <w:iCs/>
          <w:color w:val="000000" w:themeColor="text1"/>
          <w:sz w:val="20"/>
          <w:szCs w:val="20"/>
          <w:lang w:val="en-US"/>
        </w:rPr>
        <w:t>However, the</w:t>
      </w:r>
      <w:r w:rsidR="00135DD3">
        <w:rPr>
          <w:rFonts w:ascii="Times New Roman" w:hAnsi="Times New Roman" w:cs="Times New Roman"/>
          <w:iCs/>
          <w:color w:val="000000" w:themeColor="text1"/>
          <w:sz w:val="20"/>
          <w:szCs w:val="20"/>
          <w:lang w:val="en-US"/>
        </w:rPr>
        <w:t xml:space="preserve"> </w:t>
      </w:r>
      <w:r w:rsidR="001C04EF" w:rsidRPr="00003E8D">
        <w:rPr>
          <w:rFonts w:ascii="Times New Roman" w:hAnsi="Times New Roman" w:cs="Times New Roman"/>
          <w:iCs/>
          <w:color w:val="000000" w:themeColor="text1"/>
          <w:sz w:val="20"/>
          <w:szCs w:val="20"/>
          <w:lang w:val="en-US"/>
        </w:rPr>
        <w:t>“therapeutic window” for treatment with these immunotherapies</w:t>
      </w:r>
      <w:r w:rsidR="00135DD3">
        <w:rPr>
          <w:rFonts w:ascii="Times New Roman" w:hAnsi="Times New Roman" w:cs="Times New Roman"/>
          <w:iCs/>
          <w:color w:val="000000" w:themeColor="text1"/>
          <w:sz w:val="20"/>
          <w:szCs w:val="20"/>
          <w:lang w:val="en-US"/>
        </w:rPr>
        <w:t xml:space="preserve"> is limite</w:t>
      </w:r>
      <w:r w:rsidR="00C564EC">
        <w:rPr>
          <w:rFonts w:ascii="Times New Roman" w:hAnsi="Times New Roman" w:cs="Times New Roman"/>
          <w:iCs/>
          <w:color w:val="000000" w:themeColor="text1"/>
          <w:sz w:val="20"/>
          <w:szCs w:val="20"/>
          <w:lang w:val="en-US"/>
        </w:rPr>
        <w:t>d</w:t>
      </w:r>
      <w:r w:rsidR="00C564EC">
        <w:rPr>
          <w:rFonts w:ascii="Times New Roman" w:hAnsi="Times New Roman" w:cs="Times New Roman"/>
          <w:iCs/>
          <w:color w:val="000000" w:themeColor="text1"/>
          <w:sz w:val="20"/>
          <w:szCs w:val="20"/>
          <w:lang w:val="en-US"/>
        </w:rPr>
        <w:fldChar w:fldCharType="begin"/>
      </w:r>
      <w:r w:rsidR="008F64AB">
        <w:rPr>
          <w:rFonts w:ascii="Times New Roman" w:hAnsi="Times New Roman" w:cs="Times New Roman"/>
          <w:iCs/>
          <w:color w:val="000000" w:themeColor="text1"/>
          <w:sz w:val="20"/>
          <w:szCs w:val="20"/>
          <w:lang w:val="en-US"/>
        </w:rPr>
        <w:instrText xml:space="preserve"> ADDIN ZOTERO_ITEM CSL_CITATION {"citationID":"MUJxnxYs","properties":{"formattedCitation":"(20)","plainCitation":"(20)","noteIndex":0},"citationItems":[{"id":111,"uris":["http://zotero.org/users/local/OxFKn8nN/items/AY8HFNHJ"],"uri":["http://zotero.org/users/local/OxFKn8nN/items/AY8HFNHJ"],"itemData":{"id":111,"type":"article-journal","title":"The window of therapeutic opportunity in multiple sclerosis","container-title":"Journal of Neurology","page":"98-108","volume":"253","issue":"1","abstract":"From 1991–2002, wetreated 58 patients with multiplesclerosis (MS) using the humanisedmonoclonal antibody, Campath–1H, which causes prolonged Tlymphocyte depletion. Clinical andsurrogate markers of inflammationwere suppressed. In both the relapsing–remitting (RR) and secondaryprogressive (SP) stages ofthe illness, Campath–1H reducedthe annual relapse rate (from 2.2 to0.19 and from 0.7 to 0.001 respectively;both p &lt; 0.001). Remarkably,MRI scans of patients with SPdisease, treated with Campath–1H 7years previously, showed no newlesion formation. However, despitethese effects on inflammation,disability was differently affecteddepending on the phase of thedisease. Patients with SPMSshowed sustained accumulation ofdisability due to uncontrolled progressionmarked by unrelentingcerebral atrophy, attributable to ongoingaxonal loss. The rate ofcerebral atrophy was greatest in patientswith established cerebralatrophy and highest inflammatorylesion burden before treatment (2.3versus 0.7 ml/year; p = 0.04). Incontrast, patients with RR diseaseshowed an impressive reduction indisability at 6 months after Campath–1H (by a mean of 1.2 EDSSpoints) perhaps owing to a suppressionof on–going inflammationin these patients with unusuallyactive disease. In addition, therewas a further significant, albeitsmaller, mean improvement indisability up to 36 months aftertreatment.We speculate that thisrepresents the beneficial effects ofearly rescue of neurons and axonsfrom a toxic inflammatory environment,and that prevention of demyelinationwill prevent long–termaxonal degeneration. These conceptsare currently being tested in acontrolled trial comparing Campath–1H and IFN–beta in the treatmentof drug–naïve patients withearly, active RR MS.","DOI":"10.1007/s00415-005-0934-5","ISSN":"1432-1459","journalAbbreviation":"Journal of Neurology","author":[{"family":"Coles","given":"A. J."},{"family":"Cox","given":"A."},{"family":"Le Page","given":"E."},{"family":"Jones","given":"J."},{"family":"Trip","given":"S. A."},{"family":"Deans","given":"J."},{"family":"Seaman","given":"S."},{"family":"Miller","given":"D. H."},{"family":"Hale","given":"G."},{"family":"Waldmann","given":"H."},{"family":"Compston","given":"D. A."}],"issued":{"date-parts":[["2006",1,1]]}}}],"schema":"https://github.com/citation-style-language/schema/raw/master/csl-citation.json"} </w:instrText>
      </w:r>
      <w:r w:rsidR="00C564EC">
        <w:rPr>
          <w:rFonts w:ascii="Times New Roman" w:hAnsi="Times New Roman" w:cs="Times New Roman"/>
          <w:iCs/>
          <w:color w:val="000000" w:themeColor="text1"/>
          <w:sz w:val="20"/>
          <w:szCs w:val="20"/>
          <w:lang w:val="en-US"/>
        </w:rPr>
        <w:fldChar w:fldCharType="separate"/>
      </w:r>
      <w:r w:rsidR="00BB07A0">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20</w:t>
      </w:r>
      <w:r w:rsidR="00BB07A0">
        <w:rPr>
          <w:rFonts w:ascii="Times New Roman" w:hAnsi="Times New Roman" w:cs="Times New Roman"/>
          <w:color w:val="000000"/>
          <w:sz w:val="20"/>
          <w:u w:val="dash"/>
          <w:lang w:val="en-US"/>
        </w:rPr>
        <w:t>]</w:t>
      </w:r>
      <w:r w:rsidR="00C564EC">
        <w:rPr>
          <w:rFonts w:ascii="Times New Roman" w:hAnsi="Times New Roman" w:cs="Times New Roman"/>
          <w:iCs/>
          <w:color w:val="000000" w:themeColor="text1"/>
          <w:sz w:val="20"/>
          <w:szCs w:val="20"/>
          <w:lang w:val="en-US"/>
        </w:rPr>
        <w:fldChar w:fldCharType="end"/>
      </w:r>
      <w:r w:rsidR="00B61D84">
        <w:rPr>
          <w:rFonts w:ascii="Times New Roman" w:hAnsi="Times New Roman" w:cs="Times New Roman"/>
          <w:iCs/>
          <w:color w:val="000000" w:themeColor="text1"/>
          <w:sz w:val="20"/>
          <w:szCs w:val="20"/>
          <w:lang w:val="en-US"/>
        </w:rPr>
        <w:t>; best long-term results on disability are seen if an anti-</w:t>
      </w:r>
      <w:r w:rsidR="005A2E50">
        <w:rPr>
          <w:rFonts w:ascii="Times New Roman" w:hAnsi="Times New Roman" w:cs="Times New Roman"/>
          <w:iCs/>
          <w:color w:val="000000" w:themeColor="text1"/>
          <w:sz w:val="20"/>
          <w:szCs w:val="20"/>
          <w:lang w:val="en-US"/>
        </w:rPr>
        <w:t>inflammatory</w:t>
      </w:r>
      <w:r w:rsidR="00B61D84">
        <w:rPr>
          <w:rFonts w:ascii="Times New Roman" w:hAnsi="Times New Roman" w:cs="Times New Roman"/>
          <w:iCs/>
          <w:color w:val="000000" w:themeColor="text1"/>
          <w:sz w:val="20"/>
          <w:szCs w:val="20"/>
          <w:lang w:val="en-US"/>
        </w:rPr>
        <w:t xml:space="preserve"> treatment is started within five years of the first c</w:t>
      </w:r>
      <w:r w:rsidR="005A2E50">
        <w:rPr>
          <w:rFonts w:ascii="Times New Roman" w:hAnsi="Times New Roman" w:cs="Times New Roman"/>
          <w:iCs/>
          <w:color w:val="000000" w:themeColor="text1"/>
          <w:sz w:val="20"/>
          <w:szCs w:val="20"/>
          <w:lang w:val="en-US"/>
        </w:rPr>
        <w:t>linical episode of demyelination in relapsing remitting disease</w:t>
      </w:r>
      <w:r w:rsidR="008F64AB">
        <w:rPr>
          <w:rFonts w:ascii="Times New Roman" w:hAnsi="Times New Roman" w:cs="Times New Roman"/>
          <w:iCs/>
          <w:color w:val="000000" w:themeColor="text1"/>
          <w:sz w:val="20"/>
          <w:szCs w:val="20"/>
          <w:lang w:val="en-US"/>
        </w:rPr>
        <w:fldChar w:fldCharType="begin"/>
      </w:r>
      <w:r w:rsidR="008F64AB">
        <w:rPr>
          <w:rFonts w:ascii="Times New Roman" w:hAnsi="Times New Roman" w:cs="Times New Roman"/>
          <w:iCs/>
          <w:color w:val="000000" w:themeColor="text1"/>
          <w:sz w:val="20"/>
          <w:szCs w:val="20"/>
          <w:lang w:val="en-US"/>
        </w:rPr>
        <w:instrText xml:space="preserve"> ADDIN ZOTERO_ITEM CSL_CITATION {"citationID":"hqDVtn7S","properties":{"formattedCitation":"(21)","plainCitation":"(21)","noteIndex":0},"citationItems":[{"id":277,"uris":["http://zotero.org/users/local/OxFKn8nN/items/QE72KDXK"],"uri":["http://zotero.org/users/local/OxFKn8nN/items/QE72KDXK"],"itemData":{"id":277,"type":"article-journal","title":"Association of Initial Disease-Modifying Therapy With Later Conversion to Secondary Progressive Multiple SclerosisAssociation Between Initial DMT and Conversion to Secondary Progressive Disease in Relapsing-Remitting MSAssociation Between Initial DMT and Conversion to Secondary Progressive Disease in Relapsing-Remitting MS","container-title":"JAMA","page":"175-187","volume":"321","issue":"2","abstract":"Within 2 decades of onset, 80% of untreated patients with relapsing-remitting multiple sclerosis (MS) convert to a phase of irreversible disability accrual termed secondary progressive MS. The association between disease-modifying treatments (DMTs), and this conversion has rarely been studied and never using a validated definition.To determine the association between the use, the type of, and the timing of DMTs with the risk of conversion to secondary progressive MS diagnosed with a validated definition.Cohort study with prospective data from 68 neurology centers in 21 countries examining patients with relapsing-remitting MS commencing DMTs (or clinical monitoring) between 1988-2012 with minimum 4 years’ follow-up.The use, type, and timing of the following DMTs: interferon beta, glatiramer acetate, fingolimod, natalizumab, or alemtuzumab. After propensity-score matching, 1555 patients were included (last follow-up, February 14, 2017).Conversion to objectively defined secondary progressive MS.Of the 1555 patients, 1123 were female (mean baseline age, 35 years [SD, 10]). Patients initially treated with glatiramer acetate or interferon beta had a lower hazard of conversion to secondary progressive MS than matched untreated patients (HR, 0.71; 95% CI, 0.61-0.81; P &amp;lt; .001; 5-year absolute risk, 12% [49 of 407] vs 27% [58 of 213]; median follow-up, 7.6 years [IQR, 5.8-9.6]), as did fingolimod (HR, 0.37; 95% CI, 0.22-0.62; P &amp;lt; .001; 5-year absolute risk, 7% [6 of 85] vs 32% [56 of 174]; median follow-up, 4.5 years [IQR, 4.3-5.1]);  natalizumab (HR, 0.61; 95% CI, 0.43-0.86; P = .005; 5-year absolute risk, 19% [16 of 82] vs 38% [62 of 164]; median follow-up, 4.9 years [IQR, 4.4-5.8]); and alemtuzumab (HR, 0.52; 95% CI, 0.32-0.85; P = .009; 5-year absolute risk, 10% [4 of 44] vs 25% [23 of 92]; median follow-up, 7.4 years [IQR, 6.0-8.6]). Initial treatment with fingolimod, alemtuzumab, or natalizumab was associated with a lower risk of conversion than initial treatment with glatiramer acetate or interferon beta (HR, 0.66; 95% CI, 0.44-0.99; P = .046); 5-year absolute risk, 7% [16 of 235] vs 12% [46 of 380]; median follow-up, 5.8 years [IQR, 4.7-8.0]). The probability of conversion was lower when glatiramer acetate or interferon beta was started within 5 years of disease onset vs later (HR, 0.77; 95% CI, 0.61-0.98; P = .03; 5-year absolute risk, 3% [4 of 120] vs 6% [2 of 38]; median follow-up, 13.4 years [IQR, 11-18.1]). When glatiramer acetate or interferon beta were escalated to fingolimod, alemtuzumab, or natalizumab within 5 years vs later, the HR was 0.76 (95% CI, 0.66-0.88; P &amp;lt; .001; 5-year absolute risk, 8% [25 of 307] vs 14% [46 of 331], median follow-up, 5.3 years [IQR], 4.6-6.1).Among patients with relapsing-remitting MS, initial treatment with fingolimod, alemtuzumab, or natalizumab was associated with a lower risk of conversion to secondary progressive MS vs initial treatment with glatiramer acetate or interferon beta. These findings, considered along with these therapies’ risks, may help inform decisions about DMT selection.","DOI":"10.1001/jama.2018.20588","ISSN":"0098-7484","journalAbbreviation":"JAMA","author":[{"family":"Brown","given":"J. William L."},{"family":"Coles","given":"Alasdair"},{"family":"Horakova","given":"Dana"},{"family":"Havrdova","given":"Eva"},{"family":"Izquierdo","given":"Guillermo"},{"family":"Prat","given":"Alexandre"},{"family":"Girard","given":"Marc"},{"family":"Duquette","given":"Pierre"},{"family":"Trojano","given":"Maria"},{"family":"Lugaresi","given":"Alessandra"},{"family":"Bergamaschi","given":"Roberto"},{"family":"Grammond","given":"Pierre"},{"family":"Alroughani","given":"Raed"},{"family":"Hupperts","given":"Raymond"},{"family":"McCombe","given":"Pamela"},{"family":"Van Pesch","given":"Vincent"},{"family":"Sola","given":"Patrizia"},{"family":"Ferraro","given":"Diana"},{"family":"Grand'Maison","given":"Francois"},{"family":"Terzi","given":"Murat"},{"family":"Lechner-Scott","given":"Jeannette"},{"family":"Flechter","given":"Schlomo"},{"family":"Slee","given":"Mark"},{"family":"Shaygannejad","given":"Vahid"},{"family":"Pucci","given":"Eugenio"},{"family":"Granella","given":"Franco"},{"family":"Jokubaitis","given":"Vilija"},{"family":"Willis","given":"Mark"},{"family":"Rice","given":"Claire"},{"family":"Scolding","given":"Neil"},{"family":"Wilkins","given":"Alastair"},{"family":"Pearson","given":"Owen R"},{"family":"Ziemssen","given":"Tjalf"},{"family":"Hutchinson","given":"Michael"},{"family":"Harding","given":"Katharine"},{"family":"Jones","given":"Joanne"},{"family":"McGuigan","given":"Christopher"},{"family":"Butzkueven","given":"Helmut"},{"family":"Kalincik","given":"Tomas"},{"family":"Robertson","given":"Neil"},{"literal":"for the MSBase Study Group"}],"issued":{"date-parts":[["2019",1,15]]}}}],"schema":"https://github.com/citation-style-language/schema/raw/master/csl-citation.json"} </w:instrText>
      </w:r>
      <w:r w:rsidR="008F64AB">
        <w:rPr>
          <w:rFonts w:ascii="Times New Roman" w:hAnsi="Times New Roman" w:cs="Times New Roman"/>
          <w:iCs/>
          <w:color w:val="000000" w:themeColor="text1"/>
          <w:sz w:val="20"/>
          <w:szCs w:val="20"/>
          <w:lang w:val="en-US"/>
        </w:rPr>
        <w:fldChar w:fldCharType="separate"/>
      </w:r>
      <w:r w:rsidR="00BB07A0">
        <w:rPr>
          <w:rFonts w:ascii="Times New Roman" w:hAnsi="Times New Roman" w:cs="Times New Roman"/>
          <w:iCs/>
          <w:noProof/>
          <w:color w:val="000000" w:themeColor="text1"/>
          <w:sz w:val="20"/>
          <w:szCs w:val="20"/>
          <w:lang w:val="en-US"/>
        </w:rPr>
        <w:t>[</w:t>
      </w:r>
      <w:r w:rsidR="00081F0D">
        <w:rPr>
          <w:rFonts w:ascii="Times New Roman" w:hAnsi="Times New Roman" w:cs="Times New Roman"/>
          <w:iCs/>
          <w:noProof/>
          <w:color w:val="000000" w:themeColor="text1"/>
          <w:sz w:val="20"/>
          <w:szCs w:val="20"/>
          <w:lang w:val="en-US"/>
        </w:rPr>
        <w:t>21</w:t>
      </w:r>
      <w:r w:rsidR="00BB07A0">
        <w:rPr>
          <w:rFonts w:ascii="Times New Roman" w:hAnsi="Times New Roman" w:cs="Times New Roman"/>
          <w:iCs/>
          <w:noProof/>
          <w:color w:val="000000" w:themeColor="text1"/>
          <w:sz w:val="20"/>
          <w:szCs w:val="20"/>
          <w:lang w:val="en-US"/>
        </w:rPr>
        <w:t>]</w:t>
      </w:r>
      <w:r w:rsidR="008F64AB">
        <w:rPr>
          <w:rFonts w:ascii="Times New Roman" w:hAnsi="Times New Roman" w:cs="Times New Roman"/>
          <w:iCs/>
          <w:color w:val="000000" w:themeColor="text1"/>
          <w:sz w:val="20"/>
          <w:szCs w:val="20"/>
          <w:lang w:val="en-US"/>
        </w:rPr>
        <w:fldChar w:fldCharType="end"/>
      </w:r>
      <w:r w:rsidR="005A2E50">
        <w:rPr>
          <w:rFonts w:ascii="Times New Roman" w:hAnsi="Times New Roman" w:cs="Times New Roman"/>
          <w:iCs/>
          <w:color w:val="000000" w:themeColor="text1"/>
          <w:sz w:val="20"/>
          <w:szCs w:val="20"/>
          <w:lang w:val="en-US"/>
        </w:rPr>
        <w:t>.</w:t>
      </w:r>
      <w:r w:rsidR="00B61D84">
        <w:rPr>
          <w:rFonts w:ascii="Times New Roman" w:hAnsi="Times New Roman" w:cs="Times New Roman"/>
          <w:iCs/>
          <w:color w:val="000000" w:themeColor="text1"/>
          <w:sz w:val="20"/>
          <w:szCs w:val="20"/>
          <w:lang w:val="en-US"/>
        </w:rPr>
        <w:t xml:space="preserve"> </w:t>
      </w:r>
      <w:r w:rsidR="008F64AB">
        <w:rPr>
          <w:rFonts w:ascii="Times New Roman" w:hAnsi="Times New Roman" w:cs="Times New Roman"/>
          <w:iCs/>
          <w:color w:val="000000" w:themeColor="text1"/>
          <w:sz w:val="20"/>
          <w:szCs w:val="20"/>
          <w:lang w:val="en-US"/>
        </w:rPr>
        <w:t xml:space="preserve">Furthermore, while the </w:t>
      </w:r>
      <w:r w:rsidR="00B61D84">
        <w:rPr>
          <w:rFonts w:ascii="Times New Roman" w:hAnsi="Times New Roman" w:cs="Times New Roman"/>
          <w:iCs/>
          <w:color w:val="000000" w:themeColor="text1"/>
          <w:sz w:val="20"/>
          <w:szCs w:val="20"/>
          <w:lang w:val="en-US"/>
        </w:rPr>
        <w:t xml:space="preserve">16 current DMTs are licensed for </w:t>
      </w:r>
      <w:r w:rsidR="00DB37B6">
        <w:rPr>
          <w:rFonts w:ascii="Times New Roman" w:hAnsi="Times New Roman" w:cs="Times New Roman"/>
          <w:iCs/>
          <w:color w:val="000000" w:themeColor="text1"/>
          <w:sz w:val="20"/>
          <w:szCs w:val="20"/>
          <w:lang w:val="en-US"/>
        </w:rPr>
        <w:t>RR</w:t>
      </w:r>
      <w:r w:rsidR="00B61D84">
        <w:rPr>
          <w:rFonts w:ascii="Times New Roman" w:hAnsi="Times New Roman" w:cs="Times New Roman"/>
          <w:iCs/>
          <w:color w:val="000000" w:themeColor="text1"/>
          <w:sz w:val="20"/>
          <w:szCs w:val="20"/>
          <w:lang w:val="en-US"/>
        </w:rPr>
        <w:t>MS</w:t>
      </w:r>
      <w:r w:rsidR="008F64AB">
        <w:rPr>
          <w:rFonts w:ascii="Times New Roman" w:hAnsi="Times New Roman" w:cs="Times New Roman"/>
          <w:iCs/>
          <w:color w:val="000000" w:themeColor="text1"/>
          <w:sz w:val="20"/>
          <w:szCs w:val="20"/>
          <w:lang w:val="en-US"/>
        </w:rPr>
        <w:t xml:space="preserve">, </w:t>
      </w:r>
      <w:r w:rsidR="00B61D84">
        <w:rPr>
          <w:rFonts w:ascii="Times New Roman" w:hAnsi="Times New Roman" w:cs="Times New Roman"/>
          <w:iCs/>
          <w:color w:val="000000" w:themeColor="text1"/>
          <w:sz w:val="20"/>
          <w:szCs w:val="20"/>
          <w:lang w:val="en-US"/>
        </w:rPr>
        <w:t>only one – ocrelizumab – is approved for primary progressive disease</w:t>
      </w:r>
      <w:r w:rsidR="007E51FA">
        <w:rPr>
          <w:rFonts w:ascii="Times New Roman" w:hAnsi="Times New Roman" w:cs="Times New Roman"/>
          <w:iCs/>
          <w:color w:val="000000" w:themeColor="text1"/>
          <w:sz w:val="20"/>
          <w:szCs w:val="20"/>
          <w:lang w:val="en-US"/>
        </w:rPr>
        <w:fldChar w:fldCharType="begin"/>
      </w:r>
      <w:r w:rsidR="008F64AB">
        <w:rPr>
          <w:rFonts w:ascii="Times New Roman" w:hAnsi="Times New Roman" w:cs="Times New Roman"/>
          <w:iCs/>
          <w:color w:val="000000" w:themeColor="text1"/>
          <w:sz w:val="20"/>
          <w:szCs w:val="20"/>
          <w:lang w:val="en-US"/>
        </w:rPr>
        <w:instrText xml:space="preserve"> ADDIN ZOTERO_ITEM CSL_CITATION {"citationID":"V0Hxqu53","properties":{"formattedCitation":"(22)","plainCitation":"(22)","noteIndex":0},"citationItems":[{"id":118,"uris":["http://zotero.org/users/local/OxFKn8nN/items/CQAX9UYT"],"uri":["http://zotero.org/users/local/OxFKn8nN/items/CQAX9UYT"],"itemData":{"id":118,"type":"article-journal","title":"Ocrelizumab versus Placebo in Primary Progressive Multiple Sclerosis","container-title":"New England Journal of Medicine","page":"209-220","volume":"376","issue":"3","DOI":"10.1056/NEJMoa1606468","ISSN":"0028-4793","journalAbbreviation":"N Engl J Med","author":[{"family":"Montalban","given":"Xavier"},{"family":"Hauser","given":"Stephen L."},{"family":"Kappos","given":"Ludwig"},{"family":"Arnold","given":"Douglas L."},{"family":"Bar-Or","given":"Amit"},{"family":"Comi","given":"Giancarlo"},{"family":"Seze","given":"Jérôme","non-dropping-particle":"de"},{"family":"Giovannoni","given":"Gavin"},{"family":"Hartung","given":"Hans-Peter"},{"family":"Hemmer","given":"Bernhard"},{"family":"Lublin","given":"Fred"},{"family":"Rammohan","given":"Kottil W."},{"family":"Selmaj","given":"Krzysztof"},{"family":"Traboulsee","given":"Anthony"},{"family":"Sauter","given":"Annette"},{"family":"Masterman","given":"Donna"},{"family":"Fontoura","given":"Paulo"},{"family":"Belachew","given":"Shibeshih"},{"family":"Garren","given":"Hideki"},{"family":"Mairon","given":"Nicole"},{"family":"Chin","given":"Peter"},{"family":"Wolinsky","given":"Jerry S."}],"issued":{"date-parts":[["2016",12,21]]}}}],"schema":"https://github.com/citation-style-language/schema/raw/master/csl-citation.json"} </w:instrText>
      </w:r>
      <w:r w:rsidR="007E51FA">
        <w:rPr>
          <w:rFonts w:ascii="Times New Roman" w:hAnsi="Times New Roman" w:cs="Times New Roman"/>
          <w:iCs/>
          <w:color w:val="000000" w:themeColor="text1"/>
          <w:sz w:val="20"/>
          <w:szCs w:val="20"/>
          <w:lang w:val="en-US"/>
        </w:rPr>
        <w:fldChar w:fldCharType="separate"/>
      </w:r>
      <w:r w:rsidR="00BB07A0">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22</w:t>
      </w:r>
      <w:r w:rsidR="00BB07A0">
        <w:rPr>
          <w:rFonts w:ascii="Times New Roman" w:hAnsi="Times New Roman" w:cs="Times New Roman"/>
          <w:color w:val="000000"/>
          <w:sz w:val="20"/>
          <w:u w:val="dash"/>
          <w:lang w:val="en-US"/>
        </w:rPr>
        <w:t>]</w:t>
      </w:r>
      <w:r w:rsidR="007E51FA">
        <w:rPr>
          <w:rFonts w:ascii="Times New Roman" w:hAnsi="Times New Roman" w:cs="Times New Roman"/>
          <w:iCs/>
          <w:color w:val="000000" w:themeColor="text1"/>
          <w:sz w:val="20"/>
          <w:szCs w:val="20"/>
          <w:lang w:val="en-US"/>
        </w:rPr>
        <w:fldChar w:fldCharType="end"/>
      </w:r>
      <w:r w:rsidR="00B61D84">
        <w:rPr>
          <w:rFonts w:ascii="Times New Roman" w:hAnsi="Times New Roman" w:cs="Times New Roman"/>
          <w:iCs/>
          <w:color w:val="000000" w:themeColor="text1"/>
          <w:sz w:val="20"/>
          <w:szCs w:val="20"/>
          <w:lang w:val="en-US"/>
        </w:rPr>
        <w:t xml:space="preserve">, and even then its effects are so modest that several reimbursement agencies, notably NICE in the UK, declared it </w:t>
      </w:r>
      <w:r w:rsidR="0080626C">
        <w:rPr>
          <w:rFonts w:ascii="Times New Roman" w:hAnsi="Times New Roman" w:cs="Times New Roman"/>
          <w:iCs/>
          <w:color w:val="000000" w:themeColor="text1"/>
          <w:sz w:val="20"/>
          <w:szCs w:val="20"/>
          <w:lang w:val="en-US"/>
        </w:rPr>
        <w:t xml:space="preserve">only </w:t>
      </w:r>
      <w:r w:rsidR="00B61D84">
        <w:rPr>
          <w:rFonts w:ascii="Times New Roman" w:hAnsi="Times New Roman" w:cs="Times New Roman"/>
          <w:iCs/>
          <w:color w:val="000000" w:themeColor="text1"/>
          <w:sz w:val="20"/>
          <w:szCs w:val="20"/>
          <w:lang w:val="en-US"/>
        </w:rPr>
        <w:t>cost-effective</w:t>
      </w:r>
      <w:r w:rsidR="0080626C">
        <w:rPr>
          <w:rFonts w:ascii="Times New Roman" w:hAnsi="Times New Roman" w:cs="Times New Roman"/>
          <w:iCs/>
          <w:color w:val="000000" w:themeColor="text1"/>
          <w:sz w:val="20"/>
          <w:szCs w:val="20"/>
          <w:lang w:val="en-US"/>
        </w:rPr>
        <w:t xml:space="preserve"> in a</w:t>
      </w:r>
      <w:r w:rsidR="00C66658">
        <w:rPr>
          <w:rFonts w:ascii="Times New Roman" w:hAnsi="Times New Roman" w:cs="Times New Roman"/>
          <w:iCs/>
          <w:color w:val="000000" w:themeColor="text1"/>
          <w:sz w:val="20"/>
          <w:szCs w:val="20"/>
          <w:lang w:val="en-US"/>
        </w:rPr>
        <w:t xml:space="preserve"> subset of people with </w:t>
      </w:r>
      <w:r w:rsidR="00606C07">
        <w:rPr>
          <w:rFonts w:ascii="Times New Roman" w:hAnsi="Times New Roman" w:cs="Times New Roman"/>
          <w:iCs/>
          <w:color w:val="000000" w:themeColor="text1"/>
          <w:sz w:val="20"/>
          <w:szCs w:val="20"/>
          <w:lang w:val="en-US"/>
        </w:rPr>
        <w:t xml:space="preserve">new or </w:t>
      </w:r>
      <w:r w:rsidR="00905B80">
        <w:rPr>
          <w:rFonts w:ascii="Times New Roman" w:hAnsi="Times New Roman" w:cs="Times New Roman"/>
          <w:iCs/>
          <w:color w:val="000000" w:themeColor="text1"/>
          <w:sz w:val="20"/>
          <w:szCs w:val="20"/>
          <w:lang w:val="en-US"/>
        </w:rPr>
        <w:t>contrast-</w:t>
      </w:r>
      <w:r w:rsidR="00606C07">
        <w:rPr>
          <w:rFonts w:ascii="Times New Roman" w:hAnsi="Times New Roman" w:cs="Times New Roman"/>
          <w:iCs/>
          <w:color w:val="000000" w:themeColor="text1"/>
          <w:sz w:val="20"/>
          <w:szCs w:val="20"/>
          <w:lang w:val="en-US"/>
        </w:rPr>
        <w:t>enhancing lesions on MRI</w:t>
      </w:r>
      <w:r w:rsidR="00C66658">
        <w:rPr>
          <w:rFonts w:ascii="Times New Roman" w:hAnsi="Times New Roman" w:cs="Times New Roman"/>
          <w:iCs/>
          <w:color w:val="000000" w:themeColor="text1"/>
          <w:sz w:val="20"/>
          <w:szCs w:val="20"/>
          <w:lang w:val="en-US"/>
        </w:rPr>
        <w:t xml:space="preserve"> </w:t>
      </w:r>
      <w:r w:rsidR="00606C07">
        <w:rPr>
          <w:rFonts w:ascii="Times New Roman" w:hAnsi="Times New Roman" w:cs="Times New Roman"/>
          <w:iCs/>
          <w:color w:val="000000" w:themeColor="text1"/>
          <w:sz w:val="20"/>
          <w:szCs w:val="20"/>
          <w:lang w:val="en-US"/>
        </w:rPr>
        <w:t xml:space="preserve">and a disease duration </w:t>
      </w:r>
      <w:r w:rsidR="00C66658">
        <w:rPr>
          <w:rFonts w:ascii="Times New Roman" w:hAnsi="Times New Roman" w:cs="Times New Roman"/>
          <w:iCs/>
          <w:color w:val="000000" w:themeColor="text1"/>
          <w:sz w:val="20"/>
          <w:szCs w:val="20"/>
          <w:lang w:val="en-US"/>
        </w:rPr>
        <w:t xml:space="preserve">of </w:t>
      </w:r>
      <w:r w:rsidR="00606C07">
        <w:rPr>
          <w:rFonts w:ascii="Times New Roman" w:hAnsi="Times New Roman" w:cs="Times New Roman"/>
          <w:iCs/>
          <w:color w:val="000000" w:themeColor="text1"/>
          <w:sz w:val="20"/>
          <w:szCs w:val="20"/>
          <w:lang w:val="en-US"/>
        </w:rPr>
        <w:t>less than 15 years.</w:t>
      </w:r>
    </w:p>
    <w:p w14:paraId="5C4CAC13" w14:textId="5349CC49" w:rsidR="004B7560" w:rsidRDefault="0079468F" w:rsidP="00E17010">
      <w:pPr>
        <w:widowControl w:val="0"/>
        <w:autoSpaceDE w:val="0"/>
        <w:autoSpaceDN w:val="0"/>
        <w:adjustRightInd w:val="0"/>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Instead</w:t>
      </w:r>
      <w:r w:rsidR="00B54D54" w:rsidRPr="00003E8D">
        <w:rPr>
          <w:rFonts w:ascii="Times New Roman" w:hAnsi="Times New Roman" w:cs="Times New Roman"/>
          <w:color w:val="000000" w:themeColor="text1"/>
          <w:sz w:val="20"/>
          <w:szCs w:val="20"/>
        </w:rPr>
        <w:t>,</w:t>
      </w:r>
      <w:r w:rsidR="00934835">
        <w:rPr>
          <w:rFonts w:ascii="Times New Roman" w:hAnsi="Times New Roman" w:cs="Times New Roman"/>
          <w:color w:val="000000" w:themeColor="text1"/>
          <w:sz w:val="20"/>
          <w:szCs w:val="20"/>
        </w:rPr>
        <w:t xml:space="preserve"> the</w:t>
      </w:r>
      <w:r w:rsidR="00B54D54" w:rsidRPr="00003E8D">
        <w:rPr>
          <w:rFonts w:ascii="Times New Roman" w:hAnsi="Times New Roman" w:cs="Times New Roman"/>
          <w:color w:val="000000" w:themeColor="text1"/>
          <w:sz w:val="20"/>
          <w:szCs w:val="20"/>
        </w:rPr>
        <w:t xml:space="preserve"> promotion of </w:t>
      </w:r>
      <w:r w:rsidR="00934835">
        <w:rPr>
          <w:rFonts w:ascii="Times New Roman" w:hAnsi="Times New Roman" w:cs="Times New Roman"/>
          <w:color w:val="000000" w:themeColor="text1"/>
          <w:sz w:val="20"/>
          <w:szCs w:val="20"/>
        </w:rPr>
        <w:t>regeneration of the myelin sheath, through</w:t>
      </w:r>
      <w:r w:rsidR="00272F2F">
        <w:rPr>
          <w:rFonts w:ascii="Times New Roman" w:hAnsi="Times New Roman" w:cs="Times New Roman"/>
          <w:color w:val="000000" w:themeColor="text1"/>
          <w:sz w:val="20"/>
          <w:szCs w:val="20"/>
        </w:rPr>
        <w:t xml:space="preserve"> enhancing</w:t>
      </w:r>
      <w:r w:rsidR="00934835">
        <w:rPr>
          <w:rFonts w:ascii="Times New Roman" w:hAnsi="Times New Roman" w:cs="Times New Roman"/>
          <w:color w:val="000000" w:themeColor="text1"/>
          <w:sz w:val="20"/>
          <w:szCs w:val="20"/>
        </w:rPr>
        <w:t xml:space="preserve"> the process of </w:t>
      </w:r>
      <w:r w:rsidR="00B54D54" w:rsidRPr="00003E8D">
        <w:rPr>
          <w:rFonts w:ascii="Times New Roman" w:hAnsi="Times New Roman" w:cs="Times New Roman"/>
          <w:color w:val="000000" w:themeColor="text1"/>
          <w:sz w:val="20"/>
          <w:szCs w:val="20"/>
        </w:rPr>
        <w:t>endogenous remyelination</w:t>
      </w:r>
      <w:r w:rsidR="00934835">
        <w:rPr>
          <w:rFonts w:ascii="Times New Roman" w:hAnsi="Times New Roman" w:cs="Times New Roman"/>
          <w:color w:val="000000" w:themeColor="text1"/>
          <w:sz w:val="20"/>
          <w:szCs w:val="20"/>
        </w:rPr>
        <w:t>,</w:t>
      </w:r>
      <w:r w:rsidR="00B54D54" w:rsidRPr="00003E8D">
        <w:rPr>
          <w:rFonts w:ascii="Times New Roman" w:hAnsi="Times New Roman" w:cs="Times New Roman"/>
          <w:color w:val="000000" w:themeColor="text1"/>
          <w:sz w:val="20"/>
          <w:szCs w:val="20"/>
        </w:rPr>
        <w:t xml:space="preserve"> </w:t>
      </w:r>
      <w:r w:rsidR="00272F2F">
        <w:rPr>
          <w:rFonts w:ascii="Times New Roman" w:hAnsi="Times New Roman" w:cs="Times New Roman"/>
          <w:color w:val="000000" w:themeColor="text1"/>
          <w:sz w:val="20"/>
          <w:szCs w:val="20"/>
        </w:rPr>
        <w:t>has emerged</w:t>
      </w:r>
      <w:r w:rsidR="00B54D54" w:rsidRPr="00003E8D">
        <w:rPr>
          <w:rFonts w:ascii="Times New Roman" w:hAnsi="Times New Roman" w:cs="Times New Roman"/>
          <w:color w:val="000000" w:themeColor="text1"/>
          <w:sz w:val="20"/>
          <w:szCs w:val="20"/>
        </w:rPr>
        <w:t xml:space="preserve"> as</w:t>
      </w:r>
      <w:r w:rsidR="00934835">
        <w:rPr>
          <w:rFonts w:ascii="Times New Roman" w:hAnsi="Times New Roman" w:cs="Times New Roman"/>
          <w:color w:val="000000" w:themeColor="text1"/>
          <w:sz w:val="20"/>
          <w:szCs w:val="20"/>
        </w:rPr>
        <w:t xml:space="preserve"> one of</w:t>
      </w:r>
      <w:r w:rsidR="00B54D54" w:rsidRPr="00003E8D">
        <w:rPr>
          <w:rFonts w:ascii="Times New Roman" w:hAnsi="Times New Roman" w:cs="Times New Roman"/>
          <w:color w:val="000000" w:themeColor="text1"/>
          <w:sz w:val="20"/>
          <w:szCs w:val="20"/>
        </w:rPr>
        <w:t xml:space="preserve"> th</w:t>
      </w:r>
      <w:r w:rsidR="00AB6D8B" w:rsidRPr="00003E8D">
        <w:rPr>
          <w:rFonts w:ascii="Times New Roman" w:hAnsi="Times New Roman" w:cs="Times New Roman"/>
          <w:color w:val="000000" w:themeColor="text1"/>
          <w:sz w:val="20"/>
          <w:szCs w:val="20"/>
        </w:rPr>
        <w:t xml:space="preserve">e most </w:t>
      </w:r>
      <w:r w:rsidR="00515C80" w:rsidRPr="00003E8D">
        <w:rPr>
          <w:rFonts w:ascii="Times New Roman" w:hAnsi="Times New Roman" w:cs="Times New Roman"/>
          <w:color w:val="000000" w:themeColor="text1"/>
          <w:sz w:val="20"/>
          <w:szCs w:val="20"/>
        </w:rPr>
        <w:t>amenable</w:t>
      </w:r>
      <w:r w:rsidR="00AB6D8B" w:rsidRPr="00003E8D">
        <w:rPr>
          <w:rFonts w:ascii="Times New Roman" w:hAnsi="Times New Roman" w:cs="Times New Roman"/>
          <w:color w:val="000000" w:themeColor="text1"/>
          <w:sz w:val="20"/>
          <w:szCs w:val="20"/>
        </w:rPr>
        <w:t xml:space="preserve"> prospect</w:t>
      </w:r>
      <w:r w:rsidR="00934835">
        <w:rPr>
          <w:rFonts w:ascii="Times New Roman" w:hAnsi="Times New Roman" w:cs="Times New Roman"/>
          <w:color w:val="000000" w:themeColor="text1"/>
          <w:sz w:val="20"/>
          <w:szCs w:val="20"/>
        </w:rPr>
        <w:t>s</w:t>
      </w:r>
      <w:r w:rsidR="00AB6D8B" w:rsidRPr="00003E8D">
        <w:rPr>
          <w:rFonts w:ascii="Times New Roman" w:hAnsi="Times New Roman" w:cs="Times New Roman"/>
          <w:color w:val="000000" w:themeColor="text1"/>
          <w:sz w:val="20"/>
          <w:szCs w:val="20"/>
        </w:rPr>
        <w:t xml:space="preserve"> </w:t>
      </w:r>
      <w:r w:rsidR="00272F2F">
        <w:rPr>
          <w:rFonts w:ascii="Times New Roman" w:hAnsi="Times New Roman" w:cs="Times New Roman"/>
          <w:color w:val="000000" w:themeColor="text1"/>
          <w:sz w:val="20"/>
          <w:szCs w:val="20"/>
        </w:rPr>
        <w:t>to</w:t>
      </w:r>
      <w:r w:rsidR="00C06395">
        <w:rPr>
          <w:rFonts w:ascii="Times New Roman" w:hAnsi="Times New Roman" w:cs="Times New Roman"/>
          <w:color w:val="000000" w:themeColor="text1"/>
          <w:sz w:val="20"/>
          <w:szCs w:val="20"/>
        </w:rPr>
        <w:t xml:space="preserve"> delay, prevent or reverse progressio</w:t>
      </w:r>
      <w:r w:rsidR="007E51FA">
        <w:rPr>
          <w:rFonts w:ascii="Times New Roman" w:hAnsi="Times New Roman" w:cs="Times New Roman"/>
          <w:color w:val="000000" w:themeColor="text1"/>
          <w:sz w:val="20"/>
          <w:szCs w:val="20"/>
        </w:rPr>
        <w:t>n</w:t>
      </w:r>
      <w:r w:rsidR="007E51FA">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KcrilNgA","properties":{"formattedCitation":"(23)","plainCitation":"(23)","noteIndex":0},"citationItems":[{"id":5,"uris":["http://zotero.org/users/local/OxFKn8nN/items/GQ5I6TDY"],"uri":["http://zotero.org/users/local/OxFKn8nN/items/GQ5I6TDY"],"itemData":{"id":5,"type":"article-journal","title":"Regenerating CNS myelin — from mechanisms to experimental medicines","container-title":"Nature Reviews Neuroscience","page":"753","volume":"18","journalAbbreviation":"Nature Reviews Neuroscience","author":[{"family":"Franklin","given":"Robin J. M."},{"family":"Constant","given":"Charles","non-dropping-particle":"ffrench-"}],"issued":{"date-parts":[["2017",11,16]]}}}],"schema":"https://github.com/citation-style-language/schema/raw/master/csl-citation.json"} </w:instrText>
      </w:r>
      <w:r w:rsidR="007E51FA">
        <w:rPr>
          <w:rFonts w:ascii="Times New Roman" w:hAnsi="Times New Roman" w:cs="Times New Roman"/>
          <w:color w:val="000000" w:themeColor="text1"/>
          <w:sz w:val="20"/>
          <w:szCs w:val="20"/>
        </w:rPr>
        <w:fldChar w:fldCharType="separate"/>
      </w:r>
      <w:r w:rsidR="00BB07A0">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23</w:t>
      </w:r>
      <w:r w:rsidR="00BB07A0">
        <w:rPr>
          <w:rFonts w:ascii="Times New Roman" w:hAnsi="Times New Roman" w:cs="Times New Roman"/>
          <w:color w:val="000000"/>
          <w:sz w:val="20"/>
          <w:u w:val="dash"/>
          <w:lang w:val="en-US"/>
        </w:rPr>
        <w:t>]</w:t>
      </w:r>
      <w:r w:rsidR="007E51FA">
        <w:rPr>
          <w:rFonts w:ascii="Times New Roman" w:hAnsi="Times New Roman" w:cs="Times New Roman"/>
          <w:color w:val="000000" w:themeColor="text1"/>
          <w:sz w:val="20"/>
          <w:szCs w:val="20"/>
        </w:rPr>
        <w:fldChar w:fldCharType="end"/>
      </w:r>
      <w:r w:rsidR="00B54D54" w:rsidRPr="00003E8D">
        <w:rPr>
          <w:rFonts w:ascii="Times New Roman" w:hAnsi="Times New Roman" w:cs="Times New Roman"/>
          <w:color w:val="000000" w:themeColor="text1"/>
          <w:sz w:val="20"/>
          <w:szCs w:val="20"/>
        </w:rPr>
        <w:t xml:space="preserve">. </w:t>
      </w:r>
      <w:r w:rsidR="00013A9E">
        <w:rPr>
          <w:rFonts w:ascii="Times New Roman" w:hAnsi="Times New Roman" w:cs="Times New Roman"/>
          <w:color w:val="000000" w:themeColor="text1"/>
          <w:sz w:val="20"/>
          <w:szCs w:val="20"/>
        </w:rPr>
        <w:t>This is grounded in experimental evidence that</w:t>
      </w:r>
      <w:r w:rsidR="002873D4">
        <w:rPr>
          <w:rFonts w:ascii="Times New Roman" w:hAnsi="Times New Roman" w:cs="Times New Roman"/>
          <w:color w:val="000000" w:themeColor="text1"/>
          <w:sz w:val="20"/>
          <w:szCs w:val="20"/>
        </w:rPr>
        <w:t xml:space="preserve"> demonstrates that </w:t>
      </w:r>
      <w:r w:rsidR="00013A9E">
        <w:rPr>
          <w:rFonts w:ascii="Times New Roman" w:hAnsi="Times New Roman" w:cs="Times New Roman"/>
          <w:color w:val="000000" w:themeColor="text1"/>
          <w:sz w:val="20"/>
          <w:szCs w:val="20"/>
        </w:rPr>
        <w:t xml:space="preserve">the myelin sheath (and its associated oligodendrocytes) does not just </w:t>
      </w:r>
      <w:r w:rsidR="002873D4">
        <w:rPr>
          <w:rFonts w:ascii="Times New Roman" w:hAnsi="Times New Roman" w:cs="Times New Roman"/>
          <w:color w:val="000000" w:themeColor="text1"/>
          <w:sz w:val="20"/>
          <w:szCs w:val="20"/>
        </w:rPr>
        <w:t>facilitate nerve</w:t>
      </w:r>
      <w:r w:rsidR="00013A9E">
        <w:rPr>
          <w:rFonts w:ascii="Times New Roman" w:hAnsi="Times New Roman" w:cs="Times New Roman"/>
          <w:color w:val="000000" w:themeColor="text1"/>
          <w:sz w:val="20"/>
          <w:szCs w:val="20"/>
        </w:rPr>
        <w:t xml:space="preserve"> conduction but is </w:t>
      </w:r>
      <w:r w:rsidR="00135DD3">
        <w:rPr>
          <w:rFonts w:ascii="Times New Roman" w:hAnsi="Times New Roman" w:cs="Times New Roman"/>
          <w:color w:val="000000" w:themeColor="text1"/>
          <w:sz w:val="20"/>
          <w:szCs w:val="20"/>
        </w:rPr>
        <w:t xml:space="preserve">also </w:t>
      </w:r>
      <w:r w:rsidR="00013A9E">
        <w:rPr>
          <w:rFonts w:ascii="Times New Roman" w:hAnsi="Times New Roman" w:cs="Times New Roman"/>
          <w:color w:val="000000" w:themeColor="text1"/>
          <w:sz w:val="20"/>
          <w:szCs w:val="20"/>
        </w:rPr>
        <w:t>directly protective against</w:t>
      </w:r>
      <w:r w:rsidR="002873D4">
        <w:rPr>
          <w:rFonts w:ascii="Times New Roman" w:hAnsi="Times New Roman" w:cs="Times New Roman"/>
          <w:color w:val="000000" w:themeColor="text1"/>
          <w:sz w:val="20"/>
          <w:szCs w:val="20"/>
        </w:rPr>
        <w:t xml:space="preserve"> </w:t>
      </w:r>
      <w:r w:rsidR="00013A9E">
        <w:rPr>
          <w:rFonts w:ascii="Times New Roman" w:hAnsi="Times New Roman" w:cs="Times New Roman"/>
          <w:color w:val="000000" w:themeColor="text1"/>
          <w:sz w:val="20"/>
          <w:szCs w:val="20"/>
        </w:rPr>
        <w:t>degeneration</w:t>
      </w:r>
      <w:r w:rsidR="007E51FA">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1KkEOGFf","properties":{"formattedCitation":"(24\\uc0\\u8211{}29)","plainCitation":"(24–29)","noteIndex":0},"citationItems":[{"id":6,"uris":["http://zotero.org/users/local/OxFKn8nN/items/DYCJ7DLR"],"uri":["http://zotero.org/users/local/OxFKn8nN/items/DYCJ7DLR"],"itemData":{"id":6,"type":"article-journal","title":"Remyelination protects axons from demyelination-associated axon degeneration","container-title":"Brain","page":"1464-1477","volume":"131","issue":"6","abstract":"In multiple sclerosis, demyelination of the CNS axons is associated with axonal injury and degeneration, which is now accepted as the major cause of neurological disability in the disease. Although the kinetics and the extent of axonal damage have been described in detail, the mechanisms by which it occurs are as yet unclear; one suggestion is failure of remyelination. The goal of this study was to test the hypothesis that failure of prompt remyelination contributes to axonal degeneration following demyelination. Remyelination was inhibited by exposing the brain to 40 Gy of X-irradiation prior to cuprizone intoxication and this resulted in a significant increase in the extent of axonal degeneration and loss compared to non-irradiated cuprizone-fed mice. To exclude the possibility that this increase was a consequence of the X-irradiation and to highlight the significance of remyelination, we restored remyelinating capacity to the X-irradiated mouse brain by transplanting of GFP-expressing embryo-derived neural progenitors. Restoring the remyelinating capacity in these mice resulted in a significant increase in axon survival compared to non-transplanted, X-irradiated cuprizone-intoxicated mice. Our results support the concept that prompt remyelination protects axons from demyelination-associated axonal loss and that remyelination failure contributes to the axon loss that occurs in multiple sclerosis.","DOI":"10.1093/brain/awn080","ISSN":"0006-8950","journalAbbreviation":"Brain","author":[{"family":"Irvine","given":"K. A."},{"family":"Blakemore","given":"W. F."}],"issued":{"date-parts":[["2008",6,1]]}}},{"id":145,"uris":["http://zotero.org/users/local/OxFKn8nN/items/26WZ6A7B"],"uri":["http://zotero.org/users/local/OxFKn8nN/items/26WZ6A7B"],"itemData":{"id":145,"type":"article-journal","title":"Glycolytic oligodendrocytes maintain myelin and long-term axonal integrity","container-title":"Nature","page":"517-521","volume":"485","issue":"7399","archive":"PubMed","archive_location":"22622581","abstract":"Oligodendrocytes, the myelin-forming glial cells of the central nervous system, maintain long-term axonal integrity. However, the underlying support mechanisms are not understood. Here we identify a metabolic component of axon-glia interactions by generating conditional Cox10 (protoheme IX farnesyltransferase) mutant mice, in which oligodendrocytes and Schwann cells fail to assemble stable mitochondrial cytochrome c oxidase (COX, also known as mitochondrial complex IV). In the peripheral nervous system, Cox10 conditional mutants exhibit severe neuropathy with dysmyelination, abnormal Remak bundles, muscle atrophy and paralysis. Notably, perturbing mitochondrial respiration did not cause glial cell death. In the adult central nervous system, we found no signs of demyelination, axonal degeneration or secondary inflammation. Unlike cultured oligodendrocytes, which are sensitive to COX inhibitors, post-myelination oligodendrocytes survive well in the absence of COX activity. More importantly, by in vivo magnetic resonance spectroscopy, brain lactate concentrations in mutants were increased compared with controls, but were detectable only in mice exposed to volatile anaesthetics. This indicates that aerobic glycolysis products derived from oligodendrocytes are rapidly metabolized within white matter tracts. Because myelinated axons can use lactate when energy-deprived, our findings suggest a model in which axon-glia metabolic coupling serves a physiological function.","DOI":"10.1038/nature11007","ISSN":"1476-4687","author":[{"family":"Fünfschilling","given":"Ursula"},{"family":"Supplie","given":"Lotti M"},{"family":"Mahad","given":"Don"},{"family":"Boretius","given":"Susann"},{"family":"Saab","given":"Aiman S"},{"family":"Edgar","given":"Julia"},{"family":"Brinkmann","given":"Bastian G"},{"family":"Kassmann","given":"Celia M"},{"family":"Tzvetanova","given":"Iva D"},{"family":"Möbius","given":"Wiebke"},{"family":"Diaz","given":"Francisca"},{"family":"Meijer","given":"Dies"},{"family":"Suter","given":"Ueli"},{"family":"Hamprecht","given":"Bernd"},{"family":"Sereda","given":"Michael W"},{"family":"Moraes","given":"Carlos T"},{"family":"Frahm","given":"Jens"},{"family":"Goebbels","given":"Sandra"},{"family":"Nave","given":"Klaus-Armin"}],"issued":{"date-parts":[["2012",4,29]]}}},{"id":147,"uris":["http://zotero.org/users/local/OxFKn8nN/items/7DZ9KPQZ"],"uri":["http://zotero.org/users/local/OxFKn8nN/items/7DZ9KPQZ"],"itemData":{"id":147,"type":"article-journal","title":"Oligodendroglia: metabolic supporters of axons","container-title":"Trends in cell biology","page":"644-651","volume":"23","issue":"12","archive":"PubMed","archive_location":"23988427","abstract":"Axons are specialized extensions of neurons that are critical for the organization of the nervous system. To maintain function in axons that often extend some distance from the cell body, specialized mechanisms of energy delivery are likely to be necessary. Over the past decade, greater understanding of human demyelinating diseases and the development of animal models have suggested that oligodendroglia are critical for maintaining the function of axons. In this review, we discuss evidence for the vulnerability of neurons to energy deprivation, the importance of oligodendrocytes for axon function and survival, and recent data suggesting that transfer of energy metabolites from oligodendroglia to axons through monocarboxylate transporter 1 (MCT1) may be critical for the survival of axons. This pathway has important implications both for the basic biology of the nervous system and for human neurological disease. New insights into the role of oligodendroglial biology provide an exciting opportunity for revisions in nervous system biology, understanding myelin-based disorders, and therapeutics development.","DOI":"10.1016/j.tcb.2013.07.007","ISSN":"1879-3088","author":[{"family":"Morrison","given":"Brett M"},{"family":"Lee","given":"Youngjin"},{"family":"Rothstein","given":"Jeffrey D"}],"issued":{"date-parts":[["2013",12]]}}},{"id":143,"uris":["http://zotero.org/users/local/OxFKn8nN/items/TYZ7DWEC"],"uri":["http://zotero.org/users/local/OxFKn8nN/items/TYZ7DWEC"],"itemData":{"id":143,"type":"article-journal","title":"Oligodendroglia metabolically support axons and contribute to neurodegeneration","container-title":"Nature","page":"443-448","volume":"487","issue":"7408","archive":"PubMed","archive_location":"22801498","abstract":"Oligodendroglia support axon survival and function through mechanisms independent of myelination, and their dysfunction leads to axon degeneration in several diseases. The cause of this degeneration has not been determined, but lack of energy metabolites such as glucose or lactate has been proposed. Lactate is transported exclusively by monocarboxylate transporters, and changes to these transporters alter lactate production and use. Here we show that the most abundant lactate transporter in the central nervous system, monocarboxylate transporter 1 (MCT1, also known as SLC16A1), is highly enriched within oligodendroglia and that disruption of this transporter produces axon damage and neuron loss in animal and cell culture models. In addition, this same transporter is reduced in patients with, and in mouse models of, amyotrophic lateral sclerosis, suggesting a role for oligodendroglial MCT1 in pathogenesis. The role of oligodendroglia in axon function and neuron survival has been elusive; this study defines a new fundamental mechanism by which oligodendroglia support neurons and axons.","DOI":"10.1038/nature11314","ISSN":"1476-4687","author":[{"family":"Lee","given":"Youngjin"},{"family":"Morrison","given":"Brett M"},{"family":"Li","given":"Yun"},{"family":"Lengacher","given":"Sylvain"},{"family":"Farah","given":"Mohamed H"},{"family":"Hoffman","given":"Paul N"},{"family":"Liu","given":"Yiting"},{"family":"Tsingalia","given":"Akivaga"},{"family":"Jin","given":"Lin"},{"family":"Zhang","given":"Ping-Wu"},{"family":"Pellerin","given":"Luc"},{"family":"Magistretti","given":"Pierre J"},{"family":"Rothstein","given":"Jeffrey D"}],"issued":{"date-parts":[["2012",7,26]]}}},{"id":149,"uris":["http://zotero.org/users/local/OxFKn8nN/items/PIPW2CJM"],"uri":["http://zotero.org/users/local/OxFKn8nN/items/PIPW2CJM"],"itemData":{"id":149,"type":"article-journal","title":"Multiple sclerosis and chronic autoimmune encephalomyelitis: a comparative quantitative study of axonal injury in active, inactive, and remyelinated lesions","container-title":"The American journal of pathology","page":"267-276","volume":"157","issue":"1","archive":"PubMed","archive_location":"10880396","abstract":"Recent magnetic resonance (MR) studies of multiple sclerosis lesions indicate that axonal injury is a major correlate of permanent clinical deficit. In the present study we systematically quantified acute axonal injury, defined by immunoreactivity for beta-amyloid-precursor-protein in dystrophic neurites, in the central nervous system of 22 multiple sclerosis patients and 18 rats with myelin-oligodendrocyte glycoprotein (MOG)-induced chronic autoimmune encephalomyelitis (EAE). The highest incidence of acute axonal injury was found during active demyelination, which was associated with axonal damage in periplaque and in the normal appearing white matter of actively demyelinating cases. In addition, low but significant axonal injury was also observed in inactive demyelinated plaques. In contrast, no significant axonal damage was found in remyelinated shadow plaques. The patterns of axonal pathology in chronic active EAE were qualitatively and quantitatively similar to those found in multiple sclerosis. Our studies confirm previous observations of axonal destruction in multiple sclerosis lesions during active demyelination, but also indicate that ongoing axonal damage in inactive lesions may significantly contribute to the clinical progression of the disease. The results further emphasize that MOG-induced EAE may serve as a suitable model for testing axon-protective therapies in inflammatory demyelinating conditions.","DOI":"10.1016/S0002-9440(10)64537-3","ISSN":"0002-9440","author":[{"family":"Kornek","given":"B"},{"family":"Storch","given":"M K"},{"family":"Weissert","given":"R"},{"family":"Wallstroem","given":"E"},{"family":"Stefferl","given":"A"},{"family":"Olsson","given":"T"},{"family":"Linington","given":"C"},{"family":"Schmidbauer","given":"M"},{"family":"Lassmann","given":"H"}],"issued":{"date-parts":[["2000",7]]}}},{"id":151,"uris":["http://zotero.org/users/local/OxFKn8nN/items/9WKU46XM"],"uri":["http://zotero.org/users/local/OxFKn8nN/items/9WKU46XM"],"itemData":{"id":151,"type":"article-journal","title":"Accelerated remyelination during inflammatory demyelination prevents axonal loss and improves functional recovery","container-title":"eLife","page":"e18246","volume":"5","archive":"PubMed","archive_location":"27671734","abstract":"Demyelination in MS disrupts nerve signals and contributes to axon degeneration. While remyelination promises to restore lost function, it remains unclear whether remyelination will prevent axonal loss. Inflammatory demyelination is accompanied by significant neuronal loss in the experimental autoimmune encephalomyelitis (EAE) mouse model and evidence for remyelination in this model is complicated by ongoing inflammation, degeneration and possible remyelination. Demonstrating the functional significance of remyelination necessitates selectively altering the timing of remyelination relative to inflammation and degeneration. We demonstrate accelerated remyelination after EAE induction by direct lineage analysis and hypothesize that newly formed myelin remains stable at the height of inflammation due in part to the absence of MOG expression in immature myelin. Oligodendroglial-specific genetic ablation of the M1 muscarinic receptor, a potent negative regulator of oligodendrocyte differentiation and myelination, results in accelerated remyelination, preventing axonal loss and improving functional recovery. Together our findings demonstrate that accelerated remyelination supports axonal integrity and neuronal function after inflammatory demyelination.","DOI":"10.7554/eLife.18246","ISSN":"2050-084X","author":[{"family":"Mei","given":"Feng"},{"family":"Lehmann-Horn","given":"Klaus"},{"family":"Shen","given":"Yun-An A"},{"family":"Rankin","given":"Kelsey A"},{"family":"Stebbins","given":"Karin J"},{"family":"Lorrain","given":"Daniel S"},{"family":"Pekarek","given":"Kara"},{"family":"A Sagan","given":"Sharon"},{"family":"Xiao","given":"Lan"},{"family":"Teuscher","given":"Cory"},{"family":"Büdingen","given":"H-Christian","non-dropping-particle":"von"},{"family":"Wess","given":"Jürgen"},{"family":"Lawrence","given":"J Josh"},{"family":"Green","given":"Ari J"},{"family":"Fancy","given":"Stephen Pj"},{"family":"Zamvil","given":"Scott S"},{"family":"Chan","given":"Jonah R"}],"issued":{"date-parts":[["2016",9,27]]}}}],"schema":"https://github.com/citation-style-language/schema/raw/master/csl-citation.json"} </w:instrText>
      </w:r>
      <w:r w:rsidR="007E51FA">
        <w:rPr>
          <w:rFonts w:ascii="Times New Roman" w:hAnsi="Times New Roman" w:cs="Times New Roman"/>
          <w:color w:val="000000" w:themeColor="text1"/>
          <w:sz w:val="20"/>
          <w:szCs w:val="20"/>
        </w:rPr>
        <w:fldChar w:fldCharType="separate"/>
      </w:r>
      <w:r w:rsidR="00BB07A0">
        <w:rPr>
          <w:rFonts w:ascii="Times New Roman" w:hAnsi="Times New Roman" w:cs="Times New Roman"/>
          <w:color w:val="000000"/>
          <w:sz w:val="20"/>
          <w:lang w:val="en-US"/>
        </w:rPr>
        <w:t>[</w:t>
      </w:r>
      <w:r w:rsidR="00081F0D" w:rsidRPr="00DB0E48">
        <w:rPr>
          <w:rFonts w:ascii="Times New Roman" w:hAnsi="Times New Roman" w:cs="Times New Roman"/>
          <w:color w:val="000000"/>
          <w:sz w:val="20"/>
          <w:lang w:val="en-US"/>
        </w:rPr>
        <w:t>24–29</w:t>
      </w:r>
      <w:r w:rsidR="00BB07A0">
        <w:rPr>
          <w:rFonts w:ascii="Times New Roman" w:hAnsi="Times New Roman" w:cs="Times New Roman"/>
          <w:color w:val="000000"/>
          <w:sz w:val="20"/>
          <w:lang w:val="en-US"/>
        </w:rPr>
        <w:t>]</w:t>
      </w:r>
      <w:r w:rsidR="007E51FA">
        <w:rPr>
          <w:rFonts w:ascii="Times New Roman" w:hAnsi="Times New Roman" w:cs="Times New Roman"/>
          <w:color w:val="000000" w:themeColor="text1"/>
          <w:sz w:val="20"/>
          <w:szCs w:val="20"/>
        </w:rPr>
        <w:fldChar w:fldCharType="end"/>
      </w:r>
      <w:r w:rsidR="00013A9E">
        <w:rPr>
          <w:rFonts w:ascii="Times New Roman" w:hAnsi="Times New Roman" w:cs="Times New Roman"/>
          <w:color w:val="000000" w:themeColor="text1"/>
          <w:sz w:val="20"/>
          <w:szCs w:val="20"/>
        </w:rPr>
        <w:t>.</w:t>
      </w:r>
      <w:r w:rsidR="005D64E7">
        <w:rPr>
          <w:rFonts w:ascii="Times New Roman" w:hAnsi="Times New Roman" w:cs="Times New Roman"/>
          <w:color w:val="000000" w:themeColor="text1"/>
          <w:sz w:val="20"/>
          <w:szCs w:val="20"/>
        </w:rPr>
        <w:t xml:space="preserve"> </w:t>
      </w:r>
      <w:r w:rsidR="00857EBD" w:rsidRPr="00857EBD">
        <w:rPr>
          <w:rFonts w:ascii="Times New Roman" w:hAnsi="Times New Roman" w:cs="Times New Roman"/>
          <w:color w:val="000000" w:themeColor="text1"/>
          <w:sz w:val="20"/>
          <w:szCs w:val="20"/>
        </w:rPr>
        <w:t>In this review, we</w:t>
      </w:r>
      <w:r w:rsidR="004B7560">
        <w:rPr>
          <w:rFonts w:ascii="Times New Roman" w:hAnsi="Times New Roman" w:cs="Times New Roman"/>
          <w:color w:val="000000" w:themeColor="text1"/>
          <w:sz w:val="20"/>
          <w:szCs w:val="20"/>
        </w:rPr>
        <w:t xml:space="preserve"> describe the</w:t>
      </w:r>
      <w:r w:rsidR="00857EBD" w:rsidRPr="00857EBD">
        <w:rPr>
          <w:rFonts w:ascii="Times New Roman" w:hAnsi="Times New Roman" w:cs="Times New Roman"/>
          <w:color w:val="000000" w:themeColor="text1"/>
          <w:sz w:val="20"/>
          <w:szCs w:val="20"/>
        </w:rPr>
        <w:t xml:space="preserve"> biology of remyelination, why this fails in MS, </w:t>
      </w:r>
      <w:r w:rsidR="004B7560">
        <w:rPr>
          <w:rFonts w:ascii="Times New Roman" w:hAnsi="Times New Roman" w:cs="Times New Roman"/>
          <w:color w:val="000000" w:themeColor="text1"/>
          <w:sz w:val="20"/>
          <w:szCs w:val="20"/>
        </w:rPr>
        <w:t xml:space="preserve">and recent </w:t>
      </w:r>
      <w:r w:rsidR="00F40511">
        <w:rPr>
          <w:rFonts w:ascii="Times New Roman" w:hAnsi="Times New Roman" w:cs="Times New Roman"/>
          <w:color w:val="000000" w:themeColor="text1"/>
          <w:sz w:val="20"/>
          <w:szCs w:val="20"/>
        </w:rPr>
        <w:t>research</w:t>
      </w:r>
      <w:r w:rsidR="004B7560">
        <w:rPr>
          <w:rFonts w:ascii="Times New Roman" w:hAnsi="Times New Roman" w:cs="Times New Roman"/>
          <w:color w:val="000000" w:themeColor="text1"/>
          <w:sz w:val="20"/>
          <w:szCs w:val="20"/>
        </w:rPr>
        <w:t xml:space="preserve"> that has raised questions about current approaches to promoting remyelination. We then consider the therapies that have been, and are being, evaluated and discuss the best approach to measure remyelination in people, which is proving increasingly essential as we translate promising preclinical research into clinical trials.</w:t>
      </w:r>
    </w:p>
    <w:p w14:paraId="1B39D6FA" w14:textId="082FAA3D" w:rsidR="00C043B5" w:rsidRDefault="00C043B5" w:rsidP="00E17010">
      <w:pPr>
        <w:spacing w:line="480" w:lineRule="auto"/>
        <w:rPr>
          <w:rFonts w:ascii="Times New Roman" w:hAnsi="Times New Roman" w:cs="Times New Roman"/>
          <w:color w:val="000000" w:themeColor="text1"/>
          <w:sz w:val="20"/>
          <w:szCs w:val="20"/>
        </w:rPr>
      </w:pPr>
    </w:p>
    <w:p w14:paraId="4943E0A0" w14:textId="439D19CA" w:rsidR="002366D3" w:rsidRPr="005C5428" w:rsidRDefault="00341286" w:rsidP="00E17010">
      <w:pPr>
        <w:spacing w:line="480" w:lineRule="auto"/>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The role</w:t>
      </w:r>
      <w:r w:rsidR="0084316B">
        <w:rPr>
          <w:rFonts w:ascii="Times New Roman" w:hAnsi="Times New Roman" w:cs="Times New Roman"/>
          <w:b/>
          <w:color w:val="000000" w:themeColor="text1"/>
          <w:sz w:val="20"/>
          <w:szCs w:val="20"/>
        </w:rPr>
        <w:t xml:space="preserve"> of myelin</w:t>
      </w:r>
    </w:p>
    <w:p w14:paraId="282C80A5" w14:textId="0E06C0A9" w:rsidR="004E41ED" w:rsidRDefault="00AE38B0" w:rsidP="00E17010">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Myelination</w:t>
      </w:r>
      <w:r w:rsidR="002366D3">
        <w:rPr>
          <w:rFonts w:ascii="Times New Roman" w:hAnsi="Times New Roman" w:cs="Times New Roman"/>
          <w:color w:val="000000" w:themeColor="text1"/>
          <w:sz w:val="20"/>
          <w:szCs w:val="20"/>
        </w:rPr>
        <w:t xml:space="preserve"> offers a far better way of increasing the conduction velocity of nerve fibres than simply increasing </w:t>
      </w:r>
      <w:r w:rsidR="00D1210C">
        <w:rPr>
          <w:rFonts w:ascii="Times New Roman" w:hAnsi="Times New Roman" w:cs="Times New Roman"/>
          <w:color w:val="000000" w:themeColor="text1"/>
          <w:sz w:val="20"/>
          <w:szCs w:val="20"/>
        </w:rPr>
        <w:t>axon</w:t>
      </w:r>
      <w:r w:rsidR="002366D3">
        <w:rPr>
          <w:rFonts w:ascii="Times New Roman" w:hAnsi="Times New Roman" w:cs="Times New Roman"/>
          <w:color w:val="000000" w:themeColor="text1"/>
          <w:sz w:val="20"/>
          <w:szCs w:val="20"/>
        </w:rPr>
        <w:t xml:space="preserve"> size. </w:t>
      </w:r>
      <w:r>
        <w:rPr>
          <w:rFonts w:ascii="Times New Roman" w:hAnsi="Times New Roman" w:cs="Times New Roman"/>
          <w:color w:val="000000" w:themeColor="text1"/>
          <w:sz w:val="20"/>
          <w:szCs w:val="20"/>
        </w:rPr>
        <w:t>Myelin increases the transverse, insulating, resistance of the axon</w:t>
      </w:r>
      <w:r w:rsidR="00D1210C">
        <w:rPr>
          <w:rFonts w:ascii="Times New Roman" w:hAnsi="Times New Roman" w:cs="Times New Roman"/>
          <w:color w:val="000000" w:themeColor="text1"/>
          <w:sz w:val="20"/>
          <w:szCs w:val="20"/>
        </w:rPr>
        <w:t xml:space="preserve"> membrane</w:t>
      </w:r>
      <w:r>
        <w:rPr>
          <w:rFonts w:ascii="Times New Roman" w:hAnsi="Times New Roman" w:cs="Times New Roman"/>
          <w:color w:val="000000" w:themeColor="text1"/>
          <w:sz w:val="20"/>
          <w:szCs w:val="20"/>
        </w:rPr>
        <w:t xml:space="preserve"> while</w:t>
      </w:r>
      <w:r w:rsidR="001B6BAB">
        <w:rPr>
          <w:rFonts w:ascii="Times New Roman" w:hAnsi="Times New Roman" w:cs="Times New Roman"/>
          <w:color w:val="000000" w:themeColor="text1"/>
          <w:sz w:val="20"/>
          <w:szCs w:val="20"/>
        </w:rPr>
        <w:t xml:space="preserve"> the voltage-gated sodium and potassium channels are virtually confined</w:t>
      </w:r>
      <w:r w:rsidR="002366D3">
        <w:rPr>
          <w:rFonts w:ascii="Times New Roman" w:hAnsi="Times New Roman" w:cs="Times New Roman"/>
          <w:color w:val="000000" w:themeColor="text1"/>
          <w:sz w:val="20"/>
          <w:szCs w:val="20"/>
        </w:rPr>
        <w:t xml:space="preserve"> to short unmyelinated </w:t>
      </w:r>
      <w:r w:rsidR="001B6BAB">
        <w:rPr>
          <w:rFonts w:ascii="Times New Roman" w:hAnsi="Times New Roman" w:cs="Times New Roman"/>
          <w:color w:val="000000" w:themeColor="text1"/>
          <w:sz w:val="20"/>
          <w:szCs w:val="20"/>
        </w:rPr>
        <w:t>nodes</w:t>
      </w:r>
      <w:r>
        <w:rPr>
          <w:rFonts w:ascii="Times New Roman" w:hAnsi="Times New Roman" w:cs="Times New Roman"/>
          <w:color w:val="000000" w:themeColor="text1"/>
          <w:sz w:val="20"/>
          <w:szCs w:val="20"/>
        </w:rPr>
        <w:t xml:space="preserve"> of Ranvier</w:t>
      </w:r>
      <w:r w:rsidR="00515C80">
        <w:rPr>
          <w:rFonts w:ascii="Times New Roman" w:hAnsi="Times New Roman" w:cs="Times New Roman"/>
          <w:color w:val="000000" w:themeColor="text1"/>
          <w:sz w:val="20"/>
          <w:szCs w:val="20"/>
        </w:rPr>
        <w:t>.</w:t>
      </w:r>
      <w:r w:rsidR="005A2E50">
        <w:rPr>
          <w:rFonts w:ascii="Times New Roman" w:hAnsi="Times New Roman" w:cs="Times New Roman"/>
          <w:color w:val="000000" w:themeColor="text1"/>
          <w:sz w:val="20"/>
          <w:szCs w:val="20"/>
        </w:rPr>
        <w:t xml:space="preserve"> </w:t>
      </w:r>
      <w:r w:rsidR="00515C80">
        <w:rPr>
          <w:rFonts w:ascii="Times New Roman" w:hAnsi="Times New Roman" w:cs="Times New Roman"/>
          <w:color w:val="000000" w:themeColor="text1"/>
          <w:sz w:val="20"/>
          <w:szCs w:val="20"/>
        </w:rPr>
        <w:t>T</w:t>
      </w:r>
      <w:r w:rsidR="005A2E50">
        <w:rPr>
          <w:rFonts w:ascii="Times New Roman" w:hAnsi="Times New Roman" w:cs="Times New Roman"/>
          <w:color w:val="000000" w:themeColor="text1"/>
          <w:sz w:val="20"/>
          <w:szCs w:val="20"/>
        </w:rPr>
        <w:t>he action potential</w:t>
      </w:r>
      <w:r w:rsidR="00515C80">
        <w:rPr>
          <w:rFonts w:ascii="Times New Roman" w:hAnsi="Times New Roman" w:cs="Times New Roman"/>
          <w:color w:val="000000" w:themeColor="text1"/>
          <w:sz w:val="20"/>
          <w:szCs w:val="20"/>
        </w:rPr>
        <w:t xml:space="preserve"> is therefore </w:t>
      </w:r>
      <w:r w:rsidR="00F4097D">
        <w:rPr>
          <w:rFonts w:ascii="Times New Roman" w:hAnsi="Times New Roman" w:cs="Times New Roman"/>
          <w:color w:val="000000" w:themeColor="text1"/>
          <w:sz w:val="20"/>
          <w:szCs w:val="20"/>
        </w:rPr>
        <w:t>propagated by</w:t>
      </w:r>
      <w:r w:rsidR="00515C80">
        <w:rPr>
          <w:rFonts w:ascii="Times New Roman" w:hAnsi="Times New Roman" w:cs="Times New Roman"/>
          <w:color w:val="000000" w:themeColor="text1"/>
          <w:sz w:val="20"/>
          <w:szCs w:val="20"/>
        </w:rPr>
        <w:t xml:space="preserve"> the comparatively rapid and energy efficient process of</w:t>
      </w:r>
      <w:r w:rsidR="005A2E50">
        <w:rPr>
          <w:rFonts w:ascii="Times New Roman" w:hAnsi="Times New Roman" w:cs="Times New Roman"/>
          <w:color w:val="000000" w:themeColor="text1"/>
          <w:sz w:val="20"/>
          <w:szCs w:val="20"/>
        </w:rPr>
        <w:t xml:space="preserve"> </w:t>
      </w:r>
      <w:r w:rsidR="00231AE8">
        <w:rPr>
          <w:rFonts w:ascii="Times New Roman" w:hAnsi="Times New Roman" w:cs="Times New Roman"/>
          <w:color w:val="000000" w:themeColor="text1"/>
          <w:sz w:val="20"/>
          <w:szCs w:val="20"/>
        </w:rPr>
        <w:t>saltatory conduction</w:t>
      </w:r>
      <w:r w:rsidR="003825E2">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L85W5ofc","properties":{"formattedCitation":"(30,31)","plainCitation":"(30,31)","noteIndex":0},"citationItems":[{"id":139,"uris":["http://zotero.org/users/local/OxFKn8nN/items/WF4BYPG6"],"uri":["http://zotero.org/users/local/OxFKn8nN/items/WF4BYPG6"],"itemData":{"id":139,"type":"article-journal","title":"Restoration of secure conduction by central demyelination","container-title":"Transactions of the American Neurological Association","page":"25-29","volume":"104","archive":"PubMed","archive_location":"553424","ISSN":"0065-9479","journalAbbreviation":"Transactions of the American Neurological Association","language":"eng","author":[{"family":"Smith","given":"KJ"},{"family":"McDonald","given":"WI"},{"family":"Blakemore","given":"WF"}],"issued":{"date-parts":[["1979"]]}}},{"id":140,"uris":["http://zotero.org/users/local/OxFKn8nN/items/RLP6AHW6"],"uri":["http://zotero.org/users/local/OxFKn8nN/items/RLP6AHW6"],"itemData":{"id":140,"type":"article-journal","title":"The restoration of conduction by central remyelination","container-title":"Brain : a journal of neurology","page":"383-404","volume":"104","issue":"2","archive":"PubMed","archive_location":"6263406","DOI":"10.1093/brain/104.2.383","ISSN":"0006-8950","journalAbbreviation":"Brain : a journal of neurology","language":"eng","author":[{"family":"Smith","given":"KJ"},{"family":"Blakemore","given":"WF"},{"family":"McDonald","given":"WI"}],"issued":{"date-parts":[["1981",6]]}}}],"schema":"https://github.com/citation-style-language/schema/raw/master/csl-citation.json"} </w:instrText>
      </w:r>
      <w:r w:rsidR="003825E2">
        <w:rPr>
          <w:rFonts w:ascii="Times New Roman" w:hAnsi="Times New Roman" w:cs="Times New Roman"/>
          <w:color w:val="000000" w:themeColor="text1"/>
          <w:sz w:val="20"/>
          <w:szCs w:val="20"/>
        </w:rPr>
        <w:fldChar w:fldCharType="separate"/>
      </w:r>
      <w:r w:rsidR="003B6158">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30,31</w:t>
      </w:r>
      <w:r w:rsidR="003B6158">
        <w:rPr>
          <w:rFonts w:ascii="Times New Roman" w:hAnsi="Times New Roman" w:cs="Times New Roman"/>
          <w:color w:val="000000"/>
          <w:sz w:val="20"/>
          <w:u w:val="dash"/>
          <w:lang w:val="en-US"/>
        </w:rPr>
        <w:t>]</w:t>
      </w:r>
      <w:r w:rsidR="003825E2">
        <w:rPr>
          <w:rFonts w:ascii="Times New Roman" w:hAnsi="Times New Roman" w:cs="Times New Roman"/>
          <w:color w:val="000000" w:themeColor="text1"/>
          <w:sz w:val="20"/>
          <w:szCs w:val="20"/>
        </w:rPr>
        <w:fldChar w:fldCharType="end"/>
      </w:r>
      <w:r w:rsidR="006D6965">
        <w:rPr>
          <w:rFonts w:ascii="Times New Roman" w:hAnsi="Times New Roman" w:cs="Times New Roman"/>
          <w:color w:val="000000" w:themeColor="text1"/>
          <w:sz w:val="20"/>
          <w:szCs w:val="20"/>
        </w:rPr>
        <w:t xml:space="preserve">. </w:t>
      </w:r>
      <w:r w:rsidR="00234049">
        <w:rPr>
          <w:rFonts w:ascii="Times New Roman" w:hAnsi="Times New Roman" w:cs="Times New Roman"/>
          <w:color w:val="000000" w:themeColor="text1"/>
          <w:sz w:val="20"/>
          <w:szCs w:val="20"/>
        </w:rPr>
        <w:t>It follows that l</w:t>
      </w:r>
      <w:r w:rsidR="006D6965">
        <w:rPr>
          <w:rFonts w:ascii="Times New Roman" w:hAnsi="Times New Roman" w:cs="Times New Roman"/>
          <w:color w:val="000000" w:themeColor="text1"/>
          <w:sz w:val="20"/>
          <w:szCs w:val="20"/>
        </w:rPr>
        <w:t>oss of myelin lead</w:t>
      </w:r>
      <w:r w:rsidR="007F6AAC">
        <w:rPr>
          <w:rFonts w:ascii="Times New Roman" w:hAnsi="Times New Roman" w:cs="Times New Roman"/>
          <w:color w:val="000000" w:themeColor="text1"/>
          <w:sz w:val="20"/>
          <w:szCs w:val="20"/>
        </w:rPr>
        <w:t>s</w:t>
      </w:r>
      <w:r w:rsidR="006D6965">
        <w:rPr>
          <w:rFonts w:ascii="Times New Roman" w:hAnsi="Times New Roman" w:cs="Times New Roman"/>
          <w:color w:val="000000" w:themeColor="text1"/>
          <w:sz w:val="20"/>
          <w:szCs w:val="20"/>
        </w:rPr>
        <w:t xml:space="preserve"> to</w:t>
      </w:r>
      <w:r w:rsidR="00D17095">
        <w:rPr>
          <w:rFonts w:ascii="Times New Roman" w:hAnsi="Times New Roman" w:cs="Times New Roman"/>
          <w:color w:val="000000" w:themeColor="text1"/>
          <w:sz w:val="20"/>
          <w:szCs w:val="20"/>
        </w:rPr>
        <w:t xml:space="preserve"> slower transmission</w:t>
      </w:r>
      <w:r w:rsidR="005A2E50">
        <w:rPr>
          <w:rFonts w:ascii="Times New Roman" w:hAnsi="Times New Roman" w:cs="Times New Roman"/>
          <w:color w:val="000000" w:themeColor="text1"/>
          <w:sz w:val="20"/>
          <w:szCs w:val="20"/>
        </w:rPr>
        <w:t xml:space="preserve"> of the action potential</w:t>
      </w:r>
      <w:r w:rsidR="00D17095">
        <w:rPr>
          <w:rFonts w:ascii="Times New Roman" w:hAnsi="Times New Roman" w:cs="Times New Roman"/>
          <w:color w:val="000000" w:themeColor="text1"/>
          <w:sz w:val="20"/>
          <w:szCs w:val="20"/>
        </w:rPr>
        <w:t xml:space="preserve">, and hence </w:t>
      </w:r>
      <w:r w:rsidR="00FE311B">
        <w:rPr>
          <w:rFonts w:ascii="Times New Roman" w:hAnsi="Times New Roman" w:cs="Times New Roman"/>
          <w:color w:val="000000" w:themeColor="text1"/>
          <w:sz w:val="20"/>
          <w:szCs w:val="20"/>
        </w:rPr>
        <w:t>prolonged</w:t>
      </w:r>
      <w:r w:rsidR="00D17095">
        <w:rPr>
          <w:rFonts w:ascii="Times New Roman" w:hAnsi="Times New Roman" w:cs="Times New Roman"/>
          <w:color w:val="000000" w:themeColor="text1"/>
          <w:sz w:val="20"/>
          <w:szCs w:val="20"/>
        </w:rPr>
        <w:t xml:space="preserve"> latency, but can also</w:t>
      </w:r>
      <w:r w:rsidR="004B661F">
        <w:rPr>
          <w:rFonts w:ascii="Times New Roman" w:hAnsi="Times New Roman" w:cs="Times New Roman"/>
          <w:color w:val="000000" w:themeColor="text1"/>
          <w:sz w:val="20"/>
          <w:szCs w:val="20"/>
        </w:rPr>
        <w:t xml:space="preserve"> lead to </w:t>
      </w:r>
      <w:r w:rsidR="00D17095">
        <w:rPr>
          <w:rFonts w:ascii="Times New Roman" w:hAnsi="Times New Roman" w:cs="Times New Roman"/>
          <w:color w:val="000000" w:themeColor="text1"/>
          <w:sz w:val="20"/>
          <w:szCs w:val="20"/>
        </w:rPr>
        <w:t>conduction block</w:t>
      </w:r>
      <w:r w:rsidR="003825E2">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rFX5kGmk","properties":{"formattedCitation":"(32)","plainCitation":"(32)","noteIndex":0},"citationItems":[{"id":301,"uris":["http://zotero.org/users/local/OxFKn8nN/items/8MXX8JPL"],"uri":["http://zotero.org/users/local/OxFKn8nN/items/8MXX8JPL"],"itemData":{"id":301,"type":"article-journal","title":"The pathophysiology of multiple sclerosis</w:instrText>
      </w:r>
      <w:r w:rsidR="008F64AB">
        <w:rPr>
          <w:rFonts w:ascii="Cambria Math" w:hAnsi="Cambria Math" w:cs="Cambria Math"/>
          <w:color w:val="000000" w:themeColor="text1"/>
          <w:sz w:val="20"/>
          <w:szCs w:val="20"/>
        </w:rPr>
        <w:instrText>⋮</w:instrText>
      </w:r>
      <w:r w:rsidR="008F64AB">
        <w:rPr>
          <w:rFonts w:ascii="Times New Roman" w:hAnsi="Times New Roman" w:cs="Times New Roman"/>
          <w:color w:val="000000" w:themeColor="text1"/>
          <w:sz w:val="20"/>
          <w:szCs w:val="20"/>
        </w:rPr>
        <w:instrText xml:space="preserve"> the mechanisms underlying the production of symptoms and the natural history of the disease","container-title":"Philosophical Transactions of the Royal Society of London. Series B: Biological Sciences","page":"1649-1673","volume":"354","issue":"1390","DOI":"10.1098/rstb.1999.0510","journalAbbreviation":"Philosophical Transactions of the Royal Society of London. Series B: Biological Sciences","author":[{"literal":"McDonald W. I."},{"literal":"Smith Kenneth J."},{"literal":"McDonald W. I."}],"issued":{"date-parts":[["1999",10,29]]}}}],"schema":"https://github.com/citation-style-language/schema/raw/master/csl-citation.json"} </w:instrText>
      </w:r>
      <w:r w:rsidR="003825E2">
        <w:rPr>
          <w:rFonts w:ascii="Times New Roman" w:hAnsi="Times New Roman" w:cs="Times New Roman"/>
          <w:color w:val="000000" w:themeColor="text1"/>
          <w:sz w:val="20"/>
          <w:szCs w:val="20"/>
        </w:rPr>
        <w:fldChar w:fldCharType="separate"/>
      </w:r>
      <w:r w:rsidR="003B6158">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32</w:t>
      </w:r>
      <w:r w:rsidR="003B6158">
        <w:rPr>
          <w:rFonts w:ascii="Times New Roman" w:hAnsi="Times New Roman" w:cs="Times New Roman"/>
          <w:color w:val="000000"/>
          <w:sz w:val="20"/>
          <w:u w:val="dash"/>
          <w:lang w:val="en-US"/>
        </w:rPr>
        <w:t>]</w:t>
      </w:r>
      <w:r w:rsidR="003825E2">
        <w:rPr>
          <w:rFonts w:ascii="Times New Roman" w:hAnsi="Times New Roman" w:cs="Times New Roman"/>
          <w:color w:val="000000" w:themeColor="text1"/>
          <w:sz w:val="20"/>
          <w:szCs w:val="20"/>
        </w:rPr>
        <w:fldChar w:fldCharType="end"/>
      </w:r>
      <w:r w:rsidR="00B2503D">
        <w:rPr>
          <w:rFonts w:ascii="Times New Roman" w:hAnsi="Times New Roman" w:cs="Times New Roman"/>
          <w:color w:val="000000" w:themeColor="text1"/>
          <w:sz w:val="20"/>
          <w:szCs w:val="20"/>
        </w:rPr>
        <w:t xml:space="preserve">. </w:t>
      </w:r>
      <w:r w:rsidR="005A2E50">
        <w:rPr>
          <w:rFonts w:ascii="Times New Roman" w:hAnsi="Times New Roman" w:cs="Times New Roman"/>
          <w:color w:val="000000" w:themeColor="text1"/>
          <w:sz w:val="20"/>
          <w:szCs w:val="20"/>
        </w:rPr>
        <w:t>R</w:t>
      </w:r>
      <w:r w:rsidR="00D9552B">
        <w:rPr>
          <w:rFonts w:ascii="Times New Roman" w:hAnsi="Times New Roman" w:cs="Times New Roman"/>
          <w:color w:val="000000" w:themeColor="text1"/>
          <w:sz w:val="20"/>
          <w:szCs w:val="20"/>
        </w:rPr>
        <w:t xml:space="preserve">emyelination </w:t>
      </w:r>
      <w:r w:rsidR="00515C80">
        <w:rPr>
          <w:rFonts w:ascii="Times New Roman" w:hAnsi="Times New Roman" w:cs="Times New Roman"/>
          <w:color w:val="000000" w:themeColor="text1"/>
          <w:sz w:val="20"/>
          <w:szCs w:val="20"/>
        </w:rPr>
        <w:t xml:space="preserve">is therefore a way to </w:t>
      </w:r>
      <w:r w:rsidR="00D9552B">
        <w:rPr>
          <w:rFonts w:ascii="Times New Roman" w:hAnsi="Times New Roman" w:cs="Times New Roman"/>
          <w:color w:val="000000" w:themeColor="text1"/>
          <w:sz w:val="20"/>
          <w:szCs w:val="20"/>
        </w:rPr>
        <w:t>restore saltatory conduction</w:t>
      </w:r>
      <w:r w:rsidR="003825E2">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fE1Prt6A","properties":{"formattedCitation":"(33)","plainCitation":"(33)","noteIndex":0},"citationItems":[{"id":303,"uris":["http://zotero.org/users/local/OxFKn8nN/items/P32J72C5"],"uri":["http://zotero.org/users/local/OxFKn8nN/items/P32J72C5"],"itemData":{"id":303,"type":"article-journal","title":"Central remyelination restores secure conduction","container-title":"Nature","page":"395-396","volume":"280","issue":"5721","abstract":"ONE of the outstanding characteristics of multiple sclerosis and other clinical and experimental diseases associated with demyelination, is the tendency to remit. Although there is good evidence that an important cause of functional loss in such conditions is conduction block produced by the selective destruction of the myelin sheath1, the mechanisms underlying remission are unknown2. It has long been recognised that in certain experimental lesions demyelinated central axons can be remyelinated by the normal myelin-forming cell, the oligodendrocyte3. The new sheaths are, however, abnormally thin and short and it is not known whether they are capable of restoring conduction. A previous investigation was inconclusive4. Because of the physiological and clinical importance of this problem, we have now examined conduction serially through the lesion induced by the direct microinjection of lysophosphatidyl choline (LPC) into the cat spinal cord5. This lesion has the advantage that the phases of active demyelination and remyelination are well separated, thus permitting a reasonable correlation of the morphological with the physiological changes. We have found that secure conduction is restored with remyelination.","DOI":"10.1038/280395a0","ISSN":"1476-4687","journalAbbreviation":"Nature","author":[{"family":"SMITH","given":"K. J."},{"family":"BLAKEMORE","given":"W. F."},{"family":"MCDONALD","given":"W. I."}],"issued":{"date-parts":[["1979",8,1]]}}}],"schema":"https://github.com/citation-style-language/schema/raw/master/csl-citation.json"} </w:instrText>
      </w:r>
      <w:r w:rsidR="003825E2">
        <w:rPr>
          <w:rFonts w:ascii="Times New Roman" w:hAnsi="Times New Roman" w:cs="Times New Roman"/>
          <w:color w:val="000000" w:themeColor="text1"/>
          <w:sz w:val="20"/>
          <w:szCs w:val="20"/>
        </w:rPr>
        <w:fldChar w:fldCharType="separate"/>
      </w:r>
      <w:r w:rsidR="003B6158">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33</w:t>
      </w:r>
      <w:r w:rsidR="003B6158">
        <w:rPr>
          <w:rFonts w:ascii="Times New Roman" w:hAnsi="Times New Roman" w:cs="Times New Roman"/>
          <w:color w:val="000000"/>
          <w:sz w:val="20"/>
          <w:u w:val="dash"/>
          <w:lang w:val="en-US"/>
        </w:rPr>
        <w:t>]</w:t>
      </w:r>
      <w:r w:rsidR="003825E2">
        <w:rPr>
          <w:rFonts w:ascii="Times New Roman" w:hAnsi="Times New Roman" w:cs="Times New Roman"/>
          <w:color w:val="000000" w:themeColor="text1"/>
          <w:sz w:val="20"/>
          <w:szCs w:val="20"/>
        </w:rPr>
        <w:fldChar w:fldCharType="end"/>
      </w:r>
      <w:r w:rsidR="00D9552B">
        <w:rPr>
          <w:rFonts w:ascii="Times New Roman" w:hAnsi="Times New Roman" w:cs="Times New Roman"/>
          <w:color w:val="000000" w:themeColor="text1"/>
          <w:sz w:val="20"/>
          <w:szCs w:val="20"/>
        </w:rPr>
        <w:t xml:space="preserve">, </w:t>
      </w:r>
      <w:r w:rsidR="005E7D79">
        <w:rPr>
          <w:rFonts w:ascii="Times New Roman" w:hAnsi="Times New Roman" w:cs="Times New Roman"/>
          <w:color w:val="000000" w:themeColor="text1"/>
          <w:sz w:val="20"/>
          <w:szCs w:val="20"/>
        </w:rPr>
        <w:t>and</w:t>
      </w:r>
      <w:r w:rsidR="00D9552B">
        <w:rPr>
          <w:rFonts w:ascii="Times New Roman" w:hAnsi="Times New Roman" w:cs="Times New Roman"/>
          <w:color w:val="000000" w:themeColor="text1"/>
          <w:sz w:val="20"/>
          <w:szCs w:val="20"/>
        </w:rPr>
        <w:t xml:space="preserve"> clinical function</w:t>
      </w:r>
      <w:r w:rsidR="00234049">
        <w:rPr>
          <w:rFonts w:ascii="Times New Roman" w:hAnsi="Times New Roman" w:cs="Times New Roman"/>
          <w:color w:val="000000" w:themeColor="text1"/>
          <w:sz w:val="20"/>
          <w:szCs w:val="20"/>
        </w:rPr>
        <w:fldChar w:fldCharType="begin"/>
      </w:r>
      <w:r w:rsidR="00234049">
        <w:rPr>
          <w:rFonts w:ascii="Times New Roman" w:hAnsi="Times New Roman" w:cs="Times New Roman"/>
          <w:color w:val="000000" w:themeColor="text1"/>
          <w:sz w:val="20"/>
          <w:szCs w:val="20"/>
        </w:rPr>
        <w:instrText xml:space="preserve"> ADDIN ZOTERO_ITEM CSL_CITATION {"citationID":"CnbNI7lr","properties":{"formattedCitation":"(34)","plainCitation":"(34)","noteIndex":0},"citationItems":[{"id":128,"uris":["http://zotero.org/users/local/OxFKn8nN/items/IJA3C2AX"],"uri":["http://zotero.org/users/local/OxFKn8nN/items/IJA3C2AX"],"itemData":{"id":128,"type":"article-journal","title":"Extensive remyelination of the CNS leads to functional recovery","container-title":"Proceedings of the National Academy of Sciences of the United States of America","page":"6832-6836","volume":"106","issue":"16","archive":"PubMed","archive_location":"19342494","abstract":"Remyelination of the CNS in multiple sclerosis is thought to be important to restore conduction and protect axons against degeneration. Yet the role that remyelination plays in clinical recovery of function remains unproven. Here, we show that cats fed an irradiated diet during gestation developed a severe neurologic disease resulting from extensive myelin vacuolation and subsequent demyelination. Despite the severe myelin degeneration, axons remained essentially intact. There was a prompt endogenous response by cells of the oligodendrocyte lineage to the demyelination, with remyelination occurring simultaneously. Cats that were returned to a normal diet recovered slowly so that by 3-4 months they were neurologically normal. Histological examination of the CNS at this point showed extensive remyelination that was especially notable in the optic nerve where almost the entire nerve was remyelinated. Biochemical analysis of the diet and tissues from affected cats showed no dietary deficiencies or toxic accumulations. Thus, although the etiology of this remarkable disease remains unknown, it shows unequivocally that where axons are preserved remyelination is the default pathway in the CNS in nonimmune-mediated demyelinating disease. Most importantly, it confirms the clinical relevance of remyelination and its ability to restore function.","DOI":"10.1073/pnas.0812500106","ISSN":"1091-6490","author":[{"family":"Duncan","given":"I D"},{"family":"Brower","given":"A"},{"family":"Kondo","given":"Y"},{"family":"Curlee","given":"J F","suffix":"Jr"},{"family":"Schultz","given":"R D"}],"issued":{"date-parts":[["2009",4,21]]}}}],"schema":"https://github.com/citation-style-language/schema/raw/master/csl-citation.json"} </w:instrText>
      </w:r>
      <w:r w:rsidR="00234049">
        <w:rPr>
          <w:rFonts w:ascii="Times New Roman" w:hAnsi="Times New Roman" w:cs="Times New Roman"/>
          <w:color w:val="000000" w:themeColor="text1"/>
          <w:sz w:val="20"/>
          <w:szCs w:val="20"/>
        </w:rPr>
        <w:fldChar w:fldCharType="separate"/>
      </w:r>
      <w:r w:rsidR="003B6158">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34</w:t>
      </w:r>
      <w:r w:rsidR="003B6158">
        <w:rPr>
          <w:rFonts w:ascii="Times New Roman" w:hAnsi="Times New Roman" w:cs="Times New Roman"/>
          <w:color w:val="000000"/>
          <w:sz w:val="20"/>
          <w:u w:val="dash"/>
          <w:lang w:val="en-US"/>
        </w:rPr>
        <w:t>]</w:t>
      </w:r>
      <w:r w:rsidR="00234049">
        <w:rPr>
          <w:rFonts w:ascii="Times New Roman" w:hAnsi="Times New Roman" w:cs="Times New Roman"/>
          <w:color w:val="000000" w:themeColor="text1"/>
          <w:sz w:val="20"/>
          <w:szCs w:val="20"/>
        </w:rPr>
        <w:fldChar w:fldCharType="end"/>
      </w:r>
      <w:r w:rsidR="00234049">
        <w:rPr>
          <w:rFonts w:ascii="Times New Roman" w:hAnsi="Times New Roman" w:cs="Times New Roman"/>
          <w:color w:val="000000" w:themeColor="text1"/>
          <w:sz w:val="20"/>
          <w:szCs w:val="20"/>
        </w:rPr>
        <w:t>,</w:t>
      </w:r>
      <w:r w:rsidR="00D9552B">
        <w:rPr>
          <w:rFonts w:ascii="Times New Roman" w:hAnsi="Times New Roman" w:cs="Times New Roman"/>
          <w:color w:val="000000" w:themeColor="text1"/>
          <w:sz w:val="20"/>
          <w:szCs w:val="20"/>
        </w:rPr>
        <w:t xml:space="preserve"> after demyelination</w:t>
      </w:r>
      <w:r w:rsidR="00F019C5">
        <w:rPr>
          <w:rFonts w:ascii="Times New Roman" w:hAnsi="Times New Roman" w:cs="Times New Roman"/>
          <w:color w:val="000000" w:themeColor="text1"/>
          <w:sz w:val="20"/>
          <w:szCs w:val="20"/>
        </w:rPr>
        <w:t>.</w:t>
      </w:r>
    </w:p>
    <w:p w14:paraId="23DD4EC5" w14:textId="2983ADF3" w:rsidR="00EE0355" w:rsidRDefault="007F421E" w:rsidP="00E17010">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Additionally, o</w:t>
      </w:r>
      <w:r w:rsidR="004E41ED">
        <w:rPr>
          <w:rFonts w:ascii="Times New Roman" w:hAnsi="Times New Roman" w:cs="Times New Roman"/>
          <w:color w:val="000000" w:themeColor="text1"/>
          <w:sz w:val="20"/>
          <w:szCs w:val="20"/>
        </w:rPr>
        <w:t>ligodendrocyte</w:t>
      </w:r>
      <w:r w:rsidR="005449AC">
        <w:rPr>
          <w:rFonts w:ascii="Times New Roman" w:hAnsi="Times New Roman" w:cs="Times New Roman"/>
          <w:color w:val="000000" w:themeColor="text1"/>
          <w:sz w:val="20"/>
          <w:szCs w:val="20"/>
        </w:rPr>
        <w:t>s</w:t>
      </w:r>
      <w:r w:rsidR="004E41ED">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directly</w:t>
      </w:r>
      <w:r w:rsidR="005A2E50">
        <w:rPr>
          <w:rFonts w:ascii="Times New Roman" w:hAnsi="Times New Roman" w:cs="Times New Roman"/>
          <w:color w:val="000000" w:themeColor="text1"/>
          <w:sz w:val="20"/>
          <w:szCs w:val="20"/>
        </w:rPr>
        <w:t xml:space="preserve"> support the neuron</w:t>
      </w:r>
      <w:r>
        <w:rPr>
          <w:rFonts w:ascii="Times New Roman" w:hAnsi="Times New Roman" w:cs="Times New Roman"/>
          <w:color w:val="000000" w:themeColor="text1"/>
          <w:sz w:val="20"/>
          <w:szCs w:val="20"/>
        </w:rPr>
        <w:t>, for example through</w:t>
      </w:r>
      <w:r w:rsidR="005449AC">
        <w:rPr>
          <w:rFonts w:ascii="Times New Roman" w:hAnsi="Times New Roman" w:cs="Times New Roman"/>
          <w:color w:val="000000" w:themeColor="text1"/>
          <w:sz w:val="20"/>
          <w:szCs w:val="20"/>
        </w:rPr>
        <w:t xml:space="preserve"> </w:t>
      </w:r>
      <w:r w:rsidR="008C7271">
        <w:rPr>
          <w:rFonts w:ascii="Times New Roman" w:hAnsi="Times New Roman" w:cs="Times New Roman"/>
          <w:color w:val="000000" w:themeColor="text1"/>
          <w:sz w:val="20"/>
          <w:szCs w:val="20"/>
        </w:rPr>
        <w:t>providing</w:t>
      </w:r>
      <w:r w:rsidR="005449AC">
        <w:rPr>
          <w:rFonts w:ascii="Times New Roman" w:hAnsi="Times New Roman" w:cs="Times New Roman"/>
          <w:color w:val="000000" w:themeColor="text1"/>
          <w:sz w:val="20"/>
          <w:szCs w:val="20"/>
        </w:rPr>
        <w:t xml:space="preserve"> </w:t>
      </w:r>
      <w:r w:rsidR="008C7271">
        <w:rPr>
          <w:rFonts w:ascii="Times New Roman" w:hAnsi="Times New Roman" w:cs="Times New Roman"/>
          <w:color w:val="000000" w:themeColor="text1"/>
          <w:sz w:val="20"/>
          <w:szCs w:val="20"/>
        </w:rPr>
        <w:t>lacta</w:t>
      </w:r>
      <w:r w:rsidR="005449AC">
        <w:rPr>
          <w:rFonts w:ascii="Times New Roman" w:hAnsi="Times New Roman" w:cs="Times New Roman"/>
          <w:color w:val="000000" w:themeColor="text1"/>
          <w:sz w:val="20"/>
          <w:szCs w:val="20"/>
        </w:rPr>
        <w:t>te for metabolism and generation of AT</w:t>
      </w:r>
      <w:r w:rsidR="00061BD8">
        <w:rPr>
          <w:rFonts w:ascii="Times New Roman" w:hAnsi="Times New Roman" w:cs="Times New Roman"/>
          <w:color w:val="000000" w:themeColor="text1"/>
          <w:sz w:val="20"/>
          <w:szCs w:val="20"/>
        </w:rPr>
        <w:t>P</w:t>
      </w:r>
      <w:r w:rsidR="00061BD8">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6HkCpGtc","properties":{"formattedCitation":"(25\\uc0\\u8211{}27)","plainCitation":"(25–27)","noteIndex":0},"citationItems":[{"id":145,"uris":["http://zotero.org/users/local/OxFKn8nN/items/26WZ6A7B"],"uri":["http://zotero.org/users/local/OxFKn8nN/items/26WZ6A7B"],"itemData":{"id":145,"type":"article-journal","title":"Glycolytic oligodendrocytes maintain myelin and long-term axonal integrity","container-title":"Nature","page":"517-521","volume":"485","issue":"7399","archive":"PubMed","archive_location":"22622581","abstract":"Oligodendrocytes, the myelin-forming glial cells of the central nervous system, maintain long-term axonal integrity. However, the underlying support mechanisms are not understood. Here we identify a metabolic component of axon-glia interactions by generating conditional Cox10 (protoheme IX farnesyltransferase) mutant mice, in which oligodendrocytes and Schwann cells fail to assemble stable mitochondrial cytochrome c oxidase (COX, also known as mitochondrial complex IV). In the peripheral nervous system, Cox10 conditional mutants exhibit severe neuropathy with dysmyelination, abnormal Remak bundles, muscle atrophy and paralysis. Notably, perturbing mitochondrial respiration did not cause glial cell death. In the adult central nervous system, we found no signs of demyelination, axonal degeneration or secondary inflammation. Unlike cultured oligodendrocytes, which are sensitive to COX inhibitors, post-myelination oligodendrocytes survive well in the absence of COX activity. More importantly, by in vivo magnetic resonance spectroscopy, brain lactate concentrations in mutants were increased compared with controls, but were detectable only in mice exposed to volatile anaesthetics. This indicates that aerobic glycolysis products derived from oligodendrocytes are rapidly metabolized within white matter tracts. Because myelinated axons can use lactate when energy-deprived, our findings suggest a model in which axon-glia metabolic coupling serves a physiological function.","DOI":"10.1038/nature11007","ISSN":"1476-4687","author":[{"family":"Fünfschilling","given":"Ursula"},{"family":"Supplie","given":"Lotti M"},{"family":"Mahad","given":"Don"},{"family":"Boretius","given":"Susann"},{"family":"Saab","given":"Aiman S"},{"family":"Edgar","given":"Julia"},{"family":"Brinkmann","given":"Bastian G"},{"family":"Kassmann","given":"Celia M"},{"family":"Tzvetanova","given":"Iva D"},{"family":"Möbius","given":"Wiebke"},{"family":"Diaz","given":"Francisca"},{"family":"Meijer","given":"Dies"},{"family":"Suter","given":"Ueli"},{"family":"Hamprecht","given":"Bernd"},{"family":"Sereda","given":"Michael W"},{"family":"Moraes","given":"Carlos T"},{"family":"Frahm","given":"Jens"},{"family":"Goebbels","given":"Sandra"},{"family":"Nave","given":"Klaus-Armin"}],"issued":{"date-parts":[["2012",4,29]]}}},{"id":147,"uris":["http://zotero.org/users/local/OxFKn8nN/items/7DZ9KPQZ"],"uri":["http://zotero.org/users/local/OxFKn8nN/items/7DZ9KPQZ"],"itemData":{"id":147,"type":"article-journal","title":"Oligodendroglia: metabolic supporters of axons","container-title":"Trends in cell biology","page":"644-651","volume":"23","issue":"12","archive":"PubMed","archive_location":"23988427","abstract":"Axons are specialized extensions of neurons that are critical for the organization of the nervous system. To maintain function in axons that often extend some distance from the cell body, specialized mechanisms of energy delivery are likely to be necessary. Over the past decade, greater understanding of human demyelinating diseases and the development of animal models have suggested that oligodendroglia are critical for maintaining the function of axons. In this review, we discuss evidence for the vulnerability of neurons to energy deprivation, the importance of oligodendrocytes for axon function and survival, and recent data suggesting that transfer of energy metabolites from oligodendroglia to axons through monocarboxylate transporter 1 (MCT1) may be critical for the survival of axons. This pathway has important implications both for the basic biology of the nervous system and for human neurological disease. New insights into the role of oligodendroglial biology provide an exciting opportunity for revisions in nervous system biology, understanding myelin-based disorders, and therapeutics development.","DOI":"10.1016/j.tcb.2013.07.007","ISSN":"1879-3088","author":[{"family":"Morrison","given":"Brett M"},{"family":"Lee","given":"Youngjin"},{"family":"Rothstein","given":"Jeffrey D"}],"issued":{"date-parts":[["2013",12]]}}},{"id":143,"uris":["http://zotero.org/users/local/OxFKn8nN/items/TYZ7DWEC"],"uri":["http://zotero.org/users/local/OxFKn8nN/items/TYZ7DWEC"],"itemData":{"id":143,"type":"article-journal","title":"Oligodendroglia metabolically support axons and contribute to neurodegeneration","container-title":"Nature","page":"443-448","volume":"487","issue":"7408","archive":"PubMed","archive_location":"22801498","abstract":"Oligodendroglia support axon survival and function through mechanisms independent of myelination, and their dysfunction leads to axon degeneration in several diseases. The cause of this degeneration has not been determined, but lack of energy metabolites such as glucose or lactate has been proposed. Lactate is transported exclusively by monocarboxylate transporters, and changes to these transporters alter lactate production and use. Here we show that the most abundant lactate transporter in the central nervous system, monocarboxylate transporter 1 (MCT1, also known as SLC16A1), is highly enriched within oligodendroglia and that disruption of this transporter produces axon damage and neuron loss in animal and cell culture models. In addition, this same transporter is reduced in patients with, and in mouse models of, amyotrophic lateral sclerosis, suggesting a role for oligodendroglial MCT1 in pathogenesis. The role of oligodendroglia in axon function and neuron survival has been elusive; this study defines a new fundamental mechanism by which oligodendroglia support neurons and axons.","DOI":"10.1038/nature11314","ISSN":"1476-4687","author":[{"family":"Lee","given":"Youngjin"},{"family":"Morrison","given":"Brett M"},{"family":"Li","given":"Yun"},{"family":"Lengacher","given":"Sylvain"},{"family":"Farah","given":"Mohamed H"},{"family":"Hoffman","given":"Paul N"},{"family":"Liu","given":"Yiting"},{"family":"Tsingalia","given":"Akivaga"},{"family":"Jin","given":"Lin"},{"family":"Zhang","given":"Ping-Wu"},{"family":"Pellerin","given":"Luc"},{"family":"Magistretti","given":"Pierre J"},{"family":"Rothstein","given":"Jeffrey D"}],"issued":{"date-parts":[["2012",7,26]]}}}],"schema":"https://github.com/citation-style-language/schema/raw/master/csl-citation.json"} </w:instrText>
      </w:r>
      <w:r w:rsidR="00061BD8">
        <w:rPr>
          <w:rFonts w:ascii="Times New Roman" w:hAnsi="Times New Roman" w:cs="Times New Roman"/>
          <w:color w:val="000000" w:themeColor="text1"/>
          <w:sz w:val="20"/>
          <w:szCs w:val="20"/>
        </w:rPr>
        <w:fldChar w:fldCharType="separate"/>
      </w:r>
      <w:r w:rsidR="003B6158">
        <w:rPr>
          <w:rFonts w:ascii="Times New Roman" w:hAnsi="Times New Roman" w:cs="Times New Roman"/>
          <w:color w:val="000000"/>
          <w:sz w:val="20"/>
          <w:lang w:val="en-US"/>
        </w:rPr>
        <w:t>[</w:t>
      </w:r>
      <w:r w:rsidR="00081F0D" w:rsidRPr="00DB0E48">
        <w:rPr>
          <w:rFonts w:ascii="Times New Roman" w:hAnsi="Times New Roman" w:cs="Times New Roman"/>
          <w:color w:val="000000"/>
          <w:sz w:val="20"/>
          <w:lang w:val="en-US"/>
        </w:rPr>
        <w:t>25–27</w:t>
      </w:r>
      <w:r w:rsidR="003B6158">
        <w:rPr>
          <w:rFonts w:ascii="Times New Roman" w:hAnsi="Times New Roman" w:cs="Times New Roman"/>
          <w:color w:val="000000"/>
          <w:sz w:val="20"/>
          <w:lang w:val="en-US"/>
        </w:rPr>
        <w:t>]</w:t>
      </w:r>
      <w:r w:rsidR="00061BD8">
        <w:rPr>
          <w:rFonts w:ascii="Times New Roman" w:hAnsi="Times New Roman" w:cs="Times New Roman"/>
          <w:color w:val="000000" w:themeColor="text1"/>
          <w:sz w:val="20"/>
          <w:szCs w:val="20"/>
        </w:rPr>
        <w:fldChar w:fldCharType="end"/>
      </w:r>
      <w:r w:rsidR="005449AC">
        <w:rPr>
          <w:rFonts w:ascii="Times New Roman" w:hAnsi="Times New Roman" w:cs="Times New Roman"/>
          <w:color w:val="000000" w:themeColor="text1"/>
          <w:sz w:val="20"/>
          <w:szCs w:val="20"/>
        </w:rPr>
        <w:t xml:space="preserve">. </w:t>
      </w:r>
      <w:r w:rsidR="005A2E50">
        <w:rPr>
          <w:rFonts w:ascii="Times New Roman" w:hAnsi="Times New Roman" w:cs="Times New Roman"/>
          <w:color w:val="000000" w:themeColor="text1"/>
          <w:sz w:val="20"/>
          <w:szCs w:val="20"/>
        </w:rPr>
        <w:t>P</w:t>
      </w:r>
      <w:r w:rsidR="005449AC">
        <w:rPr>
          <w:rFonts w:ascii="Times New Roman" w:hAnsi="Times New Roman" w:cs="Times New Roman"/>
          <w:color w:val="000000" w:themeColor="text1"/>
          <w:sz w:val="20"/>
          <w:szCs w:val="20"/>
        </w:rPr>
        <w:t xml:space="preserve">athological studies and animal </w:t>
      </w:r>
      <w:r w:rsidR="00067149">
        <w:rPr>
          <w:rFonts w:ascii="Times New Roman" w:hAnsi="Times New Roman" w:cs="Times New Roman"/>
          <w:color w:val="000000" w:themeColor="text1"/>
          <w:sz w:val="20"/>
          <w:szCs w:val="20"/>
        </w:rPr>
        <w:t>models</w:t>
      </w:r>
      <w:r w:rsidR="005449AC">
        <w:rPr>
          <w:rFonts w:ascii="Times New Roman" w:hAnsi="Times New Roman" w:cs="Times New Roman"/>
          <w:color w:val="000000" w:themeColor="text1"/>
          <w:sz w:val="20"/>
          <w:szCs w:val="20"/>
        </w:rPr>
        <w:t xml:space="preserve"> </w:t>
      </w:r>
      <w:r w:rsidR="00DC62B1">
        <w:rPr>
          <w:rFonts w:ascii="Times New Roman" w:hAnsi="Times New Roman" w:cs="Times New Roman"/>
          <w:color w:val="000000" w:themeColor="text1"/>
          <w:sz w:val="20"/>
          <w:szCs w:val="20"/>
        </w:rPr>
        <w:t xml:space="preserve">also </w:t>
      </w:r>
      <w:r w:rsidR="005A2E50">
        <w:rPr>
          <w:rFonts w:ascii="Times New Roman" w:hAnsi="Times New Roman" w:cs="Times New Roman"/>
          <w:color w:val="000000" w:themeColor="text1"/>
          <w:sz w:val="20"/>
          <w:szCs w:val="20"/>
        </w:rPr>
        <w:t xml:space="preserve">suggest that axonal </w:t>
      </w:r>
      <w:r w:rsidR="005A2E50">
        <w:rPr>
          <w:rFonts w:ascii="Times New Roman" w:hAnsi="Times New Roman" w:cs="Times New Roman"/>
          <w:color w:val="000000" w:themeColor="text1"/>
          <w:sz w:val="20"/>
          <w:szCs w:val="20"/>
        </w:rPr>
        <w:lastRenderedPageBreak/>
        <w:t xml:space="preserve">degeneration is reduced in </w:t>
      </w:r>
      <w:r w:rsidR="005449AC">
        <w:rPr>
          <w:rFonts w:ascii="Times New Roman" w:hAnsi="Times New Roman" w:cs="Times New Roman"/>
          <w:color w:val="000000" w:themeColor="text1"/>
          <w:sz w:val="20"/>
          <w:szCs w:val="20"/>
        </w:rPr>
        <w:t>remyelinated areas</w:t>
      </w:r>
      <w:r w:rsidR="00061BD8">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pgT9S1uI","properties":{"formattedCitation":"(24,28,29)","plainCitation":"(24,28,29)","noteIndex":0},"citationItems":[{"id":6,"uris":["http://zotero.org/users/local/OxFKn8nN/items/DYCJ7DLR"],"uri":["http://zotero.org/users/local/OxFKn8nN/items/DYCJ7DLR"],"itemData":{"id":6,"type":"article-journal","title":"Remyelination protects axons from demyelination-associated axon degeneration","container-title":"Brain","page":"1464-1477","volume":"131","issue":"6","abstract":"In multiple sclerosis, demyelination of the CNS axons is associated with axonal injury and degeneration, which is now accepted as the major cause of neurological disability in the disease. Although the kinetics and the extent of axonal damage have been described in detail, the mechanisms by which it occurs are as yet unclear; one suggestion is failure of remyelination. The goal of this study was to test the hypothesis that failure of prompt remyelination contributes to axonal degeneration following demyelination. Remyelination was inhibited by exposing the brain to 40 Gy of X-irradiation prior to cuprizone intoxication and this resulted in a significant increase in the extent of axonal degeneration and loss compared to non-irradiated cuprizone-fed mice. To exclude the possibility that this increase was a consequence of the X-irradiation and to highlight the significance of remyelination, we restored remyelinating capacity to the X-irradiated mouse brain by transplanting of GFP-expressing embryo-derived neural progenitors. Restoring the remyelinating capacity in these mice resulted in a significant increase in axon survival compared to non-transplanted, X-irradiated cuprizone-intoxicated mice. Our results support the concept that prompt remyelination protects axons from demyelination-associated axonal loss and that remyelination failure contributes to the axon loss that occurs in multiple sclerosis.","DOI":"10.1093/brain/awn080","ISSN":"0006-8950","journalAbbreviation":"Brain","author":[{"family":"Irvine","given":"K. A."},{"family":"Blakemore","given":"W. F."}],"issued":{"date-parts":[["2008",6,1]]}}},{"id":149,"uris":["http://zotero.org/users/local/OxFKn8nN/items/PIPW2CJM"],"uri":["http://zotero.org/users/local/OxFKn8nN/items/PIPW2CJM"],"itemData":{"id":149,"type":"article-journal","title":"Multiple sclerosis and chronic autoimmune encephalomyelitis: a comparative quantitative study of axonal injury in active, inactive, and remyelinated lesions","container-title":"The American journal of pathology","page":"267-276","volume":"157","issue":"1","archive":"PubMed","archive_location":"10880396","abstract":"Recent magnetic resonance (MR) studies of multiple sclerosis lesions indicate that axonal injury is a major correlate of permanent clinical deficit. In the present study we systematically quantified acute axonal injury, defined by immunoreactivity for beta-amyloid-precursor-protein in dystrophic neurites, in the central nervous system of 22 multiple sclerosis patients and 18 rats with myelin-oligodendrocyte glycoprotein (MOG)-induced chronic autoimmune encephalomyelitis (EAE). The highest incidence of acute axonal injury was found during active demyelination, which was associated with axonal damage in periplaque and in the normal appearing white matter of actively demyelinating cases. In addition, low but significant axonal injury was also observed in inactive demyelinated plaques. In contrast, no significant axonal damage was found in remyelinated shadow plaques. The patterns of axonal pathology in chronic active EAE were qualitatively and quantitatively similar to those found in multiple sclerosis. Our studies confirm previous observations of axonal destruction in multiple sclerosis lesions during active demyelination, but also indicate that ongoing axonal damage in inactive lesions may significantly contribute to the clinical progression of the disease. The results further emphasize that MOG-induced EAE may serve as a suitable model for testing axon-protective therapies in inflammatory demyelinating conditions.","DOI":"10.1016/S0002-9440(10)64537-3","ISSN":"0002-9440","author":[{"family":"Kornek","given":"B"},{"family":"Storch","given":"M K"},{"family":"Weissert","given":"R"},{"family":"Wallstroem","given":"E"},{"family":"Stefferl","given":"A"},{"family":"Olsson","given":"T"},{"family":"Linington","given":"C"},{"family":"Schmidbauer","given":"M"},{"family":"Lassmann","given":"H"}],"issued":{"date-parts":[["2000",7]]}}},{"id":151,"uris":["http://zotero.org/users/local/OxFKn8nN/items/9WKU46XM"],"uri":["http://zotero.org/users/local/OxFKn8nN/items/9WKU46XM"],"itemData":{"id":151,"type":"article-journal","title":"Accelerated remyelination during inflammatory demyelination prevents axonal loss and improves functional recovery","container-title":"eLife","page":"e18246","volume":"5","archive":"PubMed","archive_location":"27671734","abstract":"Demyelination in MS disrupts nerve signals and contributes to axon degeneration. While remyelination promises to restore lost function, it remains unclear whether remyelination will prevent axonal loss. Inflammatory demyelination is accompanied by significant neuronal loss in the experimental autoimmune encephalomyelitis (EAE) mouse model and evidence for remyelination in this model is complicated by ongoing inflammation, degeneration and possible remyelination. Demonstrating the functional significance of remyelination necessitates selectively altering the timing of remyelination relative to inflammation and degeneration. We demonstrate accelerated remyelination after EAE induction by direct lineage analysis and hypothesize that newly formed myelin remains stable at the height of inflammation due in part to the absence of MOG expression in immature myelin. Oligodendroglial-specific genetic ablation of the M1 muscarinic receptor, a potent negative regulator of oligodendrocyte differentiation and myelination, results in accelerated remyelination, preventing axonal loss and improving functional recovery. Together our findings demonstrate that accelerated remyelination supports axonal integrity and neuronal function after inflammatory demyelination.","DOI":"10.7554/eLife.18246","ISSN":"2050-084X","author":[{"family":"Mei","given":"Feng"},{"family":"Lehmann-Horn","given":"Klaus"},{"family":"Shen","given":"Yun-An A"},{"family":"Rankin","given":"Kelsey A"},{"family":"Stebbins","given":"Karin J"},{"family":"Lorrain","given":"Daniel S"},{"family":"Pekarek","given":"Kara"},{"family":"A Sagan","given":"Sharon"},{"family":"Xiao","given":"Lan"},{"family":"Teuscher","given":"Cory"},{"family":"Büdingen","given":"H-Christian","non-dropping-particle":"von"},{"family":"Wess","given":"Jürgen"},{"family":"Lawrence","given":"J Josh"},{"family":"Green","given":"Ari J"},{"family":"Fancy","given":"Stephen Pj"},{"family":"Zamvil","given":"Scott S"},{"family":"Chan","given":"Jonah R"}],"issued":{"date-parts":[["2016",9,27]]}}}],"schema":"https://github.com/citation-style-language/schema/raw/master/csl-citation.json"} </w:instrText>
      </w:r>
      <w:r w:rsidR="00061BD8">
        <w:rPr>
          <w:rFonts w:ascii="Times New Roman" w:hAnsi="Times New Roman" w:cs="Times New Roman"/>
          <w:color w:val="000000" w:themeColor="text1"/>
          <w:sz w:val="20"/>
          <w:szCs w:val="20"/>
        </w:rPr>
        <w:fldChar w:fldCharType="separate"/>
      </w:r>
      <w:r w:rsidR="003B6158">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24,28,29</w:t>
      </w:r>
      <w:r w:rsidR="003B6158">
        <w:rPr>
          <w:rFonts w:ascii="Times New Roman" w:hAnsi="Times New Roman" w:cs="Times New Roman"/>
          <w:color w:val="000000"/>
          <w:sz w:val="20"/>
          <w:u w:val="dash"/>
          <w:lang w:val="en-US"/>
        </w:rPr>
        <w:t>]</w:t>
      </w:r>
      <w:r w:rsidR="00061BD8">
        <w:rPr>
          <w:rFonts w:ascii="Times New Roman" w:hAnsi="Times New Roman" w:cs="Times New Roman"/>
          <w:color w:val="000000" w:themeColor="text1"/>
          <w:sz w:val="20"/>
          <w:szCs w:val="20"/>
        </w:rPr>
        <w:fldChar w:fldCharType="end"/>
      </w:r>
      <w:r w:rsidR="00112A17" w:rsidRPr="00003E8D">
        <w:rPr>
          <w:rFonts w:ascii="Times New Roman" w:hAnsi="Times New Roman" w:cs="Times New Roman"/>
          <w:color w:val="000000" w:themeColor="text1"/>
          <w:sz w:val="20"/>
          <w:szCs w:val="20"/>
        </w:rPr>
        <w:t>.</w:t>
      </w:r>
      <w:r w:rsidR="00EE0355">
        <w:rPr>
          <w:rFonts w:ascii="Times New Roman" w:hAnsi="Times New Roman" w:cs="Times New Roman"/>
          <w:color w:val="000000" w:themeColor="text1"/>
          <w:sz w:val="20"/>
          <w:szCs w:val="20"/>
        </w:rPr>
        <w:t xml:space="preserve"> </w:t>
      </w:r>
      <w:r w:rsidR="00F019C5">
        <w:rPr>
          <w:rFonts w:ascii="Times New Roman" w:hAnsi="Times New Roman" w:cs="Times New Roman"/>
          <w:color w:val="000000" w:themeColor="text1"/>
          <w:sz w:val="20"/>
          <w:szCs w:val="20"/>
        </w:rPr>
        <w:t xml:space="preserve">Taken together, the </w:t>
      </w:r>
      <w:r w:rsidR="005A2E50">
        <w:rPr>
          <w:rFonts w:ascii="Times New Roman" w:hAnsi="Times New Roman" w:cs="Times New Roman"/>
          <w:color w:val="000000" w:themeColor="text1"/>
          <w:sz w:val="20"/>
          <w:szCs w:val="20"/>
        </w:rPr>
        <w:t>rationale for</w:t>
      </w:r>
      <w:r w:rsidR="00F019C5">
        <w:rPr>
          <w:rFonts w:ascii="Times New Roman" w:hAnsi="Times New Roman" w:cs="Times New Roman"/>
          <w:color w:val="000000" w:themeColor="text1"/>
          <w:sz w:val="20"/>
          <w:szCs w:val="20"/>
        </w:rPr>
        <w:t xml:space="preserve"> a remyelinating therapy is </w:t>
      </w:r>
      <w:r w:rsidR="005A2E50">
        <w:rPr>
          <w:rFonts w:ascii="Times New Roman" w:hAnsi="Times New Roman" w:cs="Times New Roman"/>
          <w:color w:val="000000" w:themeColor="text1"/>
          <w:sz w:val="20"/>
          <w:szCs w:val="20"/>
        </w:rPr>
        <w:t>to</w:t>
      </w:r>
      <w:r w:rsidR="00F019C5">
        <w:rPr>
          <w:rFonts w:ascii="Times New Roman" w:hAnsi="Times New Roman" w:cs="Times New Roman"/>
          <w:color w:val="000000" w:themeColor="text1"/>
          <w:sz w:val="20"/>
          <w:szCs w:val="20"/>
        </w:rPr>
        <w:t xml:space="preserve"> restore function and prevent neurodegeneration</w:t>
      </w:r>
      <w:r w:rsidR="00067149">
        <w:rPr>
          <w:rFonts w:ascii="Times New Roman" w:hAnsi="Times New Roman" w:cs="Times New Roman"/>
          <w:color w:val="000000" w:themeColor="text1"/>
          <w:sz w:val="20"/>
          <w:szCs w:val="20"/>
        </w:rPr>
        <w:t>.</w:t>
      </w:r>
    </w:p>
    <w:p w14:paraId="1309490D" w14:textId="41A85B24" w:rsidR="00BA1AF2" w:rsidRDefault="00DC62B1" w:rsidP="00E17010">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Meanwhile, i</w:t>
      </w:r>
      <w:r w:rsidR="005A2E50">
        <w:rPr>
          <w:rFonts w:ascii="Times New Roman" w:hAnsi="Times New Roman" w:cs="Times New Roman"/>
          <w:color w:val="000000" w:themeColor="text1"/>
          <w:sz w:val="20"/>
          <w:szCs w:val="20"/>
        </w:rPr>
        <w:t>t i</w:t>
      </w:r>
      <w:r>
        <w:rPr>
          <w:rFonts w:ascii="Times New Roman" w:hAnsi="Times New Roman" w:cs="Times New Roman"/>
          <w:color w:val="000000" w:themeColor="text1"/>
          <w:sz w:val="20"/>
          <w:szCs w:val="20"/>
        </w:rPr>
        <w:t>s</w:t>
      </w:r>
      <w:r w:rsidR="00607995">
        <w:rPr>
          <w:rFonts w:ascii="Times New Roman" w:hAnsi="Times New Roman" w:cs="Times New Roman"/>
          <w:color w:val="000000" w:themeColor="text1"/>
          <w:sz w:val="20"/>
          <w:szCs w:val="20"/>
        </w:rPr>
        <w:t xml:space="preserve"> increasingly apparent that myelin regulation is a dynamic process in which both newly formed oligodendrocytes and </w:t>
      </w:r>
      <w:r w:rsidR="004B661F">
        <w:rPr>
          <w:rFonts w:ascii="Times New Roman" w:hAnsi="Times New Roman" w:cs="Times New Roman"/>
          <w:color w:val="000000" w:themeColor="text1"/>
          <w:sz w:val="20"/>
          <w:szCs w:val="20"/>
        </w:rPr>
        <w:t>pre-existing</w:t>
      </w:r>
      <w:r w:rsidR="00607995">
        <w:rPr>
          <w:rFonts w:ascii="Times New Roman" w:hAnsi="Times New Roman" w:cs="Times New Roman"/>
          <w:color w:val="000000" w:themeColor="text1"/>
          <w:sz w:val="20"/>
          <w:szCs w:val="20"/>
        </w:rPr>
        <w:t xml:space="preserve"> oligodendrocytes remodel myelin, often in response to activity, to facilitate learning and plasticity</w:t>
      </w:r>
      <w:r w:rsidR="00061BD8">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qd7HJAox","properties":{"formattedCitation":"(35)","plainCitation":"(35)","noteIndex":0},"citationItems":[{"id":304,"uris":["http://zotero.org/users/local/OxFKn8nN/items/PN27WB7I"],"uri":["http://zotero.org/users/local/OxFKn8nN/items/PN27WB7I"],"itemData":{"id":304,"type":"article-journal","title":"White Matter Plasticity in the Adult Brain","container-title":"Neuron","page":"1239-1251","volume":"96","issue":"6","DOI":"10.1016/j.neuron.2017.11.026","ISSN":"0896-6273","author":[{"family":"Sampaio-Baptista","given":"Cassandra"},{"family":"Johansen-Berg","given":"Heidi"}],"issued":{"date-parts":[["2017",12,20]]}}}],"schema":"https://github.com/citation-style-language/schema/raw/master/csl-citation.json"} </w:instrText>
      </w:r>
      <w:r w:rsidR="00061BD8">
        <w:rPr>
          <w:rFonts w:ascii="Times New Roman" w:hAnsi="Times New Roman" w:cs="Times New Roman"/>
          <w:color w:val="000000" w:themeColor="text1"/>
          <w:sz w:val="20"/>
          <w:szCs w:val="20"/>
        </w:rPr>
        <w:fldChar w:fldCharType="separate"/>
      </w:r>
      <w:r w:rsidR="003B6158">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35</w:t>
      </w:r>
      <w:r w:rsidR="003B6158">
        <w:rPr>
          <w:rFonts w:ascii="Times New Roman" w:hAnsi="Times New Roman" w:cs="Times New Roman"/>
          <w:color w:val="000000"/>
          <w:sz w:val="20"/>
          <w:u w:val="dash"/>
          <w:lang w:val="en-US"/>
        </w:rPr>
        <w:t>]</w:t>
      </w:r>
      <w:r w:rsidR="00061BD8">
        <w:rPr>
          <w:rFonts w:ascii="Times New Roman" w:hAnsi="Times New Roman" w:cs="Times New Roman"/>
          <w:color w:val="000000" w:themeColor="text1"/>
          <w:sz w:val="20"/>
          <w:szCs w:val="20"/>
        </w:rPr>
        <w:fldChar w:fldCharType="end"/>
      </w:r>
      <w:r w:rsidR="00607995">
        <w:rPr>
          <w:rFonts w:ascii="Times New Roman" w:hAnsi="Times New Roman" w:cs="Times New Roman"/>
          <w:color w:val="000000" w:themeColor="text1"/>
          <w:sz w:val="20"/>
          <w:szCs w:val="20"/>
        </w:rPr>
        <w:t xml:space="preserve">. Whether activity-dependent remyelination could be restored by </w:t>
      </w:r>
      <w:r w:rsidR="004B661F">
        <w:rPr>
          <w:rFonts w:ascii="Times New Roman" w:hAnsi="Times New Roman" w:cs="Times New Roman"/>
          <w:color w:val="000000" w:themeColor="text1"/>
          <w:sz w:val="20"/>
          <w:szCs w:val="20"/>
        </w:rPr>
        <w:t xml:space="preserve">the </w:t>
      </w:r>
      <w:r w:rsidR="00607995">
        <w:rPr>
          <w:rFonts w:ascii="Times New Roman" w:hAnsi="Times New Roman" w:cs="Times New Roman"/>
          <w:color w:val="000000" w:themeColor="text1"/>
          <w:sz w:val="20"/>
          <w:szCs w:val="20"/>
        </w:rPr>
        <w:t xml:space="preserve">proposed treatments remains an unanswered question. </w:t>
      </w:r>
    </w:p>
    <w:p w14:paraId="4C32983C" w14:textId="77777777" w:rsidR="0084316B" w:rsidRPr="00003E8D" w:rsidRDefault="0084316B" w:rsidP="00E17010">
      <w:pPr>
        <w:spacing w:line="480" w:lineRule="auto"/>
        <w:rPr>
          <w:rFonts w:ascii="Times New Roman" w:hAnsi="Times New Roman" w:cs="Times New Roman"/>
          <w:color w:val="000000" w:themeColor="text1"/>
          <w:sz w:val="20"/>
          <w:szCs w:val="20"/>
        </w:rPr>
      </w:pPr>
    </w:p>
    <w:p w14:paraId="03168E35" w14:textId="7CF3229C" w:rsidR="00C06395" w:rsidRPr="00003E8D" w:rsidRDefault="003D7699" w:rsidP="00E17010">
      <w:pPr>
        <w:spacing w:line="480" w:lineRule="auto"/>
        <w:rPr>
          <w:rFonts w:ascii="Times New Roman" w:hAnsi="Times New Roman" w:cs="Times New Roman"/>
          <w:b/>
          <w:color w:val="000000" w:themeColor="text1"/>
          <w:sz w:val="20"/>
          <w:szCs w:val="20"/>
        </w:rPr>
      </w:pPr>
      <w:r w:rsidRPr="00003E8D">
        <w:rPr>
          <w:rFonts w:ascii="Times New Roman" w:hAnsi="Times New Roman" w:cs="Times New Roman"/>
          <w:b/>
          <w:color w:val="000000" w:themeColor="text1"/>
          <w:sz w:val="20"/>
          <w:szCs w:val="20"/>
        </w:rPr>
        <w:t>Biology of remyelination</w:t>
      </w:r>
    </w:p>
    <w:p w14:paraId="229B361C" w14:textId="15106F5C" w:rsidR="00A8435C" w:rsidRDefault="007A3C8C" w:rsidP="00C8153A">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D</w:t>
      </w:r>
      <w:r w:rsidR="003B7C32" w:rsidRPr="00003E8D">
        <w:rPr>
          <w:rFonts w:ascii="Times New Roman" w:hAnsi="Times New Roman" w:cs="Times New Roman"/>
          <w:color w:val="000000" w:themeColor="text1"/>
          <w:sz w:val="20"/>
          <w:szCs w:val="20"/>
        </w:rPr>
        <w:t>emyelination (induced experimentally or by disease), can</w:t>
      </w:r>
      <w:r>
        <w:rPr>
          <w:rFonts w:ascii="Times New Roman" w:hAnsi="Times New Roman" w:cs="Times New Roman"/>
          <w:color w:val="000000" w:themeColor="text1"/>
          <w:sz w:val="20"/>
          <w:szCs w:val="20"/>
        </w:rPr>
        <w:t xml:space="preserve"> be followed by</w:t>
      </w:r>
      <w:r w:rsidR="003B7C32" w:rsidRPr="00003E8D">
        <w:rPr>
          <w:rFonts w:ascii="Times New Roman" w:hAnsi="Times New Roman" w:cs="Times New Roman"/>
          <w:color w:val="000000" w:themeColor="text1"/>
          <w:sz w:val="20"/>
          <w:szCs w:val="20"/>
        </w:rPr>
        <w:t xml:space="preserve"> </w:t>
      </w:r>
      <w:r w:rsidR="00EF1637">
        <w:rPr>
          <w:rFonts w:ascii="Times New Roman" w:hAnsi="Times New Roman" w:cs="Times New Roman"/>
          <w:color w:val="000000" w:themeColor="text1"/>
          <w:sz w:val="20"/>
          <w:szCs w:val="20"/>
        </w:rPr>
        <w:t>this</w:t>
      </w:r>
      <w:r w:rsidR="003B7C32" w:rsidRPr="00003E8D">
        <w:rPr>
          <w:rFonts w:ascii="Times New Roman" w:hAnsi="Times New Roman" w:cs="Times New Roman"/>
          <w:color w:val="000000" w:themeColor="text1"/>
          <w:sz w:val="20"/>
          <w:szCs w:val="20"/>
        </w:rPr>
        <w:t xml:space="preserve"> regenerative response leading to the formation of new myelin sheaths around denuded axons by newly formed oligodendrocytes</w:t>
      </w:r>
      <w:r w:rsidR="006D695E" w:rsidRPr="00003E8D">
        <w:rPr>
          <w:rFonts w:ascii="Times New Roman" w:hAnsi="Times New Roman" w:cs="Times New Roman"/>
          <w:color w:val="000000" w:themeColor="text1"/>
          <w:sz w:val="20"/>
          <w:szCs w:val="20"/>
          <w:vertAlign w:val="superscript"/>
        </w:rPr>
        <w:fldChar w:fldCharType="begin"/>
      </w:r>
      <w:r w:rsidR="00AA2F7B">
        <w:rPr>
          <w:rFonts w:ascii="Times New Roman" w:hAnsi="Times New Roman" w:cs="Times New Roman"/>
          <w:color w:val="000000" w:themeColor="text1"/>
          <w:sz w:val="20"/>
          <w:szCs w:val="20"/>
          <w:vertAlign w:val="superscript"/>
        </w:rPr>
        <w:instrText xml:space="preserve"> ADDIN ZOTERO_ITEM CSL_CITATION {"citationID":"ad58gmjrmk","properties":{"formattedCitation":"(23,36\\uc0\\u8211{}39)","plainCitation":"(23,36–39)","noteIndex":0},"citationItems":[{"id":5,"uris":["http://zotero.org/users/local/OxFKn8nN/items/GQ5I6TDY"],"uri":["http://zotero.org/users/local/OxFKn8nN/items/GQ5I6TDY"],"itemData":{"id":5,"type":"article-journal","title":"Regenerating CNS myelin — from mechanisms to experimental medicines","container-title":"Nature Reviews Neuroscience","page":"753","volume":"18","journalAbbreviation":"Nature Reviews Neuroscience","author":[{"family":"Franklin","given":"Robin J. M."},{"family":"Constant","given":"Charles","non-dropping-particle":"ffrench-"}],"issued":{"date-parts":[["2017",11,16]]}}},{"id":132,"uris":["http://zotero.org/users/local/OxFKn8nN/items/RWXVZNGI"],"uri":["http://zotero.org/users/local/OxFKn8nN/items/RWXVZNGI"],"itemData":{"id":132,"type":"article-journal","title":"Ultrastructural study of remyelination in an experimental lesion in adult cat spinal cord","container-title":"The Journal of biophysical and biochemical cytology","page":"67-94","volume":"10","issue":"1","archive":"PubMed","archive_location":"13688845","abstract":"This report presents ultrastructural observations on the cytological events that attend myelin formation occurring in the wake of demyelination in adult cat spinal cord. Lesions were induced in subpial cord by cerebrospinal fluid (c.s.f.) exchange (1, 2). Tissue from eleven cats at nine intervals from 19 to 460 days was fixed in situ by replacing c.s.f. with buffered OsO(4) and embedded in Araldite. After demyelination, axons are embraced by sheet-like glial processes. An occasional myelin sheath is first seen at 19 days; by 64 days, all axons are at least thinly myelinated. The cytoplasm of the myelin-forming cells, unlike that of either oligodendrocyte or fibrous astrocyte in normal cord, is dense with closely packed organelles and fine fibrils. Many of the myelinogenic cells become scarring astrocytes and at 460 days the lesion teems with their fibril-filled processes. Oligodendrocytes appear in the lesion after remyelination is under way. Phagocytes disappear gradually. A myelin sheath is formed by spiral wrapping of a sheet-like glial process around an axon. Where the first turn of the spiral is completed, a mesaxon is formed. As cytoplasm is lost from the process, the plasma membrane comes together along its outer and cytoplasmic surfaces to form compact myelin. Only a small amount of cytoplasm is retained; it is confined to the paramesaxonal region and, on the sheath exterior, to a longitudinal ridge which appears in profile as a small loop. This outer loop has the same rotational orientation as the inner mesaxon. These vestiges of spiral membrane wrapping are also found in normal adult and new-born cat cord. Nodes are present in all stages of remyelination and in normal adult cat and kitten cord. These observations suggest that myelin is reformed in the lesion in the same way it is first formed during normal development. The mechanism of myelin formation is basically similar to that proposed for peripheral nerve and amphibian and mammalian optic nerve; it does not agree with present views on the mechanism of myelinogenesis in mammalian brain and cord. This is the first demonstration of remyelination in adult mammalian central nervous tissue.","ISSN":"0095-9901","author":[{"family":"BUNGE","given":"M B"},{"family":"BUNGE","given":"R P"},{"family":"RIS","given":"H"}],"issued":{"date-parts":[["1961",5,1]]}}},{"id":134,"uris":["http://zotero.org/users/local/OxFKn8nN/items/88IPGFGL"],"uri":["http://zotero.org/users/local/OxFKn8nN/items/88IPGFGL"],"itemData":{"id":134,"type":"article-journal","title":"ELECTRON MICROSCOPIC FEATURES OF MULTIPLE SCLEROSIS LESIONS1","container-title":"Brain","page":"937-952","volume":"88","issue":"5","DOI":"10.1093/brain/88.5.937","ISSN":"0006-8950","journalAbbreviation":"Brain","author":[{"family":"PÉRIER","given":"O."},{"family":"GRÉGOIRE","given":"A."}],"issued":{"date-parts":[["1965",12,1]]}}},{"id":138,"uris":["http://zotero.org/users/local/OxFKn8nN/items/7IBJU5MY"],"uri":["http://zotero.org/users/local/OxFKn8nN/items/7IBJU5MY"],"itemData":{"id":138,"type":"article-journal","title":"Why does remyelination fail in multiple sclerosis?","container-title":"Nature Reviews Neuroscience","page":"705","volume":"3","journalAbbreviation":"Nature Reviews Neuroscience","author":[{"family":"Franklin","given":"Robin J. M."}],"issued":{"date-parts":[["2002",9,1]]}}},{"id":9,"uris":["http://zotero.org/users/local/OxFKn8nN/items/AHQTJNVV"],"uri":["http://zotero.org/users/local/OxFKn8nN/items/AHQTJNVV"],"itemData":{"id":9,"type":"article-journal","title":"Neuroprotection and repair in multiple sclerosis","container-title":"Nature Reviews Neurology","page":"624","volume":"8","journalAbbreviation":"Nature Reviews Neurology","author":[{"family":"Franklin","given":"Robin J. M."},{"family":"Constant","given":"Charles","non-dropping-particle":"ffrench-"},{"family":"Edgar","given":"Julia M."},{"family":"Smith","given":"Kenneth J."}],"issued":{"date-parts":[["2012",10,2]]}}}],"schema":"https://github.com/citation-style-language/schema/raw/master/csl-citation.json"} </w:instrText>
      </w:r>
      <w:r w:rsidR="006D695E" w:rsidRPr="00003E8D">
        <w:rPr>
          <w:rFonts w:ascii="Times New Roman" w:hAnsi="Times New Roman" w:cs="Times New Roman"/>
          <w:color w:val="000000" w:themeColor="text1"/>
          <w:sz w:val="20"/>
          <w:szCs w:val="20"/>
          <w:vertAlign w:val="superscript"/>
        </w:rPr>
        <w:fldChar w:fldCharType="separate"/>
      </w:r>
      <w:r w:rsidR="00810F5D">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23,36–39</w:t>
      </w:r>
      <w:r w:rsidR="00810F5D">
        <w:rPr>
          <w:rFonts w:ascii="Times New Roman" w:hAnsi="Times New Roman" w:cs="Times New Roman"/>
          <w:color w:val="000000"/>
          <w:sz w:val="20"/>
          <w:lang w:val="en-US"/>
        </w:rPr>
        <w:t>]</w:t>
      </w:r>
      <w:r w:rsidR="006D695E" w:rsidRPr="00003E8D">
        <w:rPr>
          <w:rFonts w:ascii="Times New Roman" w:hAnsi="Times New Roman" w:cs="Times New Roman"/>
          <w:color w:val="000000" w:themeColor="text1"/>
          <w:sz w:val="20"/>
          <w:szCs w:val="20"/>
          <w:vertAlign w:val="superscript"/>
        </w:rPr>
        <w:fldChar w:fldCharType="end"/>
      </w:r>
      <w:r w:rsidR="006D695E" w:rsidRPr="00003E8D">
        <w:rPr>
          <w:rFonts w:ascii="Times New Roman" w:hAnsi="Times New Roman" w:cs="Times New Roman"/>
          <w:color w:val="000000" w:themeColor="text1"/>
          <w:sz w:val="20"/>
          <w:szCs w:val="20"/>
        </w:rPr>
        <w:t xml:space="preserve">. </w:t>
      </w:r>
      <w:r w:rsidR="001F433A">
        <w:rPr>
          <w:rFonts w:ascii="Times New Roman" w:hAnsi="Times New Roman" w:cs="Times New Roman"/>
          <w:color w:val="000000" w:themeColor="text1"/>
          <w:sz w:val="20"/>
          <w:szCs w:val="20"/>
        </w:rPr>
        <w:t xml:space="preserve">Histopathological </w:t>
      </w:r>
      <w:r w:rsidR="0036250D">
        <w:rPr>
          <w:rFonts w:ascii="Times New Roman" w:hAnsi="Times New Roman" w:cs="Times New Roman"/>
          <w:color w:val="000000" w:themeColor="text1"/>
          <w:sz w:val="20"/>
          <w:szCs w:val="20"/>
        </w:rPr>
        <w:t>assessments</w:t>
      </w:r>
      <w:r w:rsidR="001F433A">
        <w:rPr>
          <w:rFonts w:ascii="Times New Roman" w:hAnsi="Times New Roman" w:cs="Times New Roman"/>
          <w:color w:val="000000" w:themeColor="text1"/>
          <w:sz w:val="20"/>
          <w:szCs w:val="20"/>
        </w:rPr>
        <w:t xml:space="preserve"> </w:t>
      </w:r>
      <w:r w:rsidR="001124EA">
        <w:rPr>
          <w:rFonts w:ascii="Times New Roman" w:hAnsi="Times New Roman" w:cs="Times New Roman"/>
          <w:color w:val="000000" w:themeColor="text1"/>
          <w:sz w:val="20"/>
          <w:szCs w:val="20"/>
        </w:rPr>
        <w:t xml:space="preserve">have </w:t>
      </w:r>
      <w:r w:rsidR="001F433A">
        <w:rPr>
          <w:rFonts w:ascii="Times New Roman" w:hAnsi="Times New Roman" w:cs="Times New Roman"/>
          <w:color w:val="000000" w:themeColor="text1"/>
          <w:sz w:val="20"/>
          <w:szCs w:val="20"/>
        </w:rPr>
        <w:t>highlight</w:t>
      </w:r>
      <w:r w:rsidR="001124EA">
        <w:rPr>
          <w:rFonts w:ascii="Times New Roman" w:hAnsi="Times New Roman" w:cs="Times New Roman"/>
          <w:color w:val="000000" w:themeColor="text1"/>
          <w:sz w:val="20"/>
          <w:szCs w:val="20"/>
        </w:rPr>
        <w:t>ed</w:t>
      </w:r>
      <w:r w:rsidR="001F433A">
        <w:rPr>
          <w:rFonts w:ascii="Times New Roman" w:hAnsi="Times New Roman" w:cs="Times New Roman"/>
          <w:color w:val="000000" w:themeColor="text1"/>
          <w:sz w:val="20"/>
          <w:szCs w:val="20"/>
        </w:rPr>
        <w:t xml:space="preserve"> that </w:t>
      </w:r>
      <w:r w:rsidR="00F1740A">
        <w:rPr>
          <w:rFonts w:ascii="Times New Roman" w:hAnsi="Times New Roman" w:cs="Times New Roman"/>
          <w:color w:val="000000" w:themeColor="text1"/>
          <w:sz w:val="20"/>
          <w:szCs w:val="20"/>
        </w:rPr>
        <w:t>this</w:t>
      </w:r>
      <w:r w:rsidR="00EC335B" w:rsidRPr="00003E8D">
        <w:rPr>
          <w:rFonts w:ascii="Times New Roman" w:hAnsi="Times New Roman" w:cs="Times New Roman"/>
          <w:color w:val="000000" w:themeColor="text1"/>
          <w:sz w:val="20"/>
          <w:szCs w:val="20"/>
        </w:rPr>
        <w:t xml:space="preserve"> </w:t>
      </w:r>
      <w:r w:rsidR="005374BB">
        <w:rPr>
          <w:rFonts w:ascii="Times New Roman" w:hAnsi="Times New Roman" w:cs="Times New Roman"/>
          <w:color w:val="000000" w:themeColor="text1"/>
          <w:sz w:val="20"/>
          <w:szCs w:val="20"/>
        </w:rPr>
        <w:t xml:space="preserve">can </w:t>
      </w:r>
      <w:r w:rsidR="001124EA">
        <w:rPr>
          <w:rFonts w:ascii="Times New Roman" w:hAnsi="Times New Roman" w:cs="Times New Roman"/>
          <w:color w:val="000000" w:themeColor="text1"/>
          <w:sz w:val="20"/>
          <w:szCs w:val="20"/>
        </w:rPr>
        <w:t>occur</w:t>
      </w:r>
      <w:r w:rsidR="00300074" w:rsidRPr="00003E8D">
        <w:rPr>
          <w:rFonts w:ascii="Times New Roman" w:hAnsi="Times New Roman" w:cs="Times New Roman"/>
          <w:color w:val="000000" w:themeColor="text1"/>
          <w:sz w:val="20"/>
          <w:szCs w:val="20"/>
        </w:rPr>
        <w:t xml:space="preserve"> </w:t>
      </w:r>
      <w:r w:rsidR="002F522D" w:rsidRPr="00003E8D">
        <w:rPr>
          <w:rFonts w:ascii="Times New Roman" w:hAnsi="Times New Roman" w:cs="Times New Roman"/>
          <w:color w:val="000000" w:themeColor="text1"/>
          <w:sz w:val="20"/>
          <w:szCs w:val="20"/>
        </w:rPr>
        <w:t>extensively</w:t>
      </w:r>
      <w:r w:rsidR="001F433A">
        <w:rPr>
          <w:rFonts w:ascii="Times New Roman" w:hAnsi="Times New Roman" w:cs="Times New Roman"/>
          <w:color w:val="000000" w:themeColor="text1"/>
          <w:sz w:val="20"/>
          <w:szCs w:val="20"/>
        </w:rPr>
        <w:t xml:space="preserve"> in </w:t>
      </w:r>
      <w:r w:rsidR="00F1740A">
        <w:rPr>
          <w:rFonts w:ascii="Times New Roman" w:hAnsi="Times New Roman" w:cs="Times New Roman"/>
          <w:color w:val="000000" w:themeColor="text1"/>
          <w:sz w:val="20"/>
          <w:szCs w:val="20"/>
        </w:rPr>
        <w:t xml:space="preserve">some </w:t>
      </w:r>
      <w:r w:rsidR="001F433A">
        <w:rPr>
          <w:rFonts w:ascii="Times New Roman" w:hAnsi="Times New Roman" w:cs="Times New Roman"/>
          <w:color w:val="000000" w:themeColor="text1"/>
          <w:sz w:val="20"/>
          <w:szCs w:val="20"/>
        </w:rPr>
        <w:t>people with MS</w:t>
      </w:r>
      <w:r w:rsidR="00081F0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svpFlZW0","properties":{"formattedCitation":"(40)","plainCitation":"(40)","noteIndex":0},"citationItems":[{"id":159,"uris":["http://zotero.org/users/local/OxFKn8nN/items/AQHPXDRI"],"uri":["http://zotero.org/users/local/OxFKn8nN/items/AQHPXDRI"],"itemData":{"id":159,"type":"article-journal","title":"Remyelination can be extensive in multiple sclerosis despite a long disease course","container-title":"Neuropathology and Applied Neurobiology","page":"277-287","volume":"33","issue":"3","abstract":"Experimental studies using models of multiple sclerosis (MS) indicate that rapid and extensive remyelination of inflammatory demyelinated lesions is not only possible, but is the normal situation. The presence of completely remyelinated MS lesions has been noted in numerous studies and routine limited sampling of post mortem MS material suggests that remyelination may be extensive in the early stages but eventually fails. However, visual macroscopic guided sampling tends to be biased towards chronic demyelinated lesions. Here we have extensively sampled cerebral tissue from two MS cases to investigate the true extent of remyelination. Sections were cut from 185 cerebral tissue blocks and stained with haematoxylin and eosin (H&amp;E), luxol fast blue and cresyl fast violet (LFB/CFV) and anti-myelin oligodendrocyte glycoprotein, human leucocyte antigen-DR (HLA-DR) and 200?kDa neurofilament protein antibodies. Demyelinated areas were identified in 141 blocks, comprising both white matter (WMLs) and/or grey matter lesions. In total, 168 WMLs were identified, 22% of which were shadow plaques, 73% were partially remyelinated and only 5% were completely demyelinated. The average extent of lesion remyelination for all WMLs investigated was 47%. Increased density of HLA-DR+ macrophages and microglia at the lesion border correlated significantly with more extensive remyelination. Results from this study of two patients with long standing disease suggest that remyelination in MS may be more extensive than previously thought.","DOI":"10.1111/j.1365-2990.2007.00805.x","ISSN":"0305-1846","journalAbbreviation":"Neuropathology and Applied Neurobiology","author":[{"family":"Patani","given":"R."},{"family":"Balaratnam","given":"M."},{"family":"Vora","given":"A."},{"family":"Reynolds","given":"R."}],"issued":{"date-parts":[["2007",6,1]]}}}],"schema":"https://github.com/citation-style-language/schema/raw/master/csl-citation.json"} </w:instrText>
      </w:r>
      <w:r w:rsidR="00081F0D">
        <w:rPr>
          <w:rFonts w:ascii="Times New Roman" w:hAnsi="Times New Roman" w:cs="Times New Roman"/>
          <w:color w:val="000000" w:themeColor="text1"/>
          <w:sz w:val="20"/>
          <w:szCs w:val="20"/>
        </w:rPr>
        <w:fldChar w:fldCharType="separate"/>
      </w:r>
      <w:r w:rsidR="00810F5D">
        <w:rPr>
          <w:rFonts w:ascii="Times New Roman" w:hAnsi="Times New Roman" w:cs="Times New Roman"/>
          <w:noProof/>
          <w:color w:val="000000" w:themeColor="text1"/>
          <w:sz w:val="20"/>
          <w:szCs w:val="20"/>
        </w:rPr>
        <w:t>[</w:t>
      </w:r>
      <w:r w:rsidR="00AA2F7B">
        <w:rPr>
          <w:rFonts w:ascii="Times New Roman" w:hAnsi="Times New Roman" w:cs="Times New Roman"/>
          <w:noProof/>
          <w:color w:val="000000" w:themeColor="text1"/>
          <w:sz w:val="20"/>
          <w:szCs w:val="20"/>
        </w:rPr>
        <w:t>40</w:t>
      </w:r>
      <w:r w:rsidR="00810F5D">
        <w:rPr>
          <w:rFonts w:ascii="Times New Roman" w:hAnsi="Times New Roman" w:cs="Times New Roman"/>
          <w:noProof/>
          <w:color w:val="000000" w:themeColor="text1"/>
          <w:sz w:val="20"/>
          <w:szCs w:val="20"/>
        </w:rPr>
        <w:t>]</w:t>
      </w:r>
      <w:r w:rsidR="00081F0D">
        <w:rPr>
          <w:rFonts w:ascii="Times New Roman" w:hAnsi="Times New Roman" w:cs="Times New Roman"/>
          <w:color w:val="000000" w:themeColor="text1"/>
          <w:sz w:val="20"/>
          <w:szCs w:val="20"/>
        </w:rPr>
        <w:fldChar w:fldCharType="end"/>
      </w:r>
      <w:r w:rsidR="00081F0D">
        <w:rPr>
          <w:rFonts w:ascii="Times New Roman" w:hAnsi="Times New Roman" w:cs="Times New Roman"/>
          <w:color w:val="000000" w:themeColor="text1"/>
          <w:sz w:val="20"/>
          <w:szCs w:val="20"/>
        </w:rPr>
        <w:t xml:space="preserve"> </w:t>
      </w:r>
      <w:r w:rsidR="001F433A">
        <w:rPr>
          <w:rFonts w:ascii="Times New Roman" w:hAnsi="Times New Roman" w:cs="Times New Roman"/>
          <w:color w:val="000000" w:themeColor="text1"/>
          <w:sz w:val="20"/>
          <w:szCs w:val="20"/>
        </w:rPr>
        <w:t xml:space="preserve">but </w:t>
      </w:r>
      <w:r w:rsidR="006A1BBC">
        <w:rPr>
          <w:rFonts w:ascii="Times New Roman" w:hAnsi="Times New Roman" w:cs="Times New Roman"/>
          <w:color w:val="000000" w:themeColor="text1"/>
          <w:sz w:val="20"/>
          <w:szCs w:val="20"/>
        </w:rPr>
        <w:t xml:space="preserve">is inadequate </w:t>
      </w:r>
      <w:r w:rsidR="00184B7D">
        <w:rPr>
          <w:rFonts w:ascii="Times New Roman" w:hAnsi="Times New Roman" w:cs="Times New Roman"/>
          <w:color w:val="000000" w:themeColor="text1"/>
          <w:sz w:val="20"/>
          <w:szCs w:val="20"/>
        </w:rPr>
        <w:t>in a significant proportion</w:t>
      </w:r>
      <w:r w:rsidR="00081F0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18ctoboom4","properties":{"formattedCitation":"(41,42)","plainCitation":"(41,42)","noteIndex":0},"citationItems":[{"id":136,"uris":["http://zotero.org/users/local/OxFKn8nN/items/F6QZCMNE"],"uri":["http://zotero.org/users/local/OxFKn8nN/items/F6QZCMNE"],"itemData":{"id":136,"type":"article-journal","title":"Multiple sclerosis: Remyelination of nascent lesions: Remyelination of nascent lesions","container-title":"Annals of Neurology","page":"137-151","volume":"33","issue":"2","abstract":"Abstract The relationship between plaque pathology and disease duration was examined in 15 patients with multiple sclerosis who died early in the course of their illness. Myelin-stained sections revealed that most plaques examined in patients who died during the first month of their illness showed evidence of ongoing myelin destruction accompanied by a loss of oligodendrocytes. Plaques containing large numbers of oligodendrocytes were not observed in these patients, but were relatively common in patients who died more than 1 month after clinical onset. Remyelination affecting more than 10% of the plaque area was observed in 3 of 82 plaques in 5 patients who died within 10 weeks of clinical onset, in 38 of 105 plaques in 5 patients who died 3 to 10 months after clinical onset, and in 19 of 92 plaques in 5 patients who died 18 months or longer after clinical onset. The study provides new evidence that both oligodendrocytes and myelin are destroyed in new lesions, that this activity ceases completely in many lesions within a few weeks, and that remyelination frequently ensues following repopulation of the plaque by oligodendrocytes. The findings suggest that new lesions normally remyelinate unless interrupted by recurrent activity and that remyelinated shadow plaques are the outcome of a single previous episode of focal demyelination.","DOI":"10.1002/ana.410330203","ISSN":"0364-5134","journalAbbreviation":"Annals of Neurology","author":[{"family":"Prineas","given":"J. W."},{"family":"Barnard","given":"R. O."},{"family":"Kwon","given":"E. E."},{"family":"Sharer","given":"L. R."},{"family":"Cho","given":"E.-S."}],"issued":{"date-parts":[["1993",2,1]]}}},{"id":157,"uris":["http://zotero.org/users/local/OxFKn8nN/items/TPUN9GAD"],"uri":["http://zotero.org/users/local/OxFKn8nN/items/TPUN9GAD"],"itemData":{"id":157,"type":"article-journal","title":"Remyelination is extensive in a subset of multiple sclerosis patients","container-title":"Brain","page":"3165-3172","volume":"129","issue":"12","abstract":"Although spontaneous remyelination does occur in multiple sclerosis lesions, its extent within the global population with this disease is presently unknown. We have systematically analysed the incidence and distribution of completely remyelinated lesions (so-called shadow plaques) or partially remyelinated lesions (shadow plaque areas) in 51 autopsies of patients with different clinical courses and disease durations. The extent of remyelination was variable between cases. In 20% of the patients, the extent of remyelination was extensive with 60–96% of the global lesion area remyelinated. Extensive remyelination was found not only in patients with relapsing multiple sclerosis, but also in a subset of patients with progressive disease. Older age at death and longer disease duration were associated with significantly more remyelinated lesions or lesion areas. No correlation was found between the extent of remyelination and either gender or age at disease onset. These results suggest that the variable and patient-dependent extent of remyelination must be considered in the design of future clinical trials aimed at promoting CNS repair.","DOI":"10.1093/brain/awl217","ISSN":"0006-8950","journalAbbreviation":"Brain","author":[{"family":"Patrikios","given":"Peter"},{"family":"Stadelmann","given":"Christine"},{"family":"Kutzelnigg","given":"Alexandra"},{"family":"Rauschka","given":"Helmut"},{"family":"Schmidbauer","given":"Manfred"},{"family":"Laursen","given":"Henning"},{"family":"Sorensen","given":"Per Soelberg"},{"family":"Brück","given":"Wolfgang"},{"family":"Lucchinetti","given":"Claudia"},{"family":"Lassmann","given":"Hans"}],"issued":{"date-parts":[["2006",12,1]]}}}],"schema":"https://github.com/citation-style-language/schema/raw/master/csl-citation.json"} </w:instrText>
      </w:r>
      <w:r w:rsidR="00081F0D">
        <w:rPr>
          <w:rFonts w:ascii="Times New Roman" w:hAnsi="Times New Roman" w:cs="Times New Roman"/>
          <w:color w:val="000000" w:themeColor="text1"/>
          <w:sz w:val="20"/>
          <w:szCs w:val="20"/>
        </w:rPr>
        <w:fldChar w:fldCharType="separate"/>
      </w:r>
      <w:r w:rsidR="00810F5D">
        <w:rPr>
          <w:rFonts w:ascii="Times New Roman" w:hAnsi="Times New Roman" w:cs="Times New Roman"/>
          <w:color w:val="000000"/>
          <w:sz w:val="20"/>
          <w:lang w:val="en-US"/>
        </w:rPr>
        <w:t>[</w:t>
      </w:r>
      <w:r w:rsidR="00AA2F7B">
        <w:rPr>
          <w:rFonts w:ascii="Times New Roman" w:hAnsi="Times New Roman" w:cs="Times New Roman"/>
          <w:color w:val="000000"/>
          <w:sz w:val="20"/>
          <w:lang w:val="en-US"/>
        </w:rPr>
        <w:t>41,42</w:t>
      </w:r>
      <w:r w:rsidR="00810F5D">
        <w:rPr>
          <w:rFonts w:ascii="Times New Roman" w:hAnsi="Times New Roman" w:cs="Times New Roman"/>
          <w:color w:val="000000"/>
          <w:sz w:val="20"/>
          <w:lang w:val="en-US"/>
        </w:rPr>
        <w:t>]</w:t>
      </w:r>
      <w:r w:rsidR="00081F0D">
        <w:rPr>
          <w:rFonts w:ascii="Times New Roman" w:hAnsi="Times New Roman" w:cs="Times New Roman"/>
          <w:color w:val="000000" w:themeColor="text1"/>
          <w:sz w:val="20"/>
          <w:szCs w:val="20"/>
        </w:rPr>
        <w:fldChar w:fldCharType="end"/>
      </w:r>
      <w:r w:rsidR="00616147">
        <w:rPr>
          <w:rFonts w:ascii="Times New Roman" w:hAnsi="Times New Roman" w:cs="Times New Roman"/>
          <w:color w:val="000000" w:themeColor="text1"/>
          <w:sz w:val="20"/>
          <w:szCs w:val="20"/>
        </w:rPr>
        <w:t>.</w:t>
      </w:r>
      <w:r w:rsidR="00F5337F">
        <w:rPr>
          <w:rFonts w:ascii="Times New Roman" w:hAnsi="Times New Roman" w:cs="Times New Roman"/>
          <w:color w:val="000000" w:themeColor="text1"/>
          <w:sz w:val="20"/>
          <w:szCs w:val="20"/>
        </w:rPr>
        <w:t xml:space="preserve"> </w:t>
      </w:r>
      <w:r w:rsidR="005374BB">
        <w:rPr>
          <w:rFonts w:ascii="Times New Roman" w:hAnsi="Times New Roman" w:cs="Times New Roman"/>
          <w:color w:val="000000" w:themeColor="text1"/>
          <w:sz w:val="20"/>
          <w:szCs w:val="20"/>
        </w:rPr>
        <w:t>For example, one study</w:t>
      </w:r>
      <w:r w:rsidR="005E7851">
        <w:rPr>
          <w:rFonts w:ascii="Times New Roman" w:hAnsi="Times New Roman" w:cs="Times New Roman"/>
          <w:color w:val="000000" w:themeColor="text1"/>
          <w:sz w:val="20"/>
          <w:szCs w:val="20"/>
        </w:rPr>
        <w:t xml:space="preserve"> analysed</w:t>
      </w:r>
      <w:r w:rsidR="00F5337F">
        <w:rPr>
          <w:rFonts w:ascii="Times New Roman" w:hAnsi="Times New Roman" w:cs="Times New Roman"/>
          <w:color w:val="000000" w:themeColor="text1"/>
          <w:sz w:val="20"/>
          <w:szCs w:val="20"/>
        </w:rPr>
        <w:t xml:space="preserve"> forebrain tissue from 51 </w:t>
      </w:r>
      <w:r w:rsidR="00300074">
        <w:rPr>
          <w:rFonts w:ascii="Times New Roman" w:hAnsi="Times New Roman" w:cs="Times New Roman"/>
          <w:color w:val="000000" w:themeColor="text1"/>
          <w:sz w:val="20"/>
          <w:szCs w:val="20"/>
        </w:rPr>
        <w:t xml:space="preserve">MS </w:t>
      </w:r>
      <w:r w:rsidR="00552924">
        <w:rPr>
          <w:rFonts w:ascii="Times New Roman" w:hAnsi="Times New Roman" w:cs="Times New Roman"/>
          <w:color w:val="000000" w:themeColor="text1"/>
          <w:sz w:val="20"/>
          <w:szCs w:val="20"/>
        </w:rPr>
        <w:t>patients</w:t>
      </w:r>
      <w:r w:rsidR="005374BB">
        <w:rPr>
          <w:rFonts w:ascii="Times New Roman" w:hAnsi="Times New Roman" w:cs="Times New Roman"/>
          <w:color w:val="000000" w:themeColor="text1"/>
          <w:sz w:val="20"/>
          <w:szCs w:val="20"/>
        </w:rPr>
        <w:t xml:space="preserve"> and found</w:t>
      </w:r>
      <w:r w:rsidR="005E7851">
        <w:rPr>
          <w:rFonts w:ascii="Times New Roman" w:hAnsi="Times New Roman" w:cs="Times New Roman"/>
          <w:color w:val="000000" w:themeColor="text1"/>
          <w:sz w:val="20"/>
          <w:szCs w:val="20"/>
        </w:rPr>
        <w:t xml:space="preserve"> </w:t>
      </w:r>
      <w:r w:rsidR="005374BB">
        <w:rPr>
          <w:rFonts w:ascii="Times New Roman" w:hAnsi="Times New Roman" w:cs="Times New Roman"/>
          <w:color w:val="000000" w:themeColor="text1"/>
          <w:sz w:val="20"/>
          <w:szCs w:val="20"/>
        </w:rPr>
        <w:t>widespread</w:t>
      </w:r>
      <w:r w:rsidR="00F5337F">
        <w:rPr>
          <w:rFonts w:ascii="Times New Roman" w:hAnsi="Times New Roman" w:cs="Times New Roman"/>
          <w:color w:val="000000" w:themeColor="text1"/>
          <w:sz w:val="20"/>
          <w:szCs w:val="20"/>
        </w:rPr>
        <w:t xml:space="preserve"> remyelination </w:t>
      </w:r>
      <w:r w:rsidR="005374BB">
        <w:rPr>
          <w:rFonts w:ascii="Times New Roman" w:hAnsi="Times New Roman" w:cs="Times New Roman"/>
          <w:color w:val="000000" w:themeColor="text1"/>
          <w:sz w:val="20"/>
          <w:szCs w:val="20"/>
        </w:rPr>
        <w:t>in</w:t>
      </w:r>
      <w:r w:rsidR="005E7851">
        <w:rPr>
          <w:rFonts w:ascii="Times New Roman" w:hAnsi="Times New Roman" w:cs="Times New Roman"/>
          <w:color w:val="000000" w:themeColor="text1"/>
          <w:sz w:val="20"/>
          <w:szCs w:val="20"/>
        </w:rPr>
        <w:t xml:space="preserve"> </w:t>
      </w:r>
      <w:r w:rsidR="00300074">
        <w:rPr>
          <w:rFonts w:ascii="Times New Roman" w:hAnsi="Times New Roman" w:cs="Times New Roman"/>
          <w:color w:val="000000" w:themeColor="text1"/>
          <w:sz w:val="20"/>
          <w:szCs w:val="20"/>
        </w:rPr>
        <w:t xml:space="preserve">20% of </w:t>
      </w:r>
      <w:r w:rsidR="005374BB">
        <w:rPr>
          <w:rFonts w:ascii="Times New Roman" w:hAnsi="Times New Roman" w:cs="Times New Roman"/>
          <w:color w:val="000000" w:themeColor="text1"/>
          <w:sz w:val="20"/>
          <w:szCs w:val="20"/>
        </w:rPr>
        <w:t>individuals</w:t>
      </w:r>
      <w:r w:rsidR="00F5337F">
        <w:rPr>
          <w:rFonts w:ascii="Times New Roman" w:hAnsi="Times New Roman" w:cs="Times New Roman"/>
          <w:color w:val="000000" w:themeColor="text1"/>
          <w:sz w:val="20"/>
          <w:szCs w:val="20"/>
        </w:rPr>
        <w:t xml:space="preserve">, </w:t>
      </w:r>
      <w:r w:rsidR="00300074">
        <w:rPr>
          <w:rFonts w:ascii="Times New Roman" w:hAnsi="Times New Roman" w:cs="Times New Roman"/>
          <w:color w:val="000000" w:themeColor="text1"/>
          <w:sz w:val="20"/>
          <w:szCs w:val="20"/>
        </w:rPr>
        <w:t>yet</w:t>
      </w:r>
      <w:r w:rsidR="00F5337F">
        <w:rPr>
          <w:rFonts w:ascii="Times New Roman" w:hAnsi="Times New Roman" w:cs="Times New Roman"/>
          <w:color w:val="000000" w:themeColor="text1"/>
          <w:sz w:val="20"/>
          <w:szCs w:val="20"/>
        </w:rPr>
        <w:t xml:space="preserve"> 34 </w:t>
      </w:r>
      <w:r w:rsidR="005374BB">
        <w:rPr>
          <w:rFonts w:ascii="Times New Roman" w:hAnsi="Times New Roman" w:cs="Times New Roman"/>
          <w:color w:val="000000" w:themeColor="text1"/>
          <w:sz w:val="20"/>
          <w:szCs w:val="20"/>
        </w:rPr>
        <w:t xml:space="preserve">cases </w:t>
      </w:r>
      <w:r w:rsidR="00784AA9">
        <w:rPr>
          <w:rFonts w:ascii="Times New Roman" w:hAnsi="Times New Roman" w:cs="Times New Roman"/>
          <w:color w:val="000000" w:themeColor="text1"/>
          <w:sz w:val="20"/>
          <w:szCs w:val="20"/>
        </w:rPr>
        <w:t xml:space="preserve">remyelinated </w:t>
      </w:r>
      <w:r w:rsidR="00300074">
        <w:rPr>
          <w:rFonts w:ascii="Times New Roman" w:hAnsi="Times New Roman" w:cs="Times New Roman"/>
          <w:color w:val="000000" w:themeColor="text1"/>
          <w:sz w:val="20"/>
          <w:szCs w:val="20"/>
        </w:rPr>
        <w:t>fewer</w:t>
      </w:r>
      <w:r w:rsidR="00784AA9">
        <w:rPr>
          <w:rFonts w:ascii="Times New Roman" w:hAnsi="Times New Roman" w:cs="Times New Roman"/>
          <w:color w:val="000000" w:themeColor="text1"/>
          <w:sz w:val="20"/>
          <w:szCs w:val="20"/>
        </w:rPr>
        <w:t xml:space="preserve"> than 25% of their lesions</w:t>
      </w:r>
      <w:r w:rsidR="00081F0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2f1ar0bnf4","properties":{"formattedCitation":"(42)","plainCitation":"(42)","noteIndex":0},"citationItems":[{"id":157,"uris":["http://zotero.org/users/local/OxFKn8nN/items/TPUN9GAD"],"uri":["http://zotero.org/users/local/OxFKn8nN/items/TPUN9GAD"],"itemData":{"id":157,"type":"article-journal","title":"Remyelination is extensive in a subset of multiple sclerosis patients","container-title":"Brain","page":"3165-3172","volume":"129","issue":"12","abstract":"Although spontaneous remyelination does occur in multiple sclerosis lesions, its extent within the global population with this disease is presently unknown. We have systematically analysed the incidence and distribution of completely remyelinated lesions (so-called shadow plaques) or partially remyelinated lesions (shadow plaque areas) in 51 autopsies of patients with different clinical courses and disease durations. The extent of remyelination was variable between cases. In 20% of the patients, the extent of remyelination was extensive with 60–96% of the global lesion area remyelinated. Extensive remyelination was found not only in patients with relapsing multiple sclerosis, but also in a subset of patients with progressive disease. Older age at death and longer disease duration were associated with significantly more remyelinated lesions or lesion areas. No correlation was found between the extent of remyelination and either gender or age at disease onset. These results suggest that the variable and patient-dependent extent of remyelination must be considered in the design of future clinical trials aimed at promoting CNS repair.","DOI":"10.1093/brain/awl217","ISSN":"0006-8950","journalAbbreviation":"Brain","author":[{"family":"Patrikios","given":"Peter"},{"family":"Stadelmann","given":"Christine"},{"family":"Kutzelnigg","given":"Alexandra"},{"family":"Rauschka","given":"Helmut"},{"family":"Schmidbauer","given":"Manfred"},{"family":"Laursen","given":"Henning"},{"family":"Sorensen","given":"Per Soelberg"},{"family":"Brück","given":"Wolfgang"},{"family":"Lucchinetti","given":"Claudia"},{"family":"Lassmann","given":"Hans"}],"issued":{"date-parts":[["2006",12,1]]}}}],"schema":"https://github.com/citation-style-language/schema/raw/master/csl-citation.json"} </w:instrText>
      </w:r>
      <w:r w:rsidR="00081F0D">
        <w:rPr>
          <w:rFonts w:ascii="Times New Roman" w:hAnsi="Times New Roman" w:cs="Times New Roman"/>
          <w:color w:val="000000" w:themeColor="text1"/>
          <w:sz w:val="20"/>
          <w:szCs w:val="20"/>
        </w:rPr>
        <w:fldChar w:fldCharType="separate"/>
      </w:r>
      <w:r w:rsidR="00810F5D">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42</w:t>
      </w:r>
      <w:r w:rsidR="00810F5D">
        <w:rPr>
          <w:rFonts w:ascii="Times New Roman" w:hAnsi="Times New Roman" w:cs="Times New Roman"/>
          <w:color w:val="000000"/>
          <w:sz w:val="20"/>
          <w:lang w:val="en-US"/>
        </w:rPr>
        <w:t>]</w:t>
      </w:r>
      <w:r w:rsidR="00081F0D">
        <w:rPr>
          <w:rFonts w:ascii="Times New Roman" w:hAnsi="Times New Roman" w:cs="Times New Roman"/>
          <w:color w:val="000000" w:themeColor="text1"/>
          <w:sz w:val="20"/>
          <w:szCs w:val="20"/>
        </w:rPr>
        <w:fldChar w:fldCharType="end"/>
      </w:r>
      <w:r w:rsidR="00F5337F">
        <w:rPr>
          <w:rFonts w:ascii="Times New Roman" w:hAnsi="Times New Roman" w:cs="Times New Roman"/>
          <w:color w:val="000000" w:themeColor="text1"/>
          <w:sz w:val="20"/>
          <w:szCs w:val="20"/>
        </w:rPr>
        <w:t>.</w:t>
      </w:r>
      <w:r w:rsidR="00616147">
        <w:rPr>
          <w:rFonts w:ascii="Times New Roman" w:hAnsi="Times New Roman" w:cs="Times New Roman"/>
          <w:color w:val="000000" w:themeColor="text1"/>
          <w:sz w:val="20"/>
          <w:szCs w:val="20"/>
        </w:rPr>
        <w:t xml:space="preserve"> </w:t>
      </w:r>
      <w:r w:rsidR="005374BB">
        <w:rPr>
          <w:rFonts w:ascii="Times New Roman" w:hAnsi="Times New Roman" w:cs="Times New Roman"/>
          <w:color w:val="000000" w:themeColor="text1"/>
          <w:sz w:val="20"/>
          <w:szCs w:val="20"/>
        </w:rPr>
        <w:t>High inter-subject variability in remyelination capacity is supported by dynamic myelin imaging using positron emission tomography (PET)</w:t>
      </w:r>
      <w:r w:rsidR="00081F0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a984qtvcg","properties":{"formattedCitation":"(43)","plainCitation":"(43)","noteIndex":0},"citationItems":[{"id":153,"uris":["http://zotero.org/users/local/OxFKn8nN/items/QQSGATU7"],"uri":["http://zotero.org/users/local/OxFKn8nN/items/QQSGATU7"],"itemData":{"id":153,"type":"article-journal","title":"Dynamic Imaging of Individual Remyelination Profiles in Multiple Sclerosis","container-title":"Annals of neurology","page":"726-738","volume":"79","issue":"5","archive":"PubMed","archive_location":"26891452","abstract":"BACKGROUND: Quantitative in vivo imaging of myelin loss and repair in patients with multiple sclerosis (MS) is essential to understand the pathogenesis of the disease and to evaluate promyelinating therapies. Selectively binding myelin in the central nervous system white matter, Pittsburgh compound B ([(11) C]PiB) can be used as a positron emission tomography (PET) tracer to explore myelin dynamics in MS. METHODS: Patients with active relapsing-remitting MS (n = 20) and healthy controls (n = 8) were included in a longitudinal trial combining PET with [(11) C]PiB and magnetic resonance imaging. Voxel-wise maps of [(11) C]PiB distribution volume ratio, reflecting myelin content, were derived. Three dynamic indices were calculated for each patient: the global index of myelin content change; the index of demyelination; and the index of remyelination. RESULTS: At baseline, there was a progressive reduction in [(11) C]PiB binding from the normal-appearing white matter to MS lesions, reflecting a decline in myelin content. White matter lesions were characterized by a centripetal decrease in the tracer binding at the voxel level. During follow-up, high between-patient variability was found for all indices of myelin content change. Dynamic remyelination was inversely correlated with clinical disability (p = 0.006 and beta-coefficient = -0.67 with the Expanded Disability Status Scale; p = 0.003 and beta-coefficient = -0.68 with the MS Severity Scale), whereas no significant clinical correlation was found for the demyelination index. INTERPRETATION: [(11) C]PiB PET allows quantification of myelin dynamics in MS and enables stratification of patients depending on their individual remyelination potential, which significantly correlates with clinical disability. This technique should be considered to assess novel promyelinating drugs. Ann Neurol 2016;79:726-738.","DOI":"10.1002/ana.24620","ISSN":"1531-8249","author":[{"family":"Bodini","given":"Benedetta"},{"family":"Veronese","given":"Mattia"},{"family":"García-Lorenzo","given":"Daniel"},{"family":"Battaglini","given":"Marco"},{"family":"Poirion","given":"Emilie"},{"family":"Chardain","given":"Audrey"},{"family":"Freeman","given":"Léorah"},{"family":"Louapre","given":"Céline"},{"family":"Tchikviladze","given":"Maya"},{"family":"Papeix","given":"Caroline"},{"family":"Dollé","given":"Frédéric"},{"family":"Zalc","given":"Bernard"},{"family":"Lubetzki","given":"Catherine"},{"family":"Bottlaender","given":"Michel"},{"family":"Turkheimer","given":"Federico"},{"family":"Stankoff","given":"Bruno"}],"issued":{"date-parts":[["2016",5]]}}}],"schema":"https://github.com/citation-style-language/schema/raw/master/csl-citation.json"} </w:instrText>
      </w:r>
      <w:r w:rsidR="00081F0D">
        <w:rPr>
          <w:rFonts w:ascii="Times New Roman" w:hAnsi="Times New Roman" w:cs="Times New Roman"/>
          <w:color w:val="000000" w:themeColor="text1"/>
          <w:sz w:val="20"/>
          <w:szCs w:val="20"/>
        </w:rPr>
        <w:fldChar w:fldCharType="separate"/>
      </w:r>
      <w:r w:rsidR="00810F5D">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43</w:t>
      </w:r>
      <w:r w:rsidR="00810F5D">
        <w:rPr>
          <w:rFonts w:ascii="Times New Roman" w:hAnsi="Times New Roman" w:cs="Times New Roman"/>
          <w:color w:val="000000"/>
          <w:sz w:val="20"/>
          <w:lang w:val="en-US"/>
        </w:rPr>
        <w:t>]</w:t>
      </w:r>
      <w:r w:rsidR="00081F0D">
        <w:rPr>
          <w:rFonts w:ascii="Times New Roman" w:hAnsi="Times New Roman" w:cs="Times New Roman"/>
          <w:color w:val="000000" w:themeColor="text1"/>
          <w:sz w:val="20"/>
          <w:szCs w:val="20"/>
        </w:rPr>
        <w:fldChar w:fldCharType="end"/>
      </w:r>
      <w:r w:rsidR="005374BB">
        <w:rPr>
          <w:rFonts w:ascii="Times New Roman" w:hAnsi="Times New Roman" w:cs="Times New Roman"/>
          <w:color w:val="000000" w:themeColor="text1"/>
          <w:sz w:val="20"/>
          <w:szCs w:val="20"/>
        </w:rPr>
        <w:t xml:space="preserve"> and, when combined with evidence that </w:t>
      </w:r>
      <w:r w:rsidR="005374BB" w:rsidRPr="00003E8D">
        <w:rPr>
          <w:rFonts w:ascii="Times New Roman" w:hAnsi="Times New Roman" w:cs="Times New Roman"/>
          <w:color w:val="000000" w:themeColor="text1"/>
          <w:sz w:val="20"/>
          <w:szCs w:val="20"/>
        </w:rPr>
        <w:t>those demonstrating more remyelination display lower levels of disabilit</w:t>
      </w:r>
      <w:r w:rsidR="005374BB">
        <w:rPr>
          <w:rFonts w:ascii="Times New Roman" w:hAnsi="Times New Roman" w:cs="Times New Roman"/>
          <w:color w:val="000000" w:themeColor="text1"/>
          <w:sz w:val="20"/>
          <w:szCs w:val="20"/>
        </w:rPr>
        <w:t>y</w:t>
      </w:r>
      <w:r w:rsidR="005374BB">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8TvogFap","properties":{"formattedCitation":"(44)","plainCitation":"(44)","noteIndex":0},"citationItems":[{"id":161,"uris":["http://zotero.org/users/local/OxFKn8nN/items/7ICMJKS9"],"uri":["http://zotero.org/users/local/OxFKn8nN/items/7ICMJKS9"],"itemData":{"id":161,"type":"article-journal","title":"Demyelination versus remyelination in progressive multiple sclerosis","container-title":"Brain","page":"2983-2998","volume":"133","issue":"10","abstract":"The causes of incomplete remyelination in progressive multiple sclerosis are unknown, as are the pathological correlates of the different clinical characteristics of patients with primary and secondary progressive disease. We analysed brains and spinal cords from 51 patients with progressive multiple sclerosis by planimetry. Thirteen patients with primary progressive disease were compared with 34 with secondary progressive disease. In patients with secondary progressive multiple sclerosis, we found larger brain plaques, more demyelination in total and higher brain loads of active demyelination compared with patients with primary progressive disease. In addition, the brain density of plaques with high-grade inflammation and active demyelination was highest in secondary progressive multiple sclerosis and remained </w:instrText>
      </w:r>
      <w:r w:rsidR="00AA2F7B">
        <w:rPr>
          <w:rFonts w:ascii="Cambria Math" w:hAnsi="Cambria Math" w:cs="Cambria Math"/>
          <w:color w:val="000000" w:themeColor="text1"/>
          <w:sz w:val="20"/>
          <w:szCs w:val="20"/>
        </w:rPr>
        <w:instrText>∼</w:instrText>
      </w:r>
      <w:r w:rsidR="00AA2F7B">
        <w:rPr>
          <w:rFonts w:ascii="Times New Roman" w:hAnsi="Times New Roman" w:cs="Times New Roman"/>
          <w:color w:val="000000" w:themeColor="text1"/>
          <w:sz w:val="20"/>
          <w:szCs w:val="20"/>
        </w:rPr>
        <w:instrText xml:space="preserve">18% higher than in primary progressive multiple sclerosis after adjustments for other plaque types and plaque number (P &lt; 0.05). Conversely, the proportion of remyelinated shadow plaques (P &lt; 0.05) and the overall remyelination capacity (P &lt; 0.01) per brain were higher in primary, compared with secondary, progressive multiple sclerosis. By contrast, there were no group differences in the brain load or frequency of low-grade inflammatory plaques with slowly expanding demyelination. Spinal cord lesion loads and remyelination capacity were also comparable in the two patient groups. Remyelinated areas were more vulnerable than the normal-appearing white matter to new demyelination, including active demyelination in secondary progressive multiple sclerosis. ‘Recurrent’ slowly expanding demyelination, affecting remyelinated areas, and the load of slowly expanding demyelination correlated with incomplete remyelination in both groups. In turn, incomplete remyelination in the spinal cord correlated with higher disease-related disability (determined retrospectively; r = −0.53; P &lt; 0.05 for remyelination capacity versus disease severity). By contrast, such a correlation was not observed in the brain. We propose that regulatory and reparative properties could protect the white matter of the brain in patients with primary progressive multiple sclerosis. These patients may, thereby, be spared symptoms until the spinal cord is affected. By contrast, recurrent active demyelination of repaired myelin could explain why similar symptoms often develop in consecutive relapses in relapsing-remitting/secondary progressive multiple sclerosis. Our data also indicate that slowly expanding demyelination may irreparably destroy normal and repaired myelin, supporting the concept of slowly expanding demyelination as an important pathological correlate of clinical progression.","DOI":"10.1093/brain/awq250","ISSN":"0006-8950","journalAbbreviation":"Brain","author":[{"family":"Bramow","given":"Stephan"},{"family":"Frischer","given":"Josa M."},{"family":"Lassmann","given":"Hans"},{"family":"Koch-Henriksen","given":"Nils"},{"family":"Lucchinetti","given":"Claudia F."},{"family":"Sørensen","given":"Per S."},{"family":"Laursen","given":"Henning"}],"issued":{"date-parts":[["2010",10,1]]}}}],"schema":"https://github.com/citation-style-language/schema/raw/master/csl-citation.json"} </w:instrText>
      </w:r>
      <w:r w:rsidR="005374BB">
        <w:rPr>
          <w:rFonts w:ascii="Times New Roman" w:hAnsi="Times New Roman" w:cs="Times New Roman"/>
          <w:color w:val="000000" w:themeColor="text1"/>
          <w:sz w:val="20"/>
          <w:szCs w:val="20"/>
        </w:rPr>
        <w:fldChar w:fldCharType="separate"/>
      </w:r>
      <w:r w:rsidR="00810F5D">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44</w:t>
      </w:r>
      <w:r w:rsidR="00810F5D">
        <w:rPr>
          <w:rFonts w:ascii="Times New Roman" w:hAnsi="Times New Roman" w:cs="Times New Roman"/>
          <w:color w:val="000000"/>
          <w:sz w:val="20"/>
          <w:u w:val="dash"/>
          <w:lang w:val="en-US"/>
        </w:rPr>
        <w:t>]</w:t>
      </w:r>
      <w:r w:rsidR="005374BB">
        <w:rPr>
          <w:rFonts w:ascii="Times New Roman" w:hAnsi="Times New Roman" w:cs="Times New Roman"/>
          <w:color w:val="000000" w:themeColor="text1"/>
          <w:sz w:val="20"/>
          <w:szCs w:val="20"/>
        </w:rPr>
        <w:fldChar w:fldCharType="end"/>
      </w:r>
      <w:r w:rsidR="005374BB">
        <w:rPr>
          <w:rFonts w:ascii="Times New Roman" w:hAnsi="Times New Roman" w:cs="Times New Roman"/>
          <w:color w:val="000000" w:themeColor="text1"/>
          <w:sz w:val="20"/>
          <w:szCs w:val="20"/>
        </w:rPr>
        <w:t xml:space="preserve">, </w:t>
      </w:r>
      <w:r w:rsidR="00C8153A">
        <w:rPr>
          <w:rFonts w:ascii="Times New Roman" w:hAnsi="Times New Roman" w:cs="Times New Roman"/>
          <w:color w:val="000000" w:themeColor="text1"/>
          <w:sz w:val="20"/>
          <w:szCs w:val="20"/>
        </w:rPr>
        <w:t xml:space="preserve">it underscores the therapeutic promise of a remyelinating treatment. </w:t>
      </w:r>
      <w:r w:rsidR="00A8435C">
        <w:rPr>
          <w:rFonts w:ascii="Times New Roman" w:hAnsi="Times New Roman" w:cs="Times New Roman"/>
          <w:color w:val="000000" w:themeColor="text1"/>
          <w:sz w:val="20"/>
          <w:szCs w:val="20"/>
        </w:rPr>
        <w:t>Consequently, efforts have been made to understand the mechanisms of remyelination and why this fail</w:t>
      </w:r>
      <w:r w:rsidR="006A1BBC">
        <w:rPr>
          <w:rFonts w:ascii="Times New Roman" w:hAnsi="Times New Roman" w:cs="Times New Roman"/>
          <w:color w:val="000000" w:themeColor="text1"/>
          <w:sz w:val="20"/>
          <w:szCs w:val="20"/>
        </w:rPr>
        <w:t>s</w:t>
      </w:r>
      <w:r w:rsidR="00A8435C">
        <w:rPr>
          <w:rFonts w:ascii="Times New Roman" w:hAnsi="Times New Roman" w:cs="Times New Roman"/>
          <w:color w:val="000000" w:themeColor="text1"/>
          <w:sz w:val="20"/>
          <w:szCs w:val="20"/>
        </w:rPr>
        <w:t xml:space="preserve"> in MS, in the hope of defining druggable targets to enhance this process.</w:t>
      </w:r>
    </w:p>
    <w:p w14:paraId="3FBBBD14" w14:textId="62CA72F7" w:rsidR="009F2751" w:rsidRDefault="009F2751" w:rsidP="00E17010">
      <w:pPr>
        <w:spacing w:line="480" w:lineRule="auto"/>
        <w:rPr>
          <w:rFonts w:ascii="Times New Roman" w:hAnsi="Times New Roman" w:cs="Times New Roman"/>
          <w:color w:val="000000" w:themeColor="text1"/>
          <w:sz w:val="20"/>
          <w:szCs w:val="20"/>
        </w:rPr>
      </w:pPr>
    </w:p>
    <w:p w14:paraId="03450B40" w14:textId="30F0DA9E" w:rsidR="00F05035" w:rsidRPr="00C978AF" w:rsidRDefault="009F2751" w:rsidP="00E17010">
      <w:pPr>
        <w:spacing w:line="480" w:lineRule="auto"/>
        <w:rPr>
          <w:rFonts w:ascii="Times New Roman" w:hAnsi="Times New Roman" w:cs="Times New Roman"/>
          <w:b/>
          <w:i/>
          <w:color w:val="000000" w:themeColor="text1"/>
          <w:sz w:val="20"/>
          <w:szCs w:val="20"/>
        </w:rPr>
      </w:pPr>
      <w:r>
        <w:rPr>
          <w:rFonts w:ascii="Times New Roman" w:hAnsi="Times New Roman" w:cs="Times New Roman"/>
          <w:b/>
          <w:i/>
          <w:color w:val="000000" w:themeColor="text1"/>
          <w:sz w:val="20"/>
          <w:szCs w:val="20"/>
        </w:rPr>
        <w:t xml:space="preserve">Mechanisms </w:t>
      </w:r>
      <w:r w:rsidR="00C978AF">
        <w:rPr>
          <w:rFonts w:ascii="Times New Roman" w:hAnsi="Times New Roman" w:cs="Times New Roman"/>
          <w:b/>
          <w:i/>
          <w:color w:val="000000" w:themeColor="text1"/>
          <w:sz w:val="20"/>
          <w:szCs w:val="20"/>
        </w:rPr>
        <w:t>of</w:t>
      </w:r>
      <w:r>
        <w:rPr>
          <w:rFonts w:ascii="Times New Roman" w:hAnsi="Times New Roman" w:cs="Times New Roman"/>
          <w:b/>
          <w:i/>
          <w:color w:val="000000" w:themeColor="text1"/>
          <w:sz w:val="20"/>
          <w:szCs w:val="20"/>
        </w:rPr>
        <w:t xml:space="preserve"> remyelination</w:t>
      </w:r>
      <w:r w:rsidR="00096490">
        <w:rPr>
          <w:rFonts w:ascii="Times New Roman" w:hAnsi="Times New Roman" w:cs="Times New Roman"/>
          <w:b/>
          <w:i/>
          <w:color w:val="000000" w:themeColor="text1"/>
          <w:sz w:val="20"/>
          <w:szCs w:val="20"/>
        </w:rPr>
        <w:t>.</w:t>
      </w:r>
      <w:r w:rsidR="00C978AF">
        <w:rPr>
          <w:rFonts w:ascii="Times New Roman" w:hAnsi="Times New Roman" w:cs="Times New Roman"/>
          <w:b/>
          <w:i/>
          <w:color w:val="000000" w:themeColor="text1"/>
          <w:sz w:val="20"/>
          <w:szCs w:val="20"/>
        </w:rPr>
        <w:t xml:space="preserve"> </w:t>
      </w:r>
      <w:r w:rsidR="00F05035" w:rsidRPr="00003E8D">
        <w:rPr>
          <w:rFonts w:ascii="Times New Roman" w:hAnsi="Times New Roman" w:cs="Times New Roman"/>
          <w:color w:val="000000" w:themeColor="text1"/>
          <w:sz w:val="20"/>
          <w:szCs w:val="20"/>
        </w:rPr>
        <w:t>While pre-existing mature oligodendrocytes are able to increase the number of internodes they generate, and therefore contribute to recovery after demyelinatio</w:t>
      </w:r>
      <w:r w:rsidR="00C42326">
        <w:rPr>
          <w:rFonts w:ascii="Times New Roman" w:hAnsi="Times New Roman" w:cs="Times New Roman"/>
          <w:color w:val="000000" w:themeColor="text1"/>
          <w:sz w:val="20"/>
          <w:szCs w:val="20"/>
        </w:rPr>
        <w:t>n</w:t>
      </w:r>
      <w:r w:rsidR="00C42326">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7grASyQs","properties":{"formattedCitation":"(45)","plainCitation":"(45)","noteIndex":0},"citationItems":[{"id":163,"uris":["http://zotero.org/users/local/OxFKn8nN/items/N872LGXQ"],"uri":["http://zotero.org/users/local/OxFKn8nN/items/N872LGXQ"],"itemData":{"id":163,"type":"article-journal","title":"ERK1/2 Activation in Preexisting Oligodendrocytes of Adult Mice Drives New Myelin Synthesis and Enhanced CNS Function","container-title":"The Journal of neuroscience : the official journal of the Society for Neuroscience","page":"9186-9200","volume":"36","issue":"35","archive":"PubMed","archive_location":"27581459","abstract":"Growing evidence shows that mechanisms controlling CNS plasticity extend beyond the synapse and that alterations in myelin can modify conduction velocity, leading to changes in neural circuitry. Although it is widely accepted that newly generated oligodendrocytes (OLs) produce myelin in the adult CNS, the contribution of preexisting OLs to functional myelin remodeling is not known. Here, we show that sustained activation of extracellular signal-regulated kinases 1 and 2 (ERK1/2) in preexisting OLs of adult mice is sufficient to drive increased myelin thickness, faster conduction speeds, and enhanced hippocampal-dependent emotional learning. Although preexisting OLs do not normally contribute to remyelination, we show that sustained activation of ERK1/2 renders them able to do so. These data suggest that strategies designed to push mature OLs to reinitiate myelination may be beneficial both for enhancing remyelination in demyelinating diseases and for increasing neural plasticity in the adult CNS. SIGNIFICANCE STATEMENT: Myelin is a crucial regulator of CNS plasticity, function, and repair. Although it is generally accepted that new myelin production in the adult CNS is initiated by newly generated oligodendrocytes (OLs), great interest remains in additionally driving mature preexisting OLs to make myelin. The ability to induce myelination by the larger population of preexisting OLs carries the potential for enhanced remyelination in demyelinating diseases and increased neural plasticity in the adult CNS. Here, we show that sustained activation of the extracellular signal-regulated kinases 1 and 2 (ERK1/2) signaling pathway is sufficient to drive mature OLs in the adult mouse CNS to reinitiate myelination, leading to new myelin wraps and functional changes.","DOI":"10.1523/JNEUROSCI.1444-16.2016","ISSN":"1529-2401","author":[{"family":"Jeffries","given":"Marisa A"},{"family":"Urbanek","given":"Kelly"},{"family":"Torres","given":"Lester"},{"family":"Wendell","given":"Stacy Gelhaus"},{"family":"Rubio","given":"Maria E"},{"family":"Fyffe-Maricich","given":"Sharyl L"}],"issued":{"date-parts":[["2016",8,31]]}}}],"schema":"https://github.com/citation-style-language/schema/raw/master/csl-citation.json"} </w:instrText>
      </w:r>
      <w:r w:rsidR="00C42326">
        <w:rPr>
          <w:rFonts w:ascii="Times New Roman" w:hAnsi="Times New Roman" w:cs="Times New Roman"/>
          <w:color w:val="000000" w:themeColor="text1"/>
          <w:sz w:val="20"/>
          <w:szCs w:val="20"/>
        </w:rPr>
        <w:fldChar w:fldCharType="separate"/>
      </w:r>
      <w:r w:rsidR="004D796E">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45</w:t>
      </w:r>
      <w:r w:rsidR="004D796E">
        <w:rPr>
          <w:rFonts w:ascii="Times New Roman" w:hAnsi="Times New Roman" w:cs="Times New Roman"/>
          <w:color w:val="000000"/>
          <w:sz w:val="20"/>
          <w:u w:val="dash"/>
          <w:lang w:val="en-US"/>
        </w:rPr>
        <w:t>]</w:t>
      </w:r>
      <w:r w:rsidR="00C42326">
        <w:rPr>
          <w:rFonts w:ascii="Times New Roman" w:hAnsi="Times New Roman" w:cs="Times New Roman"/>
          <w:color w:val="000000" w:themeColor="text1"/>
          <w:sz w:val="20"/>
          <w:szCs w:val="20"/>
        </w:rPr>
        <w:fldChar w:fldCharType="end"/>
      </w:r>
      <w:r w:rsidR="00F05035" w:rsidRPr="00003E8D">
        <w:rPr>
          <w:rFonts w:ascii="Times New Roman" w:hAnsi="Times New Roman" w:cs="Times New Roman"/>
          <w:color w:val="000000" w:themeColor="text1"/>
          <w:sz w:val="20"/>
          <w:szCs w:val="20"/>
        </w:rPr>
        <w:t xml:space="preserve">, they do not add to the pool of new </w:t>
      </w:r>
      <w:proofErr w:type="spellStart"/>
      <w:r w:rsidR="00F05035" w:rsidRPr="00003E8D">
        <w:rPr>
          <w:rFonts w:ascii="Times New Roman" w:hAnsi="Times New Roman" w:cs="Times New Roman"/>
          <w:color w:val="000000" w:themeColor="text1"/>
          <w:sz w:val="20"/>
          <w:szCs w:val="20"/>
        </w:rPr>
        <w:t>myelinogenic</w:t>
      </w:r>
      <w:proofErr w:type="spellEnd"/>
      <w:r w:rsidR="00F05035" w:rsidRPr="00003E8D">
        <w:rPr>
          <w:rFonts w:ascii="Times New Roman" w:hAnsi="Times New Roman" w:cs="Times New Roman"/>
          <w:color w:val="000000" w:themeColor="text1"/>
          <w:sz w:val="20"/>
          <w:szCs w:val="20"/>
        </w:rPr>
        <w:t xml:space="preserve"> oligodendrocytes that are required f</w:t>
      </w:r>
      <w:r w:rsidR="000734B7" w:rsidRPr="00003E8D">
        <w:rPr>
          <w:rFonts w:ascii="Times New Roman" w:hAnsi="Times New Roman" w:cs="Times New Roman"/>
          <w:color w:val="000000" w:themeColor="text1"/>
          <w:sz w:val="20"/>
          <w:szCs w:val="20"/>
        </w:rPr>
        <w:t>or remyelination</w:t>
      </w:r>
      <w:r w:rsidR="00C4434E">
        <w:rPr>
          <w:rFonts w:ascii="Times New Roman" w:hAnsi="Times New Roman" w:cs="Times New Roman"/>
          <w:color w:val="000000" w:themeColor="text1"/>
          <w:sz w:val="20"/>
          <w:szCs w:val="20"/>
        </w:rPr>
        <w:t xml:space="preserve"> in animal</w:t>
      </w:r>
      <w:r w:rsidR="00C42326">
        <w:rPr>
          <w:rFonts w:ascii="Times New Roman" w:hAnsi="Times New Roman" w:cs="Times New Roman"/>
          <w:color w:val="000000" w:themeColor="text1"/>
          <w:sz w:val="20"/>
          <w:szCs w:val="20"/>
        </w:rPr>
        <w:t>s</w:t>
      </w:r>
      <w:r w:rsidR="00C42326">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YpWNIraj","properties":{"formattedCitation":"(46)","plainCitation":"(46)","noteIndex":0},"citationItems":[{"id":165,"uris":["http://zotero.org/users/local/OxFKn8nN/items/4LWAUPYK"],"uri":["http://zotero.org/users/local/OxFKn8nN/items/4LWAUPYK"],"itemData":{"id":165,"type":"article-journal","title":"Pre-Existing Mature Oligodendrocytes Do Not Contribute to Remyelination following Toxin-Induced Spinal Cord Demyelination","container-title":"The American journal of pathology","page":"511-516","volume":"186","issue":"3","archive":"PubMed","archive_location":"26773350","abstract":"Remyelination is the regenerative response to demyelination. Although the oligodendrocyte progenitor is established as the major source of remyelinating cells, there is no conclusive evidence on whether mature, differentiated oligodendrocytes can also contribute to remyelination. Using two different inducible myelin-CreER mouse strains in which mature oligodendrocytes were prelabeled by the expression of membrane-bound Green fluorescent protein, we found that after focal spinal cord demyelination, the surrounding surviving labeled oligodendrocytes did not proliferate but remained at a consistent density. Furthermore, existing (prelabeled) oligodendrocytes showed no evidence of incorporation or migration into the lesioned area, or of process extension from the peripheral margins into the lesion. Thus, mature oligodendrocytes do not normally contribute to remyelination and are therefore not a promising target for regenerative therapy.","DOI":"10.1016/j.ajpath.2015.11.005","ISSN":"1525-2191","author":[{"family":"Crawford","given":"Abbe H"},{"family":"Tripathi","given":"Richa B"},{"family":"Foerster","given":"Sarah"},{"family":"McKenzie","given":"Ian"},{"family":"Kougioumtzidou","given":"Eleni"},{"family":"Grist","given":"Matthew"},{"family":"Richardson","given":"William D"},{"family":"Franklin","given":"Robin J M"}],"issued":{"date-parts":[["2016",3]]}}}],"schema":"https://github.com/citation-style-language/schema/raw/master/csl-citation.json"} </w:instrText>
      </w:r>
      <w:r w:rsidR="00C42326">
        <w:rPr>
          <w:rFonts w:ascii="Times New Roman" w:hAnsi="Times New Roman" w:cs="Times New Roman"/>
          <w:color w:val="000000" w:themeColor="text1"/>
          <w:sz w:val="20"/>
          <w:szCs w:val="20"/>
        </w:rPr>
        <w:fldChar w:fldCharType="separate"/>
      </w:r>
      <w:r w:rsidR="004D796E">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46</w:t>
      </w:r>
      <w:r w:rsidR="004D796E">
        <w:rPr>
          <w:rFonts w:ascii="Times New Roman" w:hAnsi="Times New Roman" w:cs="Times New Roman"/>
          <w:color w:val="000000"/>
          <w:sz w:val="20"/>
          <w:u w:val="dash"/>
          <w:lang w:val="en-US"/>
        </w:rPr>
        <w:t>]</w:t>
      </w:r>
      <w:r w:rsidR="00C42326">
        <w:rPr>
          <w:rFonts w:ascii="Times New Roman" w:hAnsi="Times New Roman" w:cs="Times New Roman"/>
          <w:color w:val="000000" w:themeColor="text1"/>
          <w:sz w:val="20"/>
          <w:szCs w:val="20"/>
        </w:rPr>
        <w:fldChar w:fldCharType="end"/>
      </w:r>
      <w:r w:rsidR="00F05035" w:rsidRPr="00003E8D">
        <w:rPr>
          <w:rFonts w:ascii="Times New Roman" w:hAnsi="Times New Roman" w:cs="Times New Roman"/>
          <w:color w:val="000000" w:themeColor="text1"/>
          <w:sz w:val="20"/>
          <w:szCs w:val="20"/>
        </w:rPr>
        <w:t>. Thus remyelination is crucially dependent upon adult oligodendrocyte progenitor cells (</w:t>
      </w:r>
      <w:proofErr w:type="spellStart"/>
      <w:r w:rsidR="00F05035" w:rsidRPr="00003E8D">
        <w:rPr>
          <w:rFonts w:ascii="Times New Roman" w:hAnsi="Times New Roman" w:cs="Times New Roman"/>
          <w:color w:val="000000" w:themeColor="text1"/>
          <w:sz w:val="20"/>
          <w:szCs w:val="20"/>
        </w:rPr>
        <w:t>aOPCs</w:t>
      </w:r>
      <w:proofErr w:type="spellEnd"/>
      <w:r w:rsidR="00F05035" w:rsidRPr="00003E8D">
        <w:rPr>
          <w:rFonts w:ascii="Times New Roman" w:hAnsi="Times New Roman" w:cs="Times New Roman"/>
          <w:color w:val="000000" w:themeColor="text1"/>
          <w:sz w:val="20"/>
          <w:szCs w:val="20"/>
        </w:rPr>
        <w:t>), derive</w:t>
      </w:r>
      <w:r w:rsidR="006F03CD">
        <w:rPr>
          <w:rFonts w:ascii="Times New Roman" w:hAnsi="Times New Roman" w:cs="Times New Roman"/>
          <w:color w:val="000000" w:themeColor="text1"/>
          <w:sz w:val="20"/>
          <w:szCs w:val="20"/>
        </w:rPr>
        <w:t>d from neona</w:t>
      </w:r>
      <w:r w:rsidR="004B5D90" w:rsidRPr="00003E8D">
        <w:rPr>
          <w:rFonts w:ascii="Times New Roman" w:hAnsi="Times New Roman" w:cs="Times New Roman"/>
          <w:color w:val="000000" w:themeColor="text1"/>
          <w:sz w:val="20"/>
          <w:szCs w:val="20"/>
        </w:rPr>
        <w:t>tal OPCs (</w:t>
      </w:r>
      <w:proofErr w:type="spellStart"/>
      <w:r w:rsidR="004B5D90" w:rsidRPr="00003E8D">
        <w:rPr>
          <w:rFonts w:ascii="Times New Roman" w:hAnsi="Times New Roman" w:cs="Times New Roman"/>
          <w:color w:val="000000" w:themeColor="text1"/>
          <w:sz w:val="20"/>
          <w:szCs w:val="20"/>
        </w:rPr>
        <w:t>nOPCs</w:t>
      </w:r>
      <w:proofErr w:type="spellEnd"/>
      <w:r w:rsidR="00C42326">
        <w:rPr>
          <w:rFonts w:ascii="Times New Roman" w:hAnsi="Times New Roman" w:cs="Times New Roman"/>
          <w:color w:val="000000" w:themeColor="text1"/>
          <w:sz w:val="20"/>
          <w:szCs w:val="20"/>
        </w:rPr>
        <w:t>)</w:t>
      </w:r>
      <w:r w:rsidR="00C42326">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bEBqlws2","properties":{"formattedCitation":"(47)","plainCitation":"(47)","noteIndex":0},"citationItems":[{"id":167,"uris":["http://zotero.org/users/local/OxFKn8nN/items/XVWPFF32"],"uri":["http://zotero.org/users/local/OxFKn8nN/items/XVWPFF32"],"itemData":{"id":167,"type":"article-journal","title":"Proliferating bipotential glial progenitor cells in adult rat optic nerve","container-title":"Nature","page":"499","volume":"319","journalAbbreviation":"Nature","author":[{"family":"Constant","given":"Charles","non-dropping-particle":"ffrench-"},{"family":"Raff","given":"Martin C."}],"issued":{"date-parts":[["1986",2,6]]}}}],"schema":"https://github.com/citation-style-language/schema/raw/master/csl-citation.json"} </w:instrText>
      </w:r>
      <w:r w:rsidR="00C42326">
        <w:rPr>
          <w:rFonts w:ascii="Times New Roman" w:hAnsi="Times New Roman" w:cs="Times New Roman"/>
          <w:color w:val="000000" w:themeColor="text1"/>
          <w:sz w:val="20"/>
          <w:szCs w:val="20"/>
        </w:rPr>
        <w:fldChar w:fldCharType="separate"/>
      </w:r>
      <w:r w:rsidR="004D796E">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47</w:t>
      </w:r>
      <w:r w:rsidR="004D796E">
        <w:rPr>
          <w:rFonts w:ascii="Times New Roman" w:hAnsi="Times New Roman" w:cs="Times New Roman"/>
          <w:color w:val="000000"/>
          <w:sz w:val="20"/>
          <w:u w:val="dash"/>
          <w:lang w:val="en-US"/>
        </w:rPr>
        <w:t>]</w:t>
      </w:r>
      <w:r w:rsidR="00C42326">
        <w:rPr>
          <w:rFonts w:ascii="Times New Roman" w:hAnsi="Times New Roman" w:cs="Times New Roman"/>
          <w:color w:val="000000" w:themeColor="text1"/>
          <w:sz w:val="20"/>
          <w:szCs w:val="20"/>
        </w:rPr>
        <w:fldChar w:fldCharType="end"/>
      </w:r>
      <w:r w:rsidR="00F05035" w:rsidRPr="00003E8D">
        <w:rPr>
          <w:rFonts w:ascii="Times New Roman" w:hAnsi="Times New Roman" w:cs="Times New Roman"/>
          <w:color w:val="000000" w:themeColor="text1"/>
          <w:sz w:val="20"/>
          <w:szCs w:val="20"/>
        </w:rPr>
        <w:t>, which have been shown by genetic fate-mapping to be the cells responsible for generation of the majority of new oligodendrocy</w:t>
      </w:r>
      <w:r w:rsidR="00E62350">
        <w:rPr>
          <w:rFonts w:ascii="Times New Roman" w:hAnsi="Times New Roman" w:cs="Times New Roman"/>
          <w:color w:val="000000" w:themeColor="text1"/>
          <w:sz w:val="20"/>
          <w:szCs w:val="20"/>
        </w:rPr>
        <w:t>t</w:t>
      </w:r>
      <w:r w:rsidR="00F05035" w:rsidRPr="00003E8D">
        <w:rPr>
          <w:rFonts w:ascii="Times New Roman" w:hAnsi="Times New Roman" w:cs="Times New Roman"/>
          <w:color w:val="000000" w:themeColor="text1"/>
          <w:sz w:val="20"/>
          <w:szCs w:val="20"/>
        </w:rPr>
        <w:t>es in the adult nervous syste</w:t>
      </w:r>
      <w:r w:rsidR="00C42326">
        <w:rPr>
          <w:rFonts w:ascii="Times New Roman" w:hAnsi="Times New Roman" w:cs="Times New Roman"/>
          <w:color w:val="000000" w:themeColor="text1"/>
          <w:sz w:val="20"/>
          <w:szCs w:val="20"/>
        </w:rPr>
        <w:t>m</w:t>
      </w:r>
      <w:r w:rsidR="00C42326">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zRKXm6iO","properties":{"formattedCitation":"(48,49)","plainCitation":"(48,49)","noteIndex":0},"citationItems":[{"id":168,"uris":["http://zotero.org/users/local/OxFKn8nN/items/NQCMHRKG"],"uri":["http://zotero.org/users/local/OxFKn8nN/items/NQCMHRKG"],"itemData":{"id":168,"type":"article-journal","title":"CNS-resident glial progenitor/stem cells produce Schwann cells as well as oligodendrocytes during repair of CNS demyelination","container-title":"Cell stem cell","page":"578-590","volume":"6","issue":"6","archive":"PubMed","archive_location":"20569695","abstract":"After central nervous system (CNS) demyelination-such as occurs during multiple sclerosis-there is often spontaneous regeneration of myelin sheaths, mainly by oligodendrocytes but also by Schwann cells. The origins of the remyelinating cells have not previously been established. We have used Cre-lox fate mapping in transgenic mice to show that PDGFRA/NG2-expressing glia, a distributed population of stem/progenitor cells in the adult CNS, produce the remyelinating oligodendrocytes and almost all of the Schwann cells in chemically induced demyelinated lesions. In contrast, the great majority of reactive astrocytes in the vicinity of the lesions are derived from preexisting FGFR3-expressing cells, likely to be astrocytes. These data resolve a long-running debate about the origins of the main players in CNS remyelination and reveal a surprising capacity of CNS precursors to generate Schwann cells, which normally develop from the embryonic neural crest and are restricted to the peripheral nervous system.","DOI":"10.1016/j.stem.2010.04.002","ISSN":"1875-9777","author":[{"family":"Zawadzka","given":"Malgorzata"},{"family":"Rivers","given":"Leanne E"},{"family":"Fancy","given":"Stephen P J"},{"family":"Zhao","given":"Chao"},{"family":"Tripathi","given":"Richa"},{"family":"Jamen","given":"Françoise"},{"family":"Young","given":"Kaylene"},{"family":"Goncharevich","given":"Alexander"},{"family":"Pohl","given":"Hartmut"},{"family":"Rizzi","given":"Matteo"},{"family":"Rowitch","given":"David H"},{"family":"Kessaris","given":"Nicoletta"},{"family":"Suter","given":"Ueli"},{"family":"Richardson","given":"William D"},{"family":"Franklin","given":"Robin J M"}],"issued":{"date-parts":[["2010",6,4]]}}},{"id":170,"uris":["http://zotero.org/users/local/OxFKn8nN/items/NA7NAF3S"],"uri":["http://zotero.org/users/local/OxFKn8nN/items/NA7NAF3S"],"itemData":{"id":170,"type":"article-journal","title":"NG2 glia generate new oligodendrocytes but few astrocytes in a murine experimental autoimmune encephalomyelitis model of demyelinating disease","container-title":"The Journal of neuroscience : the official journal of the Society for Neuroscience","page":"16383-16390","volume":"30","issue":"48","archive":"PubMed","archive_location":"21123584","abstract":"The adult mammalian brain and spinal cord contain glial precursors that express platelet-derived growth factor receptor α subunit (PDGFRA) and the NG2 proteoglycan. These \"NG2 cells\" descend from oligodendrocyte precursors in the perinatal CNS and continue to generate myelinating oligodendrocytes in the gray and white matter of the postnatal brain. It has been proposed that NG2 cells can also generate reactive astrocytes at sites of CNS injury or demyelination. To test this we examined the fates of PDGFRA/NG2 cells in the mouse spinal cord during experimental autoimmune encephalomyelitis (EAE)--a demyelinating condition that models some aspects of multiple sclerosis in humans. We administered tamoxifen to Pdgfra-CreER(T2):Rosa26R-YFP mice to induce yellow fluorescent protein (YFP) expression in PDGFRA/NG2 cells and their differentiated progeny. We subsequently induced EAE and observed a large (&gt;4-fold) increase in the local density of YFP(+) cells, &gt;90% of which were oligodendrocyte lineage cells. Many of these became CC1-positive, NG2-negative differentiated oligodendrocytes that expressed myelin markers CNP and Tmem10/Opalin. PDGFRA/NG2 cells generated very few GFAP(+)-reactive astrocytes (1-2% of all YFP(+) cells) or NeuN(+) neurons (&lt;0.02%). Thus, PDGFRA/NG2 cells act predominantly as a reservoir of new oligodendrocytes in the demyelinated spinal cord.","DOI":"10.1523/JNEUROSCI.3411-10.2010","ISSN":"1529-2401","author":[{"family":"Tripathi","given":"Richa B"},{"family":"Rivers","given":"Leanne E"},{"family":"Young","given":"Kaylene M"},{"family":"Jamen","given":"Francoise"},{"family":"Richardson","given":"William D"}],"issued":{"date-parts":[["2010",12,1]]}}}],"schema":"https://github.com/citation-style-language/schema/raw/master/csl-citation.json"} </w:instrText>
      </w:r>
      <w:r w:rsidR="00C42326">
        <w:rPr>
          <w:rFonts w:ascii="Times New Roman" w:hAnsi="Times New Roman" w:cs="Times New Roman"/>
          <w:color w:val="000000" w:themeColor="text1"/>
          <w:sz w:val="20"/>
          <w:szCs w:val="20"/>
        </w:rPr>
        <w:fldChar w:fldCharType="separate"/>
      </w:r>
      <w:r w:rsidR="004D796E">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48,49</w:t>
      </w:r>
      <w:r w:rsidR="004D796E">
        <w:rPr>
          <w:rFonts w:ascii="Times New Roman" w:hAnsi="Times New Roman" w:cs="Times New Roman"/>
          <w:color w:val="000000"/>
          <w:sz w:val="20"/>
          <w:u w:val="dash"/>
          <w:lang w:val="en-US"/>
        </w:rPr>
        <w:t>]</w:t>
      </w:r>
      <w:r w:rsidR="00C42326">
        <w:rPr>
          <w:rFonts w:ascii="Times New Roman" w:hAnsi="Times New Roman" w:cs="Times New Roman"/>
          <w:color w:val="000000" w:themeColor="text1"/>
          <w:sz w:val="20"/>
          <w:szCs w:val="20"/>
        </w:rPr>
        <w:fldChar w:fldCharType="end"/>
      </w:r>
      <w:r w:rsidR="00F05035" w:rsidRPr="00003E8D">
        <w:rPr>
          <w:rFonts w:ascii="Times New Roman" w:hAnsi="Times New Roman" w:cs="Times New Roman"/>
          <w:color w:val="000000" w:themeColor="text1"/>
          <w:sz w:val="20"/>
          <w:szCs w:val="20"/>
        </w:rPr>
        <w:t xml:space="preserve">. </w:t>
      </w:r>
      <w:r w:rsidR="00E62350">
        <w:rPr>
          <w:rFonts w:ascii="Times New Roman" w:hAnsi="Times New Roman" w:cs="Times New Roman"/>
          <w:color w:val="000000" w:themeColor="text1"/>
          <w:sz w:val="20"/>
          <w:szCs w:val="20"/>
        </w:rPr>
        <w:t xml:space="preserve">These cells are </w:t>
      </w:r>
      <w:r w:rsidR="00F05035" w:rsidRPr="00003E8D">
        <w:rPr>
          <w:rFonts w:ascii="Times New Roman" w:hAnsi="Times New Roman" w:cs="Times New Roman"/>
          <w:color w:val="000000" w:themeColor="text1"/>
          <w:sz w:val="20"/>
          <w:szCs w:val="20"/>
        </w:rPr>
        <w:t>maintained</w:t>
      </w:r>
      <w:r w:rsidR="00E62350">
        <w:rPr>
          <w:rFonts w:ascii="Times New Roman" w:hAnsi="Times New Roman" w:cs="Times New Roman"/>
          <w:color w:val="000000" w:themeColor="text1"/>
          <w:sz w:val="20"/>
          <w:szCs w:val="20"/>
        </w:rPr>
        <w:t xml:space="preserve"> in sufficient quantities predominantly</w:t>
      </w:r>
      <w:r w:rsidR="00F05035" w:rsidRPr="00003E8D">
        <w:rPr>
          <w:rFonts w:ascii="Times New Roman" w:hAnsi="Times New Roman" w:cs="Times New Roman"/>
          <w:color w:val="000000" w:themeColor="text1"/>
          <w:sz w:val="20"/>
          <w:szCs w:val="20"/>
        </w:rPr>
        <w:t xml:space="preserve"> by their own self-renewal, rather than by replacement from neural stem cell niches in the CN</w:t>
      </w:r>
      <w:r w:rsidR="00C42326">
        <w:rPr>
          <w:rFonts w:ascii="Times New Roman" w:hAnsi="Times New Roman" w:cs="Times New Roman"/>
          <w:color w:val="000000" w:themeColor="text1"/>
          <w:sz w:val="20"/>
          <w:szCs w:val="20"/>
        </w:rPr>
        <w:t>S</w:t>
      </w:r>
      <w:r w:rsidR="00C42326">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mMouwLni","properties":{"formattedCitation":"(50,51)","plainCitation":"(50,51)","noteIndex":0},"citationItems":[{"id":172,"uris":["http://zotero.org/users/local/OxFKn8nN/items/K7T466PA"],"uri":["http://zotero.org/users/local/OxFKn8nN/items/K7T466PA"],"itemData":{"id":172,"type":"article-journal","title":"Cell cycle dynamics of NG2 cells in the postnatal and ageing brain","container-title":"Neuron Glia Biology","page":"57-67","volume":"5","issue":"3-4","source":"Cambridge University Press","archive":"Cambridge Core","abstract":"Oligodendrocyte precursors (OLPs or ‘NG2 cells’) are abundant in the adult mouse brain, where they continue to proliferate and generate new myelinating oligodendrocytes. By cumulative BrdU labelling, we estimated the cell cycle time TC and the proportion of NG2 cells that is actively cycling (the growth fraction) at ~ postnatal day 6 (P6), P60, P240 and P540. In the corpus callosum, TC increased from &amp;lt;2 days at P6 to ~9 days at P60 to ~70 days at P240 and P540. In the cortex, TC increased from ~2 days to &amp;gt;150 days over the same period. The growth fraction remained relatively invariant at ~50% in both cortex and corpus callosum – that is, similar numbers of mitotically active and inactive NG2 cells co-exist at all ages. Our data imply that a stable population of quiescent NG2 cells appears before the end of the first postnatal week and persists throughout life. The mitotically active population acts as a source of new oligodendrocytes during adulthood, while the biological significance of the quiescent population remains to be determined. We found that the mitotic status of adult NG2 cells is unrelated to their developmental site of origin in the ventral or dorsal telencephalon. We also report that new oligodendrocytes continue to be formed at a slow rate from NG2 cells even after P240 (8 months of age).","DOI":"10.1017/S1740925X09990354","ISSN":"1740-925X","author":[{"family":"Psachoulia","given":"Konstantina"},{"family":"Jamen","given":"Francoise"},{"family":"Young","given":"Kaylene M."},{"family":"Richardson","given":"William D."}],"issued":{"date-parts":[["2009"]]}}},{"id":173,"uris":["http://zotero.org/users/local/OxFKn8nN/items/PU7V2QP3"],"uri":["http://zotero.org/users/local/OxFKn8nN/items/PU7V2QP3"],"itemData":{"id":173,"type":"article-journal","title":"Origin of Oligodendrocytes in the Subventricular Zone of the Adult Brain","container-title":"The Journal of Neuroscience","page":"7907","volume":"26","issue":"30","abstract":"Glial fibrillary acidic protein (GFAP)-positive astrocytes (type B cells) in the subventricular zone (SVZ) generate large numbers of new neurons in the adult brain. SVZ stem cells can also generate oligodendrocytes in vitro, but it is not known whether these adult primary progenitors generate oligodendrocytes in vivo. Myelin repair and oligodendrocyte formation in the adult brain is instead associated with glial-restricted progenitors cells, known as oligodendrocyte progenitor cells (OPCs). Here we show that type B cells also generate a small number of nonmyelinating NG2-positive OPCs and mature myelinating oligodendrocytes. Some type B cells and a small subpopulation of actively dividing type C (transit-amplifying) cells expressed oligodendrocyte lineage transcription factor 2 (Olig2), suggesting that oligodendrocyte differentiation in the SVZ begins early in the lineage. Olig2-positive, polysialylated neural cell adhesion molecule-positive, PDGF receptor α-positive, and β-tubulin-negative cells originating in the SVZ migrated into corpus callosum, striatum, and fimbria fornix to differentiate into the NG2-positive nonmyelinating and mature myelinating oligodendrocytes. Furthermore, primary clonal cultures of type B cells gave rise to oligodendrocytes alone or oligodendrocytes and neurons. Importantly, the number of oligodendrocytes derived from type B cells in vivo increased fourfold after a demyelinating lesion in corpus callosum, indicating that SVZ astrocytes participate in myelin repair in the adult brain. Our work identifies SVZ type B cells as progenitors of oligodendrocytes in normal and injured adult brain.","DOI":"10.1523/JNEUROSCI.1299-06.2006","journalAbbreviation":"J. Neurosci.","author":[{"family":"Menn","given":"Bénédicte"},{"family":"Garcia-Verdugo","given":"Jose Manuel"},{"family":"Yaschine","given":"Cynthia"},{"family":"Gonzalez-Perez","given":"Oscar"},{"family":"Rowitch","given":"David"},{"family":"Alvarez-Buylla","given":"Arturo"}],"issued":{"date-parts":[["2006",7,26]]}}}],"schema":"https://github.com/citation-style-language/schema/raw/master/csl-citation.json"} </w:instrText>
      </w:r>
      <w:r w:rsidR="00C42326">
        <w:rPr>
          <w:rFonts w:ascii="Times New Roman" w:hAnsi="Times New Roman" w:cs="Times New Roman"/>
          <w:color w:val="000000" w:themeColor="text1"/>
          <w:sz w:val="20"/>
          <w:szCs w:val="20"/>
        </w:rPr>
        <w:fldChar w:fldCharType="separate"/>
      </w:r>
      <w:r w:rsidR="004D796E">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50,51</w:t>
      </w:r>
      <w:r w:rsidR="004D796E">
        <w:rPr>
          <w:rFonts w:ascii="Times New Roman" w:hAnsi="Times New Roman" w:cs="Times New Roman"/>
          <w:color w:val="000000"/>
          <w:sz w:val="20"/>
          <w:u w:val="dash"/>
          <w:lang w:val="en-US"/>
        </w:rPr>
        <w:t>]</w:t>
      </w:r>
      <w:r w:rsidR="00C42326">
        <w:rPr>
          <w:rFonts w:ascii="Times New Roman" w:hAnsi="Times New Roman" w:cs="Times New Roman"/>
          <w:color w:val="000000" w:themeColor="text1"/>
          <w:sz w:val="20"/>
          <w:szCs w:val="20"/>
        </w:rPr>
        <w:fldChar w:fldCharType="end"/>
      </w:r>
      <w:r w:rsidR="00F05035" w:rsidRPr="00003E8D">
        <w:rPr>
          <w:rFonts w:ascii="Times New Roman" w:hAnsi="Times New Roman" w:cs="Times New Roman"/>
          <w:color w:val="000000" w:themeColor="text1"/>
          <w:sz w:val="20"/>
          <w:szCs w:val="20"/>
        </w:rPr>
        <w:t>.</w:t>
      </w:r>
    </w:p>
    <w:p w14:paraId="2E8A5C3C" w14:textId="7B1A1E47" w:rsidR="00BF003D" w:rsidRDefault="00F05035"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 xml:space="preserve">Following damage to myelinated areas, </w:t>
      </w:r>
      <w:proofErr w:type="spellStart"/>
      <w:r w:rsidRPr="00003E8D">
        <w:rPr>
          <w:rFonts w:ascii="Times New Roman" w:hAnsi="Times New Roman" w:cs="Times New Roman"/>
          <w:color w:val="000000" w:themeColor="text1"/>
          <w:sz w:val="20"/>
          <w:szCs w:val="20"/>
        </w:rPr>
        <w:t>aOPCs</w:t>
      </w:r>
      <w:proofErr w:type="spellEnd"/>
      <w:r w:rsidRPr="00003E8D">
        <w:rPr>
          <w:rFonts w:ascii="Times New Roman" w:hAnsi="Times New Roman" w:cs="Times New Roman"/>
          <w:color w:val="000000" w:themeColor="text1"/>
          <w:sz w:val="20"/>
          <w:szCs w:val="20"/>
        </w:rPr>
        <w:t xml:space="preserve"> must follow a choreographed process of activation, migration, proliferation and differentiation before culminating in the formation of new myelin sheath</w:t>
      </w:r>
      <w:r w:rsidR="00D308B7">
        <w:rPr>
          <w:rFonts w:ascii="Times New Roman" w:hAnsi="Times New Roman" w:cs="Times New Roman"/>
          <w:color w:val="000000" w:themeColor="text1"/>
          <w:sz w:val="20"/>
          <w:szCs w:val="20"/>
        </w:rPr>
        <w:t>s</w:t>
      </w:r>
      <w:r w:rsidR="00D308B7">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NZlCqe3F","properties":{"formattedCitation":"(48)","plainCitation":"(48)","noteIndex":0},"citationItems":[{"id":168,"uris":["http://zotero.org/users/local/OxFKn8nN/items/NQCMHRKG"],"uri":["http://zotero.org/users/local/OxFKn8nN/items/NQCMHRKG"],"itemData":{"id":168,"type":"article-journal","title":"CNS-resident glial progenitor/stem cells produce Schwann cells as well as oligodendrocytes during repair of CNS demyelination","container-title":"Cell stem cell","page":"578-590","volume":"6","issue":"6","archive":"PubMed","archive_location":"20569695","abstract":"After central nervous system (CNS) demyelination-such as occurs during multiple sclerosis-there is often spontaneous regeneration of myelin sheaths, mainly by oligodendrocytes but also by Schwann cells. The origins of the remyelinating cells have not previously been established. We have used Cre-lox fate mapping in transgenic mice to show that PDGFRA/NG2-expressing glia, a distributed population of stem/progenitor cells in the adult CNS, produce the remyelinating oligodendrocytes and almost all of the Schwann cells in chemically induced demyelinated lesions. In contrast, the great majority of reactive astrocytes in the vicinity of the lesions are derived from preexisting FGFR3-expressing cells, likely to be astrocytes. These data resolve a long-running debate about the origins of the main players in CNS remyelination and reveal a surprising capacity of CNS precursors to generate Schwann cells, which normally develop from the embryonic neural crest and are restricted to the peripheral nervous system.","DOI":"10.1016/j.stem.2010.04.002","ISSN":"1875-9777","author":[{"family":"Zawadzka","given":"Malgorzata"},{"family":"Rivers","given":"Leanne E"},{"family":"Fancy","given":"Stephen P J"},{"family":"Zhao","given":"Chao"},{"family":"Tripathi","given":"Richa"},{"family":"Jamen","given":"Françoise"},{"family":"Young","given":"Kaylene"},{"family":"Goncharevich","given":"Alexander"},{"family":"Pohl","given":"Hartmut"},{"family":"Rizzi","given":"Matteo"},{"family":"Rowitch","given":"David H"},{"family":"Kessaris","given":"Nicoletta"},{"family":"Suter","given":"Ueli"},{"family":"Richardson","given":"William D"},{"family":"Franklin","given":"Robin J M"}],"issued":{"date-parts":[["2010",6,4]]}}}],"schema":"https://github.com/citation-style-language/schema/raw/master/csl-citation.json"} </w:instrText>
      </w:r>
      <w:r w:rsidR="00D308B7">
        <w:rPr>
          <w:rFonts w:ascii="Times New Roman" w:hAnsi="Times New Roman" w:cs="Times New Roman"/>
          <w:color w:val="000000" w:themeColor="text1"/>
          <w:sz w:val="20"/>
          <w:szCs w:val="20"/>
        </w:rPr>
        <w:fldChar w:fldCharType="separate"/>
      </w:r>
      <w:r w:rsidR="004D796E">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48</w:t>
      </w:r>
      <w:r w:rsidR="004D796E">
        <w:rPr>
          <w:rFonts w:ascii="Times New Roman" w:hAnsi="Times New Roman" w:cs="Times New Roman"/>
          <w:color w:val="000000"/>
          <w:sz w:val="20"/>
          <w:u w:val="dash"/>
          <w:lang w:val="en-US"/>
        </w:rPr>
        <w:t>]</w:t>
      </w:r>
      <w:r w:rsidR="00D308B7">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w:t>
      </w:r>
      <w:r w:rsidR="00F26C64" w:rsidRPr="00F26C64">
        <w:rPr>
          <w:rFonts w:ascii="Times New Roman" w:hAnsi="Times New Roman" w:cs="Times New Roman"/>
          <w:color w:val="000000" w:themeColor="text1"/>
          <w:sz w:val="20"/>
          <w:szCs w:val="20"/>
        </w:rPr>
        <w:t xml:space="preserve"> The final product is a compacted </w:t>
      </w:r>
      <w:r w:rsidR="00F26C64">
        <w:rPr>
          <w:rFonts w:ascii="Times New Roman" w:hAnsi="Times New Roman" w:cs="Times New Roman"/>
          <w:color w:val="000000" w:themeColor="text1"/>
          <w:sz w:val="20"/>
          <w:szCs w:val="20"/>
        </w:rPr>
        <w:t>layer of myelin</w:t>
      </w:r>
      <w:r w:rsidR="00F26C64" w:rsidRPr="00F26C64">
        <w:rPr>
          <w:rFonts w:ascii="Times New Roman" w:hAnsi="Times New Roman" w:cs="Times New Roman"/>
          <w:color w:val="000000" w:themeColor="text1"/>
          <w:sz w:val="20"/>
          <w:szCs w:val="20"/>
        </w:rPr>
        <w:t xml:space="preserve"> that is thinner</w:t>
      </w:r>
      <w:r w:rsidR="00F26C64">
        <w:rPr>
          <w:rFonts w:ascii="Times New Roman" w:hAnsi="Times New Roman" w:cs="Times New Roman"/>
          <w:color w:val="000000" w:themeColor="text1"/>
          <w:sz w:val="20"/>
          <w:szCs w:val="20"/>
        </w:rPr>
        <w:t xml:space="preserve"> and shorter</w:t>
      </w:r>
      <w:r w:rsidR="00F26C64" w:rsidRPr="00F26C64">
        <w:rPr>
          <w:rFonts w:ascii="Times New Roman" w:hAnsi="Times New Roman" w:cs="Times New Roman"/>
          <w:color w:val="000000" w:themeColor="text1"/>
          <w:sz w:val="20"/>
          <w:szCs w:val="20"/>
        </w:rPr>
        <w:t xml:space="preserve"> than </w:t>
      </w:r>
      <w:r w:rsidR="00F26C64">
        <w:rPr>
          <w:rFonts w:ascii="Times New Roman" w:hAnsi="Times New Roman" w:cs="Times New Roman"/>
          <w:color w:val="000000" w:themeColor="text1"/>
          <w:sz w:val="20"/>
          <w:szCs w:val="20"/>
        </w:rPr>
        <w:t>those</w:t>
      </w:r>
      <w:r w:rsidR="00F26C64" w:rsidRPr="00F26C64">
        <w:rPr>
          <w:rFonts w:ascii="Times New Roman" w:hAnsi="Times New Roman" w:cs="Times New Roman"/>
          <w:color w:val="000000" w:themeColor="text1"/>
          <w:sz w:val="20"/>
          <w:szCs w:val="20"/>
        </w:rPr>
        <w:t xml:space="preserve"> formed during developmental myelination</w:t>
      </w:r>
      <w:r w:rsidR="00664E67">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qgCmtupR","properties":{"formattedCitation":"(52)","plainCitation":"(52)","noteIndex":0},"citationItems":[{"id":306,"uris":["http://zotero.org/users/local/OxFKn8nN/items/84WV3FGQ"],"uri":["http://zotero.org/users/local/OxFKn8nN/items/84WV3FGQ"],"itemData":{"id":306,"type":"article-journal","title":"Pattern of remyelination in the CNS","container-title":"Nature","page":"577-578","volume":"249","issue":"5457","abstract":"IT has been suggested that reduction of internodal length may be a feature of remyelinated central nerve fibres as it is of peripheral nerve fibres1. As the technique for measuring internodal length of nerve fibres in the central nervous system (CNS) is tedious and requires a high degree of skill and patience from the investigator2, it is unlikely that this method can be applied to routine neuropathological investigations. Recent ultrastructural studies on remyelination in the mouse, following primary demyelination induced by feeding cuprizone (Bis - cyclohexanone - oxaldihyrozone)3–5 have shown that measurements of the relationship between myelin sheath thickness and axon diameter provides an easier method of identifying remyelinated axons.","DOI":"10.1038/249577a0","ISSN":"1476-4687","journalAbbreviation":"Nature","author":[{"family":"BLAKEMORE","given":"W. F."}],"issued":{"date-parts":[["1974",6,1]]}}}],"schema":"https://github.com/citation-style-language/schema/raw/master/csl-citation.json"} </w:instrText>
      </w:r>
      <w:r w:rsidR="00664E67">
        <w:rPr>
          <w:rFonts w:ascii="Times New Roman" w:hAnsi="Times New Roman" w:cs="Times New Roman"/>
          <w:color w:val="000000" w:themeColor="text1"/>
          <w:sz w:val="20"/>
          <w:szCs w:val="20"/>
        </w:rPr>
        <w:fldChar w:fldCharType="separate"/>
      </w:r>
      <w:r w:rsidR="005327E8">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52</w:t>
      </w:r>
      <w:r w:rsidR="005327E8">
        <w:rPr>
          <w:rFonts w:ascii="Times New Roman" w:hAnsi="Times New Roman" w:cs="Times New Roman"/>
          <w:color w:val="000000"/>
          <w:sz w:val="20"/>
          <w:u w:val="dash"/>
          <w:lang w:val="en-US"/>
        </w:rPr>
        <w:t>]</w:t>
      </w:r>
      <w:r w:rsidR="00664E67">
        <w:rPr>
          <w:rFonts w:ascii="Times New Roman" w:hAnsi="Times New Roman" w:cs="Times New Roman"/>
          <w:color w:val="000000" w:themeColor="text1"/>
          <w:sz w:val="20"/>
          <w:szCs w:val="20"/>
        </w:rPr>
        <w:fldChar w:fldCharType="end"/>
      </w:r>
      <w:r w:rsidR="00F26C64">
        <w:rPr>
          <w:rFonts w:ascii="Times New Roman" w:hAnsi="Times New Roman" w:cs="Times New Roman"/>
          <w:color w:val="000000" w:themeColor="text1"/>
          <w:sz w:val="20"/>
          <w:szCs w:val="20"/>
        </w:rPr>
        <w:t xml:space="preserve">, </w:t>
      </w:r>
      <w:r w:rsidR="00BF003D">
        <w:rPr>
          <w:rFonts w:ascii="Times New Roman" w:hAnsi="Times New Roman" w:cs="Times New Roman"/>
          <w:color w:val="000000" w:themeColor="text1"/>
          <w:sz w:val="20"/>
          <w:szCs w:val="20"/>
        </w:rPr>
        <w:t>a fact</w:t>
      </w:r>
      <w:r w:rsidR="00F26C64">
        <w:rPr>
          <w:rFonts w:ascii="Times New Roman" w:hAnsi="Times New Roman" w:cs="Times New Roman"/>
          <w:color w:val="000000" w:themeColor="text1"/>
          <w:sz w:val="20"/>
          <w:szCs w:val="20"/>
        </w:rPr>
        <w:t xml:space="preserve"> often used to identify remyelination histologically when the process is studied in animal models (Box 1).</w:t>
      </w:r>
      <w:r w:rsidR="005327E8">
        <w:rPr>
          <w:rFonts w:ascii="Times New Roman" w:hAnsi="Times New Roman" w:cs="Times New Roman"/>
          <w:color w:val="000000" w:themeColor="text1"/>
          <w:sz w:val="20"/>
          <w:szCs w:val="20"/>
        </w:rPr>
        <w:t xml:space="preserve"> </w:t>
      </w:r>
      <w:r w:rsidR="003A12D9" w:rsidRPr="00003E8D">
        <w:rPr>
          <w:rFonts w:ascii="Times New Roman" w:hAnsi="Times New Roman" w:cs="Times New Roman"/>
          <w:color w:val="000000" w:themeColor="text1"/>
          <w:sz w:val="20"/>
          <w:szCs w:val="20"/>
        </w:rPr>
        <w:lastRenderedPageBreak/>
        <w:t xml:space="preserve">Mechanistically, remyelination might fail due to a defect anywhere in </w:t>
      </w:r>
      <w:r w:rsidR="003F71F8" w:rsidRPr="00003E8D">
        <w:rPr>
          <w:rFonts w:ascii="Times New Roman" w:hAnsi="Times New Roman" w:cs="Times New Roman"/>
          <w:color w:val="000000" w:themeColor="text1"/>
          <w:sz w:val="20"/>
          <w:szCs w:val="20"/>
        </w:rPr>
        <w:t>this sequence;</w:t>
      </w:r>
      <w:r w:rsidR="003A12D9" w:rsidRPr="00003E8D">
        <w:rPr>
          <w:rFonts w:ascii="Times New Roman" w:hAnsi="Times New Roman" w:cs="Times New Roman"/>
          <w:color w:val="000000" w:themeColor="text1"/>
          <w:sz w:val="20"/>
          <w:szCs w:val="20"/>
        </w:rPr>
        <w:t xml:space="preserve"> a paucity of pro-regenerative factors, or excess of inhibitory factors, as can be seen in MS lesions, combined with the intrinsic composition of the </w:t>
      </w:r>
      <w:proofErr w:type="spellStart"/>
      <w:r w:rsidR="003A12D9" w:rsidRPr="00003E8D">
        <w:rPr>
          <w:rFonts w:ascii="Times New Roman" w:hAnsi="Times New Roman" w:cs="Times New Roman"/>
          <w:color w:val="000000" w:themeColor="text1"/>
          <w:sz w:val="20"/>
          <w:szCs w:val="20"/>
        </w:rPr>
        <w:t>aOPC</w:t>
      </w:r>
      <w:proofErr w:type="spellEnd"/>
      <w:r w:rsidR="003A12D9" w:rsidRPr="00003E8D">
        <w:rPr>
          <w:rFonts w:ascii="Times New Roman" w:hAnsi="Times New Roman" w:cs="Times New Roman"/>
          <w:color w:val="000000" w:themeColor="text1"/>
          <w:sz w:val="20"/>
          <w:szCs w:val="20"/>
        </w:rPr>
        <w:t>, can limit capacit</w:t>
      </w:r>
      <w:r w:rsidR="004B7AE3" w:rsidRPr="00003E8D">
        <w:rPr>
          <w:rFonts w:ascii="Times New Roman" w:hAnsi="Times New Roman" w:cs="Times New Roman"/>
          <w:color w:val="000000" w:themeColor="text1"/>
          <w:sz w:val="20"/>
          <w:szCs w:val="20"/>
        </w:rPr>
        <w:t>y to remyelinat</w:t>
      </w:r>
      <w:r w:rsidR="00664E67">
        <w:rPr>
          <w:rFonts w:ascii="Times New Roman" w:hAnsi="Times New Roman" w:cs="Times New Roman"/>
          <w:color w:val="000000" w:themeColor="text1"/>
          <w:sz w:val="20"/>
          <w:szCs w:val="20"/>
        </w:rPr>
        <w:t>e</w:t>
      </w:r>
      <w:r w:rsidR="00664E67">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PRD8BynF","properties":{"formattedCitation":"(23)","plainCitation":"(23)","noteIndex":0},"citationItems":[{"id":5,"uris":["http://zotero.org/users/local/OxFKn8nN/items/GQ5I6TDY"],"uri":["http://zotero.org/users/local/OxFKn8nN/items/GQ5I6TDY"],"itemData":{"id":5,"type":"article-journal","title":"Regenerating CNS myelin — from mechanisms to experimental medicines","container-title":"Nature Reviews Neuroscience","page":"753","volume":"18","journalAbbreviation":"Nature Reviews Neuroscience","author":[{"family":"Franklin","given":"Robin J. M."},{"family":"Constant","given":"Charles","non-dropping-particle":"ffrench-"}],"issued":{"date-parts":[["2017",11,16]]}}}],"schema":"https://github.com/citation-style-language/schema/raw/master/csl-citation.json"} </w:instrText>
      </w:r>
      <w:r w:rsidR="00664E67">
        <w:rPr>
          <w:rFonts w:ascii="Times New Roman" w:hAnsi="Times New Roman" w:cs="Times New Roman"/>
          <w:color w:val="000000" w:themeColor="text1"/>
          <w:sz w:val="20"/>
          <w:szCs w:val="20"/>
        </w:rPr>
        <w:fldChar w:fldCharType="separate"/>
      </w:r>
      <w:r w:rsidR="005327E8">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23</w:t>
      </w:r>
      <w:r w:rsidR="005327E8">
        <w:rPr>
          <w:rFonts w:ascii="Times New Roman" w:hAnsi="Times New Roman" w:cs="Times New Roman"/>
          <w:color w:val="000000"/>
          <w:sz w:val="20"/>
          <w:u w:val="dash"/>
          <w:lang w:val="en-US"/>
        </w:rPr>
        <w:t>]</w:t>
      </w:r>
      <w:r w:rsidR="00664E67">
        <w:rPr>
          <w:rFonts w:ascii="Times New Roman" w:hAnsi="Times New Roman" w:cs="Times New Roman"/>
          <w:color w:val="000000" w:themeColor="text1"/>
          <w:sz w:val="20"/>
          <w:szCs w:val="20"/>
        </w:rPr>
        <w:fldChar w:fldCharType="end"/>
      </w:r>
      <w:r w:rsidR="003A12D9" w:rsidRPr="00003E8D">
        <w:rPr>
          <w:rFonts w:ascii="Times New Roman" w:hAnsi="Times New Roman" w:cs="Times New Roman"/>
          <w:color w:val="000000" w:themeColor="text1"/>
          <w:sz w:val="20"/>
          <w:szCs w:val="20"/>
        </w:rPr>
        <w:t>.</w:t>
      </w:r>
    </w:p>
    <w:p w14:paraId="4CA2C2A8" w14:textId="1B2D0523" w:rsidR="00CF73E1" w:rsidRDefault="003A12D9"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 xml:space="preserve"> Given that large numbers of </w:t>
      </w:r>
      <w:proofErr w:type="spellStart"/>
      <w:r w:rsidRPr="00003E8D">
        <w:rPr>
          <w:rFonts w:ascii="Times New Roman" w:hAnsi="Times New Roman" w:cs="Times New Roman"/>
          <w:color w:val="000000" w:themeColor="text1"/>
          <w:sz w:val="20"/>
          <w:szCs w:val="20"/>
        </w:rPr>
        <w:t>aOPCs</w:t>
      </w:r>
      <w:proofErr w:type="spellEnd"/>
      <w:r w:rsidRPr="00003E8D">
        <w:rPr>
          <w:rFonts w:ascii="Times New Roman" w:hAnsi="Times New Roman" w:cs="Times New Roman"/>
          <w:color w:val="000000" w:themeColor="text1"/>
          <w:sz w:val="20"/>
          <w:szCs w:val="20"/>
        </w:rPr>
        <w:t xml:space="preserve"> are seen in chronically demyeli</w:t>
      </w:r>
      <w:r w:rsidR="004B7AE3" w:rsidRPr="00003E8D">
        <w:rPr>
          <w:rFonts w:ascii="Times New Roman" w:hAnsi="Times New Roman" w:cs="Times New Roman"/>
          <w:color w:val="000000" w:themeColor="text1"/>
          <w:sz w:val="20"/>
          <w:szCs w:val="20"/>
        </w:rPr>
        <w:t>nated MS lesions</w:t>
      </w:r>
      <w:r w:rsidR="00B159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Io2VtiJg","properties":{"formattedCitation":"(53)","plainCitation":"(53)","noteIndex":0},"citationItems":[{"id":174,"uris":["http://zotero.org/users/local/OxFKn8nN/items/DW4E6YNT"],"uri":["http://zotero.org/users/local/OxFKn8nN/items/DW4E6YNT"],"itemData":{"id":174,"type":"article-journal","title":"Chronic Stage Multiple Sclerosis Lesions Contain a Relatively Quiescent Population of Oligodendrocyte Precursor Cells","container-title":"The Journal of Neuroscience","page":"601","volume":"18","issue":"2","abstract":"In the past decade, considerable progress has been made in the understanding of the biology of rodent oligodendrocyte precursor cells and their role in the generation of oligodendrocytes in the developing and adult rodent CNS. Much less is known about human oligodendrocyte lineage cells and about the reasons for the failure of the regeneration of the oligodendrocyte population during chronic stages of multiple sclerosis (MS). In particular, the fate of the oligodendrocyte precursor population in MS has remained elusive. The present study examined the possibility that oligodendrocyte regeneration ultimately fails because of the local destruction of both oligodendrocytes and their precursor cells. Analysis of chronic stage MS tissue suggested that this is not the case, because all chronic MS lesions studied contained significant numbers of oligodendrocyte precursor cells, identified as process-bearing cells that bound the O4 antibody but not antibodies to GalC and GFAP. The oligodendrocyte precursor cells appeared, however, to be relatively quiescent, because none expressed the nuclear proliferation antigen recognized by the Ki-67 antibody, and because most lesions lacked myelinating oligodendrocytes in their centers. Thus, it appears that the regeneration of the oligodendrocyte population fails during chronic stages of MS because of the inability of oligodendrocyte precursor cells to proliferate and differentiate rather than because of the local destruction of all oligodendrocyte lineage cells. The identification of ways of stimulating the endogenous oligodendrocyte precursor population to expand and generate remyelinating cells may represent an alternative to transplantation of oligodendrocyte lineage cells to promote myelin repair in MS.","DOI":"10.1523/JNEUROSCI.18-02-00601.1998","journalAbbreviation":"J. Neurosci.","author":[{"family":"Wolswijk","given":"Guus"}],"issued":{"date-parts":[["1998",1,15]]}}}],"schema":"https://github.com/citation-style-language/schema/raw/master/csl-citation.json"} </w:instrText>
      </w:r>
      <w:r w:rsidR="00B1591D">
        <w:rPr>
          <w:rFonts w:ascii="Times New Roman" w:hAnsi="Times New Roman" w:cs="Times New Roman"/>
          <w:color w:val="000000" w:themeColor="text1"/>
          <w:sz w:val="20"/>
          <w:szCs w:val="20"/>
        </w:rPr>
        <w:fldChar w:fldCharType="separate"/>
      </w:r>
      <w:r w:rsidR="005327E8">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53</w:t>
      </w:r>
      <w:r w:rsidR="005327E8">
        <w:rPr>
          <w:rFonts w:ascii="Times New Roman" w:hAnsi="Times New Roman" w:cs="Times New Roman"/>
          <w:color w:val="000000"/>
          <w:sz w:val="20"/>
          <w:u w:val="dash"/>
          <w:lang w:val="en-US"/>
        </w:rPr>
        <w:t>]</w:t>
      </w:r>
      <w:r w:rsidR="00B1591D">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it is often stated that remyelination fails as </w:t>
      </w:r>
      <w:proofErr w:type="spellStart"/>
      <w:r w:rsidRPr="00003E8D">
        <w:rPr>
          <w:rFonts w:ascii="Times New Roman" w:hAnsi="Times New Roman" w:cs="Times New Roman"/>
          <w:color w:val="000000" w:themeColor="text1"/>
          <w:sz w:val="20"/>
          <w:szCs w:val="20"/>
        </w:rPr>
        <w:t>aOPCs</w:t>
      </w:r>
      <w:proofErr w:type="spellEnd"/>
      <w:r w:rsidRPr="00003E8D">
        <w:rPr>
          <w:rFonts w:ascii="Times New Roman" w:hAnsi="Times New Roman" w:cs="Times New Roman"/>
          <w:color w:val="000000" w:themeColor="text1"/>
          <w:sz w:val="20"/>
          <w:szCs w:val="20"/>
        </w:rPr>
        <w:t xml:space="preserve"> become quiescent and unable to differentiate. </w:t>
      </w:r>
      <w:r w:rsidR="003F71F8" w:rsidRPr="00003E8D">
        <w:rPr>
          <w:rFonts w:ascii="Times New Roman" w:hAnsi="Times New Roman" w:cs="Times New Roman"/>
          <w:color w:val="000000" w:themeColor="text1"/>
          <w:sz w:val="20"/>
          <w:szCs w:val="20"/>
        </w:rPr>
        <w:t xml:space="preserve">As a </w:t>
      </w:r>
      <w:r w:rsidR="006223D4">
        <w:rPr>
          <w:rFonts w:ascii="Times New Roman" w:hAnsi="Times New Roman" w:cs="Times New Roman"/>
          <w:color w:val="000000" w:themeColor="text1"/>
          <w:sz w:val="20"/>
          <w:szCs w:val="20"/>
        </w:rPr>
        <w:t>consequence</w:t>
      </w:r>
      <w:r w:rsidR="003F71F8" w:rsidRPr="00003E8D">
        <w:rPr>
          <w:rFonts w:ascii="Times New Roman" w:hAnsi="Times New Roman" w:cs="Times New Roman"/>
          <w:color w:val="000000" w:themeColor="text1"/>
          <w:sz w:val="20"/>
          <w:szCs w:val="20"/>
        </w:rPr>
        <w:t>,</w:t>
      </w:r>
      <w:r w:rsidR="00BF003D">
        <w:rPr>
          <w:rFonts w:ascii="Times New Roman" w:hAnsi="Times New Roman" w:cs="Times New Roman"/>
          <w:color w:val="000000" w:themeColor="text1"/>
          <w:sz w:val="20"/>
          <w:szCs w:val="20"/>
        </w:rPr>
        <w:t xml:space="preserve"> i</w:t>
      </w:r>
      <w:r w:rsidR="00BF003D" w:rsidRPr="00BF003D">
        <w:rPr>
          <w:rFonts w:ascii="Times New Roman" w:hAnsi="Times New Roman" w:cs="Times New Roman"/>
          <w:color w:val="000000" w:themeColor="text1"/>
          <w:sz w:val="20"/>
          <w:szCs w:val="20"/>
        </w:rPr>
        <w:t xml:space="preserve">ncreasing research </w:t>
      </w:r>
      <w:r w:rsidR="00BF003D">
        <w:rPr>
          <w:rFonts w:ascii="Times New Roman" w:hAnsi="Times New Roman" w:cs="Times New Roman"/>
          <w:color w:val="000000" w:themeColor="text1"/>
          <w:sz w:val="20"/>
          <w:szCs w:val="20"/>
        </w:rPr>
        <w:t>has been deployed to elucidate</w:t>
      </w:r>
      <w:r w:rsidR="00BF003D" w:rsidRPr="00BF003D">
        <w:rPr>
          <w:rFonts w:ascii="Times New Roman" w:hAnsi="Times New Roman" w:cs="Times New Roman"/>
          <w:color w:val="000000" w:themeColor="text1"/>
          <w:sz w:val="20"/>
          <w:szCs w:val="20"/>
        </w:rPr>
        <w:t xml:space="preserve"> the </w:t>
      </w:r>
      <w:r w:rsidR="00BF003D">
        <w:rPr>
          <w:rFonts w:ascii="Times New Roman" w:hAnsi="Times New Roman" w:cs="Times New Roman"/>
          <w:color w:val="000000" w:themeColor="text1"/>
          <w:sz w:val="20"/>
          <w:szCs w:val="20"/>
        </w:rPr>
        <w:t>key regulators</w:t>
      </w:r>
      <w:r w:rsidR="00BF003D" w:rsidRPr="00BF003D">
        <w:rPr>
          <w:rFonts w:ascii="Times New Roman" w:hAnsi="Times New Roman" w:cs="Times New Roman"/>
          <w:color w:val="000000" w:themeColor="text1"/>
          <w:sz w:val="20"/>
          <w:szCs w:val="20"/>
        </w:rPr>
        <w:t xml:space="preserve"> of differentiation</w:t>
      </w:r>
      <w:r w:rsidR="00B159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UVB8bYb5","properties":{"formattedCitation":"(54\\uc0\\u8211{}58)","plainCitation":"(54–58)","noteIndex":0},"citationItems":[{"id":307,"uris":["http://zotero.org/users/local/OxFKn8nN/items/4EL6JWAS"],"uri":["http://zotero.org/users/local/OxFKn8nN/items/4EL6JWAS"],"itemData":{"id":307,"type":"article-journal","title":"Functional Characterization of DNA Methylation in the Oligodendrocyte Lineage","container-title":"Cell Reports","page":"748-760","volume":"15","issue":"4","DOI":"10.1016/j.celrep.2016.03.060","ISSN":"2211-1247","author":[{"family":"Moyon","given":"Sarah"},{"family":"Huynh","given":"Jimmy L."},{"family":"Dutta","given":"Dipankar"},{"family":"Zhang","given":"Fan"},{"family":"Ma","given":"Dan"},{"family":"Yoo","given":"Seungyeul"},{"family":"Lawrence","given":"Rebecca"},{"family":"Wegner","given":"Michael"},{"family":"John","given":"Gareth R."},{"family":"Emery","given":"Ben"},{"family":"Lubetzki","given":"Catherine"},{"family":"Franklin","given":"Robin J.M."},{"family":"Fan","given":"Guoping"},{"family":"Zhu","given":"Jun"},{"family":"Dupree","given":"Jeffrey L."},{"family":"Casaccia","given":"Patrizia"}],"issued":{"date-parts":[["2016",4,26]]}}},{"id":311,"uris":["http://zotero.org/users/local/OxFKn8nN/items/2YEPRGS6"],"uri":["http://zotero.org/users/local/OxFKn8nN/items/2YEPRGS6"],"itemData":{"id":311,"type":"article-journal","title":"lncRNA Functional Networks in Oligodendrocytes Reveal Stage-Specific Myelination Control by an lncOL1/Suz12 Complex in the CNS","container-title":"Neuron","page":"362-378","volume":"93","issue":"2","abstract":"Summary\nLong noncoding RNAs (lncRNAs) are emerging as important regulators of cellular functions, but their roles in oligodendrocyte myelination remain undefined. Through de novo transcriptome reconstruction, we establish dynamic expression profiles of lncRNAs at different stages of oligodendrocyte development and uncover a cohort of stage-specific oligodendrocyte-restricted lncRNAs, including a conserved chromatin-associated lncOL1. Co-expression network analyses further define the association of distinct oligodendrocyte-expressing lncRNA clusters with protein-coding genes and predict lncRNA functions in oligodendrocyte myelination. Overexpression of lncOL1 promotes precocious oligodendrocyte differentiation in the developing brain, whereas genetic inactivation of lncOL1 causes defects in CNS myelination and remyelination following injury. Functional analyses illustrate that lncOL1 interacts with Suz12, a component of polycomb repressive complex 2, to promote oligodendrocyte maturation, in part, through Suz12-mediated repression of a differentiation inhibitory network that maintains the precursor state. Together, our findings reveal a key lncRNA epigenetic circuitry through interaction with chromatin-modifying complexes in control of CNS myelination and myelin repair.","DOI":"10.1016/j.neuron.2016.11.044","ISSN":"0896-6273","journalAbbreviation":"Neuron","author":[{"family":"He","given":"Danyang"},{"family":"Wang","given":"Jincheng"},{"family":"Lu","given":"Yulan"},{"family":"Deng","given":"Yaqi"},{"family":"Zhao","given":"Chuntao"},{"family":"Xu","given":"Lingli"},{"family":"Chen","given":"Yinhuai"},{"family":"Hu","given":"Yueh-Chiang"},{"family":"Zhou","given":"Wenhao"},{"family":"Lu","given":"Q. Richard"}],"issued":{"date-parts":[["2017",1,18]]}}},{"id":309,"uris":["http://zotero.org/users/local/OxFKn8nN/items/NYGPAV56"],"uri":["http://zotero.org/users/local/OxFKn8nN/items/NYGPAV56"],"itemData":{"id":309,"type":"article-journal","title":"Efficient Remyelination Requires DNA Methylation","container-title":"eNeuro","page":"ENEURO.0336-16.2017","volume":"4","issue":"2","archive":"PubMed","archive_location":"28451635","abstract":"Oligodendrocyte progenitor cells (OPCs) are the principal source of new myelin in the central nervous system. A better understanding of how they mature into myelin-forming cells is of high relevance for remyelination. It has recently been demonstrated that during developmental myelination, the DNA methyltransferase 1 (DNMT1), but not DNMT3A, is critical for regulating proliferation and differentiation of OPCs into myelinating oligodendrocytes (OLs). However, it remains to be determined whether DNA methylation is also critical for the differentiation of adult OPCs during remyelination. After lysolecithin-induced demyelination in the ventrolateral spinal cord white matter of adult mice of either sex, we detected increased levels of DNA methylation and higher expression levels of the DNA methyltransferase DNMT3A and lower levels of DNMT1 in differentiating adult OLs. To functionally assess the role of DNMT1 and DNMT3 in adult OPCs, we used mice with inducible and lineage-specific ablation of Dnmt3a and/or Dnmt1 (i.e., Plp-creER(t);Dnmt3a-flox, Plp-creER(t);Dnmt1-flox, Plp-creER(t);Dnmt1-flox;Dnmt3a-flox). Upon lysolecithin injection in the spinal cord of these transgenic mice, we detected defective OPC differentiation and inefficient remyelination in the Dnmt3a null and Dnmt1/Dnmt3a null mice, but not in the Dnmt1 null mice. Taken together with previous results in the developing spinal cord, these data suggest an age-dependent role of distinct DNA methyltransferases in the oligodendrocyte lineage, with a dominant role for DNMT1 in neonatal OPCs and for DNMT3A in adult OPCs.","DOI":"10.1523/ENEURO.0336-16.2017","ISSN":"2373-2822","author":[{"family":"Moyon","given":"Sarah"},{"family":"Ma","given":"Dan"},{"family":"Huynh","given":"Jimmy L"},{"family":"Coutts","given":"David J C"},{"family":"Zhao","given":"Chao"},{"family":"Casaccia","given":"Patrizia"},{"family":"Franklin","given":"Robin J M"}],"issued":{"date-parts":[["2017",3,30]]}}},{"id":312,"uris":["http://zotero.org/users/local/OxFKn8nN/items/EPIU7WX7"],"uri":["http://zotero.org/users/local/OxFKn8nN/items/EPIU7WX7"],"itemData":{"id":312,"type":"article-journal","title":"Myelin Gene Regulatory Factor Is a Critical Transcriptional Regulator Required for CNS Myelination","container-title":"Cell","page":"172-185","volume":"138","issue":"1","DOI":"10.1016/j.cell.2009.04.031","ISSN":"0092-8674","author":[{"family":"Emery","given":"Ben"},{"family":"Agalliu","given":"Dritan"},{"family":"Cahoy","given":"John D."},{"family":"Watkins","given":"Trent A."},{"family":"Dugas","given":"Jason C."},{"family":"Mulinyawe","given":"Sara B."},{"family":"Ibrahim","given":"Adilijan"},{"family":"Ligon","given":"Keith L."},{"family":"Rowitch","given":"David H."},{"family":"Barres","given":"Ben A."}],"issued":{"date-parts":[["2009",7,10]]}}},{"id":314,"uris":["http://zotero.org/users/local/OxFKn8nN/items/NGEYAIML"],"uri":["http://zotero.org/users/local/OxFKn8nN/items/NGEYAIML"],"itemData":{"id":314,"type":"article-journal","title":"Myelin regulatory factor drives remyelination in multiple sclerosis","container-title":"Acta Neuropathologica","page":"403-422","volume":"134","issue":"3","abstract":"Remyelination is limited in the majority of multiple sclerosis (MS) lesions despite the presence of oligodendrocyte precursor cells (OPCs) in most lesions. This observation has led to the view that a failure of OPCs to fully differentiate underlies remyelination failure. OPC differentiation requires intricate transcriptional regulation, which may be disrupted in chronic MS lesions. The expression of few transcription factors has been differentially compared between remyelinating lesions and lesions refractory to remyelination. In particular, the oligodendrocyte transcription factor myelin regulatory factor (MYRF) is essential for myelination during development, but its role during remyelination and expression in MS lesions is unknown. To understand the role of MYRF during remyelination, we genetically fate mapped OPCs following lysolecithin-induced demyelination of the corpus callosum in mice and determined that MYRF is expressed in new oligodendrocytes. OPC-specific Myrf deletion did not alter recruitment or proliferation of these cells after demyelination, but decreased the density of new glutathione S-transferase π positive oligodendrocytes. Subsequent remyelination in both the spinal cord and corpus callosum is highly impaired following Myrf deletion from OPCs. Individual OPC-derived oligodendrocytes, produced in response to demyelination, showed little capacity to express myelin proteins following Myrf deletion. Collectively, these data demonstrate a crucial role of MYRF in the transition of oligodendrocytes from a premyelinating to a myelinating phenotype during remyelination. In the human brain, we find that MYRF is expressed in NogoA and CNP-positive oligodendrocytes. In MS, there was both a lower density and proportion of oligodendrocyte lineage cells and NogoA+ oligodendrocytes expressing MYRF in chronically demyelinated lesions compared to remyelinated shadow plaques. The relative scarcity of oligodendrocyte lineage cells expressing MYRF in demyelinated MS lesions demonstrates, for the first time, that chronic lesions lack oligodendrocytes that express this necessary transcription factor for remyelination and supports the notion that a failure to fully differentiate underlies remyelination failure.","DOI":"10.1007/s00401-017-1741-7","ISSN":"1432-0533","journalAbbreviation":"Acta Neuropathologica","author":[{"family":"Duncan","given":"Greg J."},{"family":"Plemel","given":"Jason R."},{"family":"Assinck","given":"Peggy"},{"family":"Manesh","given":"Sohrab B."},{"family":"Muir","given":"Fraser G. W."},{"family":"Hirata","given":"Ryan"},{"family":"Berson","given":"Matan"},{"family":"Liu","given":"Jie"},{"family":"Wegner","given":"Michael"},{"family":"Emery","given":"Ben"},{"family":"Moore","given":"G. R. Wayne"},{"family":"Tetzlaff","given":"Wolfram"}],"issued":{"date-parts":[["2017",9,1]]}}}],"schema":"https://github.com/citation-style-language/schema/raw/master/csl-citation.json"} </w:instrText>
      </w:r>
      <w:r w:rsidR="00B1591D">
        <w:rPr>
          <w:rFonts w:ascii="Times New Roman" w:hAnsi="Times New Roman" w:cs="Times New Roman"/>
          <w:color w:val="000000" w:themeColor="text1"/>
          <w:sz w:val="20"/>
          <w:szCs w:val="20"/>
        </w:rPr>
        <w:fldChar w:fldCharType="separate"/>
      </w:r>
      <w:r w:rsidR="005327E8">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54–58</w:t>
      </w:r>
      <w:r w:rsidR="005327E8">
        <w:rPr>
          <w:rFonts w:ascii="Times New Roman" w:hAnsi="Times New Roman" w:cs="Times New Roman"/>
          <w:color w:val="000000"/>
          <w:sz w:val="20"/>
          <w:lang w:val="en-US"/>
        </w:rPr>
        <w:t>]</w:t>
      </w:r>
      <w:r w:rsidR="00B1591D">
        <w:rPr>
          <w:rFonts w:ascii="Times New Roman" w:hAnsi="Times New Roman" w:cs="Times New Roman"/>
          <w:color w:val="000000" w:themeColor="text1"/>
          <w:sz w:val="20"/>
          <w:szCs w:val="20"/>
        </w:rPr>
        <w:fldChar w:fldCharType="end"/>
      </w:r>
      <w:r w:rsidR="009C6F11">
        <w:rPr>
          <w:rFonts w:ascii="Times New Roman" w:hAnsi="Times New Roman" w:cs="Times New Roman"/>
          <w:color w:val="000000" w:themeColor="text1"/>
          <w:sz w:val="20"/>
          <w:szCs w:val="20"/>
        </w:rPr>
        <w:t xml:space="preserve"> and </w:t>
      </w:r>
      <w:r w:rsidR="00F73F1E">
        <w:rPr>
          <w:rFonts w:ascii="Times New Roman" w:hAnsi="Times New Roman" w:cs="Times New Roman"/>
          <w:color w:val="000000" w:themeColor="text1"/>
          <w:sz w:val="20"/>
          <w:szCs w:val="20"/>
        </w:rPr>
        <w:t xml:space="preserve">identify </w:t>
      </w:r>
      <w:r w:rsidR="00040D0B" w:rsidRPr="00003E8D">
        <w:rPr>
          <w:rFonts w:ascii="Times New Roman" w:hAnsi="Times New Roman" w:cs="Times New Roman"/>
          <w:color w:val="000000" w:themeColor="text1"/>
          <w:sz w:val="20"/>
          <w:szCs w:val="20"/>
        </w:rPr>
        <w:t xml:space="preserve">agents capable of </w:t>
      </w:r>
      <w:r w:rsidR="009C6F11">
        <w:rPr>
          <w:rFonts w:ascii="Times New Roman" w:hAnsi="Times New Roman" w:cs="Times New Roman"/>
          <w:color w:val="000000" w:themeColor="text1"/>
          <w:sz w:val="20"/>
          <w:szCs w:val="20"/>
        </w:rPr>
        <w:t>enhancing</w:t>
      </w:r>
      <w:r w:rsidR="00040D0B" w:rsidRPr="00003E8D">
        <w:rPr>
          <w:rFonts w:ascii="Times New Roman" w:hAnsi="Times New Roman" w:cs="Times New Roman"/>
          <w:color w:val="000000" w:themeColor="text1"/>
          <w:sz w:val="20"/>
          <w:szCs w:val="20"/>
        </w:rPr>
        <w:t xml:space="preserve"> </w:t>
      </w:r>
      <w:r w:rsidR="009C6F11">
        <w:rPr>
          <w:rFonts w:ascii="Times New Roman" w:hAnsi="Times New Roman" w:cs="Times New Roman"/>
          <w:color w:val="000000" w:themeColor="text1"/>
          <w:sz w:val="20"/>
          <w:szCs w:val="20"/>
        </w:rPr>
        <w:t>this process</w:t>
      </w:r>
      <w:r w:rsidR="003F71F8" w:rsidRPr="00003E8D">
        <w:rPr>
          <w:rFonts w:ascii="Times New Roman" w:hAnsi="Times New Roman" w:cs="Times New Roman"/>
          <w:color w:val="000000" w:themeColor="text1"/>
          <w:sz w:val="20"/>
          <w:szCs w:val="20"/>
        </w:rPr>
        <w:t xml:space="preserve"> for clinical use</w:t>
      </w:r>
      <w:r w:rsidR="00CF73E1">
        <w:rPr>
          <w:rFonts w:ascii="Times New Roman" w:hAnsi="Times New Roman" w:cs="Times New Roman"/>
          <w:color w:val="000000" w:themeColor="text1"/>
          <w:sz w:val="20"/>
          <w:szCs w:val="20"/>
        </w:rPr>
        <w:t xml:space="preserve">, </w:t>
      </w:r>
      <w:r w:rsidR="00EC6461">
        <w:rPr>
          <w:rFonts w:ascii="Times New Roman" w:hAnsi="Times New Roman" w:cs="Times New Roman"/>
          <w:color w:val="000000" w:themeColor="text1"/>
          <w:sz w:val="20"/>
          <w:szCs w:val="20"/>
        </w:rPr>
        <w:t xml:space="preserve">which is </w:t>
      </w:r>
      <w:r w:rsidR="00CF73E1">
        <w:rPr>
          <w:rFonts w:ascii="Times New Roman" w:hAnsi="Times New Roman" w:cs="Times New Roman"/>
          <w:color w:val="000000" w:themeColor="text1"/>
          <w:sz w:val="20"/>
          <w:szCs w:val="20"/>
        </w:rPr>
        <w:t xml:space="preserve">discussed </w:t>
      </w:r>
      <w:r w:rsidR="00EC6461">
        <w:rPr>
          <w:rFonts w:ascii="Times New Roman" w:hAnsi="Times New Roman" w:cs="Times New Roman"/>
          <w:color w:val="000000" w:themeColor="text1"/>
          <w:sz w:val="20"/>
          <w:szCs w:val="20"/>
        </w:rPr>
        <w:t xml:space="preserve">further </w:t>
      </w:r>
      <w:r w:rsidR="00CF73E1">
        <w:rPr>
          <w:rFonts w:ascii="Times New Roman" w:hAnsi="Times New Roman" w:cs="Times New Roman"/>
          <w:color w:val="000000" w:themeColor="text1"/>
          <w:sz w:val="20"/>
          <w:szCs w:val="20"/>
        </w:rPr>
        <w:t>below</w:t>
      </w:r>
      <w:r w:rsidR="003F71F8" w:rsidRPr="00003E8D">
        <w:rPr>
          <w:rFonts w:ascii="Times New Roman" w:hAnsi="Times New Roman" w:cs="Times New Roman"/>
          <w:color w:val="000000" w:themeColor="text1"/>
          <w:sz w:val="20"/>
          <w:szCs w:val="20"/>
        </w:rPr>
        <w:t xml:space="preserve">. </w:t>
      </w:r>
    </w:p>
    <w:p w14:paraId="6CA42C10" w14:textId="754D2113" w:rsidR="00CF73E1" w:rsidRDefault="003A12D9"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However,</w:t>
      </w:r>
      <w:r w:rsidR="00F73F1E">
        <w:rPr>
          <w:rFonts w:ascii="Times New Roman" w:hAnsi="Times New Roman" w:cs="Times New Roman"/>
          <w:color w:val="000000" w:themeColor="text1"/>
          <w:sz w:val="20"/>
          <w:szCs w:val="20"/>
        </w:rPr>
        <w:t xml:space="preserve"> it should be acknowledged that</w:t>
      </w:r>
      <w:r w:rsidRPr="00003E8D">
        <w:rPr>
          <w:rFonts w:ascii="Times New Roman" w:hAnsi="Times New Roman" w:cs="Times New Roman"/>
          <w:color w:val="000000" w:themeColor="text1"/>
          <w:sz w:val="20"/>
          <w:szCs w:val="20"/>
        </w:rPr>
        <w:t xml:space="preserve"> </w:t>
      </w:r>
      <w:r w:rsidR="00040D0B" w:rsidRPr="00003E8D">
        <w:rPr>
          <w:rFonts w:ascii="Times New Roman" w:hAnsi="Times New Roman" w:cs="Times New Roman"/>
          <w:color w:val="000000" w:themeColor="text1"/>
          <w:sz w:val="20"/>
          <w:szCs w:val="20"/>
        </w:rPr>
        <w:t xml:space="preserve">differentiation </w:t>
      </w:r>
      <w:r w:rsidR="00CF73E1">
        <w:rPr>
          <w:rFonts w:ascii="Times New Roman" w:hAnsi="Times New Roman" w:cs="Times New Roman"/>
          <w:color w:val="000000" w:themeColor="text1"/>
          <w:sz w:val="20"/>
          <w:szCs w:val="20"/>
        </w:rPr>
        <w:t>may</w:t>
      </w:r>
      <w:r w:rsidR="00040D0B" w:rsidRPr="00003E8D">
        <w:rPr>
          <w:rFonts w:ascii="Times New Roman" w:hAnsi="Times New Roman" w:cs="Times New Roman"/>
          <w:color w:val="000000" w:themeColor="text1"/>
          <w:sz w:val="20"/>
          <w:szCs w:val="20"/>
        </w:rPr>
        <w:t xml:space="preserve"> not </w:t>
      </w:r>
      <w:r w:rsidRPr="00003E8D">
        <w:rPr>
          <w:rFonts w:ascii="Times New Roman" w:hAnsi="Times New Roman" w:cs="Times New Roman"/>
          <w:color w:val="000000" w:themeColor="text1"/>
          <w:sz w:val="20"/>
          <w:szCs w:val="20"/>
        </w:rPr>
        <w:t>universal</w:t>
      </w:r>
      <w:r w:rsidR="00040D0B" w:rsidRPr="00003E8D">
        <w:rPr>
          <w:rFonts w:ascii="Times New Roman" w:hAnsi="Times New Roman" w:cs="Times New Roman"/>
          <w:color w:val="000000" w:themeColor="text1"/>
          <w:sz w:val="20"/>
          <w:szCs w:val="20"/>
        </w:rPr>
        <w:t xml:space="preserve">ly </w:t>
      </w:r>
      <w:r w:rsidR="00CF73E1">
        <w:rPr>
          <w:rFonts w:ascii="Times New Roman" w:hAnsi="Times New Roman" w:cs="Times New Roman"/>
          <w:color w:val="000000" w:themeColor="text1"/>
          <w:sz w:val="20"/>
          <w:szCs w:val="20"/>
        </w:rPr>
        <w:t xml:space="preserve">be </w:t>
      </w:r>
      <w:r w:rsidR="00040D0B" w:rsidRPr="00003E8D">
        <w:rPr>
          <w:rFonts w:ascii="Times New Roman" w:hAnsi="Times New Roman" w:cs="Times New Roman"/>
          <w:color w:val="000000" w:themeColor="text1"/>
          <w:sz w:val="20"/>
          <w:szCs w:val="20"/>
        </w:rPr>
        <w:t>the rate-limiting step</w:t>
      </w:r>
      <w:r w:rsidR="00CF73E1">
        <w:rPr>
          <w:rFonts w:ascii="Times New Roman" w:hAnsi="Times New Roman" w:cs="Times New Roman"/>
          <w:color w:val="000000" w:themeColor="text1"/>
          <w:sz w:val="20"/>
          <w:szCs w:val="20"/>
        </w:rPr>
        <w:t xml:space="preserve"> in humans. It has previously been established that</w:t>
      </w:r>
      <w:r w:rsidR="004A76F8" w:rsidRPr="00003E8D">
        <w:rPr>
          <w:rFonts w:ascii="Times New Roman" w:hAnsi="Times New Roman" w:cs="Times New Roman"/>
          <w:color w:val="000000" w:themeColor="text1"/>
          <w:sz w:val="20"/>
          <w:szCs w:val="20"/>
        </w:rPr>
        <w:t xml:space="preserve"> </w:t>
      </w:r>
      <w:proofErr w:type="spellStart"/>
      <w:r w:rsidRPr="00003E8D">
        <w:rPr>
          <w:rFonts w:ascii="Times New Roman" w:hAnsi="Times New Roman" w:cs="Times New Roman"/>
          <w:color w:val="000000" w:themeColor="text1"/>
          <w:sz w:val="20"/>
          <w:szCs w:val="20"/>
        </w:rPr>
        <w:t>aOPCs</w:t>
      </w:r>
      <w:proofErr w:type="spellEnd"/>
      <w:r w:rsidRPr="00003E8D">
        <w:rPr>
          <w:rFonts w:ascii="Times New Roman" w:hAnsi="Times New Roman" w:cs="Times New Roman"/>
          <w:color w:val="000000" w:themeColor="text1"/>
          <w:sz w:val="20"/>
          <w:szCs w:val="20"/>
        </w:rPr>
        <w:t xml:space="preserve"> do migrate to sites of injury and evenly distribute themselves to facili</w:t>
      </w:r>
      <w:r w:rsidR="004B7AE3" w:rsidRPr="00003E8D">
        <w:rPr>
          <w:rFonts w:ascii="Times New Roman" w:hAnsi="Times New Roman" w:cs="Times New Roman"/>
          <w:color w:val="000000" w:themeColor="text1"/>
          <w:sz w:val="20"/>
          <w:szCs w:val="20"/>
        </w:rPr>
        <w:t>tate remyelinatio</w:t>
      </w:r>
      <w:r w:rsidR="00B1591D">
        <w:rPr>
          <w:rFonts w:ascii="Times New Roman" w:hAnsi="Times New Roman" w:cs="Times New Roman"/>
          <w:color w:val="000000" w:themeColor="text1"/>
          <w:sz w:val="20"/>
          <w:szCs w:val="20"/>
        </w:rPr>
        <w:t>n</w:t>
      </w:r>
      <w:r w:rsidR="00B159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j6fzkrfD","properties":{"formattedCitation":"(59)","plainCitation":"(59)","noteIndex":0},"citationItems":[{"id":175,"uris":["http://zotero.org/users/local/OxFKn8nN/items/WEDXDH7K"],"uri":["http://zotero.org/users/local/OxFKn8nN/items/WEDXDH7K"],"itemData":{"id":175,"type":"article-journal","title":"Oligodendrocyte progenitors balance growth with self-repulsion to achieve homeostasis in the adult brain","container-title":"Nature neuroscience","page":"668-676","volume":"16","issue":"6","archive":"PubMed","archive_location":"23624515","abstract":"The adult CNS contains an abundant population of oligodendrocyte precursor cells (NG2(+) cells) that generate oligodendrocytes and repair myelin, but how these ubiquitous progenitors maintain their density is unknown. We generated NG2-mEGFP mice and used in vivo two-photon imaging to study their dynamics in the adult brain. Time-lapse imaging revealed that NG2(+) cells in the cortex were highly dynamic; they surveyed their local environment with motile filopodia, extended growth cones and continuously migrated. They maintained unique territories though self-avoidance, and NG2(+) cell loss though death, differentiation or ablation triggered rapid migration and proliferation of adjacent cells to restore their density. NG2(+) cells recruited to sites of focal CNS injury were similarly replaced by a proliferative burst surrounding the injury site. Thus, homeostatic control of NG2(+) cell density through a balance of active growth and self-repulsion ensures that these progenitors are available to replace oligodendrocytes and participate in tissue repair.","DOI":"10.1038/nn.3390","ISSN":"1546-1726","author":[{"family":"Hughes","given":"Ethan G"},{"family":"Kang","given":"Shin H"},{"family":"Fukaya","given":"Masahiro"},{"family":"Bergles","given":"Dwight E"}],"issued":{"date-parts":[["2013",6]]}}}],"schema":"https://github.com/citation-style-language/schema/raw/master/csl-citation.json"} </w:instrText>
      </w:r>
      <w:r w:rsidR="00B1591D">
        <w:rPr>
          <w:rFonts w:ascii="Times New Roman" w:hAnsi="Times New Roman" w:cs="Times New Roman"/>
          <w:color w:val="000000" w:themeColor="text1"/>
          <w:sz w:val="20"/>
          <w:szCs w:val="20"/>
        </w:rPr>
        <w:fldChar w:fldCharType="separate"/>
      </w:r>
      <w:r w:rsidR="003124C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59</w:t>
      </w:r>
      <w:r w:rsidR="003124C3">
        <w:rPr>
          <w:rFonts w:ascii="Times New Roman" w:hAnsi="Times New Roman" w:cs="Times New Roman"/>
          <w:color w:val="000000"/>
          <w:sz w:val="20"/>
          <w:u w:val="dash"/>
          <w:lang w:val="en-US"/>
        </w:rPr>
        <w:t>]</w:t>
      </w:r>
      <w:r w:rsidR="00B1591D">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though they probably do so over</w:t>
      </w:r>
      <w:r w:rsidR="004B7AE3" w:rsidRPr="00003E8D">
        <w:rPr>
          <w:rFonts w:ascii="Times New Roman" w:hAnsi="Times New Roman" w:cs="Times New Roman"/>
          <w:color w:val="000000" w:themeColor="text1"/>
          <w:sz w:val="20"/>
          <w:szCs w:val="20"/>
        </w:rPr>
        <w:t xml:space="preserve"> short distance</w:t>
      </w:r>
      <w:r w:rsidR="00B1591D">
        <w:rPr>
          <w:rFonts w:ascii="Times New Roman" w:hAnsi="Times New Roman" w:cs="Times New Roman"/>
          <w:color w:val="000000" w:themeColor="text1"/>
          <w:sz w:val="20"/>
          <w:szCs w:val="20"/>
        </w:rPr>
        <w:t>s</w:t>
      </w:r>
      <w:r w:rsidR="00B159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NMES2se4","properties":{"formattedCitation":"(60)","plainCitation":"(60)","noteIndex":0},"citationItems":[{"id":177,"uris":["http://zotero.org/users/local/OxFKn8nN/items/VRF85NFC"],"uri":["http://zotero.org/users/local/OxFKn8nN/items/VRF85NFC"],"itemData":{"id":177,"type":"article-journal","title":"Local recruitment of remyelinating cells in the repair of demyelination in the central nervous system","container-title":"Journal of Neuroscience Research","page":"337-344","volume":"50","issue":"2","abstract":"Abstract The distance over which remyelinating cells within surrounding intact tissue are stimulated to respond to a demyelinating lesion and migrate toward it is unknown. To address this issue we have conducted a series of experiments in which the generation of remyelinating cells in tissue surrounding a spontaneously repairing area of demyelination induced in the adult rat spinal cord is suppressed by exposure to X-irradiation. By regulating the area of X-irradiation relative to the length of the demyelinating lesion within dorsal white matter we have shown that remyelinating cells are not recruited over distances greater than 2 mm into areas of demyelination, implying that most of the remyelinating cells are locally generated. This result indicates that there is only a narrow rim of normal tissue surrounding an area of demyelination from which remyelinating cells can be recruited. The depletion of cells within this rim may account for the poor remyelination associated with large areas of demyelination and following repeated episodes of demyelination. We have also shown that, in contrast to Schwann cells, oligodendrocyte lineage cells recruited into lesions have a limited ability to rapidly repopulate large areas of demyelination. Attempts to enhance remyelination in situations where it fails should therefore focus on increasing the size of the surrounding area from which remyelinating cells can be recruited by augmenting the level of recruitment signal, and preventing premature differentiation of oligodendrocytes so as to maximize their migratory and proliferative potential. J. Neurosci. Res. 50:337?344, 1997. ? 1997 Wiley-Liss, Inc.","DOI":"10.1002/(SICI)1097-4547(19971015)50:2&lt;337::AID-JNR21&gt;3.0.CO;2-3","ISSN":"0360-4012","journalAbbreviation":"Journal of Neuroscience Research","author":[{"family":"Franklin","given":"Robin J.M."},{"family":"Gilson","given":"Jennifer M."},{"family":"Blakemore","given":"William F."}],"issued":{"date-parts":[["1997",10,15]]}}}],"schema":"https://github.com/citation-style-language/schema/raw/master/csl-citation.json"} </w:instrText>
      </w:r>
      <w:r w:rsidR="00B1591D">
        <w:rPr>
          <w:rFonts w:ascii="Times New Roman" w:hAnsi="Times New Roman" w:cs="Times New Roman"/>
          <w:color w:val="000000" w:themeColor="text1"/>
          <w:sz w:val="20"/>
          <w:szCs w:val="20"/>
        </w:rPr>
        <w:fldChar w:fldCharType="separate"/>
      </w:r>
      <w:r w:rsidR="003124C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60</w:t>
      </w:r>
      <w:r w:rsidR="003124C3">
        <w:rPr>
          <w:rFonts w:ascii="Times New Roman" w:hAnsi="Times New Roman" w:cs="Times New Roman"/>
          <w:color w:val="000000"/>
          <w:sz w:val="20"/>
          <w:u w:val="dash"/>
          <w:lang w:val="en-US"/>
        </w:rPr>
        <w:t>]</w:t>
      </w:r>
      <w:r w:rsidR="00B1591D">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w:t>
      </w:r>
      <w:r w:rsidR="00CF73E1">
        <w:rPr>
          <w:rFonts w:ascii="Times New Roman" w:hAnsi="Times New Roman" w:cs="Times New Roman"/>
          <w:color w:val="000000" w:themeColor="text1"/>
          <w:sz w:val="20"/>
          <w:szCs w:val="20"/>
        </w:rPr>
        <w:t>But recently t</w:t>
      </w:r>
      <w:r w:rsidR="00E35E1E">
        <w:rPr>
          <w:rFonts w:ascii="Times New Roman" w:hAnsi="Times New Roman" w:cs="Times New Roman"/>
          <w:color w:val="000000" w:themeColor="text1"/>
          <w:sz w:val="20"/>
          <w:szCs w:val="20"/>
        </w:rPr>
        <w:t xml:space="preserve">wo papers have also raised questions about the contributions of </w:t>
      </w:r>
      <w:proofErr w:type="spellStart"/>
      <w:r w:rsidR="00E35E1E">
        <w:rPr>
          <w:rFonts w:ascii="Times New Roman" w:hAnsi="Times New Roman" w:cs="Times New Roman"/>
          <w:color w:val="000000" w:themeColor="text1"/>
          <w:sz w:val="20"/>
          <w:szCs w:val="20"/>
        </w:rPr>
        <w:t>aOPCs</w:t>
      </w:r>
      <w:proofErr w:type="spellEnd"/>
      <w:r w:rsidR="00E35E1E">
        <w:rPr>
          <w:rFonts w:ascii="Times New Roman" w:hAnsi="Times New Roman" w:cs="Times New Roman"/>
          <w:color w:val="000000" w:themeColor="text1"/>
          <w:sz w:val="20"/>
          <w:szCs w:val="20"/>
        </w:rPr>
        <w:t xml:space="preserve"> to lesion repair in </w:t>
      </w:r>
      <w:r w:rsidR="00F73F1E">
        <w:rPr>
          <w:rFonts w:ascii="Times New Roman" w:hAnsi="Times New Roman" w:cs="Times New Roman"/>
          <w:color w:val="000000" w:themeColor="text1"/>
          <w:sz w:val="20"/>
          <w:szCs w:val="20"/>
        </w:rPr>
        <w:t>people</w:t>
      </w:r>
      <w:r w:rsidR="00E35E1E">
        <w:rPr>
          <w:rFonts w:ascii="Times New Roman" w:hAnsi="Times New Roman" w:cs="Times New Roman"/>
          <w:color w:val="000000" w:themeColor="text1"/>
          <w:sz w:val="20"/>
          <w:szCs w:val="20"/>
        </w:rPr>
        <w:t>.</w:t>
      </w:r>
      <w:r w:rsidR="001D6235">
        <w:rPr>
          <w:rFonts w:ascii="Times New Roman" w:hAnsi="Times New Roman" w:cs="Times New Roman"/>
          <w:color w:val="000000" w:themeColor="text1"/>
          <w:sz w:val="20"/>
          <w:szCs w:val="20"/>
        </w:rPr>
        <w:t xml:space="preserve"> Yeung and colleagues utilized a </w:t>
      </w:r>
      <w:r w:rsidR="001D6235" w:rsidRPr="001D6235">
        <w:rPr>
          <w:rFonts w:ascii="Times New Roman" w:hAnsi="Times New Roman" w:cs="Times New Roman"/>
          <w:color w:val="000000" w:themeColor="text1"/>
          <w:sz w:val="20"/>
          <w:szCs w:val="20"/>
          <w:vertAlign w:val="superscript"/>
        </w:rPr>
        <w:t>14</w:t>
      </w:r>
      <w:r w:rsidR="001D6235">
        <w:rPr>
          <w:rFonts w:ascii="Times New Roman" w:hAnsi="Times New Roman" w:cs="Times New Roman"/>
          <w:color w:val="000000" w:themeColor="text1"/>
          <w:sz w:val="20"/>
          <w:szCs w:val="20"/>
        </w:rPr>
        <w:t>C dating technique to show that oligodendrocytes from shadow plaques in MS brains, areas thought to have undergone at least partial remyelination, could not have been generated from new OPCs</w:t>
      </w:r>
      <w:r w:rsidR="00B159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0FZRs40Y","properties":{"formattedCitation":"(61)","plainCitation":"(61)","noteIndex":0},"citationItems":[{"id":315,"uris":["http://zotero.org/users/local/OxFKn8nN/items/HIZGTBB7"],"uri":["http://zotero.org/users/local/OxFKn8nN/items/HIZGTBB7"],"itemData":{"id":315,"type":"article-journal","title":"Dynamics of oligodendrocyte generation in multiple sclerosis","container-title":"Nature","page":"538-542","volume":"566","issue":"7745","abstract":"Oligodendrocytes wrap nerve fibres in the central nervous system with layers of specialized cell membrane to form myelin sheaths1. Myelin is destroyed by the immune system in multiple sclerosis, but myelin is thought to regenerate and neurological function can be recovered. In animal models of demyelinating disease, myelin is regenerated by newly generated oligodendrocytes, and remaining mature oligodendrocytes do not seem to contribute to this process2–4. Given the major differences in the dynamics of oligodendrocyte generation and adaptive myelination between rodents and humans5–9, it is not clear how well experimental animal models reflect the situation in multiple sclerosis. Here, by measuring the integration of 14C derived from nuclear testing in genomic DNA10, we assess the dynamics of oligodendrocyte generation in patients with multiple sclerosis. The generation of new oligodendrocytes was increased several-fold in normal-appearing white matter in a subset of individuals with very aggressive multiple sclerosis, but not in most subjects with the disease, demonstrating an inherent potential to substantially increase oligodendrocyte generation that fails in most patients. Oligodendrocytes in shadow plaques—thinly myelinated lesions that are thought to represent remyelinated areas—were old in patients with multiple sclerosis. The absence of new oligodendrocytes in shadow plaques suggests that remyelination of lesions occurs transiently or not at all, or that myelin is regenerated by pre-existing, and not new, oligodendrocytes in multiple sclerosis. We report unexpected oligodendrocyte generation dynamics in multiple sclerosis, and this should guide the use of current, and the development of new, therapies.","DOI":"10.1038/s41586-018-0842-3","ISSN":"1476-4687","journalAbbreviation":"Nature","author":[{"family":"Yeung","given":"Maggie S. Y."},{"family":"Djelloul","given":"Mehdi"},{"family":"Steiner","given":"Embla"},{"family":"Bernard","given":"Samuel"},{"family":"Salehpour","given":"Mehran"},{"family":"Possnert","given":"Göran"},{"family":"Brundin","given":"Lou"},{"family":"Frisén","given":"Jonas"}],"issued":{"date-parts":[["2019",2,1]]}}}],"schema":"https://github.com/citation-style-language/schema/raw/master/csl-citation.json"} </w:instrText>
      </w:r>
      <w:r w:rsidR="00B1591D">
        <w:rPr>
          <w:rFonts w:ascii="Times New Roman" w:hAnsi="Times New Roman" w:cs="Times New Roman"/>
          <w:color w:val="000000" w:themeColor="text1"/>
          <w:sz w:val="20"/>
          <w:szCs w:val="20"/>
        </w:rPr>
        <w:fldChar w:fldCharType="separate"/>
      </w:r>
      <w:r w:rsidR="003124C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61</w:t>
      </w:r>
      <w:r w:rsidR="003124C3">
        <w:rPr>
          <w:rFonts w:ascii="Times New Roman" w:hAnsi="Times New Roman" w:cs="Times New Roman"/>
          <w:color w:val="000000"/>
          <w:sz w:val="20"/>
          <w:u w:val="dash"/>
          <w:lang w:val="en-US"/>
        </w:rPr>
        <w:t>]</w:t>
      </w:r>
      <w:r w:rsidR="00B1591D">
        <w:rPr>
          <w:rFonts w:ascii="Times New Roman" w:hAnsi="Times New Roman" w:cs="Times New Roman"/>
          <w:color w:val="000000" w:themeColor="text1"/>
          <w:sz w:val="20"/>
          <w:szCs w:val="20"/>
        </w:rPr>
        <w:fldChar w:fldCharType="end"/>
      </w:r>
      <w:r w:rsidR="001D6235">
        <w:rPr>
          <w:rFonts w:ascii="Times New Roman" w:hAnsi="Times New Roman" w:cs="Times New Roman"/>
          <w:color w:val="000000" w:themeColor="text1"/>
          <w:sz w:val="20"/>
          <w:szCs w:val="20"/>
        </w:rPr>
        <w:t xml:space="preserve">. Further, </w:t>
      </w:r>
      <w:proofErr w:type="spellStart"/>
      <w:r w:rsidR="001D6235" w:rsidRPr="00E35E1E">
        <w:rPr>
          <w:rFonts w:ascii="Times New Roman" w:hAnsi="Times New Roman" w:cs="Times New Roman"/>
          <w:color w:val="000000" w:themeColor="text1"/>
          <w:sz w:val="20"/>
          <w:szCs w:val="20"/>
        </w:rPr>
        <w:t>Jäkle</w:t>
      </w:r>
      <w:proofErr w:type="spellEnd"/>
      <w:r w:rsidR="001D6235">
        <w:rPr>
          <w:rFonts w:ascii="Times New Roman" w:hAnsi="Times New Roman" w:cs="Times New Roman"/>
          <w:color w:val="000000" w:themeColor="text1"/>
          <w:sz w:val="20"/>
          <w:szCs w:val="20"/>
        </w:rPr>
        <w:t xml:space="preserve"> et al. reported that</w:t>
      </w:r>
      <w:r w:rsidR="003F44E0">
        <w:rPr>
          <w:rFonts w:ascii="Times New Roman" w:hAnsi="Times New Roman" w:cs="Times New Roman"/>
          <w:color w:val="000000" w:themeColor="text1"/>
          <w:sz w:val="20"/>
          <w:szCs w:val="20"/>
        </w:rPr>
        <w:t xml:space="preserve"> at autopsy</w:t>
      </w:r>
      <w:r w:rsidR="00AD63A9">
        <w:rPr>
          <w:rFonts w:ascii="Times New Roman" w:hAnsi="Times New Roman" w:cs="Times New Roman"/>
          <w:color w:val="000000" w:themeColor="text1"/>
          <w:sz w:val="20"/>
          <w:szCs w:val="20"/>
        </w:rPr>
        <w:t xml:space="preserve">, </w:t>
      </w:r>
      <w:r w:rsidR="001D6235">
        <w:rPr>
          <w:rFonts w:ascii="Times New Roman" w:hAnsi="Times New Roman" w:cs="Times New Roman"/>
          <w:color w:val="000000" w:themeColor="text1"/>
          <w:sz w:val="20"/>
          <w:szCs w:val="20"/>
        </w:rPr>
        <w:t>OPCs are reduced in number within shadow plaques</w:t>
      </w:r>
      <w:r w:rsidR="00B159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EgIpSY9Y","properties":{"formattedCitation":"(62)","plainCitation":"(62)","noteIndex":0},"citationItems":[{"id":317,"uris":["http://zotero.org/users/local/OxFKn8nN/items/E3EBVP3I"],"uri":["http://zotero.org/users/local/OxFKn8nN/items/E3EBVP3I"],"itemData":{"id":317,"type":"article-journal","title":"Altered human oligodendrocyte heterogeneity in multiple sclerosis","container-title":"Nature","page":"543-547","volume":"566","issue":"7745","abstract":"Oligodendrocyte pathology is increasingly implicated in neurodegenerative diseases as oligodendrocytes both myelinate and provide metabolic support to axons. In multiple sclerosis (MS), demyelination in the central nervous system thus leads to neurodegeneration, but the severity of MS between patients is very variable. Disability does not correlate well with the extent of demyelination1, which suggests that other factors contribute to this variability. One such factor may be oligodendrocyte heterogeneity. Not all oligodendrocytes are the same—those from the mouse spinal cord inherently produce longer myelin sheaths than those from the cortex2, and single-cell analysis of the mouse central nervous system identified further differences3,4. However, the extent of human oligodendrocyte heterogeneity and its possible contribution to MS pathology remain unknown. Here we performed single-nucleus RNA sequencing from white matter areas of post-mortem human brain from patients with MS and from unaffected controls. We identified subclusters of oligodendroglia in control human white matter, some with similarities to mouse, and defined new markers for these cell states. Notably, some subclusters were underrepresented in MS tissue, whereas others were more prevalent. These differences in mature oligodendrocyte subclusters may indicate different functional states of oligodendrocytes in MS lesions. We found similar changes in normal-appearing white matter, showing that MS is a more diffuse disease than its focal demyelination suggests. Our findings of an altered oligodendroglial heterogeneity in MS may be important for understanding disease progression and developing therapeutic approaches.","DOI":"10.1038/s41586-019-0903-2","ISSN":"1476-4687","journalAbbreviation":"Nature","author":[{"family":"Jäkel","given":"Sarah"},{"family":"Agirre","given":"Eneritz"},{"family":"Mendanha Falcão","given":"Ana"},{"family":"Bruggen","given":"David","non-dropping-particle":"van"},{"family":"Lee","given":"Ka Wai"},{"family":"Knuesel","given":"Irene"},{"family":"Malhotra","given":"Dheeraj"},{"family":"Constant","given":"Charles","non-dropping-particle":"ffrench-"},{"family":"Williams","given":"Anna"},{"family":"Castelo-Branco","given":"Gonçalo"}],"issued":{"date-parts":[["2019",2,1]]}}}],"schema":"https://github.com/citation-style-language/schema/raw/master/csl-citation.json"} </w:instrText>
      </w:r>
      <w:r w:rsidR="00B1591D">
        <w:rPr>
          <w:rFonts w:ascii="Times New Roman" w:hAnsi="Times New Roman" w:cs="Times New Roman"/>
          <w:color w:val="000000" w:themeColor="text1"/>
          <w:sz w:val="20"/>
          <w:szCs w:val="20"/>
        </w:rPr>
        <w:fldChar w:fldCharType="separate"/>
      </w:r>
      <w:r w:rsidR="003124C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62</w:t>
      </w:r>
      <w:r w:rsidR="003124C3">
        <w:rPr>
          <w:rFonts w:ascii="Times New Roman" w:hAnsi="Times New Roman" w:cs="Times New Roman"/>
          <w:color w:val="000000"/>
          <w:sz w:val="20"/>
          <w:u w:val="dash"/>
          <w:lang w:val="en-US"/>
        </w:rPr>
        <w:t>]</w:t>
      </w:r>
      <w:r w:rsidR="00B1591D">
        <w:rPr>
          <w:rFonts w:ascii="Times New Roman" w:hAnsi="Times New Roman" w:cs="Times New Roman"/>
          <w:color w:val="000000" w:themeColor="text1"/>
          <w:sz w:val="20"/>
          <w:szCs w:val="20"/>
        </w:rPr>
        <w:fldChar w:fldCharType="end"/>
      </w:r>
      <w:r w:rsidR="003F44E0">
        <w:rPr>
          <w:rFonts w:ascii="Times New Roman" w:hAnsi="Times New Roman" w:cs="Times New Roman"/>
          <w:color w:val="000000" w:themeColor="text1"/>
          <w:sz w:val="20"/>
          <w:szCs w:val="20"/>
        </w:rPr>
        <w:t>.</w:t>
      </w:r>
      <w:r w:rsidR="001D6235">
        <w:rPr>
          <w:rFonts w:ascii="Times New Roman" w:hAnsi="Times New Roman" w:cs="Times New Roman"/>
          <w:color w:val="000000" w:themeColor="text1"/>
          <w:sz w:val="20"/>
          <w:szCs w:val="20"/>
        </w:rPr>
        <w:t xml:space="preserve"> </w:t>
      </w:r>
      <w:r w:rsidR="003F44E0">
        <w:rPr>
          <w:rFonts w:ascii="Times New Roman" w:hAnsi="Times New Roman" w:cs="Times New Roman"/>
          <w:color w:val="000000" w:themeColor="text1"/>
          <w:sz w:val="20"/>
          <w:szCs w:val="20"/>
        </w:rPr>
        <w:t xml:space="preserve">Indeed, </w:t>
      </w:r>
      <w:r w:rsidR="00AD63A9">
        <w:rPr>
          <w:rFonts w:ascii="Times New Roman" w:hAnsi="Times New Roman" w:cs="Times New Roman"/>
          <w:color w:val="000000" w:themeColor="text1"/>
          <w:sz w:val="20"/>
          <w:szCs w:val="20"/>
        </w:rPr>
        <w:t>this latter study also highlighted changes in oligodendrocyte gene expression profiles between areas of normal appearing white matter of MS brains and healthy controls</w:t>
      </w:r>
      <w:r w:rsidR="002C0D19">
        <w:rPr>
          <w:rFonts w:ascii="Times New Roman" w:hAnsi="Times New Roman" w:cs="Times New Roman"/>
          <w:color w:val="000000" w:themeColor="text1"/>
          <w:sz w:val="20"/>
          <w:szCs w:val="20"/>
        </w:rPr>
        <w:t>,</w:t>
      </w:r>
      <w:r w:rsidR="00AD63A9">
        <w:rPr>
          <w:rFonts w:ascii="Times New Roman" w:hAnsi="Times New Roman" w:cs="Times New Roman"/>
          <w:color w:val="000000" w:themeColor="text1"/>
          <w:sz w:val="20"/>
          <w:szCs w:val="20"/>
        </w:rPr>
        <w:t xml:space="preserve"> implying that the pathology </w:t>
      </w:r>
      <w:r w:rsidR="00CF73E1">
        <w:rPr>
          <w:rFonts w:ascii="Times New Roman" w:hAnsi="Times New Roman" w:cs="Times New Roman"/>
          <w:color w:val="000000" w:themeColor="text1"/>
          <w:sz w:val="20"/>
          <w:szCs w:val="20"/>
        </w:rPr>
        <w:t>seen in</w:t>
      </w:r>
      <w:r w:rsidR="00AD63A9">
        <w:rPr>
          <w:rFonts w:ascii="Times New Roman" w:hAnsi="Times New Roman" w:cs="Times New Roman"/>
          <w:color w:val="000000" w:themeColor="text1"/>
          <w:sz w:val="20"/>
          <w:szCs w:val="20"/>
        </w:rPr>
        <w:t xml:space="preserve"> lesions may not reflect</w:t>
      </w:r>
      <w:r w:rsidR="002C0D19">
        <w:rPr>
          <w:rFonts w:ascii="Times New Roman" w:hAnsi="Times New Roman" w:cs="Times New Roman"/>
          <w:color w:val="000000" w:themeColor="text1"/>
          <w:sz w:val="20"/>
          <w:szCs w:val="20"/>
        </w:rPr>
        <w:t xml:space="preserve"> the</w:t>
      </w:r>
      <w:r w:rsidR="00AD63A9">
        <w:rPr>
          <w:rFonts w:ascii="Times New Roman" w:hAnsi="Times New Roman" w:cs="Times New Roman"/>
          <w:color w:val="000000" w:themeColor="text1"/>
          <w:sz w:val="20"/>
          <w:szCs w:val="20"/>
        </w:rPr>
        <w:t xml:space="preserve"> global cellular changes occurring in MS</w:t>
      </w:r>
      <w:r w:rsidR="00CF73E1">
        <w:rPr>
          <w:rFonts w:ascii="Times New Roman" w:hAnsi="Times New Roman" w:cs="Times New Roman"/>
          <w:color w:val="000000" w:themeColor="text1"/>
          <w:sz w:val="20"/>
          <w:szCs w:val="20"/>
        </w:rPr>
        <w:t>.</w:t>
      </w:r>
    </w:p>
    <w:p w14:paraId="18BF6E39" w14:textId="388C2950" w:rsidR="007731E9" w:rsidRDefault="00CF73E1" w:rsidP="00E17010">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Such </w:t>
      </w:r>
      <w:r w:rsidR="00F73F1E">
        <w:rPr>
          <w:rFonts w:ascii="Times New Roman" w:hAnsi="Times New Roman" w:cs="Times New Roman"/>
          <w:color w:val="000000" w:themeColor="text1"/>
          <w:sz w:val="20"/>
          <w:szCs w:val="20"/>
        </w:rPr>
        <w:t>results</w:t>
      </w:r>
      <w:r>
        <w:rPr>
          <w:rFonts w:ascii="Times New Roman" w:hAnsi="Times New Roman" w:cs="Times New Roman"/>
          <w:color w:val="000000" w:themeColor="text1"/>
          <w:sz w:val="20"/>
          <w:szCs w:val="20"/>
        </w:rPr>
        <w:t xml:space="preserve"> may </w:t>
      </w:r>
      <w:r w:rsidR="00FE4816">
        <w:rPr>
          <w:rFonts w:ascii="Times New Roman" w:hAnsi="Times New Roman" w:cs="Times New Roman"/>
          <w:color w:val="000000" w:themeColor="text1"/>
          <w:sz w:val="20"/>
          <w:szCs w:val="20"/>
        </w:rPr>
        <w:t xml:space="preserve">find explanations </w:t>
      </w:r>
      <w:r>
        <w:rPr>
          <w:rFonts w:ascii="Times New Roman" w:hAnsi="Times New Roman" w:cs="Times New Roman"/>
          <w:color w:val="000000" w:themeColor="text1"/>
          <w:sz w:val="20"/>
          <w:szCs w:val="20"/>
        </w:rPr>
        <w:t>in the differences between humans and t</w:t>
      </w:r>
      <w:r w:rsidR="00F73F1E">
        <w:rPr>
          <w:rFonts w:ascii="Times New Roman" w:hAnsi="Times New Roman" w:cs="Times New Roman"/>
          <w:color w:val="000000" w:themeColor="text1"/>
          <w:sz w:val="20"/>
          <w:szCs w:val="20"/>
        </w:rPr>
        <w:t>he rat and mouse models used to study</w:t>
      </w:r>
      <w:r>
        <w:rPr>
          <w:rFonts w:ascii="Times New Roman" w:hAnsi="Times New Roman" w:cs="Times New Roman"/>
          <w:color w:val="000000" w:themeColor="text1"/>
          <w:sz w:val="20"/>
          <w:szCs w:val="20"/>
        </w:rPr>
        <w:t xml:space="preserve"> the disease. </w:t>
      </w:r>
      <w:r w:rsidR="001D69A6">
        <w:rPr>
          <w:rFonts w:ascii="Times New Roman" w:hAnsi="Times New Roman" w:cs="Times New Roman"/>
          <w:color w:val="000000" w:themeColor="text1"/>
          <w:sz w:val="20"/>
          <w:szCs w:val="20"/>
        </w:rPr>
        <w:t xml:space="preserve">Taken together </w:t>
      </w:r>
      <w:r>
        <w:rPr>
          <w:rFonts w:ascii="Times New Roman" w:hAnsi="Times New Roman" w:cs="Times New Roman"/>
          <w:color w:val="000000" w:themeColor="text1"/>
          <w:sz w:val="20"/>
          <w:szCs w:val="20"/>
        </w:rPr>
        <w:t>with evidence that some MS patients remyelinate better than others</w:t>
      </w:r>
      <w:r w:rsidR="00874A40">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2av1n9fdt6","properties":{"formattedCitation":"(42,43)","plainCitation":"(42,43)","noteIndex":0},"citationItems":[{"id":157,"uris":["http://zotero.org/users/local/OxFKn8nN/items/TPUN9GAD"],"uri":["http://zotero.org/users/local/OxFKn8nN/items/TPUN9GAD"],"itemData":{"id":157,"type":"article-journal","title":"Remyelination is extensive in a subset of multiple sclerosis patients","container-title":"Brain","page":"3165-3172","volume":"129","issue":"12","abstract":"Although spontaneous remyelination does occur in multiple sclerosis lesions, its extent within the global population with this disease is presently unknown. We have systematically analysed the incidence and distribution of completely remyelinated lesions (so-called shadow plaques) or partially remyelinated lesions (shadow plaque areas) in 51 autopsies of patients with different clinical courses and disease durations. The extent of remyelination was variable between cases. In 20% of the patients, the extent of remyelination was extensive with 60–96% of the global lesion area remyelinated. Extensive remyelination was found not only in patients with relapsing multiple sclerosis, but also in a subset of patients with progressive disease. Older age at death and longer disease duration were associated with significantly more remyelinated lesions or lesion areas. No correlation was found between the extent of remyelination and either gender or age at disease onset. These results suggest that the variable and patient-dependent extent of remyelination must be considered in the design of future clinical trials aimed at promoting CNS repair.","DOI":"10.1093/brain/awl217","ISSN":"0006-8950","journalAbbreviation":"Brain","author":[{"family":"Patrikios","given":"Peter"},{"family":"Stadelmann","given":"Christine"},{"family":"Kutzelnigg","given":"Alexandra"},{"family":"Rauschka","given":"Helmut"},{"family":"Schmidbauer","given":"Manfred"},{"family":"Laursen","given":"Henning"},{"family":"Sorensen","given":"Per Soelberg"},{"family":"Brück","given":"Wolfgang"},{"family":"Lucchinetti","given":"Claudia"},{"family":"Lassmann","given":"Hans"}],"issued":{"date-parts":[["2006",12,1]]}}},{"id":153,"uris":["http://zotero.org/users/local/OxFKn8nN/items/QQSGATU7"],"uri":["http://zotero.org/users/local/OxFKn8nN/items/QQSGATU7"],"itemData":{"id":153,"type":"article-journal","title":"Dynamic Imaging of Individual Remyelination Profiles in Multiple Sclerosis","container-title":"Annals of neurology","page":"726-738","volume":"79","issue":"5","archive":"PubMed","archive_location":"26891452","abstract":"BACKGROUND: Quantitative in vivo imaging of myelin loss and repair in patients with multiple sclerosis (MS) is essential to understand the pathogenesis of the disease and to evaluate promyelinating therapies. Selectively binding myelin in the central nervous system white matter, Pittsburgh compound B ([(11) C]PiB) can be used as a positron emission tomography (PET) tracer to explore myelin dynamics in MS. METHODS: Patients with active relapsing-remitting MS (n = 20) and healthy controls (n = 8) were included in a longitudinal trial combining PET with [(11) C]PiB and magnetic resonance imaging. Voxel-wise maps of [(11) C]PiB distribution volume ratio, reflecting myelin content, were derived. Three dynamic indices were calculated for each patient: the global index of myelin content change; the index of demyelination; and the index of remyelination. RESULTS: At baseline, there was a progressive reduction in [(11) C]PiB binding from the normal-appearing white matter to MS lesions, reflecting a decline in myelin content. White matter lesions were characterized by a centripetal decrease in the tracer binding at the voxel level. During follow-up, high between-patient variability was found for all indices of myelin content change. Dynamic remyelination was inversely correlated with clinical disability (p = 0.006 and beta-coefficient = -0.67 with the Expanded Disability Status Scale; p = 0.003 and beta-coefficient = -0.68 with the MS Severity Scale), whereas no significant clinical correlation was found for the demyelination index. INTERPRETATION: [(11) C]PiB PET allows quantification of myelin dynamics in MS and enables stratification of patients depending on their individual remyelination potential, which significantly correlates with clinical disability. This technique should be considered to assess novel promyelinating drugs. Ann Neurol 2016;79:726-738.","DOI":"10.1002/ana.24620","ISSN":"1531-8249","author":[{"family":"Bodini","given":"Benedetta"},{"family":"Veronese","given":"Mattia"},{"family":"García-Lorenzo","given":"Daniel"},{"family":"Battaglini","given":"Marco"},{"family":"Poirion","given":"Emilie"},{"family":"Chardain","given":"Audrey"},{"family":"Freeman","given":"Léorah"},{"family":"Louapre","given":"Céline"},{"family":"Tchikviladze","given":"Maya"},{"family":"Papeix","given":"Caroline"},{"family":"Dollé","given":"Frédéric"},{"family":"Zalc","given":"Bernard"},{"family":"Lubetzki","given":"Catherine"},{"family":"Bottlaender","given":"Michel"},{"family":"Turkheimer","given":"Federico"},{"family":"Stankoff","given":"Bruno"}],"issued":{"date-parts":[["2016",5]]}}}],"schema":"https://github.com/citation-style-language/schema/raw/master/csl-citation.json"} </w:instrText>
      </w:r>
      <w:r w:rsidR="00874A40">
        <w:rPr>
          <w:rFonts w:ascii="Times New Roman" w:hAnsi="Times New Roman" w:cs="Times New Roman"/>
          <w:color w:val="000000" w:themeColor="text1"/>
          <w:sz w:val="20"/>
          <w:szCs w:val="20"/>
        </w:rPr>
        <w:fldChar w:fldCharType="separate"/>
      </w:r>
      <w:r w:rsidR="003124C3">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42,43</w:t>
      </w:r>
      <w:r w:rsidR="003124C3">
        <w:rPr>
          <w:rFonts w:ascii="Times New Roman" w:hAnsi="Times New Roman" w:cs="Times New Roman"/>
          <w:color w:val="000000"/>
          <w:sz w:val="20"/>
          <w:lang w:val="en-US"/>
        </w:rPr>
        <w:t>]</w:t>
      </w:r>
      <w:r w:rsidR="00874A40">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xml:space="preserve">, it seems clear that </w:t>
      </w:r>
      <w:r w:rsidRPr="00003E8D">
        <w:rPr>
          <w:rFonts w:ascii="Times New Roman" w:hAnsi="Times New Roman" w:cs="Times New Roman"/>
          <w:color w:val="000000" w:themeColor="text1"/>
          <w:sz w:val="20"/>
          <w:szCs w:val="20"/>
        </w:rPr>
        <w:t>a treatment strategy that enhances differentiation</w:t>
      </w:r>
      <w:r>
        <w:rPr>
          <w:rFonts w:ascii="Times New Roman" w:hAnsi="Times New Roman" w:cs="Times New Roman"/>
          <w:color w:val="000000" w:themeColor="text1"/>
          <w:sz w:val="20"/>
          <w:szCs w:val="20"/>
        </w:rPr>
        <w:t xml:space="preserve"> alone</w:t>
      </w:r>
      <w:r w:rsidRPr="00003E8D">
        <w:rPr>
          <w:rFonts w:ascii="Times New Roman" w:hAnsi="Times New Roman" w:cs="Times New Roman"/>
          <w:color w:val="000000" w:themeColor="text1"/>
          <w:sz w:val="20"/>
          <w:szCs w:val="20"/>
        </w:rPr>
        <w:t xml:space="preserve"> may not necessarily be sufficient to address remyelination across </w:t>
      </w:r>
      <w:r w:rsidR="00F73F1E">
        <w:rPr>
          <w:rFonts w:ascii="Times New Roman" w:hAnsi="Times New Roman" w:cs="Times New Roman"/>
          <w:color w:val="000000" w:themeColor="text1"/>
          <w:sz w:val="20"/>
          <w:szCs w:val="20"/>
        </w:rPr>
        <w:t>a</w:t>
      </w:r>
      <w:r w:rsidRPr="00003E8D">
        <w:rPr>
          <w:rFonts w:ascii="Times New Roman" w:hAnsi="Times New Roman" w:cs="Times New Roman"/>
          <w:color w:val="000000" w:themeColor="text1"/>
          <w:sz w:val="20"/>
          <w:szCs w:val="20"/>
        </w:rPr>
        <w:t xml:space="preserve"> population of heterogenous MS </w:t>
      </w:r>
      <w:r w:rsidR="00FE4816">
        <w:rPr>
          <w:rFonts w:ascii="Times New Roman" w:hAnsi="Times New Roman" w:cs="Times New Roman"/>
          <w:color w:val="000000" w:themeColor="text1"/>
          <w:sz w:val="20"/>
          <w:szCs w:val="20"/>
        </w:rPr>
        <w:t>patients</w:t>
      </w:r>
      <w:r w:rsidRPr="00003E8D">
        <w:rPr>
          <w:rFonts w:ascii="Times New Roman" w:hAnsi="Times New Roman" w:cs="Times New Roman"/>
          <w:color w:val="000000" w:themeColor="text1"/>
          <w:sz w:val="20"/>
          <w:szCs w:val="20"/>
        </w:rPr>
        <w:t>.</w:t>
      </w:r>
      <w:r w:rsidR="00F73F1E">
        <w:rPr>
          <w:rFonts w:ascii="Times New Roman" w:hAnsi="Times New Roman" w:cs="Times New Roman"/>
          <w:color w:val="000000" w:themeColor="text1"/>
          <w:sz w:val="20"/>
          <w:szCs w:val="20"/>
        </w:rPr>
        <w:t xml:space="preserve"> </w:t>
      </w:r>
    </w:p>
    <w:p w14:paraId="42CFEBF9" w14:textId="5D729B19" w:rsidR="007D7A86" w:rsidRDefault="007D7A86" w:rsidP="007D7A86">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Further, interactions between other glial cells and OPCs are also being increasingly clearly defined. Reactive astrocytes found at the site of demyelination, for example, secrete inhibitors of remyelination such as Endothelin-1</w:t>
      </w:r>
      <w:r w:rsidR="00C67B8F">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1ql7u77020","properties":{"formattedCitation":"(63)","plainCitation":"(63)","noteIndex":0},"citationItems":[{"id":390,"uris":["http://zotero.org/users/local/OxFKn8nN/items/H3SADHK5"],"uri":["http://zotero.org/users/local/OxFKn8nN/items/H3SADHK5"],"itemData":{"id":390,"type":"article-journal","title":"Astrocyte-Derived Endothelin-1 Inhibits Remyelination through Notch Activation","container-title":"Neuron","page":"588-602","volume":"81","issue":"3","DOI":"10.1016/j.neuron.2013.11.015","ISSN":"0896-6273","author":[{"family":"Hammond","given":"Timothy R."},{"family":"Gadea","given":"Ana"},{"family":"Dupree","given":"Jeff"},{"family":"Kerninon","given":"Christophe"},{"family":"Nait-Oumesmar","given":"Brahim"},{"family":"Aguirre","given":"Adan"},{"family":"Gallo","given":"Vittorio"}],"issued":{"date-parts":[["2014",2,5]]}}}],"schema":"https://github.com/citation-style-language/schema/raw/master/csl-citation.json"} </w:instrText>
      </w:r>
      <w:r w:rsidR="00C67B8F">
        <w:rPr>
          <w:rFonts w:ascii="Times New Roman" w:hAnsi="Times New Roman" w:cs="Times New Roman"/>
          <w:color w:val="000000" w:themeColor="text1"/>
          <w:sz w:val="20"/>
          <w:szCs w:val="20"/>
        </w:rPr>
        <w:fldChar w:fldCharType="separate"/>
      </w:r>
      <w:r w:rsidR="00E36623">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63</w:t>
      </w:r>
      <w:r w:rsidR="00E36623">
        <w:rPr>
          <w:rFonts w:ascii="Times New Roman" w:hAnsi="Times New Roman" w:cs="Times New Roman"/>
          <w:color w:val="000000"/>
          <w:sz w:val="20"/>
          <w:lang w:val="en-US"/>
        </w:rPr>
        <w:t>]</w:t>
      </w:r>
      <w:r w:rsidR="00C67B8F">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xml:space="preserve"> and the recent description of A1 reactive astrocytes, which contribute to the death of oligodendrocytes</w:t>
      </w:r>
      <w:r w:rsidR="00C67B8F">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h4tr27ft5","properties":{"formattedCitation":"(64)","plainCitation":"(64)","noteIndex":0},"citationItems":[{"id":392,"uris":["http://zotero.org/users/local/OxFKn8nN/items/RVUVGMGQ"],"uri":["http://zotero.org/users/local/OxFKn8nN/items/RVUVGMGQ"],"itemData":{"id":392,"type":"article-journal","title":"Neurotoxic reactive astrocytes are induced by activated microglia","container-title":"Nature","page":"481","volume":"541","journalAbbreviation":"Nature","author":[{"family":"Liddelow","given":"Shane A."},{"family":"Guttenplan","given":"Kevin A."},{"family":"Clarke","given":"Laura E."},{"family":"Bennett","given":"Frederick C."},{"family":"Bohlen","given":"Christopher J."},{"family":"Schirmer","given":"Lucas"},{"family":"Bennett","given":"Mariko L."},{"family":"Münch","given":"Alexandra E."},{"family":"Chung","given":"Won-Suk"},{"family":"Peterson","given":"Todd C."},{"family":"Wilton","given":"Daniel K."},{"family":"Frouin","given":"Arnaud"},{"family":"Napier","given":"Brooke A."},{"family":"Panicker","given":"Nikhil"},{"family":"Kumar","given":"Manoj"},{"family":"Buckwalter","given":"Marion S."},{"family":"Rowitch","given":"David H."},{"family":"Dawson","given":"Valina L."},{"family":"Dawson","given":"Ted M."},{"family":"Stevens","given":"Beth"},{"family":"Barres","given":"Ben A."}],"issued":{"date-parts":[["2017",1,18]]}}}],"schema":"https://github.com/citation-style-language/schema/raw/master/csl-citation.json"} </w:instrText>
      </w:r>
      <w:r w:rsidR="00C67B8F">
        <w:rPr>
          <w:rFonts w:ascii="Times New Roman" w:hAnsi="Times New Roman" w:cs="Times New Roman"/>
          <w:color w:val="000000" w:themeColor="text1"/>
          <w:sz w:val="20"/>
          <w:szCs w:val="20"/>
        </w:rPr>
        <w:fldChar w:fldCharType="separate"/>
      </w:r>
      <w:r w:rsidR="00E36623">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64</w:t>
      </w:r>
      <w:r w:rsidR="00E36623">
        <w:rPr>
          <w:rFonts w:ascii="Times New Roman" w:hAnsi="Times New Roman" w:cs="Times New Roman"/>
          <w:color w:val="000000"/>
          <w:sz w:val="20"/>
          <w:lang w:val="en-US"/>
        </w:rPr>
        <w:t>]</w:t>
      </w:r>
      <w:r w:rsidR="00C67B8F">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xml:space="preserve">, needs to be incorporated into the current model of remyelination and </w:t>
      </w:r>
      <w:r w:rsidR="00E36623">
        <w:rPr>
          <w:rFonts w:ascii="Times New Roman" w:hAnsi="Times New Roman" w:cs="Times New Roman"/>
          <w:color w:val="000000" w:themeColor="text1"/>
          <w:sz w:val="20"/>
          <w:szCs w:val="20"/>
        </w:rPr>
        <w:t xml:space="preserve">potential </w:t>
      </w:r>
      <w:r>
        <w:rPr>
          <w:rFonts w:ascii="Times New Roman" w:hAnsi="Times New Roman" w:cs="Times New Roman"/>
          <w:color w:val="000000" w:themeColor="text1"/>
          <w:sz w:val="20"/>
          <w:szCs w:val="20"/>
        </w:rPr>
        <w:t>therapeutic targets explored.</w:t>
      </w:r>
    </w:p>
    <w:p w14:paraId="2138E005" w14:textId="48780C89" w:rsidR="00CB7FD7" w:rsidRDefault="00806EDC" w:rsidP="00CB7FD7">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In parallel,</w:t>
      </w:r>
      <w:r w:rsidR="007731E9">
        <w:rPr>
          <w:rFonts w:ascii="Times New Roman" w:hAnsi="Times New Roman" w:cs="Times New Roman"/>
          <w:color w:val="000000" w:themeColor="text1"/>
          <w:sz w:val="20"/>
          <w:szCs w:val="20"/>
        </w:rPr>
        <w:t xml:space="preserve"> the demonstration that protein synthesis in OPCs is modulated by axonal action potentials</w:t>
      </w:r>
      <w:r w:rsidR="00C67B8F">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2b4h7dacgd","properties":{"formattedCitation":"(65)","plainCitation":"(65)","noteIndex":0},"citationItems":[{"id":371,"uris":["http://zotero.org/users/local/OxFKn8nN/items/EC95DI2G"],"uri":["http://zotero.org/users/local/OxFKn8nN/items/EC95DI2G"],"itemData":{"id":371,"type":"article-journal","title":"Control of Local Protein Synthesis and Initial Events in Myelination by Action Potentials","container-title":"Science","page":"1647","volume":"333","issue":"6049","abstract":"Formation of myelin, the electrical insulation on axons produced by oligodendrocytes, is controlled by complex cell-cell signaling that regulates oligodendrocyte development and myelin formation on appropriate axons. If electrical activity could stimulate myelin induction, then neurodevelopment and the speed of information transmission through circuits could be modified by neural activity. We find that release of glutamate from synaptic vesicles along axons of mouse dorsal root ganglion neurons in culture promotes myelin induction by stimulating formation of cholesterol-rich signaling domains between oligodendrocytes and axons, and increasing local synthesis of the major protein in the myelin sheath, myelin basic protein, through Fyn kinase-dependent signaling. This axon-oligodendrocyte signaling would promote myelination of electrically active axons to regulate neural development and function according to environmental experience.","DOI":"10.1126/science.1206998","journalAbbreviation":"Science","author":[{"family":"Wake","given":"Hiroaki"},{"family":"Lee","given":"Philip R."},{"family":"Fields","given":"R. Douglas"}],"issued":{"date-parts":[["2011",9,16]]}}}],"schema":"https://github.com/citation-style-language/schema/raw/master/csl-citation.json"} </w:instrText>
      </w:r>
      <w:r w:rsidR="00C67B8F">
        <w:rPr>
          <w:rFonts w:ascii="Times New Roman" w:hAnsi="Times New Roman" w:cs="Times New Roman"/>
          <w:color w:val="000000" w:themeColor="text1"/>
          <w:sz w:val="20"/>
          <w:szCs w:val="20"/>
        </w:rPr>
        <w:fldChar w:fldCharType="separate"/>
      </w:r>
      <w:r w:rsidR="00E36623">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65</w:t>
      </w:r>
      <w:r w:rsidR="00E36623">
        <w:rPr>
          <w:rFonts w:ascii="Times New Roman" w:hAnsi="Times New Roman" w:cs="Times New Roman"/>
          <w:color w:val="000000"/>
          <w:sz w:val="20"/>
          <w:lang w:val="en-US"/>
        </w:rPr>
        <w:t>]</w:t>
      </w:r>
      <w:r w:rsidR="00C67B8F">
        <w:rPr>
          <w:rFonts w:ascii="Times New Roman" w:hAnsi="Times New Roman" w:cs="Times New Roman"/>
          <w:color w:val="000000" w:themeColor="text1"/>
          <w:sz w:val="20"/>
          <w:szCs w:val="20"/>
        </w:rPr>
        <w:fldChar w:fldCharType="end"/>
      </w:r>
      <w:r w:rsidR="007731E9">
        <w:rPr>
          <w:rFonts w:ascii="Times New Roman" w:hAnsi="Times New Roman" w:cs="Times New Roman"/>
          <w:color w:val="000000" w:themeColor="text1"/>
          <w:sz w:val="20"/>
          <w:szCs w:val="20"/>
        </w:rPr>
        <w:t xml:space="preserve"> speaks to an underlying symbiosis between the neuron and the cells responsible for its myelination. </w:t>
      </w:r>
      <w:r w:rsidR="00A45E63">
        <w:rPr>
          <w:rFonts w:ascii="Times New Roman" w:hAnsi="Times New Roman" w:cs="Times New Roman"/>
          <w:color w:val="000000" w:themeColor="text1"/>
          <w:sz w:val="20"/>
          <w:szCs w:val="20"/>
        </w:rPr>
        <w:t>In the peripheral nervous system,</w:t>
      </w:r>
      <w:r w:rsidR="00F2347A">
        <w:rPr>
          <w:rFonts w:ascii="Times New Roman" w:hAnsi="Times New Roman" w:cs="Times New Roman"/>
          <w:color w:val="000000" w:themeColor="text1"/>
          <w:sz w:val="20"/>
          <w:szCs w:val="20"/>
        </w:rPr>
        <w:t xml:space="preserve"> </w:t>
      </w:r>
      <w:r w:rsidR="00DC5396">
        <w:rPr>
          <w:rFonts w:ascii="Times New Roman" w:hAnsi="Times New Roman" w:cs="Times New Roman"/>
          <w:color w:val="000000" w:themeColor="text1"/>
          <w:sz w:val="20"/>
          <w:szCs w:val="20"/>
        </w:rPr>
        <w:t>the</w:t>
      </w:r>
      <w:r>
        <w:rPr>
          <w:rFonts w:ascii="Times New Roman" w:hAnsi="Times New Roman" w:cs="Times New Roman"/>
          <w:color w:val="000000" w:themeColor="text1"/>
          <w:sz w:val="20"/>
          <w:szCs w:val="20"/>
        </w:rPr>
        <w:t>re</w:t>
      </w:r>
      <w:r w:rsidR="00DC5396">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xml:space="preserve">is a </w:t>
      </w:r>
      <w:r w:rsidR="00DC5396">
        <w:rPr>
          <w:rFonts w:ascii="Times New Roman" w:hAnsi="Times New Roman" w:cs="Times New Roman"/>
          <w:color w:val="000000" w:themeColor="text1"/>
          <w:sz w:val="20"/>
          <w:szCs w:val="20"/>
        </w:rPr>
        <w:t>necessary</w:t>
      </w:r>
      <w:r w:rsidR="00F2347A">
        <w:rPr>
          <w:rFonts w:ascii="Times New Roman" w:hAnsi="Times New Roman" w:cs="Times New Roman"/>
          <w:color w:val="000000" w:themeColor="text1"/>
          <w:sz w:val="20"/>
          <w:szCs w:val="20"/>
        </w:rPr>
        <w:t xml:space="preserve"> relationship</w:t>
      </w:r>
      <w:r w:rsidR="003F3B3F">
        <w:rPr>
          <w:rFonts w:ascii="Times New Roman" w:hAnsi="Times New Roman" w:cs="Times New Roman"/>
          <w:color w:val="000000" w:themeColor="text1"/>
          <w:sz w:val="20"/>
          <w:szCs w:val="20"/>
        </w:rPr>
        <w:t xml:space="preserve"> between axon and Schwann cell</w:t>
      </w:r>
      <w:r>
        <w:rPr>
          <w:rFonts w:ascii="Times New Roman" w:hAnsi="Times New Roman" w:cs="Times New Roman"/>
          <w:color w:val="000000" w:themeColor="text1"/>
          <w:sz w:val="20"/>
          <w:szCs w:val="20"/>
        </w:rPr>
        <w:t xml:space="preserve">, </w:t>
      </w:r>
      <w:r w:rsidR="00F2347A">
        <w:rPr>
          <w:rFonts w:ascii="Times New Roman" w:hAnsi="Times New Roman" w:cs="Times New Roman"/>
          <w:color w:val="000000" w:themeColor="text1"/>
          <w:sz w:val="20"/>
          <w:szCs w:val="20"/>
        </w:rPr>
        <w:t xml:space="preserve">exemplified </w:t>
      </w:r>
      <w:r w:rsidR="00755EC1">
        <w:rPr>
          <w:rFonts w:ascii="Times New Roman" w:hAnsi="Times New Roman" w:cs="Times New Roman"/>
          <w:color w:val="000000" w:themeColor="text1"/>
          <w:sz w:val="20"/>
          <w:szCs w:val="20"/>
        </w:rPr>
        <w:t>by</w:t>
      </w:r>
      <w:r w:rsidR="00A45E63">
        <w:rPr>
          <w:rFonts w:ascii="Times New Roman" w:hAnsi="Times New Roman" w:cs="Times New Roman"/>
          <w:color w:val="000000" w:themeColor="text1"/>
          <w:sz w:val="20"/>
          <w:szCs w:val="20"/>
        </w:rPr>
        <w:t xml:space="preserve"> </w:t>
      </w:r>
      <w:r w:rsidR="00CB7FD7">
        <w:rPr>
          <w:rFonts w:ascii="Times New Roman" w:hAnsi="Times New Roman" w:cs="Times New Roman"/>
          <w:color w:val="000000" w:themeColor="text1"/>
          <w:sz w:val="20"/>
          <w:szCs w:val="20"/>
        </w:rPr>
        <w:t>dependency on the</w:t>
      </w:r>
      <w:r w:rsidR="00B37250">
        <w:rPr>
          <w:rFonts w:ascii="Times New Roman" w:hAnsi="Times New Roman" w:cs="Times New Roman"/>
          <w:color w:val="000000" w:themeColor="text1"/>
          <w:sz w:val="20"/>
          <w:szCs w:val="20"/>
        </w:rPr>
        <w:t xml:space="preserve"> neuron-derived</w:t>
      </w:r>
      <w:r w:rsidR="00E67CC4">
        <w:rPr>
          <w:rFonts w:ascii="Times New Roman" w:hAnsi="Times New Roman" w:cs="Times New Roman"/>
          <w:color w:val="000000" w:themeColor="text1"/>
          <w:sz w:val="20"/>
          <w:szCs w:val="20"/>
        </w:rPr>
        <w:t xml:space="preserve"> growth factor </w:t>
      </w:r>
      <w:r w:rsidR="00A45E63">
        <w:rPr>
          <w:rFonts w:ascii="Times New Roman" w:hAnsi="Times New Roman" w:cs="Times New Roman"/>
          <w:color w:val="000000" w:themeColor="text1"/>
          <w:sz w:val="20"/>
          <w:szCs w:val="20"/>
        </w:rPr>
        <w:t>Neuregulin 1</w:t>
      </w:r>
      <w:r w:rsidR="00E67CC4">
        <w:rPr>
          <w:rFonts w:ascii="Times New Roman" w:hAnsi="Times New Roman" w:cs="Times New Roman"/>
          <w:color w:val="000000" w:themeColor="text1"/>
          <w:sz w:val="20"/>
          <w:szCs w:val="20"/>
        </w:rPr>
        <w:t xml:space="preserve"> </w:t>
      </w:r>
      <w:r w:rsidR="00CB7FD7">
        <w:rPr>
          <w:rFonts w:ascii="Times New Roman" w:hAnsi="Times New Roman" w:cs="Times New Roman"/>
          <w:color w:val="000000" w:themeColor="text1"/>
          <w:sz w:val="20"/>
          <w:szCs w:val="20"/>
        </w:rPr>
        <w:t>to drive</w:t>
      </w:r>
      <w:r w:rsidR="00755EC1">
        <w:rPr>
          <w:rFonts w:ascii="Times New Roman" w:hAnsi="Times New Roman" w:cs="Times New Roman"/>
          <w:color w:val="000000" w:themeColor="text1"/>
          <w:sz w:val="20"/>
          <w:szCs w:val="20"/>
        </w:rPr>
        <w:t xml:space="preserve"> peripheral nerve myelination</w:t>
      </w:r>
      <w:r w:rsidR="00C67B8F">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{"citationID":"armrgk2kgr","properties":{"formattedCitation":"(66)","plainCitation":"(66)","noteIndex":0},"citationItems":[{"id":375,"uris":["http://zotero.org/users/local/OxFKn8nN/items/73TXJ4LH"],"uri":["http://zotero.org</w:instrText>
      </w:r>
      <w:r w:rsidR="00AA2F7B">
        <w:rPr>
          <w:rFonts w:ascii="Times New Roman" w:hAnsi="Times New Roman" w:cs="Times New Roman" w:hint="eastAsia"/>
          <w:color w:val="000000" w:themeColor="text1"/>
          <w:sz w:val="20"/>
          <w:szCs w:val="20"/>
        </w:rPr>
        <w:instrText>/users/local/OxFKn8nN/items/73TXJ4LH"],"itemData":{"id":375,"type":"article-journal","title":"Neuregulin</w:instrText>
      </w:r>
      <w:r w:rsidR="00AA2F7B">
        <w:rPr>
          <w:rFonts w:ascii="Times New Roman" w:hAnsi="Times New Roman" w:cs="Times New Roman" w:hint="eastAsia"/>
          <w:color w:val="000000" w:themeColor="text1"/>
          <w:sz w:val="20"/>
          <w:szCs w:val="20"/>
        </w:rPr>
        <w:instrText>‐</w:instrText>
      </w:r>
      <w:r w:rsidR="00AA2F7B">
        <w:rPr>
          <w:rFonts w:ascii="Times New Roman" w:hAnsi="Times New Roman" w:cs="Times New Roman" w:hint="eastAsia"/>
          <w:color w:val="000000" w:themeColor="text1"/>
          <w:sz w:val="20"/>
          <w:szCs w:val="20"/>
        </w:rPr>
        <w:instrText>1, a key axonal signal that drives Schwann cell growth and differentiation","container-title":"Glia","page":"1491-1497","volume":"56","issue":"14","ab</w:instrText>
      </w:r>
      <w:r w:rsidR="00AA2F7B">
        <w:rPr>
          <w:rFonts w:ascii="Times New Roman" w:hAnsi="Times New Roman" w:cs="Times New Roman"/>
          <w:color w:val="000000" w:themeColor="text1"/>
          <w:sz w:val="20"/>
          <w:szCs w:val="20"/>
        </w:rPr>
        <w:instrText>stract":"Interactions between neuronal and glial cells are crucial for establishing a functional nervous system. Many aspects of Schwann cell development and physiology are regulated by neuronal signals; possibly the most spectacular is the elaboration of the myelin sheath. An extensive line of research has revealed that one neuronal factor, termed “neuregulin”, promotes Schwann cell growth and survival, migration along the extending axon, and myelination. The versatility of glial responses elicited by th</w:instrText>
      </w:r>
      <w:r w:rsidR="00AA2F7B">
        <w:rPr>
          <w:rFonts w:ascii="Times New Roman" w:hAnsi="Times New Roman" w:cs="Times New Roman" w:hint="eastAsia"/>
          <w:color w:val="000000" w:themeColor="text1"/>
          <w:sz w:val="20"/>
          <w:szCs w:val="20"/>
        </w:rPr>
        <w:instrText>is factor is thus clearly astounding. © 2008 Wiley-Liss, Inc.","DOI":"10.1002/glia.20753","ISSN":"1098-1136","journalAbbreviation":"Glia","author":[{"family":"Birchmeier","given":"Carmen"},{"family":"Nave","given":"Klaus</w:instrText>
      </w:r>
      <w:r w:rsidR="00AA2F7B">
        <w:rPr>
          <w:rFonts w:ascii="Times New Roman" w:hAnsi="Times New Roman" w:cs="Times New Roman" w:hint="eastAsia"/>
          <w:color w:val="000000" w:themeColor="text1"/>
          <w:sz w:val="20"/>
          <w:szCs w:val="20"/>
        </w:rPr>
        <w:instrText>‐</w:instrText>
      </w:r>
      <w:r w:rsidR="00AA2F7B">
        <w:rPr>
          <w:rFonts w:ascii="Times New Roman" w:hAnsi="Times New Roman" w:cs="Times New Roman" w:hint="eastAsia"/>
          <w:color w:val="000000" w:themeColor="text1"/>
          <w:sz w:val="20"/>
          <w:szCs w:val="20"/>
        </w:rPr>
        <w:instrText>Armin"}],"issued":{"date-parts":[[</w:instrText>
      </w:r>
      <w:r w:rsidR="00AA2F7B">
        <w:rPr>
          <w:rFonts w:ascii="Times New Roman" w:hAnsi="Times New Roman" w:cs="Times New Roman"/>
          <w:color w:val="000000" w:themeColor="text1"/>
          <w:sz w:val="20"/>
          <w:szCs w:val="20"/>
        </w:rPr>
        <w:instrText xml:space="preserve">"2008"]]}}}],"schema":"https://github.com/citation-style-language/schema/raw/master/csl-citation.json"} </w:instrText>
      </w:r>
      <w:r w:rsidR="00C67B8F">
        <w:rPr>
          <w:rFonts w:ascii="Times New Roman" w:hAnsi="Times New Roman" w:cs="Times New Roman"/>
          <w:color w:val="000000" w:themeColor="text1"/>
          <w:sz w:val="20"/>
          <w:szCs w:val="20"/>
        </w:rPr>
        <w:fldChar w:fldCharType="separate"/>
      </w:r>
      <w:r w:rsidR="00E36623">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66</w:t>
      </w:r>
      <w:r w:rsidR="00E36623">
        <w:rPr>
          <w:rFonts w:ascii="Times New Roman" w:hAnsi="Times New Roman" w:cs="Times New Roman"/>
          <w:color w:val="000000"/>
          <w:sz w:val="20"/>
          <w:lang w:val="en-US"/>
        </w:rPr>
        <w:t>]</w:t>
      </w:r>
      <w:r w:rsidR="00C67B8F">
        <w:rPr>
          <w:rFonts w:ascii="Times New Roman" w:hAnsi="Times New Roman" w:cs="Times New Roman"/>
          <w:color w:val="000000" w:themeColor="text1"/>
          <w:sz w:val="20"/>
          <w:szCs w:val="20"/>
        </w:rPr>
        <w:fldChar w:fldCharType="end"/>
      </w:r>
      <w:r w:rsidR="00E67CC4">
        <w:rPr>
          <w:rFonts w:ascii="Times New Roman" w:hAnsi="Times New Roman" w:cs="Times New Roman"/>
          <w:color w:val="000000" w:themeColor="text1"/>
          <w:sz w:val="20"/>
          <w:szCs w:val="20"/>
        </w:rPr>
        <w:t>.</w:t>
      </w:r>
      <w:r w:rsidR="000C2F29">
        <w:rPr>
          <w:rFonts w:ascii="Times New Roman" w:hAnsi="Times New Roman" w:cs="Times New Roman"/>
          <w:color w:val="000000" w:themeColor="text1"/>
          <w:sz w:val="20"/>
          <w:szCs w:val="20"/>
        </w:rPr>
        <w:t xml:space="preserve"> I</w:t>
      </w:r>
      <w:r w:rsidR="00F2347A">
        <w:rPr>
          <w:rFonts w:ascii="Times New Roman" w:hAnsi="Times New Roman" w:cs="Times New Roman"/>
          <w:color w:val="000000" w:themeColor="text1"/>
          <w:sz w:val="20"/>
          <w:szCs w:val="20"/>
        </w:rPr>
        <w:t>n the CNS</w:t>
      </w:r>
      <w:r w:rsidR="00755EC1">
        <w:rPr>
          <w:rFonts w:ascii="Times New Roman" w:hAnsi="Times New Roman" w:cs="Times New Roman"/>
          <w:color w:val="000000" w:themeColor="text1"/>
          <w:sz w:val="20"/>
          <w:szCs w:val="20"/>
        </w:rPr>
        <w:t>,</w:t>
      </w:r>
      <w:r w:rsidR="00F2347A">
        <w:rPr>
          <w:rFonts w:ascii="Times New Roman" w:hAnsi="Times New Roman" w:cs="Times New Roman"/>
          <w:color w:val="000000" w:themeColor="text1"/>
          <w:sz w:val="20"/>
          <w:szCs w:val="20"/>
        </w:rPr>
        <w:t xml:space="preserve"> </w:t>
      </w:r>
      <w:r w:rsidR="0034544B">
        <w:rPr>
          <w:rFonts w:ascii="Times New Roman" w:hAnsi="Times New Roman" w:cs="Times New Roman"/>
          <w:color w:val="000000" w:themeColor="text1"/>
          <w:sz w:val="20"/>
          <w:szCs w:val="20"/>
        </w:rPr>
        <w:t>OPCs are able to differentiate even in the absence of axons</w:t>
      </w:r>
      <w:r w:rsidR="00C67B8F">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20ikahjr5d","properties":{"formattedCitation":"(67,68)","plainCitation":"(67,68)","noteIndex":0},"citationItems":[{"id":376,"uris":["http://zotero.org/users/local/OxFKn8nN/items/NQAJ7KPQ"],"uri":["http://zotero.org/users/local/OxFKn8nN/items/NQAJ7KPQ"],"itemData":{"id":376,"type":"article-journal","title":"Rat Optic Nerve Oligodendrocytes Develop in the Absence of Viable Retinal Ganglion Cell Axons","container-title":"The Journal of Cell Biology","page":"1365","volume":"146","issue":"6","abstract":"Retinal ganglion cell axons and axonal electrical activity have been considered essential for migration, proliferation, and survival of oligodendrocyte lineage cells in the optic nerve. To define axonal requirements during oligodendrogenesis, the developmental appearance of oligodendrocyte progenitors and oligodendrocytes were compared between normal and transected optic nerves. In the absence of viable axons, oligodendrocyte precursors migrated along the length of the nerve and subsequently multiplied and differentiated into myelin basic protein–positive oligodendrocytes at similar densities and with similar temporal and spatial patterns as in control nerves. Since transected optic nerves failed to grow radially, the number of oligodendrocyte lineage cells was reduced compared with control nerves. However, the mitotic indices of progenitors and the percentage of oligodendrocytes undergoing programmed cell death were similar in control and transected optic nerves. Oligodendrocytes lacked their normal longitudinal orientation, developed fewer, shorter processes, and failed to form myelin in the transected nerves. These data indicate that normal densities of oligodendrocytes can develop in the absence of viable retinal ganglion axons, and support the possibility that axons assure their own myelination by regulating the number of myelin internodes formed by individual oligodendrocytes.","DOI":"10.1083/jcb.146.6.1365","journalAbbreviation":"J Cell Biol","author":[{"family":"Ueda","given":"H."},{"family":"Levine","given":"J.M."},{"family":"Miller","given":"R.H."},{"family":"Trapp","given":"B.D."}],"issued":{"date-parts":[["1999",9,20]]}}},{"id":377,"uris":["http://zotero.org/users/local/OxFKn8nN/items/JLG6PP7R"],"uri":["http://zotero.org/users/local/OxFKn8nN/items/JLG6PP7R"],"itemData":{"id":377,"type":"article-journal","title":"Oligodendrocyte Development in the Absence of Their Target Axons In Vivo","container-title":"PLOS ONE","page":"e0164432","volume":"11","issue":"10","abstract":"Oligodendrocytes form myelin around axons of the central nervous system, enabling saltatory conduction. Recent work has established that axons can regulate certain aspects of oligodendrocyte development and myelination, yet remarkably oligodendrocytes in culture retain the ability to differentiate in the absence of axons and elaborate myelin sheaths around synthetic axon-like substrates. It remains unclear the extent to which the life-course of oligodendrocytes requires the presence of, or signals derived from axons in vivo. In particular, it is unclear whether the specific axons fated for myelination regulate the oligodendrocyte population in a living organism, and if so, which precise steps of oligodendrocyte-cell lineage progression are regulated by target axons. Here, we use live-imaging of zebrafish larvae carrying transgenic reporters that label oligodendrocyte-lineage cells to investigate which aspects of oligodendrocyte development, from specification to differentiation, are affected when we manipulate the target axonal environment. To drastically reduce the number of axons targeted for myelination, we use a previously identified kinesin-binding protein (kbp) mutant, in which the first myelinated axons in the spinal cord, reticulospinal axons, do not fully grow in length, creating a region in the posterior spinal cord where most initial targets for myelination are absent. We find that a 73% reduction of reticulospinal axon surface in the posterior spinal cord of kbp mutants results in a 27% reduction in the number of oligodendrocytes. By time-lapse analysis of transgenic OPC reporters, we find that the reduction in oligodendrocyte number is explained by a reduction in OPC proliferation and survival. Interestingly, OPC specification and migration are unaltered in the near absence of normal axonal targets. Finally, we find that timely differentiation of OPCs into oligodendrocytes does not depend at all on the presence of target axons. Together, our data illustrate the power of zebrafish for studying the entire life-course of the oligodendrocyte lineage in vivo in an altered axonal environment.","DOI":"10.1371/journal.pone.0164432","journalAbbreviation":"PLOS ONE","author":[{"family":"Almeida","given":"Rafael"},{"family":"Lyons","given":"David"}],"issued":{"date-parts":[["2016",10,7]]}}}],"schema":"https://github.com/citation-style-language/schema/raw/master/csl-citation.json"} </w:instrText>
      </w:r>
      <w:r w:rsidR="00C67B8F">
        <w:rPr>
          <w:rFonts w:ascii="Times New Roman" w:hAnsi="Times New Roman" w:cs="Times New Roman"/>
          <w:color w:val="000000" w:themeColor="text1"/>
          <w:sz w:val="20"/>
          <w:szCs w:val="20"/>
        </w:rPr>
        <w:fldChar w:fldCharType="separate"/>
      </w:r>
      <w:r w:rsidR="00E36623">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67,68</w:t>
      </w:r>
      <w:r w:rsidR="00E36623">
        <w:rPr>
          <w:rFonts w:ascii="Times New Roman" w:hAnsi="Times New Roman" w:cs="Times New Roman"/>
          <w:color w:val="000000"/>
          <w:sz w:val="20"/>
          <w:lang w:val="en-US"/>
        </w:rPr>
        <w:t>]</w:t>
      </w:r>
      <w:r w:rsidR="00C67B8F">
        <w:rPr>
          <w:rFonts w:ascii="Times New Roman" w:hAnsi="Times New Roman" w:cs="Times New Roman"/>
          <w:color w:val="000000" w:themeColor="text1"/>
          <w:sz w:val="20"/>
          <w:szCs w:val="20"/>
        </w:rPr>
        <w:fldChar w:fldCharType="end"/>
      </w:r>
      <w:r w:rsidR="0034544B">
        <w:rPr>
          <w:rFonts w:ascii="Times New Roman" w:hAnsi="Times New Roman" w:cs="Times New Roman"/>
          <w:color w:val="000000" w:themeColor="text1"/>
          <w:sz w:val="20"/>
          <w:szCs w:val="20"/>
        </w:rPr>
        <w:t xml:space="preserve"> and, as will be discussed below, </w:t>
      </w:r>
      <w:r w:rsidR="00A45E63">
        <w:rPr>
          <w:rFonts w:ascii="Times New Roman" w:hAnsi="Times New Roman" w:cs="Times New Roman"/>
          <w:color w:val="000000" w:themeColor="text1"/>
          <w:sz w:val="20"/>
          <w:szCs w:val="20"/>
        </w:rPr>
        <w:t xml:space="preserve">in culture are able to myelinate inert </w:t>
      </w:r>
      <w:r w:rsidR="00A45E63">
        <w:rPr>
          <w:rFonts w:ascii="Times New Roman" w:hAnsi="Times New Roman" w:cs="Times New Roman"/>
          <w:color w:val="000000" w:themeColor="text1"/>
          <w:sz w:val="20"/>
          <w:szCs w:val="20"/>
        </w:rPr>
        <w:lastRenderedPageBreak/>
        <w:t>axon-like substrates</w:t>
      </w:r>
      <w:r w:rsidR="00C67B8F">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1pojm3ijoq","properties":{"formattedCitation":"(69,70)","plainCitation":"(69,70)","noteIndex":0},"citationItems":[{"id":216,"uris":["http://zotero.org/users/local/OxFKn8nN/items/YB4T24IY"],"uri":["http://zotero.org/users/local/OxFKn8nN/items/YB4T24IY"],"itemData":{"id":216,"type":"article-journal","title":"Micropillar arrays as a high-throughput screening platform for therapeutics in multiple sclerosis","container-title":"Nature medicine","page":"954-960","volume":"20","issue":"8","archive":"PubMed","archive_location":"24997607","abstract":"Functional screening for compounds that promote remyelination represents a major hurdle in the development of rational therapeutics for multiple sclerosis. Screening for remyelination is problematic, as myelination requires the presence of axons. Standard methods do not resolve cell-autonomous effects and are not suited for high-throughput formats. Here we describe a binary indicant for myelination using micropillar arrays (BIMA). Engineered with conical dimensions, micropillars permit resolution of the extent and length of membrane wrapping from a single two-dimensional image. Confocal imaging acquired from the base to the tip of the pillars allows for detection of concentric wrapping observed as 'rings' of myelin. The platform is formatted in 96-well plates, amenable to semiautomated random acquisition and automated detection and quantification. Upon screening 1,000 bioactive molecules, we identified a cluster of antimuscarinic compounds that enhance oligodendrocyte differentiation and remyelination. Our findings demonstrate a new high-throughput screening platform for potential regenerative therapeutics in multiple sclerosis.","DOI":"10.1038/nm.3618","ISSN":"1546-170X","author":[{"family":"Mei","given":"Feng"},{"family":"Fancy","given":"Stephen P J"},{"family":"Shen","given":"Yun-An A"},{"family":"Niu","given":"Jianqin"},{"family":"Zhao","given":"Chao"},{"family":"Presley","given":"Bryan"},{"family":"Miao","given":"Edna"},{"family":"Lee","given":"Seonok"},{"family":"Mayoral","given":"Sonia R"},{"family":"Redmond","given":"Stephanie A"},{"family":"Etxeberria","given":"Ainhoa"},{"family":"Xiao","given":"Lan"},{"family":"Franklin","given":"Robin J M"},{"family":"Green","given":"Ari"},{"family":"Hauser","given":"Stephen L"},{"family":"Chan","given":"Jonah R"}],"issued":{"date-parts":[["2014",8]]}}},{"id":378,"uris":["http://zotero.org/users/local/OxFKn8nN/items/VQWHQQ4X"],"uri":["http://zotero.org/users/local/OxFKn8nN/items/VQWHQQ4X"],"itemData":{"id":378,"type":"article-journal","title":"A culture system to study oligodendrocyte myelination processes using engineered nanofibers","container-title":"Nature Methods","page":"917","volume":"9","journalAbbreviation":"Nature Methods","author":[{"family":"Lee","given":"Seonok"},{"family":"Leach","given":"Michelle K"},{"family":"Redmond","given":"Stephanie A"},{"family":"Chong","given":"S Y Christin"},{"family":"Mellon","given":"Synthia H"},{"family":"Tuck","given":"Samuel J"},{"family":"Feng","given":"Zhang-Qi"},{"family":"Corey","given":"Joseph M"},{"family":"Chan","given":"Jonah R"}],"issued":{"date-parts":[["2012",7,15]]}}}],"schema":"https://github.com/citation-style-language/schema/raw/master/csl-citation.json"} </w:instrText>
      </w:r>
      <w:r w:rsidR="00C67B8F">
        <w:rPr>
          <w:rFonts w:ascii="Times New Roman" w:hAnsi="Times New Roman" w:cs="Times New Roman"/>
          <w:color w:val="000000" w:themeColor="text1"/>
          <w:sz w:val="20"/>
          <w:szCs w:val="20"/>
        </w:rPr>
        <w:fldChar w:fldCharType="separate"/>
      </w:r>
      <w:r w:rsidR="00022287">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69,70</w:t>
      </w:r>
      <w:r w:rsidR="00022287">
        <w:rPr>
          <w:rFonts w:ascii="Times New Roman" w:hAnsi="Times New Roman" w:cs="Times New Roman"/>
          <w:color w:val="000000"/>
          <w:sz w:val="20"/>
          <w:lang w:val="en-US"/>
        </w:rPr>
        <w:t>]</w:t>
      </w:r>
      <w:r w:rsidR="00C67B8F">
        <w:rPr>
          <w:rFonts w:ascii="Times New Roman" w:hAnsi="Times New Roman" w:cs="Times New Roman"/>
          <w:color w:val="000000" w:themeColor="text1"/>
          <w:sz w:val="20"/>
          <w:szCs w:val="20"/>
        </w:rPr>
        <w:fldChar w:fldCharType="end"/>
      </w:r>
      <w:r w:rsidR="00A45E63">
        <w:rPr>
          <w:rFonts w:ascii="Times New Roman" w:hAnsi="Times New Roman" w:cs="Times New Roman"/>
          <w:color w:val="000000" w:themeColor="text1"/>
          <w:sz w:val="20"/>
          <w:szCs w:val="20"/>
        </w:rPr>
        <w:t xml:space="preserve">. </w:t>
      </w:r>
      <w:r w:rsidR="000C2F29">
        <w:rPr>
          <w:rFonts w:ascii="Times New Roman" w:hAnsi="Times New Roman" w:cs="Times New Roman"/>
          <w:color w:val="000000" w:themeColor="text1"/>
          <w:sz w:val="20"/>
          <w:szCs w:val="20"/>
        </w:rPr>
        <w:t xml:space="preserve">Yet, while oligodendrocytes </w:t>
      </w:r>
      <w:r w:rsidR="00B37250">
        <w:rPr>
          <w:rFonts w:ascii="Times New Roman" w:hAnsi="Times New Roman" w:cs="Times New Roman"/>
          <w:color w:val="000000" w:themeColor="text1"/>
          <w:sz w:val="20"/>
          <w:szCs w:val="20"/>
        </w:rPr>
        <w:t>have a default ability to differentiate and myelinate</w:t>
      </w:r>
      <w:r w:rsidR="000C2F29">
        <w:rPr>
          <w:rFonts w:ascii="Times New Roman" w:hAnsi="Times New Roman" w:cs="Times New Roman"/>
          <w:color w:val="000000" w:themeColor="text1"/>
          <w:sz w:val="20"/>
          <w:szCs w:val="20"/>
        </w:rPr>
        <w:t xml:space="preserve"> axons</w:t>
      </w:r>
      <w:r w:rsidR="00DC5396">
        <w:rPr>
          <w:rFonts w:ascii="Times New Roman" w:hAnsi="Times New Roman" w:cs="Times New Roman"/>
          <w:color w:val="000000" w:themeColor="text1"/>
          <w:sz w:val="20"/>
          <w:szCs w:val="20"/>
        </w:rPr>
        <w:t xml:space="preserve">, </w:t>
      </w:r>
      <w:r w:rsidR="000C2F29">
        <w:rPr>
          <w:rFonts w:ascii="Times New Roman" w:hAnsi="Times New Roman" w:cs="Times New Roman"/>
          <w:color w:val="000000" w:themeColor="text1"/>
          <w:sz w:val="20"/>
          <w:szCs w:val="20"/>
        </w:rPr>
        <w:t>this</w:t>
      </w:r>
      <w:r w:rsidR="00DC5396">
        <w:rPr>
          <w:rFonts w:ascii="Times New Roman" w:hAnsi="Times New Roman" w:cs="Times New Roman"/>
          <w:color w:val="000000" w:themeColor="text1"/>
          <w:sz w:val="20"/>
          <w:szCs w:val="20"/>
        </w:rPr>
        <w:t xml:space="preserve"> </w:t>
      </w:r>
      <w:r w:rsidR="000C2F29">
        <w:rPr>
          <w:rFonts w:ascii="Times New Roman" w:hAnsi="Times New Roman" w:cs="Times New Roman"/>
          <w:color w:val="000000" w:themeColor="text1"/>
          <w:sz w:val="20"/>
          <w:szCs w:val="20"/>
        </w:rPr>
        <w:t>is</w:t>
      </w:r>
      <w:r w:rsidR="00DC5396">
        <w:rPr>
          <w:rFonts w:ascii="Times New Roman" w:hAnsi="Times New Roman" w:cs="Times New Roman"/>
          <w:color w:val="000000" w:themeColor="text1"/>
          <w:sz w:val="20"/>
          <w:szCs w:val="20"/>
        </w:rPr>
        <w:t xml:space="preserve"> modulated by</w:t>
      </w:r>
      <w:r w:rsidR="00CB7FD7">
        <w:rPr>
          <w:rFonts w:ascii="Times New Roman" w:hAnsi="Times New Roman" w:cs="Times New Roman"/>
          <w:color w:val="000000" w:themeColor="text1"/>
          <w:sz w:val="20"/>
          <w:szCs w:val="20"/>
        </w:rPr>
        <w:t xml:space="preserve"> axon diameter and activity</w:t>
      </w:r>
      <w:r w:rsidR="007D7A86">
        <w:rPr>
          <w:rFonts w:ascii="Times New Roman" w:hAnsi="Times New Roman" w:cs="Times New Roman"/>
          <w:color w:val="000000" w:themeColor="text1"/>
          <w:sz w:val="20"/>
          <w:szCs w:val="20"/>
        </w:rPr>
        <w:t>, implying a requirement for intact axons in vivo</w:t>
      </w:r>
      <w:r w:rsidR="00C67B8F">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rrppej100","properties":{"formattedCitation":"(71)","plainCitation":"(71)","noteIndex":0},"citationItems":[{"id":373,"uris":["http://zotero.org/users/local/OxFKn8nN/items/PCQ674DE"],"uri":["http://zotero.org/users/local/OxFKn8nN/items/PCQ674DE"],"itemData":{"id":373,"type":"article-journal","title":"Axonal Regulation of Central Nervous System Myelination: Structure and Function","container-title":"The Neuroscientist","page":"7-21","volume":"24","issue":"1","abstract":"Approximately half of the human brain consists of myelinated axons. Central nervous system (CNS) myelin is made by oligodendrocytes and is essential for nervous system formation, health, and function. Once thought simply as a static insulator that facilitated rapid impulse conduction, myelin is now known to be made and remodeled in to adult life. Oligodendrocytes have a remarkable capacity to differentiate by default, but many aspects of their development can be influenced by axons. However, how axons and oligodendrocytes interact and cooperate to regulate myelination in the CNS remains unclear. Here, we review recent advances in our understanding of how such interactions generate the complexity of myelination known to exist in vivo. We highlight intriguing results that indicate that the cross-sectional size of an axon alone may regulate myelination to a surprising degree. We also review new studies, which have highlighted diversity in the myelination of axons of different neuronal subtypes and circuits, and structure-function relationships, which suggest that myelinated axons can be exquisitely fine-tuned to mediate precise conduction needs. We also discuss recent advances in our understanding of how neuronal activity regulates CNS myelination, and aim to provide an integrated overview of how axon-oligodendrocyte interactions sculpt neuronal circuit structure and function.","DOI":"10.1177/1073858417703030","ISSN":"1073-8584","journalAbbreviation":"Neuroscientist","author":[{"family":"Klingseisen","given":"Anna"},{"family":"Lyons","given":"David A."}],"issued":{"date-parts":[["2017",4,11]]}}}],"schema":"https://github.com/citation-style-language/schema/raw/master/csl-citation.json"} </w:instrText>
      </w:r>
      <w:r w:rsidR="00C67B8F">
        <w:rPr>
          <w:rFonts w:ascii="Times New Roman" w:hAnsi="Times New Roman" w:cs="Times New Roman"/>
          <w:color w:val="000000" w:themeColor="text1"/>
          <w:sz w:val="20"/>
          <w:szCs w:val="20"/>
        </w:rPr>
        <w:fldChar w:fldCharType="separate"/>
      </w:r>
      <w:r w:rsidR="00E36623">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71</w:t>
      </w:r>
      <w:r w:rsidR="00E36623">
        <w:rPr>
          <w:rFonts w:ascii="Times New Roman" w:hAnsi="Times New Roman" w:cs="Times New Roman"/>
          <w:color w:val="000000"/>
          <w:sz w:val="20"/>
          <w:lang w:val="en-US"/>
        </w:rPr>
        <w:t>]</w:t>
      </w:r>
      <w:r w:rsidR="00C67B8F">
        <w:rPr>
          <w:rFonts w:ascii="Times New Roman" w:hAnsi="Times New Roman" w:cs="Times New Roman"/>
          <w:color w:val="000000" w:themeColor="text1"/>
          <w:sz w:val="20"/>
          <w:szCs w:val="20"/>
        </w:rPr>
        <w:fldChar w:fldCharType="end"/>
      </w:r>
      <w:r w:rsidR="00CB7FD7">
        <w:rPr>
          <w:rFonts w:ascii="Times New Roman" w:hAnsi="Times New Roman" w:cs="Times New Roman"/>
          <w:color w:val="000000" w:themeColor="text1"/>
          <w:sz w:val="20"/>
          <w:szCs w:val="20"/>
        </w:rPr>
        <w:t xml:space="preserve">. </w:t>
      </w:r>
    </w:p>
    <w:p w14:paraId="1151F587" w14:textId="179B5D80" w:rsidR="00944DE1" w:rsidRPr="00003E8D" w:rsidRDefault="00F73F1E" w:rsidP="00006EF7">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Therefore, it </w:t>
      </w:r>
      <w:r w:rsidR="00330290">
        <w:rPr>
          <w:rFonts w:ascii="Times New Roman" w:hAnsi="Times New Roman" w:cs="Times New Roman"/>
          <w:color w:val="000000" w:themeColor="text1"/>
          <w:sz w:val="20"/>
          <w:szCs w:val="20"/>
        </w:rPr>
        <w:t xml:space="preserve">looks </w:t>
      </w:r>
      <w:r>
        <w:rPr>
          <w:rFonts w:ascii="Times New Roman" w:hAnsi="Times New Roman" w:cs="Times New Roman"/>
          <w:color w:val="000000" w:themeColor="text1"/>
          <w:sz w:val="20"/>
          <w:szCs w:val="20"/>
        </w:rPr>
        <w:t xml:space="preserve">increasingly </w:t>
      </w:r>
      <w:r w:rsidR="00A90425">
        <w:rPr>
          <w:rFonts w:ascii="Times New Roman" w:hAnsi="Times New Roman" w:cs="Times New Roman"/>
          <w:color w:val="000000" w:themeColor="text1"/>
          <w:sz w:val="20"/>
          <w:szCs w:val="20"/>
        </w:rPr>
        <w:t>probable</w:t>
      </w:r>
      <w:r>
        <w:rPr>
          <w:rFonts w:ascii="Times New Roman" w:hAnsi="Times New Roman" w:cs="Times New Roman"/>
          <w:color w:val="000000" w:themeColor="text1"/>
          <w:sz w:val="20"/>
          <w:szCs w:val="20"/>
        </w:rPr>
        <w:t xml:space="preserve"> that </w:t>
      </w:r>
      <w:r w:rsidR="00032CA8">
        <w:rPr>
          <w:rFonts w:ascii="Times New Roman" w:hAnsi="Times New Roman" w:cs="Times New Roman"/>
          <w:color w:val="000000" w:themeColor="text1"/>
          <w:sz w:val="20"/>
          <w:szCs w:val="20"/>
        </w:rPr>
        <w:t xml:space="preserve">combinations of </w:t>
      </w:r>
      <w:r>
        <w:rPr>
          <w:rFonts w:ascii="Times New Roman" w:hAnsi="Times New Roman" w:cs="Times New Roman"/>
          <w:color w:val="000000" w:themeColor="text1"/>
          <w:sz w:val="20"/>
          <w:szCs w:val="20"/>
        </w:rPr>
        <w:t>drugs, acting on different processes, will be</w:t>
      </w:r>
      <w:r w:rsidR="00032CA8">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required to facilitate remyelination</w:t>
      </w:r>
      <w:r w:rsidR="007D7A86">
        <w:rPr>
          <w:rFonts w:ascii="Times New Roman" w:hAnsi="Times New Roman" w:cs="Times New Roman"/>
          <w:color w:val="000000" w:themeColor="text1"/>
          <w:sz w:val="20"/>
          <w:szCs w:val="20"/>
        </w:rPr>
        <w:t>,</w:t>
      </w:r>
      <w:r w:rsidR="00CB7FD7">
        <w:rPr>
          <w:rFonts w:ascii="Times New Roman" w:hAnsi="Times New Roman" w:cs="Times New Roman"/>
          <w:color w:val="000000" w:themeColor="text1"/>
          <w:sz w:val="20"/>
          <w:szCs w:val="20"/>
        </w:rPr>
        <w:t xml:space="preserve"> and that </w:t>
      </w:r>
      <w:r w:rsidR="00250C84">
        <w:rPr>
          <w:rFonts w:ascii="Times New Roman" w:hAnsi="Times New Roman" w:cs="Times New Roman"/>
          <w:color w:val="000000" w:themeColor="text1"/>
          <w:sz w:val="20"/>
          <w:szCs w:val="20"/>
        </w:rPr>
        <w:t>these will be</w:t>
      </w:r>
      <w:r w:rsidR="00E36623">
        <w:rPr>
          <w:rFonts w:ascii="Times New Roman" w:hAnsi="Times New Roman" w:cs="Times New Roman"/>
          <w:color w:val="000000" w:themeColor="text1"/>
          <w:sz w:val="20"/>
          <w:szCs w:val="20"/>
        </w:rPr>
        <w:t xml:space="preserve"> most</w:t>
      </w:r>
      <w:r w:rsidR="00250C84">
        <w:rPr>
          <w:rFonts w:ascii="Times New Roman" w:hAnsi="Times New Roman" w:cs="Times New Roman"/>
          <w:color w:val="000000" w:themeColor="text1"/>
          <w:sz w:val="20"/>
          <w:szCs w:val="20"/>
        </w:rPr>
        <w:t xml:space="preserve"> effective when there is a sufficiently preserved demyelinat</w:t>
      </w:r>
      <w:r w:rsidR="00300074">
        <w:rPr>
          <w:rFonts w:ascii="Times New Roman" w:hAnsi="Times New Roman" w:cs="Times New Roman"/>
          <w:color w:val="000000" w:themeColor="text1"/>
          <w:sz w:val="20"/>
          <w:szCs w:val="20"/>
        </w:rPr>
        <w:t>e</w:t>
      </w:r>
      <w:r w:rsidR="00250C84">
        <w:rPr>
          <w:rFonts w:ascii="Times New Roman" w:hAnsi="Times New Roman" w:cs="Times New Roman"/>
          <w:color w:val="000000" w:themeColor="text1"/>
          <w:sz w:val="20"/>
          <w:szCs w:val="20"/>
        </w:rPr>
        <w:t>d axon. This latter point forms the rationale for many phase 2 studies</w:t>
      </w:r>
      <w:r w:rsidR="00006EF7">
        <w:rPr>
          <w:rFonts w:ascii="Times New Roman" w:hAnsi="Times New Roman" w:cs="Times New Roman"/>
          <w:color w:val="000000" w:themeColor="text1"/>
          <w:sz w:val="20"/>
          <w:szCs w:val="20"/>
        </w:rPr>
        <w:t xml:space="preserve"> first</w:t>
      </w:r>
      <w:r w:rsidR="00250C84">
        <w:rPr>
          <w:rFonts w:ascii="Times New Roman" w:hAnsi="Times New Roman" w:cs="Times New Roman"/>
          <w:color w:val="000000" w:themeColor="text1"/>
          <w:sz w:val="20"/>
          <w:szCs w:val="20"/>
        </w:rPr>
        <w:t xml:space="preserve"> focussing on people with RRMS</w:t>
      </w:r>
      <w:r w:rsidR="00006EF7">
        <w:rPr>
          <w:rFonts w:ascii="Times New Roman" w:hAnsi="Times New Roman" w:cs="Times New Roman"/>
          <w:color w:val="000000" w:themeColor="text1"/>
          <w:sz w:val="20"/>
          <w:szCs w:val="20"/>
        </w:rPr>
        <w:t xml:space="preserve">, </w:t>
      </w:r>
      <w:r w:rsidR="00250C84">
        <w:rPr>
          <w:rFonts w:ascii="Times New Roman" w:hAnsi="Times New Roman" w:cs="Times New Roman"/>
          <w:color w:val="000000" w:themeColor="text1"/>
          <w:sz w:val="20"/>
          <w:szCs w:val="20"/>
        </w:rPr>
        <w:t xml:space="preserve">in </w:t>
      </w:r>
      <w:r w:rsidR="00006EF7">
        <w:rPr>
          <w:rFonts w:ascii="Times New Roman" w:hAnsi="Times New Roman" w:cs="Times New Roman"/>
          <w:color w:val="000000" w:themeColor="text1"/>
          <w:sz w:val="20"/>
          <w:szCs w:val="20"/>
        </w:rPr>
        <w:t xml:space="preserve">whom it is anticipated that </w:t>
      </w:r>
      <w:r w:rsidR="005A450C">
        <w:rPr>
          <w:rFonts w:ascii="Times New Roman" w:hAnsi="Times New Roman" w:cs="Times New Roman"/>
          <w:color w:val="000000" w:themeColor="text1"/>
          <w:sz w:val="20"/>
          <w:szCs w:val="20"/>
        </w:rPr>
        <w:t xml:space="preserve">fewer </w:t>
      </w:r>
      <w:r w:rsidR="00006EF7">
        <w:rPr>
          <w:rFonts w:ascii="Times New Roman" w:hAnsi="Times New Roman" w:cs="Times New Roman"/>
          <w:color w:val="000000" w:themeColor="text1"/>
          <w:sz w:val="20"/>
          <w:szCs w:val="20"/>
        </w:rPr>
        <w:t>axons will</w:t>
      </w:r>
      <w:r w:rsidR="004855C4">
        <w:rPr>
          <w:rFonts w:ascii="Times New Roman" w:hAnsi="Times New Roman" w:cs="Times New Roman"/>
          <w:color w:val="000000" w:themeColor="text1"/>
          <w:sz w:val="20"/>
          <w:szCs w:val="20"/>
        </w:rPr>
        <w:t xml:space="preserve"> have degenerated</w:t>
      </w:r>
      <w:r w:rsidR="00E36623">
        <w:rPr>
          <w:rFonts w:ascii="Times New Roman" w:hAnsi="Times New Roman" w:cs="Times New Roman"/>
          <w:color w:val="000000" w:themeColor="text1"/>
          <w:sz w:val="20"/>
          <w:szCs w:val="20"/>
        </w:rPr>
        <w:t>.</w:t>
      </w:r>
    </w:p>
    <w:p w14:paraId="343686C3" w14:textId="076518D3" w:rsidR="00B74079" w:rsidRDefault="00B74079" w:rsidP="00E17010">
      <w:pPr>
        <w:spacing w:line="480" w:lineRule="auto"/>
        <w:rPr>
          <w:rFonts w:ascii="Times New Roman" w:hAnsi="Times New Roman" w:cs="Times New Roman"/>
          <w:color w:val="000000" w:themeColor="text1"/>
          <w:sz w:val="20"/>
          <w:szCs w:val="20"/>
        </w:rPr>
      </w:pPr>
    </w:p>
    <w:tbl>
      <w:tblPr>
        <w:tblStyle w:val="TableGrid"/>
        <w:tblW w:w="0" w:type="auto"/>
        <w:tblLook w:val="04A0" w:firstRow="1" w:lastRow="0" w:firstColumn="1" w:lastColumn="0" w:noHBand="0" w:noVBand="1"/>
      </w:tblPr>
      <w:tblGrid>
        <w:gridCol w:w="9282"/>
      </w:tblGrid>
      <w:tr w:rsidR="00F73F1E" w14:paraId="73507537" w14:textId="77777777" w:rsidTr="00F73F1E">
        <w:tc>
          <w:tcPr>
            <w:tcW w:w="9282" w:type="dxa"/>
          </w:tcPr>
          <w:p w14:paraId="2FF6FF87" w14:textId="77777777" w:rsidR="00F73F1E" w:rsidRPr="008D1024" w:rsidRDefault="00F73F1E" w:rsidP="00E17010">
            <w:pPr>
              <w:spacing w:line="480" w:lineRule="auto"/>
              <w:rPr>
                <w:rFonts w:ascii="Times New Roman" w:hAnsi="Times New Roman" w:cs="Times New Roman"/>
                <w:b/>
                <w:sz w:val="20"/>
                <w:szCs w:val="20"/>
              </w:rPr>
            </w:pPr>
            <w:r w:rsidRPr="00057AEA">
              <w:rPr>
                <w:rFonts w:ascii="Times New Roman" w:hAnsi="Times New Roman" w:cs="Times New Roman"/>
                <w:b/>
                <w:color w:val="000000" w:themeColor="text1"/>
                <w:sz w:val="20"/>
                <w:szCs w:val="20"/>
              </w:rPr>
              <w:t>BOX 1: Animal model</w:t>
            </w:r>
            <w:r w:rsidRPr="008D1024">
              <w:rPr>
                <w:rFonts w:ascii="Times New Roman" w:hAnsi="Times New Roman" w:cs="Times New Roman"/>
                <w:b/>
                <w:sz w:val="20"/>
                <w:szCs w:val="20"/>
              </w:rPr>
              <w:t>s used to study remyelination</w:t>
            </w:r>
          </w:p>
          <w:p w14:paraId="31B5A00E" w14:textId="77777777" w:rsidR="00F73F1E" w:rsidRPr="008D1024" w:rsidRDefault="00F73F1E" w:rsidP="00E17010">
            <w:pPr>
              <w:spacing w:line="480" w:lineRule="auto"/>
              <w:rPr>
                <w:rFonts w:ascii="Times New Roman" w:hAnsi="Times New Roman" w:cs="Times New Roman"/>
                <w:sz w:val="20"/>
                <w:szCs w:val="20"/>
              </w:rPr>
            </w:pPr>
            <w:r w:rsidRPr="008D1024">
              <w:rPr>
                <w:rFonts w:ascii="Times New Roman" w:hAnsi="Times New Roman" w:cs="Times New Roman"/>
                <w:sz w:val="20"/>
                <w:szCs w:val="20"/>
              </w:rPr>
              <w:t>Remyelination has been studied in several animal models:</w:t>
            </w:r>
          </w:p>
          <w:p w14:paraId="634DF803" w14:textId="5BD50793" w:rsidR="00013725" w:rsidRPr="008D1024" w:rsidRDefault="00013725" w:rsidP="00E17010">
            <w:pPr>
              <w:pStyle w:val="ListParagraph"/>
              <w:numPr>
                <w:ilvl w:val="0"/>
                <w:numId w:val="28"/>
              </w:numPr>
              <w:spacing w:line="480" w:lineRule="auto"/>
              <w:rPr>
                <w:rFonts w:ascii="Times New Roman" w:hAnsi="Times New Roman" w:cs="Times New Roman"/>
                <w:sz w:val="20"/>
                <w:szCs w:val="20"/>
              </w:rPr>
            </w:pPr>
            <w:r w:rsidRPr="004379BD">
              <w:rPr>
                <w:rFonts w:ascii="Times New Roman" w:hAnsi="Times New Roman" w:cs="Times New Roman"/>
                <w:sz w:val="20"/>
                <w:szCs w:val="20"/>
              </w:rPr>
              <w:t>Experimental autoimmune encephalomyelitis (EAE): this model of autoimmune inflammation, driven by injection of a myelin peptide alongside an adjuvant, sees inflammation and remyelination occurring concurrently. However, when used experimentally to explore potential medicines, it is often hard to distinguish an effect of attenuation of inflammati</w:t>
            </w:r>
            <w:r w:rsidRPr="0086461F">
              <w:rPr>
                <w:rFonts w:ascii="Times New Roman" w:hAnsi="Times New Roman" w:cs="Times New Roman"/>
                <w:color w:val="000000" w:themeColor="text1"/>
                <w:sz w:val="20"/>
                <w:szCs w:val="20"/>
              </w:rPr>
              <w:t xml:space="preserve">on </w:t>
            </w:r>
            <w:r>
              <w:rPr>
                <w:rFonts w:ascii="Times New Roman" w:hAnsi="Times New Roman" w:cs="Times New Roman"/>
                <w:color w:val="000000" w:themeColor="text1"/>
                <w:sz w:val="20"/>
                <w:szCs w:val="20"/>
              </w:rPr>
              <w:t>from</w:t>
            </w:r>
            <w:r w:rsidRPr="0086461F">
              <w:rPr>
                <w:rFonts w:ascii="Times New Roman" w:hAnsi="Times New Roman" w:cs="Times New Roman"/>
                <w:color w:val="000000" w:themeColor="text1"/>
                <w:sz w:val="20"/>
                <w:szCs w:val="20"/>
              </w:rPr>
              <w:t xml:space="preserve"> promotion of remyelination.</w:t>
            </w:r>
            <w:r>
              <w:rPr>
                <w:rFonts w:ascii="Times New Roman" w:hAnsi="Times New Roman" w:cs="Times New Roman"/>
                <w:color w:val="000000" w:themeColor="text1"/>
                <w:sz w:val="20"/>
                <w:szCs w:val="20"/>
              </w:rPr>
              <w:t xml:space="preserve"> Hence non-inflamm</w:t>
            </w:r>
            <w:r w:rsidR="002F2DD9">
              <w:rPr>
                <w:rFonts w:ascii="Times New Roman" w:hAnsi="Times New Roman" w:cs="Times New Roman"/>
                <w:color w:val="000000" w:themeColor="text1"/>
                <w:sz w:val="20"/>
                <w:szCs w:val="20"/>
              </w:rPr>
              <w:t>a</w:t>
            </w:r>
            <w:r>
              <w:rPr>
                <w:rFonts w:ascii="Times New Roman" w:hAnsi="Times New Roman" w:cs="Times New Roman"/>
                <w:color w:val="000000" w:themeColor="text1"/>
                <w:sz w:val="20"/>
                <w:szCs w:val="20"/>
              </w:rPr>
              <w:t>tory models have been developed, as below.</w:t>
            </w:r>
          </w:p>
          <w:p w14:paraId="1FCA13E7" w14:textId="244C3C47" w:rsidR="00F73F1E" w:rsidRPr="00380A1A" w:rsidRDefault="00F73F1E" w:rsidP="00E17010">
            <w:pPr>
              <w:pStyle w:val="ListParagraph"/>
              <w:numPr>
                <w:ilvl w:val="0"/>
                <w:numId w:val="28"/>
              </w:numPr>
              <w:spacing w:line="480" w:lineRule="auto"/>
              <w:rPr>
                <w:rFonts w:ascii="Times New Roman" w:hAnsi="Times New Roman" w:cs="Times New Roman"/>
                <w:sz w:val="20"/>
                <w:szCs w:val="20"/>
              </w:rPr>
            </w:pPr>
            <w:r w:rsidRPr="008D1024">
              <w:rPr>
                <w:rFonts w:ascii="Times New Roman" w:hAnsi="Times New Roman" w:cs="Times New Roman"/>
                <w:sz w:val="20"/>
                <w:szCs w:val="20"/>
              </w:rPr>
              <w:t xml:space="preserve">Gliotoxin injections: </w:t>
            </w:r>
            <w:r w:rsidR="009B4C9B" w:rsidRPr="008D1024">
              <w:rPr>
                <w:rFonts w:ascii="Times New Roman" w:hAnsi="Times New Roman" w:cs="Times New Roman"/>
                <w:sz w:val="20"/>
                <w:szCs w:val="20"/>
              </w:rPr>
              <w:t>l</w:t>
            </w:r>
            <w:r w:rsidRPr="008D1024">
              <w:rPr>
                <w:rFonts w:ascii="Times New Roman" w:hAnsi="Times New Roman" w:cs="Times New Roman"/>
                <w:sz w:val="20"/>
                <w:szCs w:val="20"/>
              </w:rPr>
              <w:t xml:space="preserve">ysolecithin and ethidium bromide (EB) are toxic to oligodendrocytes yet spare axons. Experimentally they can be injected into the CNS of animals to induce demyelination. Their particular benefit has been that the </w:t>
            </w:r>
            <w:r w:rsidR="00013725">
              <w:rPr>
                <w:rFonts w:ascii="Times New Roman" w:hAnsi="Times New Roman" w:cs="Times New Roman"/>
                <w:sz w:val="20"/>
                <w:szCs w:val="20"/>
              </w:rPr>
              <w:t xml:space="preserve">kinetics of demyelination and remyelination can be closely studied </w:t>
            </w:r>
            <w:r w:rsidR="001467E6" w:rsidRPr="00380A1A">
              <w:rPr>
                <w:rFonts w:ascii="Times New Roman" w:hAnsi="Times New Roman" w:cs="Times New Roman"/>
                <w:sz w:val="20"/>
                <w:szCs w:val="20"/>
              </w:rPr>
              <w:fldChar w:fldCharType="begin"/>
            </w:r>
            <w:r w:rsidR="00AA2F7B">
              <w:rPr>
                <w:rFonts w:ascii="Times New Roman" w:hAnsi="Times New Roman" w:cs="Times New Roman"/>
                <w:sz w:val="20"/>
                <w:szCs w:val="20"/>
              </w:rPr>
              <w:instrText xml:space="preserve"> ADDIN ZOTERO_ITEM CSL_CITATION {"citationID":"3WOtPTAM","properties":{"formattedCitation":"(72)","plainCitation":"(72)","noteIndex":0},"citationItems":[{"id":319,"uris":["http://zotero.org/users/local/OxFKn8nN/items/HX36MD93"],"uri":["http://zotero.org/users/local/OxFKn8nN/items/HX36MD93"],"itemData":{"id":319,"type":"chapter","title":"Remyelination in Experimental Models of Toxin-Induced Demyelination","container-title":"Advances in multiple Sclerosis and Experimental Demyelinating Diseases","publisher":"Springer Berlin Heidelberg","publisher-place":"Berlin, Heidelberg","page":"193-212","event-place":"Berlin, Heidelberg","abstract":"Remyelination is the regenerative process by which demyelinated axons are reinvested with new myelin sheaths. It is associated with functional recovery and maintenance of axonal health. It occurs as a spontaneous regenerative response following demyelination in a range of pathologies including traumatic injury as well as primary demyelinating disease such as multiple sclerosis (MS). Experimental models of demyelination based on the use of toxins, while not attempting to accurately mimic a disease with complex etiology and pathogenesis such as MS, have nevertheless proven extremely useful for studying the biology of remyelination. In this chapter, we review the main toxin models of demyelination, drawing attention to their differences and how they can be used to study different aspects of remyelination. We also describe the optimal use of these models, highlighting potential pitfalls in interpretation, and how remyelination can be unequivocally recognized. Finally, we discuss the role of toxin models alongside viral and immune-mediated models of demyelination.","URL":"https://doi.org/10.1007/978-3-540-73677-6_8","ISBN":"978-3-540-73677-6","note":"DOI: 10.1007/978-3-540-73677-6_8","author":[{"family":"Blakemore","given":"W. F."},{"family":"Franklin","given":"R. J. M."}],"editor":[{"family":"Rodriguez","given":"Moses"}],"issued":{"date-parts":[["2008"]]}}}],"schema":"https://github.com/citation-style-language/schema/raw/master/csl-citation.json"} </w:instrText>
            </w:r>
            <w:r w:rsidR="001467E6" w:rsidRPr="00380A1A">
              <w:rPr>
                <w:rFonts w:ascii="Times New Roman" w:hAnsi="Times New Roman" w:cs="Times New Roman"/>
                <w:sz w:val="20"/>
                <w:szCs w:val="20"/>
              </w:rPr>
              <w:fldChar w:fldCharType="separate"/>
            </w:r>
            <w:r w:rsidR="00E36623">
              <w:rPr>
                <w:rFonts w:ascii="Times New Roman" w:hAnsi="Times New Roman" w:cs="Times New Roman"/>
                <w:sz w:val="20"/>
                <w:szCs w:val="20"/>
              </w:rPr>
              <w:t>[</w:t>
            </w:r>
            <w:r w:rsidR="00AA2F7B">
              <w:rPr>
                <w:rFonts w:ascii="Times New Roman" w:hAnsi="Times New Roman" w:cs="Times New Roman"/>
                <w:sz w:val="20"/>
                <w:szCs w:val="20"/>
              </w:rPr>
              <w:t>72</w:t>
            </w:r>
            <w:r w:rsidR="00E36623">
              <w:rPr>
                <w:rFonts w:ascii="Times New Roman" w:hAnsi="Times New Roman" w:cs="Times New Roman"/>
                <w:sz w:val="20"/>
                <w:szCs w:val="20"/>
              </w:rPr>
              <w:t>]</w:t>
            </w:r>
            <w:r w:rsidR="001467E6" w:rsidRPr="00380A1A">
              <w:rPr>
                <w:rFonts w:ascii="Times New Roman" w:hAnsi="Times New Roman" w:cs="Times New Roman"/>
                <w:sz w:val="20"/>
                <w:szCs w:val="20"/>
              </w:rPr>
              <w:fldChar w:fldCharType="end"/>
            </w:r>
            <w:r w:rsidRPr="00380A1A">
              <w:rPr>
                <w:rFonts w:ascii="Times New Roman" w:hAnsi="Times New Roman" w:cs="Times New Roman"/>
                <w:sz w:val="20"/>
                <w:szCs w:val="20"/>
              </w:rPr>
              <w:t>. The limitation is that the lesions do not necessarily model the complexity of those in multiple sclerosis, which contain a myriad of remyelination inhibitors and inflammatory cells.</w:t>
            </w:r>
          </w:p>
          <w:p w14:paraId="765005FF" w14:textId="1B4CA479" w:rsidR="00E86D9D" w:rsidRDefault="00F73F1E" w:rsidP="009C139E">
            <w:pPr>
              <w:pStyle w:val="ListParagraph"/>
              <w:numPr>
                <w:ilvl w:val="0"/>
                <w:numId w:val="28"/>
              </w:numPr>
              <w:spacing w:line="480" w:lineRule="auto"/>
              <w:rPr>
                <w:rFonts w:ascii="Times New Roman" w:hAnsi="Times New Roman" w:cs="Times New Roman"/>
                <w:sz w:val="20"/>
                <w:szCs w:val="20"/>
              </w:rPr>
            </w:pPr>
            <w:r w:rsidRPr="00380A1A">
              <w:rPr>
                <w:rFonts w:ascii="Times New Roman" w:hAnsi="Times New Roman" w:cs="Times New Roman"/>
                <w:sz w:val="20"/>
                <w:szCs w:val="20"/>
              </w:rPr>
              <w:t xml:space="preserve">Oral </w:t>
            </w:r>
            <w:r w:rsidR="00096490" w:rsidRPr="00380A1A">
              <w:rPr>
                <w:rFonts w:ascii="Times New Roman" w:hAnsi="Times New Roman" w:cs="Times New Roman"/>
                <w:sz w:val="20"/>
                <w:szCs w:val="20"/>
              </w:rPr>
              <w:t>c</w:t>
            </w:r>
            <w:r w:rsidRPr="00380A1A">
              <w:rPr>
                <w:rFonts w:ascii="Times New Roman" w:hAnsi="Times New Roman" w:cs="Times New Roman"/>
                <w:sz w:val="20"/>
                <w:szCs w:val="20"/>
              </w:rPr>
              <w:t>uprizone administration: dietary ingestion of the copper chelator cuprizone results in demyelination of white matter tracts, particularly in the corpus callosum</w:t>
            </w:r>
            <w:r w:rsidR="001467E6" w:rsidRPr="0077060F">
              <w:rPr>
                <w:rFonts w:ascii="Times New Roman" w:hAnsi="Times New Roman" w:cs="Times New Roman"/>
                <w:sz w:val="20"/>
                <w:szCs w:val="20"/>
              </w:rPr>
              <w:fldChar w:fldCharType="begin"/>
            </w:r>
            <w:r w:rsidR="00AA2F7B">
              <w:rPr>
                <w:rFonts w:ascii="Times New Roman" w:hAnsi="Times New Roman" w:cs="Times New Roman"/>
                <w:sz w:val="20"/>
                <w:szCs w:val="20"/>
              </w:rPr>
              <w:instrText xml:space="preserve"> ADDIN ZOTERO_ITEM CSL_CITATION {"citationID":"FUSmPoLa","properties":{"formattedCitation":"(73)","plainCitation":"(73)","noteIndex":0},"citationItems":[{"id":320,"uris":["http://zotero.org/users/local/OxFKn8nN/items/HIWLBLPM"],"uri":["http://zotero.org/users/local/OxFKn8nN/items/HIWLBLPM"],"itemData":{"id":320,"type":"article-journal","title":"The Neurotoxicant, Cuprizone, as a Model to Study Demyelination and Remyelination in the Central Nervous System","container-title":"Brain Pathology","page":"107-116","volume":"11","issue":"1","abstract":"Myelin of the adult CNS is vulnerable to a variety of metabolic, toxic, and autoimmune insults. That remyelination can ensue, following demyelinating insult, has been well demonstrated. Details of the process of remyelination are, however difficult to ascertain since in most experimental models of demyelination/remyelination the severity, localization of lesion site, or time course of the pathophysiology is variable from animal to animal. In contrast, an experimental model in which massive demyelination can be reproducibly induced in large areas of mouse brain is exposure to the copper chelator, cuprizone, in the diet. We review work from several laboratories over the past 3 decades, with emphasis on our own recent studies, which suggest an overall picture of cellular events involved in demyelination/remyelination. When 8 week old C57BL/6 mice are fed 0.2% cuprizone in the diet, mature olidgodendroglia are specifically insulted (cannot fulfill the metabolic demand of support of vast amounts of myelin) and go through apoptosis.This is closely followed by recruitment of microglia and phagoctytosis of myelin. Studies of myelin gene expression, coordinated with morphological studies, indicate that even in the face of continued metabolic challenge, oligodendroglial progenitor cells proliferate and invade demyelinated areas. If the cuprizone challenge is terminated, an almost complete remyelination takes place in a matter of weeks. Communication between different cell types by soluble factors may be inferred. This material is presented in the context of a model compatible with present data?and which can be tested more rigorously with the cuprizone model. The reproducibility of the model indicates that it may allow for testing of manipulations (e.g. available knockouts or transgenics on the common genetic background, or pharmacological treatments) which may accelerate or repress the process of demyelination and or remyelination.","DOI":"10.1111/j.1750-3639.2001.tb00385.x","ISSN":"1015-6305","journalAbbreviation":"Brain Pathology","author":[{"family":"Matsushima","given":"Glenn K."},{"family":"Morell","given":"Pierre"}],"issued":{"date-parts":[["2001",1,1]]}}}],"schema":"https://github.com/citation-style-language/schema/raw/master/csl-citation.json"} </w:instrText>
            </w:r>
            <w:r w:rsidR="001467E6" w:rsidRPr="0077060F">
              <w:rPr>
                <w:rFonts w:ascii="Times New Roman" w:hAnsi="Times New Roman" w:cs="Times New Roman"/>
                <w:sz w:val="20"/>
                <w:szCs w:val="20"/>
              </w:rPr>
              <w:fldChar w:fldCharType="separate"/>
            </w:r>
            <w:r w:rsidR="00E36623">
              <w:rPr>
                <w:rFonts w:ascii="Times New Roman" w:hAnsi="Times New Roman" w:cs="Times New Roman"/>
                <w:sz w:val="20"/>
                <w:szCs w:val="20"/>
              </w:rPr>
              <w:t>[</w:t>
            </w:r>
            <w:r w:rsidR="00AA2F7B">
              <w:rPr>
                <w:rFonts w:ascii="Times New Roman" w:hAnsi="Times New Roman" w:cs="Times New Roman"/>
                <w:sz w:val="20"/>
                <w:szCs w:val="20"/>
              </w:rPr>
              <w:t>73</w:t>
            </w:r>
            <w:r w:rsidR="00E36623">
              <w:rPr>
                <w:rFonts w:ascii="Times New Roman" w:hAnsi="Times New Roman" w:cs="Times New Roman"/>
                <w:sz w:val="20"/>
                <w:szCs w:val="20"/>
              </w:rPr>
              <w:t>]</w:t>
            </w:r>
            <w:r w:rsidR="001467E6" w:rsidRPr="0077060F">
              <w:rPr>
                <w:rFonts w:ascii="Times New Roman" w:hAnsi="Times New Roman" w:cs="Times New Roman"/>
                <w:sz w:val="20"/>
                <w:szCs w:val="20"/>
              </w:rPr>
              <w:fldChar w:fldCharType="end"/>
            </w:r>
            <w:r w:rsidRPr="00380A1A">
              <w:rPr>
                <w:rFonts w:ascii="Times New Roman" w:hAnsi="Times New Roman" w:cs="Times New Roman"/>
                <w:sz w:val="20"/>
                <w:szCs w:val="20"/>
              </w:rPr>
              <w:t>. It models remyelination, on-going in the face of continued demyelination. However, the normally small diameter axons seen in the corpus callosum makes distinguishing a remyelinated from an unaffected axon challenging, and interpretation correspondingly difficult.</w:t>
            </w:r>
          </w:p>
          <w:p w14:paraId="075F6FCB" w14:textId="72B0BA3D" w:rsidR="00D517E3" w:rsidRPr="00DB0E48" w:rsidRDefault="00D517E3" w:rsidP="00DB0E48">
            <w:pPr>
              <w:spacing w:line="480" w:lineRule="auto"/>
              <w:rPr>
                <w:rFonts w:ascii="Times New Roman" w:hAnsi="Times New Roman" w:cs="Times New Roman"/>
                <w:sz w:val="20"/>
                <w:szCs w:val="20"/>
              </w:rPr>
            </w:pPr>
            <w:r>
              <w:rPr>
                <w:rFonts w:ascii="Times New Roman" w:hAnsi="Times New Roman" w:cs="Times New Roman"/>
                <w:sz w:val="20"/>
                <w:szCs w:val="20"/>
              </w:rPr>
              <w:t xml:space="preserve">The best model for progressive MS is debated and variations of these </w:t>
            </w:r>
            <w:r w:rsidR="00AE5463">
              <w:rPr>
                <w:rFonts w:ascii="Times New Roman" w:hAnsi="Times New Roman" w:cs="Times New Roman"/>
                <w:sz w:val="20"/>
                <w:szCs w:val="20"/>
              </w:rPr>
              <w:t>employed</w:t>
            </w:r>
            <w:r>
              <w:rPr>
                <w:rFonts w:ascii="Times New Roman" w:hAnsi="Times New Roman" w:cs="Times New Roman"/>
                <w:sz w:val="20"/>
                <w:szCs w:val="20"/>
              </w:rPr>
              <w:t xml:space="preserve"> (reviewed in</w:t>
            </w:r>
            <w:r w:rsidR="00C67B8F">
              <w:rPr>
                <w:rFonts w:ascii="Times New Roman" w:hAnsi="Times New Roman" w:cs="Times New Roman"/>
                <w:sz w:val="20"/>
                <w:szCs w:val="20"/>
              </w:rPr>
              <w:t xml:space="preserve"> </w:t>
            </w:r>
            <w:r w:rsidR="00C67B8F">
              <w:rPr>
                <w:rFonts w:ascii="Times New Roman" w:hAnsi="Times New Roman" w:cs="Times New Roman"/>
                <w:sz w:val="20"/>
                <w:szCs w:val="20"/>
              </w:rPr>
              <w:fldChar w:fldCharType="begin"/>
            </w:r>
            <w:r w:rsidR="00AA2F7B">
              <w:rPr>
                <w:rFonts w:ascii="Times New Roman" w:hAnsi="Times New Roman" w:cs="Times New Roman"/>
                <w:sz w:val="20"/>
                <w:szCs w:val="20"/>
              </w:rPr>
              <w:instrText xml:space="preserve"> ADDIN ZOTERO_ITEM CSL_CITATION {"citationID":"a6kful6det","properties":{"formattedCitation":"(74)","plainCitation":"(74)","noteIndex":0},"citationItems":[{"id":395,"uris":["http://zotero.org/users/local/OxFKn8nN/items/LK47SR2A"],"uri":["http://zotero.org/users/local/OxFKn8nN/items/LK47SR2A"],"itemData":{"id":395,"type":"article-journal","title":"Multiple sclerosis animal models: a clinical and histopathological perspective","container-title":"Brain Pathology","page":"123-137","volume":"27","issue":"2","abstract":"Abstract There is a broad consensus that multiple sclerosis (MS) represents more than an inflammatory disease: it harbors several characteristic aspects of a classical neurodegenerative disorder, that is, damage to axons, synapses and nerve cell bodies. While we are equipped with appropriate therapeutic options to prevent immune-cell driven relapses, effective therapeutic options to prevent the progressing neurodegeneration are still missing. In this review article, we will discuss to what extent pathology of the progressive disease stage can be modeled in MS animal models. While acute and relapsing?remitting forms of experimental autoimmune encephalomyelitis (EAE), which are T cell dependent, are aptly suited to model relapsing-remitting phases of MS, other EAE models, especially the secondary progressive EAE stage in Biozzi ABH mice is better representing the secondary progressive phase of MS, which is refractory to many immune therapies. Besides EAE, the cuprizone model is rapidly gaining popularity to study the formation and progression of demyelinating CNS lesions without T cell involvement. Here, we discuss these two non-popular MS models. It is our aim to point out the pathological hallmarks of MS, and discuss which pathological aspects of the disease can be best studied in the various animal models available.","DOI":"10.1111/bpa.12454","ISSN":"1015-6305","journalAbbreviation":"Brain Pathology","author":[{"family":"Kipp","given":"Markus"},{"family":"Nyamoya","given":"Stella"},{"family":"Hochstrasser","given":"Tanja"},{"family":"Amor","given":"Sandra"}],"issued":{"date-parts":[["2017",3,1]]}}}],"schema":"https://github.com/citation-style-language/schema/raw/master/csl-citation.json"} </w:instrText>
            </w:r>
            <w:r w:rsidR="00C67B8F">
              <w:rPr>
                <w:rFonts w:ascii="Times New Roman" w:hAnsi="Times New Roman" w:cs="Times New Roman"/>
                <w:sz w:val="20"/>
                <w:szCs w:val="20"/>
              </w:rPr>
              <w:fldChar w:fldCharType="separate"/>
            </w:r>
            <w:r w:rsidR="00E36623">
              <w:rPr>
                <w:rFonts w:ascii="Times New Roman" w:hAnsi="Times New Roman" w:cs="Times New Roman"/>
                <w:sz w:val="20"/>
                <w:lang w:val="en-US"/>
              </w:rPr>
              <w:t>[</w:t>
            </w:r>
            <w:r w:rsidR="00AA2F7B" w:rsidRPr="00DB0E48">
              <w:rPr>
                <w:rFonts w:ascii="Times New Roman" w:hAnsi="Times New Roman" w:cs="Times New Roman"/>
                <w:sz w:val="20"/>
                <w:lang w:val="en-US"/>
              </w:rPr>
              <w:t>74</w:t>
            </w:r>
            <w:r w:rsidR="00E36623">
              <w:rPr>
                <w:rFonts w:ascii="Times New Roman" w:hAnsi="Times New Roman" w:cs="Times New Roman"/>
                <w:sz w:val="20"/>
                <w:lang w:val="en-US"/>
              </w:rPr>
              <w:t>]</w:t>
            </w:r>
            <w:r w:rsidR="00C67B8F">
              <w:rPr>
                <w:rFonts w:ascii="Times New Roman" w:hAnsi="Times New Roman" w:cs="Times New Roman"/>
                <w:sz w:val="20"/>
                <w:szCs w:val="20"/>
              </w:rPr>
              <w:fldChar w:fldCharType="end"/>
            </w:r>
            <w:r>
              <w:rPr>
                <w:rFonts w:ascii="Times New Roman" w:hAnsi="Times New Roman" w:cs="Times New Roman"/>
                <w:sz w:val="20"/>
                <w:szCs w:val="20"/>
              </w:rPr>
              <w:t xml:space="preserve">). Our view is, for reasons that will become apparent, that </w:t>
            </w:r>
            <w:r w:rsidR="00AE5463">
              <w:rPr>
                <w:rFonts w:ascii="Times New Roman" w:hAnsi="Times New Roman" w:cs="Times New Roman"/>
                <w:sz w:val="20"/>
                <w:szCs w:val="20"/>
              </w:rPr>
              <w:t>experiments should be performed in aged</w:t>
            </w:r>
            <w:r w:rsidR="003A2B6D">
              <w:rPr>
                <w:rFonts w:ascii="Times New Roman" w:hAnsi="Times New Roman" w:cs="Times New Roman"/>
                <w:sz w:val="20"/>
                <w:szCs w:val="20"/>
              </w:rPr>
              <w:t>-</w:t>
            </w:r>
            <w:r w:rsidR="00AE5463">
              <w:rPr>
                <w:rFonts w:ascii="Times New Roman" w:hAnsi="Times New Roman" w:cs="Times New Roman"/>
                <w:sz w:val="20"/>
                <w:szCs w:val="20"/>
              </w:rPr>
              <w:t xml:space="preserve">animals </w:t>
            </w:r>
            <w:r w:rsidR="00252DD5">
              <w:rPr>
                <w:rFonts w:ascii="Times New Roman" w:hAnsi="Times New Roman" w:cs="Times New Roman"/>
                <w:sz w:val="20"/>
                <w:szCs w:val="20"/>
              </w:rPr>
              <w:t xml:space="preserve">when studying </w:t>
            </w:r>
            <w:r w:rsidR="00AE5463">
              <w:rPr>
                <w:rFonts w:ascii="Times New Roman" w:hAnsi="Times New Roman" w:cs="Times New Roman"/>
                <w:sz w:val="20"/>
                <w:szCs w:val="20"/>
              </w:rPr>
              <w:t xml:space="preserve">the underlying mechanisms of remyelination failure in </w:t>
            </w:r>
            <w:r w:rsidR="003A2B6D">
              <w:rPr>
                <w:rFonts w:ascii="Times New Roman" w:hAnsi="Times New Roman" w:cs="Times New Roman"/>
                <w:sz w:val="20"/>
                <w:szCs w:val="20"/>
              </w:rPr>
              <w:t xml:space="preserve">progressive </w:t>
            </w:r>
            <w:r w:rsidR="00AE5463">
              <w:rPr>
                <w:rFonts w:ascii="Times New Roman" w:hAnsi="Times New Roman" w:cs="Times New Roman"/>
                <w:sz w:val="20"/>
                <w:szCs w:val="20"/>
              </w:rPr>
              <w:t>MS.</w:t>
            </w:r>
          </w:p>
        </w:tc>
      </w:tr>
    </w:tbl>
    <w:p w14:paraId="4A48B182" w14:textId="5BCF8A32" w:rsidR="0086461F" w:rsidRPr="00003E8D" w:rsidRDefault="0086461F" w:rsidP="00E17010">
      <w:pPr>
        <w:spacing w:line="480" w:lineRule="auto"/>
        <w:rPr>
          <w:rFonts w:ascii="Times New Roman" w:hAnsi="Times New Roman" w:cs="Times New Roman"/>
          <w:color w:val="000000" w:themeColor="text1"/>
          <w:sz w:val="20"/>
          <w:szCs w:val="20"/>
        </w:rPr>
      </w:pPr>
    </w:p>
    <w:p w14:paraId="14ACBBC6" w14:textId="77777777" w:rsidR="00570784" w:rsidRDefault="003D7699" w:rsidP="00E17010">
      <w:pPr>
        <w:spacing w:line="480" w:lineRule="auto"/>
        <w:rPr>
          <w:rFonts w:ascii="Times New Roman" w:hAnsi="Times New Roman" w:cs="Times New Roman"/>
          <w:b/>
          <w:i/>
          <w:color w:val="000000" w:themeColor="text1"/>
          <w:sz w:val="20"/>
          <w:szCs w:val="20"/>
        </w:rPr>
      </w:pPr>
      <w:r w:rsidRPr="00C978AF">
        <w:rPr>
          <w:rFonts w:ascii="Times New Roman" w:hAnsi="Times New Roman" w:cs="Times New Roman"/>
          <w:b/>
          <w:i/>
          <w:color w:val="000000" w:themeColor="text1"/>
          <w:sz w:val="20"/>
          <w:szCs w:val="20"/>
        </w:rPr>
        <w:t>Reasons for remyelination failure</w:t>
      </w:r>
      <w:r w:rsidR="00096490">
        <w:rPr>
          <w:rFonts w:ascii="Times New Roman" w:hAnsi="Times New Roman" w:cs="Times New Roman"/>
          <w:b/>
          <w:i/>
          <w:color w:val="000000" w:themeColor="text1"/>
          <w:sz w:val="20"/>
          <w:szCs w:val="20"/>
        </w:rPr>
        <w:t>.</w:t>
      </w:r>
    </w:p>
    <w:p w14:paraId="3471013F" w14:textId="664E7B6A" w:rsidR="001B495A" w:rsidRDefault="003A12D9" w:rsidP="00E17010">
      <w:pPr>
        <w:spacing w:line="480" w:lineRule="auto"/>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lastRenderedPageBreak/>
        <w:t>To understand why remyelination fails in MS, one must look at two crucial contributory processes – namely those of age and the immune system.</w:t>
      </w:r>
    </w:p>
    <w:p w14:paraId="4114809B" w14:textId="5688F476" w:rsidR="00032CA8" w:rsidRDefault="00032CA8"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While the immune system is often seen as having a detrimental role in MS, the innate immune system has been shown to be essential in the biology of remyelinatio</w:t>
      </w:r>
      <w:r w:rsidR="00A159FD">
        <w:rPr>
          <w:rFonts w:ascii="Times New Roman" w:hAnsi="Times New Roman" w:cs="Times New Roman"/>
          <w:color w:val="000000" w:themeColor="text1"/>
          <w:sz w:val="20"/>
          <w:szCs w:val="20"/>
        </w:rPr>
        <w:t>n</w:t>
      </w:r>
      <w:r w:rsidR="00A159F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07m1YAht","properties":{"formattedCitation":"(75)","plainCitation":"(75)","noteIndex":0},"citationItems":[{"id":179,"uris":["http://zotero.org/users/local/OxFKn8nN/items/7SSLUTCE"],"uri":["http://zotero.org/users/local/OxFKn8nN/items/7SSLUTCE"],"itemData":{"id":179,"type":"article-journal","title":"The benefits and detriments of macrophages/microglia in models of multiple sclerosis","container-title":"Clinical &amp; developmental immunology","page":"948976-948976","volume":"2013","archive":"PubMed","archive_location":"23840244","abstract":"The central nervous system (CNS) is immune privileged with access to leukocytes being limited. In several neurological diseases, however, infiltration of immune cells from the periphery into the CNS is largely observed and accounts for the increased representation of macrophages within the CNS. In addition to extensive leukocyte infiltration, the activation of microglia is frequently observed. The functions of activated macrophages/microglia within the CNS are complex. In three animal models of multiple sclerosis (MS), namely, experimental autoimmune encephalomyelitis (EAE) and cuprizone- and lysolecithin-induced demyelination, there have been many reported detrimental roles associated with the involvement of macrophages and microglia. Such detriments include toxicity to neurons and oligodendrocyte precursor cells, release of proteases, release of inflammatory cytokines and free radicals, and recruitment and reactivation of T lymphocytes in the CNS. Many studies, however, have also reported beneficial roles of macrophages/microglia, including axon regenerative roles, assistance in promoting remyelination, clearance of inhibitory myelin debris, and the release of neurotrophic factors. This review will discuss the evidence supporting the detrimental and beneficial aspects of macrophages/microglia in models of MS, provide a discussion of the mechanisms underlying the dichotomous roles, and describe a few therapies in clinical use in MS that impinge on the activity of macrophages/microglia.","DOI":"10.1155/2013/948976","ISSN":"1740-2530","author":[{"family":"Rawji","given":"Khalil S"},{"family":"Yong","given":"V Wee"}],"issued":{"date-parts":[["2013"]]}}}],"schema":"https://github.com/citation-style-language/schema/raw/master/csl-citation.json"} </w:instrText>
      </w:r>
      <w:r w:rsidR="00A159FD">
        <w:rPr>
          <w:rFonts w:ascii="Times New Roman" w:hAnsi="Times New Roman" w:cs="Times New Roman"/>
          <w:color w:val="000000" w:themeColor="text1"/>
          <w:sz w:val="20"/>
          <w:szCs w:val="20"/>
        </w:rPr>
        <w:fldChar w:fldCharType="separate"/>
      </w:r>
      <w:r w:rsidR="00B67DDB">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75</w:t>
      </w:r>
      <w:r w:rsidR="00B67DDB">
        <w:rPr>
          <w:rFonts w:ascii="Times New Roman" w:hAnsi="Times New Roman" w:cs="Times New Roman"/>
          <w:color w:val="000000"/>
          <w:sz w:val="20"/>
          <w:u w:val="dash"/>
          <w:lang w:val="en-US"/>
        </w:rPr>
        <w:t>]</w:t>
      </w:r>
      <w:r w:rsidR="00A159FD">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Myelin debris contains inhibitors of </w:t>
      </w:r>
      <w:proofErr w:type="spellStart"/>
      <w:r w:rsidRPr="00003E8D">
        <w:rPr>
          <w:rFonts w:ascii="Times New Roman" w:hAnsi="Times New Roman" w:cs="Times New Roman"/>
          <w:color w:val="000000" w:themeColor="text1"/>
          <w:sz w:val="20"/>
          <w:szCs w:val="20"/>
        </w:rPr>
        <w:t>aOPC</w:t>
      </w:r>
      <w:proofErr w:type="spellEnd"/>
      <w:r w:rsidRPr="00003E8D">
        <w:rPr>
          <w:rFonts w:ascii="Times New Roman" w:hAnsi="Times New Roman" w:cs="Times New Roman"/>
          <w:color w:val="000000" w:themeColor="text1"/>
          <w:sz w:val="20"/>
          <w:szCs w:val="20"/>
        </w:rPr>
        <w:t xml:space="preserve"> differentiation and so its clearance, by phagocytosis, is an important step in the regeneration of the myelin sheat</w:t>
      </w:r>
      <w:r w:rsidR="00A159FD">
        <w:rPr>
          <w:rFonts w:ascii="Times New Roman" w:hAnsi="Times New Roman" w:cs="Times New Roman"/>
          <w:color w:val="000000" w:themeColor="text1"/>
          <w:sz w:val="20"/>
          <w:szCs w:val="20"/>
        </w:rPr>
        <w:t>h</w:t>
      </w:r>
      <w:r w:rsidR="00A159F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8ISPD82Y","properties":{"formattedCitation":"(76\\uc0\\u8211{}79)","plainCitation":"(76–79)","noteIndex":0},"citationItems":[{"id":181,"uris":["http://zotero.org/users/local/OxFKn8nN/items/WRBW6YES"],"uri":["http://zotero.org/users/local/OxFKn8nN/items/WRBW6YES"],"itemData":{"id":181,"type":"article-journal","title":"Stimulation of Monocytes, Macrophages, and Microglia by Amphotericin B and Macrophage Colony-Stimulating Factor Promotes Remyelination","container-title":"The Journal of Neuroscience","page":"1136","volume":"35","issue":"3","abstract":"Approaches to stimulate remyelination may lead to recovery from demyelinating injuries and protect axons. One such strategy is the activation of immune cells with clinically used medications, since a properly directed inflammatory response can have healing properties through mechanisms such as the provision of growth factors and the removal of cellular debris. We previously reported that the antifungal medication amphotericin B is an activator of circulating monocytes, and their tissue-infiltrated counterparts and macrophages, and of microglia within the CNS. Here, we describe that amphotericin B activates these cells through engaging MyD88/TRIF signaling. When mice were subjected to lysolecithin-induced demyelination of the spinal cord, systemic injections of nontoxic doses of amphotericin B and another activator, macrophage colony-stimulating factor (MCSF), further elevated the representation of microglia/macrophages at the site of injury. Treatment with amphotericin B, particularly in combination with MCSF, increased the number of oligodendrocyte precursor cells and promoted remyelination within lesions; these pro-regenerative effects were mitigated in mice treated with clodronate liposomes to reduce circulating monocytes and tissue-infiltrated macrophages. Our results have identified candidates among currently used medications as potential therapies for the repair of myelin.","DOI":"10.1523/JNEUROSCI.1797-14.2015","journalAbbreviation":"J. Neurosci.","author":[{"family":"Döring","given":"Axinia"},{"family":"Sloka","given":"Scott"},{"family":"Lau","given":"Lorraine"},{"family":"Mishra","given":"Manoj"},{"family":"Minnen","given":"Jan","non-dropping-particle":"van"},{"family":"Zhang","given":"Xu"},{"family":"Kinniburgh","given":"David"},{"family":"Rivest","given":"Serge"},{"family":"Yong","given":"V. Wee"}],"issued":{"date-parts":[["2015",1,21]]}}},{"id":182,"uris":["http://zotero.org/users/local/OxFKn8nN/items/TVY8YIWB"],"uri":["http://zotero.org/users/local/OxFKn8nN/items/TVY8YIWB"],"itemData":{"id":182,"type":"article-journal","title":"Contact with Central Nervous System Myelin Inhibits Oligodendrocyte Progenitor Maturation","container-title":"Developmental Biology","page":"359-368","volume":"216","issue":"1","abstract":"Oligodendrocytes, the myelinating cells of the central nervous system (CNS), are generated during development through the proliferation and differentiation of a distinct progenitor population. Not all oligodendrocyte progenitors generated during development differentiate, however, and large numbers of oligodendrocyte progenitors are present in the adult CNS, particularly in white matter. These “adult progenitors” can be identified through expression of the NG2 proteoglycan. Adult oligodendrocyte progenitors are thought to develop from the original pool of progenitors and in vitro are capable of differentiating into oligodendrocytes. Why these cells fail to differentiate in the intact CNS is currently unclear. Here we show that contact with CNS myelin inhibits the maturation of immature oligodendrocyte progenitors. The inhibition of oligodendrocyte progenitor maturation is a characteristic of CNS myelin that is not shared by several other membrane preparations including adult and neonatal neural membrane fractions, PNS myelin, or liver. This inhibition is concentration dependent, is reversible, and appears not to be mediated by either myelin basic protein or basic fibroblast growth factor. Myelin-induced inhibition of oligodendrocyte progenitor maturation provides a mechanism to explain the generation of a residual pool of immature oligodendrocyte progenitors in the mature CNS.","DOI":"10.1006/dbio.1999.9466","ISSN":"0012-1606","journalAbbreviation":"Developmental Biology","author":[{"family":"Robinson","given":"Shenandoah"},{"family":"Miller","given":"Robert H."}],"issued":{"date-parts":[["1999",12,1]]}}},{"id":183,"uris":["http://zotero.org/users/local/OxFKn8nN/items/QGFH8YSR"],"uri":["http://zotero.org/users/local/OxFKn8nN/items/QGFH8YSR"],"itemData":{"id":183,"type":"article-journal","title":"Myelin inhibits oligodendroglial maturation and regulates oligodendrocytic transcription factor expression","container-title":"Glia","page":"1471-1487","volume":"61","issue":"9","abstract":"Myelin loss is a hallmark of multiple sclerosis (MS) and promoting central nervous system myelin repair has become a major therapeutic target. Despite the presence of oligodendrocytes precursors cells (OPCs) in chronic lesions of MS, remyelination often fails. The mechanism underlying this failure of remyelination remains unknown, but it is hypothesized that environmental cues act to inhibit the maturation/differentiation of oligodendroglia, preventing remyelination. The rate of CNS remyelination is correlated to the speed of phagocytosis of myelin debris, which is present following demyelination and trauma. Thus, myelin debris could inhibit CNS remyelination. Here, we demonstrate that OPCs cultured on myelin were robustly inhibited in their maturation, as characterized by the decreased expression of immature and mature oligodendrocytes markers, the impaired production of myelin gene products, as well as their stalled morphological complexity relative to OPCs cultured on a control substrate. OPCs in contact with myelin stopped proliferating and decreased the expression of OPC markers to a comparable degree as cells grown on a control substrate. The expression of two transcription factors known to prevent OPC differentiation and maturation were increased in cells that were in contact with myelin: inhibitor of differentiation family (ID) members 2 and 4. Overexpression of ID2 and ID4 in OPCs was previously reported to decrease the percentage of cells expressing mature oligodendrocyte markers. However, knockdown of ID2 and/or ID4 in OPCs did not increase oligodendroglial maturation on or off of myelin, suggesting that contact with myelin regulates additional regulatory elements.","DOI":"10.1002/glia.22535","ISSN":"0894-1491","journalAbbreviation":"Glia","author":[{"family":"Plemel","given":"Jason R."},{"family":"Manesh","given":"Sohrab B."},{"family":"Sparling","given":"Joseph S."},{"family":"Tetzlaff","given":"Wolfram"}],"issued":{"date-parts":[["2013",9,1]]}}},{"id":185,"uris":["http://zotero.org/users/local/OxFKn8nN/items/GVCAMCD6"],"uri":["http://zotero.org/users/local/OxFKn8nN/items/GVCAMCD6"],"itemData":{"id":185,"type":"article-journal","title":"Myelin Impairs CNS Remyelination by Inhibiting Oligodendrocyte Precursor Cell Differentiation","container-title":"The Journal of Neuroscience","page":"328","volume":"26","issue":"1","abstract":"Demyelination in the adult CNS can be followed by extensive repair. However, in multiple sclerosis, the differentiation of oligodendrocyte lineage cells present in demyelinated lesions is often inhibited by unknown factors. In this study, we test whether myelin debris, a feature of demyelinated lesions and an in vitro inhibitor of oligodendrocyte precursor differentiation, affects remyelination efficiency. Focal demyelinating lesions were created in the adult rat brainstem, and the naturally generated myelin debris was augmented by the addition of purified myelin. After quantification of myelin basic protein mRNA expression from lesion material obtained by laser capture microdissection and supported by histological data, we found a significant impairment of remyelination, attributable to an arrest of the differentiation and not the recruitment of oligodendrocyte precursor cells. These data identify myelin as an inhibitor of remyelination as well as its well documented inhibition of axon regeneration.","DOI":"10.1523/JNEUROSCI.2615-05.2006","journalAbbreviation":"J. Neurosci.","author":[{"family":"Kotter","given":"Mark R."},{"family":"Li","given":"Wen-Wu"},{"family":"Zhao","given":"Chao"},{"family":"Franklin","given":"Robin J. M."}],"issued":{"date-parts":[["2006",1,4]]}}}],"schema":"https://github.com/citation-style-language/schema/raw/master/csl-citation.json"} </w:instrText>
      </w:r>
      <w:r w:rsidR="00A159FD">
        <w:rPr>
          <w:rFonts w:ascii="Times New Roman" w:hAnsi="Times New Roman" w:cs="Times New Roman"/>
          <w:color w:val="000000" w:themeColor="text1"/>
          <w:sz w:val="20"/>
          <w:szCs w:val="20"/>
        </w:rPr>
        <w:fldChar w:fldCharType="separate"/>
      </w:r>
      <w:r w:rsidR="00B67DDB">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76–79</w:t>
      </w:r>
      <w:r w:rsidR="00B67DDB">
        <w:rPr>
          <w:rFonts w:ascii="Times New Roman" w:hAnsi="Times New Roman" w:cs="Times New Roman"/>
          <w:color w:val="000000"/>
          <w:sz w:val="20"/>
          <w:lang w:val="en-US"/>
        </w:rPr>
        <w:t>]</w:t>
      </w:r>
      <w:r w:rsidR="00A159FD">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w:t>
      </w:r>
      <w:r w:rsidR="00E975BD">
        <w:rPr>
          <w:rFonts w:ascii="Times New Roman" w:hAnsi="Times New Roman" w:cs="Times New Roman"/>
          <w:color w:val="000000" w:themeColor="text1"/>
          <w:sz w:val="20"/>
          <w:szCs w:val="20"/>
        </w:rPr>
        <w:t>Similarly, infiltrating macrophages and activated microglia</w:t>
      </w:r>
      <w:r w:rsidR="00E975BD" w:rsidRPr="00003E8D">
        <w:rPr>
          <w:rFonts w:ascii="Times New Roman" w:hAnsi="Times New Roman" w:cs="Times New Roman"/>
          <w:color w:val="000000" w:themeColor="text1"/>
          <w:sz w:val="20"/>
          <w:szCs w:val="20"/>
        </w:rPr>
        <w:t xml:space="preserve"> </w:t>
      </w:r>
      <w:r w:rsidRPr="00003E8D">
        <w:rPr>
          <w:rFonts w:ascii="Times New Roman" w:hAnsi="Times New Roman" w:cs="Times New Roman"/>
          <w:color w:val="000000" w:themeColor="text1"/>
          <w:sz w:val="20"/>
          <w:szCs w:val="20"/>
        </w:rPr>
        <w:t xml:space="preserve">secrete a myriad of </w:t>
      </w:r>
      <w:r w:rsidR="001A5799">
        <w:rPr>
          <w:rFonts w:ascii="Times New Roman" w:hAnsi="Times New Roman" w:cs="Times New Roman"/>
          <w:color w:val="000000" w:themeColor="text1"/>
          <w:sz w:val="20"/>
          <w:szCs w:val="20"/>
        </w:rPr>
        <w:t>neurotrophic factors</w:t>
      </w:r>
      <w:r w:rsidRPr="00003E8D">
        <w:rPr>
          <w:rFonts w:ascii="Times New Roman" w:hAnsi="Times New Roman" w:cs="Times New Roman"/>
          <w:color w:val="000000" w:themeColor="text1"/>
          <w:sz w:val="20"/>
          <w:szCs w:val="20"/>
        </w:rPr>
        <w:t>, which have direct effect</w:t>
      </w:r>
      <w:r w:rsidR="00E975BD">
        <w:rPr>
          <w:rFonts w:ascii="Times New Roman" w:hAnsi="Times New Roman" w:cs="Times New Roman"/>
          <w:color w:val="000000" w:themeColor="text1"/>
          <w:sz w:val="20"/>
          <w:szCs w:val="20"/>
        </w:rPr>
        <w:t>s</w:t>
      </w:r>
      <w:r w:rsidRPr="00003E8D">
        <w:rPr>
          <w:rFonts w:ascii="Times New Roman" w:hAnsi="Times New Roman" w:cs="Times New Roman"/>
          <w:color w:val="000000" w:themeColor="text1"/>
          <w:sz w:val="20"/>
          <w:szCs w:val="20"/>
        </w:rPr>
        <w:t xml:space="preserve"> on </w:t>
      </w:r>
      <w:proofErr w:type="spellStart"/>
      <w:r w:rsidRPr="00003E8D">
        <w:rPr>
          <w:rFonts w:ascii="Times New Roman" w:hAnsi="Times New Roman" w:cs="Times New Roman"/>
          <w:color w:val="000000" w:themeColor="text1"/>
          <w:sz w:val="20"/>
          <w:szCs w:val="20"/>
        </w:rPr>
        <w:t>aOPCs</w:t>
      </w:r>
      <w:proofErr w:type="spellEnd"/>
      <w:r w:rsidR="00A159F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GDW0UFcN","properties":{"formattedCitation":"(80)","plainCitation":"(80)","noteIndex":0},"citationItems":[{"id":186,"uris":["http://zotero.org/users/local/OxFKn8nN/items/E8786GZI"],"uri":["http://zotero.org/users/local/OxFKn8nN/items/E8786GZI"],"itemData":{"id":186,"type":"article-journal","title":"Taking Advantage of the Systemic Immune System to Cure Brain Diseases","container-title":"Neuron","page":"55-60","volume":"64","issue":"1","abstract":"The systemic immune system has the ability to modulate multiple brain functions, including autonomic responses, glial reactivity following neural injuries, and neuronal excitability. Immune stimuli also influence microglia subpopulations originating from blood progenitors, and neuroprotective and reparative capacities of blood-derived microglia were recently described in mouse models of spinal cord injury and brain disorders. Furthermore, reparative roles for various immune subsets have been recognized, such as in inducing myelin repair. Nonetheless, uncontrolled and excessive activation of immune responses can be detrimental. The development of strategies to stimulate the systemic immune system safely to protect or repair brain disorders remains a major challenge ahead, but important inroads have been made. We discuss here some of the mechanisms underlying the neuroprotective and reparative effects of the systemic immune system and the most promising immunotherapies tested in mouse models of injuries and diseases, such as Alzheimer's disease, amyotrophic lateral sclerosis, and multiple sclerosis.","DOI":"10.1016/j.neuron.2009.09.035","ISSN":"0896-6273","journalAbbreviation":"Neuron","author":[{"family":"Yong","given":"V. Wee"},{"family":"Rivest","given":"Serge"}],"issued":{"date-parts":[["2009",10,15]]}}}],"schema":"https://github.com/citation-style-language/schema/raw/master/csl-citation.json"} </w:instrText>
      </w:r>
      <w:r w:rsidR="00A159FD">
        <w:rPr>
          <w:rFonts w:ascii="Times New Roman" w:hAnsi="Times New Roman" w:cs="Times New Roman"/>
          <w:color w:val="000000" w:themeColor="text1"/>
          <w:sz w:val="20"/>
          <w:szCs w:val="20"/>
        </w:rPr>
        <w:fldChar w:fldCharType="separate"/>
      </w:r>
      <w:r w:rsidR="00B67DDB">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80</w:t>
      </w:r>
      <w:r w:rsidR="00B67DDB">
        <w:rPr>
          <w:rFonts w:ascii="Times New Roman" w:hAnsi="Times New Roman" w:cs="Times New Roman"/>
          <w:color w:val="000000"/>
          <w:sz w:val="20"/>
          <w:u w:val="dash"/>
          <w:lang w:val="en-US"/>
        </w:rPr>
        <w:t>]</w:t>
      </w:r>
      <w:r w:rsidR="00A159FD">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Indeed, in order to facilitate robust remyelination</w:t>
      </w:r>
      <w:r w:rsidR="00013725">
        <w:rPr>
          <w:rFonts w:ascii="Times New Roman" w:hAnsi="Times New Roman" w:cs="Times New Roman"/>
          <w:color w:val="000000" w:themeColor="text1"/>
          <w:sz w:val="20"/>
          <w:szCs w:val="20"/>
        </w:rPr>
        <w:t xml:space="preserve"> in vitro</w:t>
      </w:r>
      <w:r w:rsidRPr="00003E8D">
        <w:rPr>
          <w:rFonts w:ascii="Times New Roman" w:hAnsi="Times New Roman" w:cs="Times New Roman"/>
          <w:color w:val="000000" w:themeColor="text1"/>
          <w:sz w:val="20"/>
          <w:szCs w:val="20"/>
        </w:rPr>
        <w:t>, the polarization of the macrophage response to an immunoregulatory, “M2”, phenotype is require</w:t>
      </w:r>
      <w:r w:rsidR="00A159FD">
        <w:rPr>
          <w:rFonts w:ascii="Times New Roman" w:hAnsi="Times New Roman" w:cs="Times New Roman"/>
          <w:color w:val="000000" w:themeColor="text1"/>
          <w:sz w:val="20"/>
          <w:szCs w:val="20"/>
        </w:rPr>
        <w:t>d</w:t>
      </w:r>
      <w:r w:rsidR="00A159F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YB889tk","properties":{"formattedCitation":"(81)","plainCitation":"(81)","noteIndex":0},"citationItems":[{"id":187,"uris":["http://zotero.org/users/local/OxFKn8nN/items/2QGM34BN"],"uri":["http://zotero.org/users/local/OxFKn8nN/items/2QGM34BN"],"itemData":{"id":187,"type":"article-journal","title":"M2 microglia and macrophages drive oligodendrocyte differentiation during CNS remyelination","container-title":"Nature neuroscience","page":"1211-1218","volume":"16","issue":"9","archive":"PubMed","archive_location":"23872599","abstract":"The lack of therapies for progressive multiple sclerosis highlights the need to understand the regenerative process of remyelination that can follow CNS demyelination. This involves an innate immune response consisting of microglia and macrophages, which can be polarized to distinct functional phenotypes: pro-inflammatory (M1) and anti-inflammatory or immunoregulatory (M2). We found that a switch from an M1- to an M2-dominant response occurred in microglia and peripherally derived macrophages as remyelination started. Oligodendrocyte differentiation was enhanced in vitro with M2 cell conditioned media and impaired in vivo following intra-lesional M2 cell depletion. M2 cell densities were increased in lesions of aged mice in which remyelination was enhanced by parabiotic coupling to a younger mouse and in multiple sclerosis lesions that normally show remyelination. Blocking M2 cell-derived activin-A inhibited oligodendrocyte differentiation during remyelination in cerebellar slice cultures. Thus, our results indicate that M2 cell polarization is essential for efficient remyelination and identify activin-A as a therapeutic target for CNS regeneration.","DOI":"10.1038/nn.3469","ISSN":"1546-1726","author":[{"family":"Miron","given":"Veronique E"},{"family":"Boyd","given":"Amanda"},{"family":"Zhao","given":"Jing-Wei"},{"family":"Yuen","given":"Tracy J"},{"family":"Ruckh","given":"Julia M"},{"family":"Shadrach","given":"Jennifer L"},{"family":"Wijngaarden","given":"Peter","non-dropping-particle":"van"},{"family":"Wagers","given":"Amy J"},{"family":"Williams","given":"Anna"},{"family":"Franklin","given":"Robin J M"},{"family":"Ffrench-Constant","given":"Charles"}],"issued":{"date-parts":[["2013",9]]}}}],"schema":"https://github.com/citation-style-language/schema/raw/master/csl-citation.json"} </w:instrText>
      </w:r>
      <w:r w:rsidR="00A159FD">
        <w:rPr>
          <w:rFonts w:ascii="Times New Roman" w:hAnsi="Times New Roman" w:cs="Times New Roman"/>
          <w:color w:val="000000" w:themeColor="text1"/>
          <w:sz w:val="20"/>
          <w:szCs w:val="20"/>
        </w:rPr>
        <w:fldChar w:fldCharType="separate"/>
      </w:r>
      <w:r w:rsidR="00B67DDB">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81</w:t>
      </w:r>
      <w:r w:rsidR="00B67DDB">
        <w:rPr>
          <w:rFonts w:ascii="Times New Roman" w:hAnsi="Times New Roman" w:cs="Times New Roman"/>
          <w:color w:val="000000"/>
          <w:sz w:val="20"/>
          <w:u w:val="dash"/>
          <w:lang w:val="en-US"/>
        </w:rPr>
        <w:t>]</w:t>
      </w:r>
      <w:r w:rsidR="00A159FD">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w:t>
      </w:r>
      <w:r w:rsidR="00013725">
        <w:rPr>
          <w:rFonts w:ascii="Times New Roman" w:hAnsi="Times New Roman" w:cs="Times New Roman"/>
          <w:color w:val="000000" w:themeColor="text1"/>
          <w:sz w:val="20"/>
          <w:szCs w:val="20"/>
        </w:rPr>
        <w:t xml:space="preserve"> It is not clear how these findings relate to the behaviour of monocyte-derived macrophages and microglia, in vivo</w:t>
      </w:r>
      <w:r w:rsidR="00D508D7">
        <w:rPr>
          <w:rFonts w:ascii="Times New Roman" w:hAnsi="Times New Roman" w:cs="Times New Roman"/>
          <w:color w:val="000000" w:themeColor="text1"/>
          <w:sz w:val="20"/>
          <w:szCs w:val="20"/>
        </w:rPr>
        <w:t>, yet they emphasise how</w:t>
      </w:r>
      <w:r w:rsidR="00E975BD">
        <w:rPr>
          <w:rFonts w:ascii="Times New Roman" w:hAnsi="Times New Roman" w:cs="Times New Roman"/>
          <w:color w:val="000000" w:themeColor="text1"/>
          <w:sz w:val="20"/>
          <w:szCs w:val="20"/>
        </w:rPr>
        <w:t xml:space="preserve"> improving our understanding of subpopulations of macrophages/microglia and lymphocytes in the brain is essential to develop</w:t>
      </w:r>
      <w:r w:rsidR="00D508D7">
        <w:rPr>
          <w:rFonts w:ascii="Times New Roman" w:hAnsi="Times New Roman" w:cs="Times New Roman"/>
          <w:color w:val="000000" w:themeColor="text1"/>
          <w:sz w:val="20"/>
          <w:szCs w:val="20"/>
        </w:rPr>
        <w:t>ing</w:t>
      </w:r>
      <w:r w:rsidR="00E975BD">
        <w:rPr>
          <w:rFonts w:ascii="Times New Roman" w:hAnsi="Times New Roman" w:cs="Times New Roman"/>
          <w:color w:val="000000" w:themeColor="text1"/>
          <w:sz w:val="20"/>
          <w:szCs w:val="20"/>
        </w:rPr>
        <w:t xml:space="preserve"> treatments that prevent </w:t>
      </w:r>
      <w:r w:rsidR="001B1E77">
        <w:rPr>
          <w:rFonts w:ascii="Times New Roman" w:hAnsi="Times New Roman" w:cs="Times New Roman"/>
          <w:color w:val="000000" w:themeColor="text1"/>
          <w:sz w:val="20"/>
          <w:szCs w:val="20"/>
        </w:rPr>
        <w:t xml:space="preserve">demyelination </w:t>
      </w:r>
      <w:r w:rsidR="00E975BD">
        <w:rPr>
          <w:rFonts w:ascii="Times New Roman" w:hAnsi="Times New Roman" w:cs="Times New Roman"/>
          <w:color w:val="000000" w:themeColor="text1"/>
          <w:sz w:val="20"/>
          <w:szCs w:val="20"/>
        </w:rPr>
        <w:t xml:space="preserve">while </w:t>
      </w:r>
      <w:r w:rsidR="001B1E77">
        <w:rPr>
          <w:rFonts w:ascii="Times New Roman" w:hAnsi="Times New Roman" w:cs="Times New Roman"/>
          <w:color w:val="000000" w:themeColor="text1"/>
          <w:sz w:val="20"/>
          <w:szCs w:val="20"/>
        </w:rPr>
        <w:t>promoting remyelination</w:t>
      </w:r>
      <w:r w:rsidR="00E975BD">
        <w:rPr>
          <w:rFonts w:ascii="Times New Roman" w:hAnsi="Times New Roman" w:cs="Times New Roman"/>
          <w:color w:val="000000" w:themeColor="text1"/>
          <w:sz w:val="20"/>
          <w:szCs w:val="20"/>
        </w:rPr>
        <w:t>.</w:t>
      </w:r>
    </w:p>
    <w:p w14:paraId="5410E222" w14:textId="13946C02" w:rsidR="00641CF1" w:rsidRPr="00003E8D" w:rsidRDefault="0096688D" w:rsidP="00746457">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The potential for endogenous remyelination is both age- and disease duration-dependent: remyelination is greatest in people aged less than 55 years and within the first 10 years of disease onset</w:t>
      </w:r>
      <w:r w:rsidR="00C67B8F">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nlcmbsm0j","properties":{"formattedCitation":"(39,82,83)","plainCitation":"(39,82,83)","noteIndex":0},"citationItems":[{"id":198,"uris":["http://zotero.org/users/local/OxFKn8nN/items/USIXZKWC"],"uri":["http://zotero.org/users/local/OxFKn8nN/items/USIXZKWC"],"itemData":{"id":198,"type":"article-journal","title":"Clinical and pathological insights into the dynamic nature of the white matter multiple sclerosis plaque","container-title":"Annals of neurology","page":"710-721","volume":"78","issue":"5","archive":"PubMed","archive_location":"26239536","abstract":"OBJECTIVE: An extensive analysis of white matter plaques in a large sample of multiple sclerosis (MS) autopsies provides insights into the dynamic nature of MS pathology. METHODS: One hundred twenty MS cases (1,220 tissue blocks) were included. Plaque types were classified according to demyelinating activity based on stringent criteria. Early active, late active, smoldering, inactive, and shadow plaques were distinguished. A total of 2,476 MS white matter plaques were identified. Plaque type distribution was analyzed in relation to clinical data. RESULTS: Active plaques were most often found in early disease, whereas at later stages, smoldering, inactive, and shadow plaques predominated. The presence of early active plaques rapidly declined with disease duration. Plaque type distribution differed significantly by clinical course. The majority of plaques in acute monophasic and relapsing-remitting MS (RRMS) were active. Among secondary progressive MS (SPMS) cases with attacks, all plaque types could be distinguished including active plaques, in contrast to SPMS without attacks, in which inactive plaques predominated. Smoldering plaques were frequently and almost exclusively found in progressive MS. At 47 years of age, an equilibrium was observed between active and inactive plaques, whereas smoldering plaques began to peak. Men displayed a higher proportion of smoldering plaques. INTERPRETATION: Disease duration, clinical course, age, and gender contribute to the dynamic nature of white matter MS pathology. Active MS plaques predominate in acute and early RRMS and are the likely substrate of clinical attacks. Progressive MS transitions to an accumulation of smoldering plaques characterized by microglial activation and slow expansion of pre-existing plaques. Whether current MS therapeutics impact this pathological driver of disease progression remains uncertain.","DOI":"10.1002/ana.24497","ISSN":"1531-8249","author":[{"family":"Frischer","given":"Josa M"},{"family":"Weigand","given":"Stephen D"},{"family":"Guo","given":"Yong"},{"family":"Kale","given":"Nilufer"},{"family":"Parisi","given":"Joseph E"},{"family":"Pirko","given":"Istvan"},{"family":"Mandrekar","given":"Jay"},{"family":"Bramow","given":"Stephan"},{"family":"Metz","given":"Imke"},{"family":"Brück","given":"Wolfgang"},{"family":"Lassmann","given":"Hans"},{"family":"Lucchinetti","given":"Claudia F"}],"issued":{"date-parts":[["2015",11]]}}},{"id":197,"uris":["http://zotero.org/users/local/OxFKn8nN/items/T68PUS36"],"uri":["http://zotero.org/users/local/OxFKn8nN/items/T68PUS36"],"itemData":{"id":197,"type":"article-journal","title":"Remyelination capacity of the MS brain decreases with disease chronicity","container-title":"Neurology","page":"1914","volume":"72","issue":"22","abstract":"Objective: To analyze and compare the extent of remyelination in lesions from patients with multiple sclerosis (MS) who have a short (early MS lesions) or a long (chronic MS lesions) disease duration and to determine the influence of anatomic localization on the extent of remyelination. In early MS lesions, remyelination has been described as a relatively frequent event, in contrast to chronic MS lesions, where remyelination is absent or limited to the lesion border in the majority of lesions. However, no studies have been published that have quantified and compared the extent of remyelination in early and chronic MS lesions. Methods: We analyzed the occurrence of remyelination in 52 biopsies from 51 patients (early MS) and in 174 lesions from 36 autopsy cases (chronic MS) by immunohistochemistry for myelin proteins, and correlated our findings with anatomic localization, sex, age, and disease duration. Results: Significantly more lesions were remyelinated in early than in chronic MS (80.7% vs 60%). In chronic MS, subcortical lesions showed more extensive remyelination than periventricular lesions. The majority of cerebellar lesions were completely demyelinated. Conclusion: In summary, our data demonstrate that remyelination is a frequent event in early multiple sclerosis lesions. Furthermore, the anatomic localization of a lesion might influence the extent of remyelination. CNPase = 2,3-cyclic nucleotide 3-phosphodiesterase; LFB = Luxol fast blue; MBP = myelin basic protein; MOG = myelin oligodendrocyte protein; MS = multiple sclerosis; OPC = oligodendrocyte progenitor cell;PAS = periodic acid-Schiff; PBS = phosphate-buffered saline; PLP = proteolipid protein.","DOI":"10.1212/WNL.0b013e3181a8260a","journalAbbreviation":"Neurology","author":[{"family":"Goldschmidt","given":"T."},{"family":"Antel","given":"J."},{"family":"König","given":"F. B."},{"family":"Brück","given":"W."},{"family":"Kuhlmann","given":"T."}],"issued":{"date-parts":[["2009",6,2]]}}},{"id":9,"uris":["http://zotero.org/users/local/OxFKn8nN/items/AHQTJNVV"],"uri":["http://zotero.org/users/local/OxFKn8nN/items/AHQTJNVV"],"itemData":{"id":9,"type":"article-journal","title":"Neuroprotection and repair in multiple sclerosis","container-title":"Nature Reviews Neurology","page":"624","volume":"8","journalAbbreviation":"Nature Reviews Neurology","author":[{"family":"Franklin","given":"Robin J. M."},{"family":"Constant","given":"Charles","non-dropping-particle":"ffrench-"},{"family":"Edgar","given":"Julia M."},{"family":"Smith","given":"Kenneth J."}],"issued":{"date-parts":[["2012",10,2]]}}}],"schema":"https://github.com/citation-style-language/schema/raw/master/csl-citation.json"} </w:instrText>
      </w:r>
      <w:r w:rsidR="00C67B8F">
        <w:rPr>
          <w:rFonts w:ascii="Times New Roman" w:hAnsi="Times New Roman" w:cs="Times New Roman"/>
          <w:color w:val="000000" w:themeColor="text1"/>
          <w:sz w:val="20"/>
          <w:szCs w:val="20"/>
        </w:rPr>
        <w:fldChar w:fldCharType="separate"/>
      </w:r>
      <w:r w:rsidR="00207FD9">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39,82,83</w:t>
      </w:r>
      <w:r w:rsidR="00207FD9">
        <w:rPr>
          <w:rFonts w:ascii="Times New Roman" w:hAnsi="Times New Roman" w:cs="Times New Roman"/>
          <w:color w:val="000000"/>
          <w:sz w:val="20"/>
          <w:lang w:val="en-US"/>
        </w:rPr>
        <w:t>]</w:t>
      </w:r>
      <w:r w:rsidR="00C67B8F">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xml:space="preserve">. </w:t>
      </w:r>
      <w:r w:rsidR="00DF195E">
        <w:rPr>
          <w:rFonts w:ascii="Times New Roman" w:hAnsi="Times New Roman" w:cs="Times New Roman"/>
          <w:color w:val="000000" w:themeColor="text1"/>
          <w:sz w:val="20"/>
          <w:szCs w:val="20"/>
        </w:rPr>
        <w:t xml:space="preserve">Disentangling the relative contribution of age versus duration of lesion demyelination to remyelination failure </w:t>
      </w:r>
      <w:r w:rsidR="00EC36BF">
        <w:rPr>
          <w:rFonts w:ascii="Times New Roman" w:hAnsi="Times New Roman" w:cs="Times New Roman"/>
          <w:color w:val="000000" w:themeColor="text1"/>
          <w:sz w:val="20"/>
          <w:szCs w:val="20"/>
        </w:rPr>
        <w:t>remains to be done, but clinical evidence would suggest age is especially pertinent as patients reach disability milestones at similar ages</w:t>
      </w:r>
      <w:r w:rsidR="00746457">
        <w:rPr>
          <w:rFonts w:ascii="Times New Roman" w:hAnsi="Times New Roman" w:cs="Times New Roman"/>
          <w:color w:val="000000" w:themeColor="text1"/>
          <w:sz w:val="20"/>
          <w:szCs w:val="20"/>
        </w:rPr>
        <w:t xml:space="preserve"> whether they have relapsing or progressive symptoms at onset</w:t>
      </w:r>
      <w:r w:rsidR="00EC36BF">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08lPucvc","properties":{"formattedCitation":"(8,83)","plainCitation":"(8,83)","noteIndex":0},"citationItems":[{"id":197,"uris":["http://zotero.org/users/local/OxFKn8nN/items/T68PUS36"],"uri":["http://zotero.org/users/local/OxFKn8nN/items/T68PUS36"],"itemData":{"id":197,"type":"article-journal","title":"Remyelination capacity of the MS brain decreases with disease chronicity","container-title":"Neurology","page":"1914","volume":"72","issue":"22","abstract":"Objective: To analyze and compare the extent of remyelination in lesions from patients with multiple sclerosis (MS) who have a short (early MS lesions) or a long (chronic MS lesions) disease duration and to determine the influence of anatomic localization on the extent of remyelination. In early MS lesions, remyelination has been described as a relatively frequent event, in contrast to chronic MS lesions, where remyelination is absent or limited to the lesion border in the majority of lesions. However, no studies have been published that have quantified and compared the extent of remyelination in early and chronic MS lesions. Methods: We analyzed the occurrence of remyelination in 52 biopsies from 51 patients (early MS) and in 174 lesions from 36 autopsy cases (chronic MS) by immunohistochemistry for myelin proteins, and correlated our findings with anatomic localization, sex, age, and disease duration. Results: Significantly more lesions were remyelinated in early than in chronic MS (80.7% vs 60%). In chronic MS, subcortical lesions showed more extensive remyelination than periventricular lesions. The majority of cerebellar lesions were completely demyelinated. Conclusion: In summary, our data demonstrate that remyelination is a frequent event in early multiple sclerosis lesions. Furthermore, the anatomic localization of a lesion might influence the extent of remyelination. CNPase = 2,3-cyclic nucleotide 3-phosphodiesterase; LFB = Luxol fast blue; MBP = myelin basic protein; MOG = myelin oligodendrocyte protein; MS = multiple sclerosis; OPC = oligodendrocyte progenitor cell;PAS = periodic acid-Schiff; PBS = phosphate-buffered saline; PLP = proteolipid protein.","DOI":"10.1212/WNL.0b013e3181a8260a","journalAbbreviation":"Neurology","author":[{"family":"Goldschmidt","given":"T."},{"family":"Antel","given":"J."},{"family":"König","given":"F. B."},{"family":"Brück","given":"W."},{"family":"Kuhlmann","given":"T."}],"issued":{"date-parts":[["2009",6,2]]}}},{"id":76,"uris":["http://zotero.org/users/local/OxFKn8nN/items/8S8KEUG7"],"uri":["http://zotero.org/users/local/OxFKn8nN/items/8S8KEUG7"],"itemData":{"id":76,"type":"article-journal","title":"Age at disability milestones in multiple sclerosis","container-title":"Brain","page":"595-605","volume":"129","issue":"3","abstract":"Many efforts have been devoted to the description of the prognosis of multiple sclerosis and its possible influential factors in terms of time to reach disability milestones. By contrast, the age at which patients with multiple sclerosis reach these milestones has not yet stirred much interest. We have tested the hypothesis whether the prognosis of multiple sclerosis depends on the current age of patients and the initial course of the disease. We have assessed disease onset and course, and assignment of scores of irreversible disability in 1844 patients with multiple sclerosis. We have used three scores on the Kurtzke Disability Status Scale as benchmarks of disability accumulation: DSS 4 (limited walking but without aid), DSS 6 (walking with unilateral aid) and DSS 7 (wheelchair-bound). We used Kaplan–Meier analyses to estimate the age of the patients at assignment of disability milestones. The possible influence of the initial course of multiple sclerosis and of other clinical variables early assessable in the disease on these outcome measures was also studied, using the Kaplan–Meier curves for univariate analyses and Cox models for multivariate analyses. For the 1844 patients, median ages at time of assignment of irreversible disability were 44.3 years (95% CI 43.3–45.2) for a score of DSS 4, 54.7 years (95% CI 53.5–55.8) for DSS 6 and 63.1 years (95% CI 61.0–65.1) for DSS 7. These results were essentially similar whether the initial course of multiple sclerosis was exacerbating-remitting or progressive, and whatever the initial symptomatology. Females reached disability milestones at an older age than males. The most influential clinical factor was age at clinical onset of multiple sclerosis: the younger the onset, the younger the age at assignment of disability milestones. Therefore, prognosis in multiple sclerosis appears, at least to some extent, as age-dependent and not substantially affected by the initial course, be it exacerbating-remitting or progressive. Aside acute focal recurrent inflammation and diffuse chronic neurodegeneration, accelerated ageing-related mechanisms may operate in the central nervous system of multiple sclerosis patients.","DOI":"10.1093/brain/awh714","ISSN":"0006-8950","journalAbbreviation":"Brain","author":[{"family":"Confavreux","given":"Christian"},{"family":"Vukusic","given":"Sandra"}],"issued":{"date-parts":[["2006",3,1]]}}}],"schema":"https://github.com/citation-style-language/schema/raw/master/csl-citation.json"} </w:instrText>
      </w:r>
      <w:r w:rsidR="00EC36BF">
        <w:rPr>
          <w:rFonts w:ascii="Times New Roman" w:hAnsi="Times New Roman" w:cs="Times New Roman"/>
          <w:color w:val="000000" w:themeColor="text1"/>
          <w:sz w:val="20"/>
          <w:szCs w:val="20"/>
        </w:rPr>
        <w:fldChar w:fldCharType="separate"/>
      </w:r>
      <w:r w:rsidR="00207FD9">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8,83</w:t>
      </w:r>
      <w:r w:rsidR="00207FD9">
        <w:rPr>
          <w:rFonts w:ascii="Times New Roman" w:hAnsi="Times New Roman" w:cs="Times New Roman"/>
          <w:color w:val="000000"/>
          <w:sz w:val="20"/>
          <w:u w:val="dash"/>
          <w:lang w:val="en-US"/>
        </w:rPr>
        <w:t>]</w:t>
      </w:r>
      <w:r w:rsidR="00EC36BF">
        <w:rPr>
          <w:rFonts w:ascii="Times New Roman" w:hAnsi="Times New Roman" w:cs="Times New Roman"/>
          <w:color w:val="000000" w:themeColor="text1"/>
          <w:sz w:val="20"/>
          <w:szCs w:val="20"/>
        </w:rPr>
        <w:fldChar w:fldCharType="end"/>
      </w:r>
      <w:r w:rsidR="00746457">
        <w:rPr>
          <w:rFonts w:ascii="Times New Roman" w:hAnsi="Times New Roman" w:cs="Times New Roman"/>
          <w:color w:val="000000" w:themeColor="text1"/>
          <w:sz w:val="20"/>
          <w:szCs w:val="20"/>
        </w:rPr>
        <w:t xml:space="preserve">. Similarly, </w:t>
      </w:r>
      <w:proofErr w:type="spellStart"/>
      <w:r w:rsidR="00746457">
        <w:rPr>
          <w:rFonts w:ascii="Times New Roman" w:hAnsi="Times New Roman" w:cs="Times New Roman"/>
          <w:color w:val="000000" w:themeColor="text1"/>
          <w:sz w:val="20"/>
          <w:szCs w:val="20"/>
        </w:rPr>
        <w:t>lesional</w:t>
      </w:r>
      <w:proofErr w:type="spellEnd"/>
      <w:r w:rsidR="00746457">
        <w:rPr>
          <w:rFonts w:ascii="Times New Roman" w:hAnsi="Times New Roman" w:cs="Times New Roman"/>
          <w:color w:val="000000" w:themeColor="text1"/>
          <w:sz w:val="20"/>
          <w:szCs w:val="20"/>
        </w:rPr>
        <w:t xml:space="preserve"> </w:t>
      </w:r>
      <w:r w:rsidR="00746457" w:rsidRPr="00003E8D">
        <w:rPr>
          <w:rFonts w:ascii="Times New Roman" w:hAnsi="Times New Roman" w:cs="Times New Roman"/>
          <w:color w:val="000000" w:themeColor="text1"/>
          <w:sz w:val="20"/>
          <w:szCs w:val="20"/>
        </w:rPr>
        <w:t>magnetization transfer ratio (MTR)</w:t>
      </w:r>
      <w:r w:rsidR="00746457">
        <w:rPr>
          <w:rFonts w:ascii="Times New Roman" w:hAnsi="Times New Roman" w:cs="Times New Roman"/>
          <w:color w:val="000000" w:themeColor="text1"/>
          <w:sz w:val="20"/>
          <w:szCs w:val="20"/>
        </w:rPr>
        <w:t xml:space="preserve"> – a putative marker of remyelination – </w:t>
      </w:r>
      <w:r w:rsidR="00480B9F">
        <w:rPr>
          <w:rFonts w:ascii="Times New Roman" w:hAnsi="Times New Roman" w:cs="Times New Roman"/>
          <w:color w:val="000000" w:themeColor="text1"/>
          <w:sz w:val="20"/>
          <w:szCs w:val="20"/>
        </w:rPr>
        <w:t>also shows age-dependent decline</w:t>
      </w:r>
      <w:r w:rsidR="00746457">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LoquYrVQ","properties":{"formattedCitation":"(84)","plainCitation":"(84)","noteIndex":0},"citationItems":[{"id":59,"uris":["http://zotero.org/users/local/OxFKn8nN/items/WZJ3PR8V"],"uri":["http://zotero.org/users/local/OxFKn8nN/items/WZJ3PR8V"],"itemData":{"id":59,"type":"article-journal","title":"Segmentation of magnetization transfer ratio lesions for longitudinal analysis of demyelination and remyelination in multiple sclerosis","container-title":"NeuroImage","page":"103-109","volume":"66","abstract":"We demonstrate a new technique to quantify longitudinal changes in magnetization transfer ratio (MTR) magnetic resonance imaging (MRI). These changes are indicative of demyelination and remyelination. This technique comprises a definition of ΔMTR lesions, which are identified directly from the MTR images, and an automatic procedure for segmenting these lesions. We used this technique to analyze MTR changes in lesions of subjects with rapidly progressing multiple sclerosis before and after treatment with immunoablation and autologous stem cell transplant. Subjects who experienced clinical improvement after treatment showed significantly improved MTR recovery in lesions that were recovering during treatment (p&lt;0.0001) while those who were clinically stable after treatment showed significantly poorer MTR recovery (p=0.002). The statistical power of this technique to detect treatment effects on MTR recovery was shown to be considerably better than previous methods. These results suggest that longitudinal measurements of MTR in ΔMTR lesions may be an important technique for the assessment of treatment effects on remyelination in clinical trials.","DOI":"10.1016/j.neuroimage.2012.10.059","ISSN":"1053-8119","journalAbbreviation":"NeuroImage","author":[{"family":"Brown","given":"Robert A."},{"family":"Narayanan","given":"Sridar"},{"family":"Arnold","given":"Douglas L."}],"issued":{"date-parts":[["2013",2,1]]}}}],"schema":"https://github.com/citation-style-language/schema/raw/master/csl-citation.json"} </w:instrText>
      </w:r>
      <w:r w:rsidR="00746457">
        <w:rPr>
          <w:rFonts w:ascii="Times New Roman" w:hAnsi="Times New Roman" w:cs="Times New Roman"/>
          <w:color w:val="000000" w:themeColor="text1"/>
          <w:sz w:val="20"/>
          <w:szCs w:val="20"/>
        </w:rPr>
        <w:fldChar w:fldCharType="separate"/>
      </w:r>
      <w:r w:rsidR="00207FD9">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84</w:t>
      </w:r>
      <w:r w:rsidR="00207FD9">
        <w:rPr>
          <w:rFonts w:ascii="Times New Roman" w:hAnsi="Times New Roman" w:cs="Times New Roman"/>
          <w:color w:val="000000"/>
          <w:sz w:val="20"/>
          <w:u w:val="dash"/>
          <w:lang w:val="en-US"/>
        </w:rPr>
        <w:t>]</w:t>
      </w:r>
      <w:r w:rsidR="00746457">
        <w:rPr>
          <w:rFonts w:ascii="Times New Roman" w:hAnsi="Times New Roman" w:cs="Times New Roman"/>
          <w:color w:val="000000" w:themeColor="text1"/>
          <w:sz w:val="20"/>
          <w:szCs w:val="20"/>
        </w:rPr>
        <w:fldChar w:fldCharType="end"/>
      </w:r>
      <w:r w:rsidR="00746457">
        <w:rPr>
          <w:rFonts w:ascii="Times New Roman" w:hAnsi="Times New Roman" w:cs="Times New Roman"/>
          <w:color w:val="000000" w:themeColor="text1"/>
          <w:sz w:val="20"/>
          <w:szCs w:val="20"/>
        </w:rPr>
        <w:t xml:space="preserve">. </w:t>
      </w:r>
      <w:r w:rsidR="00641CF1" w:rsidRPr="00003E8D">
        <w:rPr>
          <w:rFonts w:ascii="Times New Roman" w:hAnsi="Times New Roman" w:cs="Times New Roman"/>
          <w:color w:val="000000" w:themeColor="text1"/>
          <w:sz w:val="20"/>
          <w:szCs w:val="20"/>
        </w:rPr>
        <w:t>Remyelinatio</w:t>
      </w:r>
      <w:r w:rsidR="00746457">
        <w:rPr>
          <w:rFonts w:ascii="Times New Roman" w:hAnsi="Times New Roman" w:cs="Times New Roman"/>
          <w:color w:val="000000" w:themeColor="text1"/>
          <w:sz w:val="20"/>
          <w:szCs w:val="20"/>
        </w:rPr>
        <w:t>n is therefore</w:t>
      </w:r>
      <w:r w:rsidR="00641CF1" w:rsidRPr="00003E8D">
        <w:rPr>
          <w:rFonts w:ascii="Times New Roman" w:hAnsi="Times New Roman" w:cs="Times New Roman"/>
          <w:color w:val="000000" w:themeColor="text1"/>
          <w:sz w:val="20"/>
          <w:szCs w:val="20"/>
        </w:rPr>
        <w:t xml:space="preserve"> akin to other </w:t>
      </w:r>
      <w:r w:rsidR="00A572FA" w:rsidRPr="00003E8D">
        <w:rPr>
          <w:rFonts w:ascii="Times New Roman" w:hAnsi="Times New Roman" w:cs="Times New Roman"/>
          <w:color w:val="000000" w:themeColor="text1"/>
          <w:sz w:val="20"/>
          <w:szCs w:val="20"/>
        </w:rPr>
        <w:t>regenerative processe</w:t>
      </w:r>
      <w:r w:rsidR="00A159FD">
        <w:rPr>
          <w:rFonts w:ascii="Times New Roman" w:hAnsi="Times New Roman" w:cs="Times New Roman"/>
          <w:color w:val="000000" w:themeColor="text1"/>
          <w:sz w:val="20"/>
          <w:szCs w:val="20"/>
        </w:rPr>
        <w:t>s</w:t>
      </w:r>
      <w:r w:rsidR="00A159F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iPeS92KK","properties":{"formattedCitation":"(85)","plainCitation":"(85)","noteIndex":0},"citationItems":[{"id":189,"uris":["http://zotero.org/users/local/OxFKn8nN/items/PYRNKEMZ"],"uri":["http://zotero.org/users/local/OxFKn8nN/items/PYRNKEMZ"],"itemData":{"id":189,"type":"article-journal","title":"Stem cell aging: mechanisms, regulators and therapeutic opportunities","container-title":"Nature medicine","page":"870-880","volume":"20","issue":"8","archive":"PubMed","archive_location":"25100532","abstract":"Aging tissues experience a progressive decline in homeostatic and regenerative capacities, which has been attributed to degenerative changes in tissue-specific stem cells, stem cell niches and systemic cues that regulate stem cell activity. Understanding the molecular pathways involved in this age-dependent deterioration of stem cell function will be critical for developing new therapies for diseases of aging that target the specific causes of age-related functional decline. Here we explore key molecular pathways that are commonly perturbed as tissues and stem cells age and degenerate. We further consider experimental evidence both supporting and refuting the notion that modulation of these pathways per se can reverse aging phenotypes. Finally, we ask whether stem cell aging establishes an epigenetic 'memory' that is indelibly written or one that can be reset.","DOI":"10.1038/nm.3651","ISSN":"1546-170X","author":[{"family":"Oh","given":"Juhyun"},{"family":"Lee","given":"Yang David"},{"family":"Wagers","given":"Amy J"}],"issued":{"date-parts":[["2014",8,6]]}}}],"schema":"https://github.com/citation-style-language/schema/raw/master/csl-citation.json"} </w:instrText>
      </w:r>
      <w:r w:rsidR="00A159FD">
        <w:rPr>
          <w:rFonts w:ascii="Times New Roman" w:hAnsi="Times New Roman" w:cs="Times New Roman"/>
          <w:color w:val="000000" w:themeColor="text1"/>
          <w:sz w:val="20"/>
          <w:szCs w:val="20"/>
        </w:rPr>
        <w:fldChar w:fldCharType="separate"/>
      </w:r>
      <w:r w:rsidR="00207FD9">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85</w:t>
      </w:r>
      <w:r w:rsidR="00207FD9">
        <w:rPr>
          <w:rFonts w:ascii="Times New Roman" w:hAnsi="Times New Roman" w:cs="Times New Roman"/>
          <w:color w:val="000000"/>
          <w:sz w:val="20"/>
          <w:u w:val="dash"/>
          <w:lang w:val="en-US"/>
        </w:rPr>
        <w:t>]</w:t>
      </w:r>
      <w:r w:rsidR="00A159FD">
        <w:rPr>
          <w:rFonts w:ascii="Times New Roman" w:hAnsi="Times New Roman" w:cs="Times New Roman"/>
          <w:color w:val="000000" w:themeColor="text1"/>
          <w:sz w:val="20"/>
          <w:szCs w:val="20"/>
        </w:rPr>
        <w:fldChar w:fldCharType="end"/>
      </w:r>
      <w:r w:rsidR="00746457">
        <w:rPr>
          <w:rFonts w:ascii="Times New Roman" w:hAnsi="Times New Roman" w:cs="Times New Roman"/>
          <w:color w:val="000000" w:themeColor="text1"/>
          <w:sz w:val="20"/>
          <w:szCs w:val="20"/>
        </w:rPr>
        <w:t xml:space="preserve"> in becoming </w:t>
      </w:r>
      <w:r w:rsidR="00641CF1" w:rsidRPr="00003E8D">
        <w:rPr>
          <w:rFonts w:ascii="Times New Roman" w:hAnsi="Times New Roman" w:cs="Times New Roman"/>
          <w:color w:val="000000" w:themeColor="text1"/>
          <w:sz w:val="20"/>
          <w:szCs w:val="20"/>
        </w:rPr>
        <w:t xml:space="preserve">less efficient with </w:t>
      </w:r>
      <w:r w:rsidR="00746457">
        <w:rPr>
          <w:rFonts w:ascii="Times New Roman" w:hAnsi="Times New Roman" w:cs="Times New Roman"/>
          <w:color w:val="000000" w:themeColor="text1"/>
          <w:sz w:val="20"/>
          <w:szCs w:val="20"/>
        </w:rPr>
        <w:t>time</w:t>
      </w:r>
      <w:r w:rsidR="00A159F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bUr1Vtha","properties":{"formattedCitation":"(86\\uc0\\u8211{}90)","plainCitation":"(86–90)","noteIndex":0},"citationItems":[{"id":191,"uris":["http://zotero.org/users/local/OxFKn8nN/items/GH6WD4PZ"],"uri":["http://zotero.org/users/local/OxFKn8nN/items/GH6WD4PZ"],"itemData":{"id":191,"type":"article-journal","title":"Remyelination occurs as extensively but more slowly in old rats compared to young rats following gliotoxin-induced CNS demyelination","container-title":"Glia","page":"77-83","volume":"28","issue":"1","abstract":"Abstract Age is one of the many factors that influence remyelination following CNS demyelination, although it is not clear whether it is the extent or rate of remyelination that is affected. To resolve this issue we have compared remyelination in young and old adult rat CNS following gliotoxin-induced demyelination. Remyelination of areas of ethidium bromide-induced demyelination in the caudal cerebellar peduncle reached completion by 4 weeks in young adult rats (2 months) but was not complete until 9 weeks in old adult rats (9?12 months). We have also shown that remyelination of lysolecithin-induced demyelination in the spinal white matter of old adult rats (18 months) can be extensive, with longer survival times (8 weeks) than have previously been examined. Thus, it is the rate rather than the extent of remyelination that changes in the ageing CNS. These results have important implications for understanding the mechanisms of remyelination, indicating that remyelination need not occur rapidly for it to be extensive. The capacity for the process of remyelination to continue over many weeks must also be borne in mind when assessing remyelination-enhancement strategies either by transplantation or promotion of endogenous mechanisms. ?GLIA 28:77?83, 1999. ? 1999 Wiley-Liss, Inc.","DOI":"10.1002/(SICI)1098-1136(199910)28:1&lt;77::AID-GLIA9&gt;3.0.CO;2-F","ISSN":"0894-1491","journalAbbreviation":"Glia","author":[{"family":"Shields","given":"Simon A."},{"family":"Gilson","given":"Jennifer M."},{"family":"Blakemore","given":"William F."},{"family":"Franklin","given":"Robin J.M."}],"issued":{"date-parts":[["1999",10,1]]}}},{"id":193,"uris":["http://zotero.org/users/local/OxFKn8nN/items/IELCNBGP"],"uri":["http://zotero.org/users/local/OxFKn8nN/items/IELCNBGP"],"itemData":{"id":193,"type":"article-journal","title":"Focal Immune-Mediated White Matter Demyelination Reveals an Age-Associated Increase in Axonal Vulnerability and Decreased Remyelination Efficiency","container-title":"The American Journal of Pathology","page":"1897-1905","volume":"180","issue":"5","abstract":"In addition to being an established risk factor for neurodegenerative diseases, age is increasingly recognized as adversely influencing regeneration. Accumulating evidence also suggests that age plays important, although poorly understood, roles with respect to course and prognosis in the degenerative and untreatable later phase of multiple sclerosis. Two experimental models of multiple sclerosis have been particularly influential in modeling the different aspects of neuronal injury and regeneration: global experimental autoimmune encephalomyelitis and focal toxin-mediated injury. Against this background, we report a focal model of immune-mediated demyelinating injury that reliably generates targeted primary demyelination and axonal injury. A detailed pathologic characterization of this model, modified extensively from an earlier study, showed that aged adult animals exhibited increased vulnerability to axonal injury and reduced efficiency of remyelination compared with younger animals. More important, remyelination in aged animals was predominantly Schwann cell mediated, in contrast to the central oligodendrocyte-mediated remyelination that predominated in younger rodents. Together, these findings establish an experimental platform to further study the influence of age on injury and repair in a biologically relevant model of human demyelinating injury.","DOI":"10.1016/j.ajpath.2012.01.018","ISSN":"0002-9440","journalAbbreviation":"The American Journal of Pathology","author":[{"family":"Hampton","given":"David W."},{"family":"Innes","given":"Neill"},{"family":"Merkler","given":"Doron"},{"family":"Zhao","given":"Chao"},{"family":"Franklin","given":"Robin J.M."},{"family":"Chandran","given":"Siddharthan"}],"issued":{"date-parts":[["2012",5,1]]}}},{"id":194,"uris":["http://zotero.org/users/local/OxFKn8nN/items/R552QX3W"],"uri":["http://zotero.org/users/local/OxFKn8nN/items/R552QX3W"],"itemData":{"id":194,"type":"article-journal","title":"The Age-Related Decrease in CNS Remyelination Efficiency Is Attributable to an Impairment of Both Oligodendrocyte Progenitor Recruitment and Differentiation","container-title":"The Journal of Neuroscience","page":"2451","volume":"22","issue":"7","abstract":"The age-associated decrease in the efficiency of CNS remyelination has clear implications for recovery from demyelinating diseases such as multiple sclerosis (MS) that may last for several decades. Developing strategies to reverse the age-associated decline requires the identification of how the regenerative process is impaired. We addressed whether remyelination becomes slower because of an impairment of recruitment of oligodendrocyte progenitors (OPs) or, as is the case in some MS lesions, an impairment of OP differentiation into remyelinating oligodendrocytes. The OP response during remyelination of focal, toxin-induced CNS demyelination in young and old rats was compared by in situ hybridization using probes to two OP-expressed mRNA species: platelet-derived growth factor-α receptor and the OP transcription factor myelin transcription factor 1 (MyT1). We found that the expression patterns for the two OP markers are very similar and reveal a delay in the colonization of the demyelinated focus with OPs in the old animals compared with the young animals. By comparing the mRNA expression pattern of MyT1 with that of the myelin proteins myelin basic protein and Gtx, we found that in the old animals there is also a delay in OP differentiation that increases with longer survival times. These results indicate that the age-associated decrease in remyelination efficiency occurs because of an impairment of OP recruitment and the subsequent differentiation of the OPs into remyelinating oligodendrocytes, and that strategies aimed at ameliorating the age-associated decline in remyelination efficiency will therefore need to promote both components of the regenerative process.","DOI":"10.1523/JNEUROSCI.22-07-02451.2002","journalAbbreviation":"J. Neurosci.","author":[{"family":"Sim","given":"Fraser J."},{"family":"Zhao","given":"Chao"},{"family":"Penderis","given":"Jacques"},{"family":"Franklin","given":"Robin J. M."}],"issued":{"date-parts":[["2002",4,1]]}}},{"id":195,"uris":["http://zotero.org/users/local/OxFKn8nN/items/PJGNX2EC"],"uri":["http://zotero.org/users/local/OxFKn8nN/items/PJGNX2EC"],"itemData":{"id":195,"type":"article-journal","title":"Ageing stem and progenitor cells: implications for rejuvenation of the central nervous system","container-title":"Development","page":"2562","volume":"140","issue":"12","abstract":"The growing burden of the rapidly ageing global population has reinvigorated interest in the science of ageing and rejuvenation. Among organ systems, rejuvenation of the central nervous system (CNS) is arguably the most complex and challenging of tasks owing, among other things, to its startling structural and functional complexity and its restricted capacity for repair. Thus, the prospect of meaningful rejuvenation of the CNS has seemed an impossible goal; however, advances in stem cell science are beginning to challenge this assumption. This Review outlines these advances with a focus on ageing and rejuvenation of key endogenous stem and progenitor cell compartments in the CNS. Insights gleaned from studies of model organisms, chiefly rodents, will be considered in parallel with human studies.","DOI":"10.1242/dev.092262","journalAbbreviation":"Development","author":[{"family":"Wijngaarden","given":"Peter","non-dropping-particle":"van"},{"family":"Franklin","given":"Robin J. M."}],"issued":{"date-parts":[["2013",6,15]]}}},{"id":196,"uris":["http://zotero.org/users/local/OxFKn8nN/items/BGWIX6GK"],"uri":["http://zotero.org/users/local/OxFKn8nN/items/BGWIX6GK"],"itemData":{"id":196,"type":"article-journal","title":"Taking ageing into account in remyelination-based therapies for multiple sclerosis","container-title":"Treatment Targets in Multiple Sclerosis: 'The ends and the means'","page":"64-67","volume":"274","issue":"1","abstract":"MS is a disease that patients can suffer from over several decades. The effects of ageing are therefore likely to have a bearing on the natural history of the disease and the manner in which it is treated. In this review we consider how age affects remyelination, a spontaneously occurring regenerative process that follows demyelination and that often fails in MS patients. Over the last ten years several studies based on experimental rodent models of demyelination/remyelination have led to a clearer understanding of the age-associated changes in the environmental signals that govern remyelination, and reveal broad concepts shared by stem/precursor cell mediated regenerative processes in other tissues. Less clear is how age affects the intrinsic properties and responsiveness of the adult stem/precursor cells responsible for remyelination. We argue that the effects of age and in particular age-associated cell-intrinsic changes may be fundamental to the clinical success of pro-remyelination therapies, the development of which is currently the focus of intensive research activity.","DOI":"10.1016/j.jns.2008.04.027","ISSN":"0022-510X","journalAbbreviation":"Journal of the Neurological Sciences","author":[{"family":"Rist","given":"Julia M."},{"family":"Franklin","given":"Robin J.M."}],"issued":{"date-parts":[["2008",11,15]]}}}],"schema":"https://github.com/citation-style-language/schema/raw/master/csl-citation.json"} </w:instrText>
      </w:r>
      <w:r w:rsidR="00A159FD">
        <w:rPr>
          <w:rFonts w:ascii="Times New Roman" w:hAnsi="Times New Roman" w:cs="Times New Roman"/>
          <w:color w:val="000000" w:themeColor="text1"/>
          <w:sz w:val="20"/>
          <w:szCs w:val="20"/>
        </w:rPr>
        <w:fldChar w:fldCharType="separate"/>
      </w:r>
      <w:r w:rsidR="00207FD9">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86–90</w:t>
      </w:r>
      <w:r w:rsidR="00207FD9">
        <w:rPr>
          <w:rFonts w:ascii="Times New Roman" w:hAnsi="Times New Roman" w:cs="Times New Roman"/>
          <w:color w:val="000000"/>
          <w:sz w:val="20"/>
          <w:lang w:val="en-US"/>
        </w:rPr>
        <w:t>]</w:t>
      </w:r>
      <w:r w:rsidR="00A159FD">
        <w:rPr>
          <w:rFonts w:ascii="Times New Roman" w:hAnsi="Times New Roman" w:cs="Times New Roman"/>
          <w:color w:val="000000" w:themeColor="text1"/>
          <w:sz w:val="20"/>
          <w:szCs w:val="20"/>
        </w:rPr>
        <w:fldChar w:fldCharType="end"/>
      </w:r>
      <w:r w:rsidR="00746457">
        <w:rPr>
          <w:rFonts w:ascii="Times New Roman" w:hAnsi="Times New Roman" w:cs="Times New Roman"/>
          <w:color w:val="000000" w:themeColor="text1"/>
          <w:sz w:val="20"/>
          <w:szCs w:val="20"/>
        </w:rPr>
        <w:t xml:space="preserve">; understanding </w:t>
      </w:r>
      <w:r w:rsidR="00641CF1" w:rsidRPr="00003E8D">
        <w:rPr>
          <w:rFonts w:ascii="Times New Roman" w:hAnsi="Times New Roman" w:cs="Times New Roman"/>
          <w:color w:val="000000" w:themeColor="text1"/>
          <w:sz w:val="20"/>
          <w:szCs w:val="20"/>
        </w:rPr>
        <w:t>age-associated remyelination failure is essential</w:t>
      </w:r>
      <w:r w:rsidR="00F73F1E">
        <w:rPr>
          <w:rFonts w:ascii="Times New Roman" w:hAnsi="Times New Roman" w:cs="Times New Roman"/>
          <w:color w:val="000000" w:themeColor="text1"/>
          <w:sz w:val="20"/>
          <w:szCs w:val="20"/>
        </w:rPr>
        <w:t xml:space="preserve"> in treatment development.</w:t>
      </w:r>
    </w:p>
    <w:p w14:paraId="58102DF5" w14:textId="5B40F09B" w:rsidR="00641CF1" w:rsidRPr="00003E8D" w:rsidRDefault="00641CF1"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 xml:space="preserve">Mechanistically, </w:t>
      </w:r>
      <w:r w:rsidR="00036DC4" w:rsidRPr="00003E8D">
        <w:rPr>
          <w:rFonts w:ascii="Times New Roman" w:hAnsi="Times New Roman" w:cs="Times New Roman"/>
          <w:color w:val="000000" w:themeColor="text1"/>
          <w:sz w:val="20"/>
          <w:szCs w:val="20"/>
        </w:rPr>
        <w:t>in this circumstance</w:t>
      </w:r>
      <w:r w:rsidR="007B69DC" w:rsidRPr="00003E8D">
        <w:rPr>
          <w:rFonts w:ascii="Times New Roman" w:hAnsi="Times New Roman" w:cs="Times New Roman"/>
          <w:color w:val="000000" w:themeColor="text1"/>
          <w:sz w:val="20"/>
          <w:szCs w:val="20"/>
        </w:rPr>
        <w:t>,</w:t>
      </w:r>
      <w:r w:rsidR="00036DC4" w:rsidRPr="00003E8D">
        <w:rPr>
          <w:rFonts w:ascii="Times New Roman" w:hAnsi="Times New Roman" w:cs="Times New Roman"/>
          <w:color w:val="000000" w:themeColor="text1"/>
          <w:sz w:val="20"/>
          <w:szCs w:val="20"/>
        </w:rPr>
        <w:t xml:space="preserve"> the rate-limiting step </w:t>
      </w:r>
      <w:r w:rsidRPr="00003E8D">
        <w:rPr>
          <w:rFonts w:ascii="Times New Roman" w:hAnsi="Times New Roman" w:cs="Times New Roman"/>
          <w:color w:val="000000" w:themeColor="text1"/>
          <w:sz w:val="20"/>
          <w:szCs w:val="20"/>
        </w:rPr>
        <w:t>is</w:t>
      </w:r>
      <w:r w:rsidR="00F73F1E">
        <w:rPr>
          <w:rFonts w:ascii="Times New Roman" w:hAnsi="Times New Roman" w:cs="Times New Roman"/>
          <w:color w:val="000000" w:themeColor="text1"/>
          <w:sz w:val="20"/>
          <w:szCs w:val="20"/>
        </w:rPr>
        <w:t xml:space="preserve"> more clearly</w:t>
      </w:r>
      <w:r w:rsidRPr="00003E8D">
        <w:rPr>
          <w:rFonts w:ascii="Times New Roman" w:hAnsi="Times New Roman" w:cs="Times New Roman"/>
          <w:color w:val="000000" w:themeColor="text1"/>
          <w:sz w:val="20"/>
          <w:szCs w:val="20"/>
        </w:rPr>
        <w:t xml:space="preserve"> differentiation of the </w:t>
      </w:r>
      <w:proofErr w:type="spellStart"/>
      <w:r w:rsidRPr="00003E8D">
        <w:rPr>
          <w:rFonts w:ascii="Times New Roman" w:hAnsi="Times New Roman" w:cs="Times New Roman"/>
          <w:color w:val="000000" w:themeColor="text1"/>
          <w:sz w:val="20"/>
          <w:szCs w:val="20"/>
        </w:rPr>
        <w:t>aOPC</w:t>
      </w:r>
      <w:proofErr w:type="spellEnd"/>
      <w:r w:rsidR="00F73F1E">
        <w:rPr>
          <w:rFonts w:ascii="Times New Roman" w:hAnsi="Times New Roman" w:cs="Times New Roman"/>
          <w:color w:val="000000" w:themeColor="text1"/>
          <w:sz w:val="20"/>
          <w:szCs w:val="20"/>
        </w:rPr>
        <w:t>,</w:t>
      </w:r>
      <w:r w:rsidRPr="00003E8D">
        <w:rPr>
          <w:rFonts w:ascii="Times New Roman" w:hAnsi="Times New Roman" w:cs="Times New Roman"/>
          <w:color w:val="000000" w:themeColor="text1"/>
          <w:sz w:val="20"/>
          <w:szCs w:val="20"/>
        </w:rPr>
        <w:t xml:space="preserve"> as increasing </w:t>
      </w:r>
      <w:proofErr w:type="spellStart"/>
      <w:r w:rsidR="00036DC4" w:rsidRPr="00003E8D">
        <w:rPr>
          <w:rFonts w:ascii="Times New Roman" w:hAnsi="Times New Roman" w:cs="Times New Roman"/>
          <w:color w:val="000000" w:themeColor="text1"/>
          <w:sz w:val="20"/>
          <w:szCs w:val="20"/>
        </w:rPr>
        <w:t>a</w:t>
      </w:r>
      <w:r w:rsidRPr="00003E8D">
        <w:rPr>
          <w:rFonts w:ascii="Times New Roman" w:hAnsi="Times New Roman" w:cs="Times New Roman"/>
          <w:color w:val="000000" w:themeColor="text1"/>
          <w:sz w:val="20"/>
          <w:szCs w:val="20"/>
        </w:rPr>
        <w:t>OPC</w:t>
      </w:r>
      <w:proofErr w:type="spellEnd"/>
      <w:r w:rsidRPr="00003E8D">
        <w:rPr>
          <w:rFonts w:ascii="Times New Roman" w:hAnsi="Times New Roman" w:cs="Times New Roman"/>
          <w:color w:val="000000" w:themeColor="text1"/>
          <w:sz w:val="20"/>
          <w:szCs w:val="20"/>
        </w:rPr>
        <w:t xml:space="preserve"> recruitment does not lead to enhan</w:t>
      </w:r>
      <w:r w:rsidR="00845243" w:rsidRPr="00003E8D">
        <w:rPr>
          <w:rFonts w:ascii="Times New Roman" w:hAnsi="Times New Roman" w:cs="Times New Roman"/>
          <w:color w:val="000000" w:themeColor="text1"/>
          <w:sz w:val="20"/>
          <w:szCs w:val="20"/>
        </w:rPr>
        <w:t>ced remyelination in aged mic</w:t>
      </w:r>
      <w:r w:rsidR="00A63D50">
        <w:rPr>
          <w:rFonts w:ascii="Times New Roman" w:hAnsi="Times New Roman" w:cs="Times New Roman"/>
          <w:color w:val="000000" w:themeColor="text1"/>
          <w:sz w:val="20"/>
          <w:szCs w:val="20"/>
        </w:rPr>
        <w:t>e</w:t>
      </w:r>
      <w:r w:rsidR="00A63D50">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gGcDiv2f","properties":{"formattedCitation":"(91)","plainCitation":"(91)","noteIndex":0},"citationItems":[{"id":200,"uris":["http://zotero.org/users/local/OxFKn8nN/items/UEMJ9U65"],"uri":["http://zotero.org/users/local/OxFKn8nN/items/UEMJ9U65"],"itemData":{"id":200,"type":"article-journal","title":"Platelet-derived growth factor regulates oligodendrocyte progenitor numbers in adult CNS and their response following CNS demyelination","container-title":"Molecular and Cellular Neuroscience","page":"252-262","volume":"25","issue":"2","abstract":"To design therapies for demyelinating diseases such as multiple sclerosis, it will be important to understand the mechanisms that control oligodendrocyte progenitor cell (OPC) numbers in the adult central nervous system (CNS). During development, OPC numbers are limited by the supply of platelet-derived growth factor-A (PDGF-A). Here, we examine the role of PDGF-A in regulating OPC numbers in normal and demyelinated adult CNS using transgenic mice that overexpress PDGF-A in astrocytes under the control of the glial fibrillary acidic protein (GFAP) gene promoter (GFAP-PDGF-A mice). In adult GFAP-PDGF-A mice, there was a marked increase in OPC density, particularly in white matter tracts, indicating that the PDGF-A supply controls OPC numbers in the adult CNS as well as during development. To discover whether increasing PDGF expression increases the number of OPCs following demyelination and whether this enhances the efficiency of remyelination, we induced demyelination in GFAP-PDGF-A transgenic mice by intraspinal injection of lysolecithin or dietary administration of cuprizone. In both demyelinating models, OPC density within lesions was significantly increased compared to wild-type mice. However, morphological analysis of lysolecithin lesions did not reveal any difference in the time course or extent of remyelination between GFAP-PDGF-A and wild-type mice. We conclude that the availability of OPCs is not rate limiting for remyelination of focal demyelinated lesions in the mouse. Nevertheless, our experiments show that it is possible to increase OPC population density in demyelinated areas by artificially increasing the supply of PDGF.","DOI":"10.1016/j.mcn.2003.10.014","ISSN":"1044-7431","journalAbbreviation":"Molecular and Cellular Neuroscience","author":[{"family":"Woodruff","given":"Rachel H"},{"family":"Fruttiger","given":"Marcus"},{"family":"Richardson","given":"William D"},{"family":"Franklin","given":"Robin J.M"}],"issued":{"date-parts":[["2004",2,1]]}}}],"schema":"https://github.com/citation-style-language/schema/raw/master/csl-citation.json"} </w:instrText>
      </w:r>
      <w:r w:rsidR="00A63D50">
        <w:rPr>
          <w:rFonts w:ascii="Times New Roman" w:hAnsi="Times New Roman" w:cs="Times New Roman"/>
          <w:color w:val="000000" w:themeColor="text1"/>
          <w:sz w:val="20"/>
          <w:szCs w:val="20"/>
        </w:rPr>
        <w:fldChar w:fldCharType="separate"/>
      </w:r>
      <w:r w:rsidR="007E3B6C">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91</w:t>
      </w:r>
      <w:r w:rsidR="007E3B6C">
        <w:rPr>
          <w:rFonts w:ascii="Times New Roman" w:hAnsi="Times New Roman" w:cs="Times New Roman"/>
          <w:color w:val="000000"/>
          <w:sz w:val="20"/>
          <w:u w:val="dash"/>
          <w:lang w:val="en-US"/>
        </w:rPr>
        <w:t>]</w:t>
      </w:r>
      <w:r w:rsidR="00A63D50">
        <w:rPr>
          <w:rFonts w:ascii="Times New Roman" w:hAnsi="Times New Roman" w:cs="Times New Roman"/>
          <w:color w:val="000000" w:themeColor="text1"/>
          <w:sz w:val="20"/>
          <w:szCs w:val="20"/>
        </w:rPr>
        <w:fldChar w:fldCharType="end"/>
      </w:r>
      <w:r w:rsidR="00845243" w:rsidRPr="00003E8D">
        <w:rPr>
          <w:rFonts w:ascii="Times New Roman" w:hAnsi="Times New Roman" w:cs="Times New Roman"/>
          <w:color w:val="000000" w:themeColor="text1"/>
          <w:sz w:val="20"/>
          <w:szCs w:val="20"/>
        </w:rPr>
        <w:t xml:space="preserve">. </w:t>
      </w:r>
      <w:r w:rsidRPr="00003E8D">
        <w:rPr>
          <w:rFonts w:ascii="Times New Roman" w:hAnsi="Times New Roman" w:cs="Times New Roman"/>
          <w:color w:val="000000" w:themeColor="text1"/>
          <w:sz w:val="20"/>
          <w:szCs w:val="20"/>
        </w:rPr>
        <w:t>Studies of how extrinsic factors vary with age have implicated a declining efficiency of the in</w:t>
      </w:r>
      <w:r w:rsidR="00036DC4" w:rsidRPr="00003E8D">
        <w:rPr>
          <w:rFonts w:ascii="Times New Roman" w:hAnsi="Times New Roman" w:cs="Times New Roman"/>
          <w:color w:val="000000" w:themeColor="text1"/>
          <w:sz w:val="20"/>
          <w:szCs w:val="20"/>
        </w:rPr>
        <w:t>flammatory respons</w:t>
      </w:r>
      <w:r w:rsidR="00A63D50">
        <w:rPr>
          <w:rFonts w:ascii="Times New Roman" w:hAnsi="Times New Roman" w:cs="Times New Roman"/>
          <w:color w:val="000000" w:themeColor="text1"/>
          <w:sz w:val="20"/>
          <w:szCs w:val="20"/>
        </w:rPr>
        <w:t>e</w:t>
      </w:r>
      <w:r w:rsidR="00A63D50">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yfQVwI6r","properties":{"formattedCitation":"(92)","plainCitation":"(92)","noteIndex":0},"citationItems":[{"id":202,"uris":["http://zotero.org/users/local/OxFKn8nN/items/2KJDEH2T"],"uri":["http://zotero.org/users/local/OxFKn8nN/items/2KJDEH2T"],"itemData":{"id":202,"type":"article-journal","title":"Differences in the early inflammatory responses to toxin-induced demyelination are associated with the age-related decline in CNS remyelination","container-title":"Neurobiology of Aging","page":"1298-1307","volume":"27","issue":"9","abstract":"CNS remyelination occurs more rapidly in young adult rats than in old rats. Since the inflammatory response initiated by demyelination is an important trigger for remyelination, we address whether ageing changes in remyelination are associated with changes in the inflammatory response. Using a toxin model of demyelination, where the inflammatory response largely comprises macrophages, we show that there is a delay in both recruitment and activation of OX-42+ and macrophage scavenger receptor B+ macrophages following demyelination in older rats (10–13 months) compared to young rats (8–10 weeks). This difference is associated with a slower onset of increased expression of several chemokine mRNAs. However, many inflammatory cytokines have similar mRNA expression patterns, with the exception of IL-1β, IL-6 and TNF-α, which have prolonged expression in the older animals. Differences in IL-1β mRNA expression, a cytokine specifically implicated in CNS remyelination, are not reflected in differences in protein expression detected by immunocytochemistry. These data relate the age-associated delay in remyelination efficiency to changes in the macrophage and inflammatory mediator response to demyelination.","DOI":"10.1016/j.neurobiolaging.2005.06.008","ISSN":"0197-4580","journalAbbreviation":"Neurobiology of Aging","author":[{"family":"Zhao","given":"Chao"},{"family":"Li","given":"Wen-Wu"},{"family":"Franklin","given":"Robin J.M."}],"issued":{"date-parts":[["2006",9,1]]}}}],"schema":"https://github.com/citation-style-language/schema/raw/master/csl-citation.json"} </w:instrText>
      </w:r>
      <w:r w:rsidR="00A63D50">
        <w:rPr>
          <w:rFonts w:ascii="Times New Roman" w:hAnsi="Times New Roman" w:cs="Times New Roman"/>
          <w:color w:val="000000" w:themeColor="text1"/>
          <w:sz w:val="20"/>
          <w:szCs w:val="20"/>
        </w:rPr>
        <w:fldChar w:fldCharType="separate"/>
      </w:r>
      <w:r w:rsidR="007E3B6C">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92</w:t>
      </w:r>
      <w:r w:rsidR="007E3B6C">
        <w:rPr>
          <w:rFonts w:ascii="Times New Roman" w:hAnsi="Times New Roman" w:cs="Times New Roman"/>
          <w:color w:val="000000"/>
          <w:sz w:val="20"/>
          <w:u w:val="dash"/>
          <w:lang w:val="en-US"/>
        </w:rPr>
        <w:t>]</w:t>
      </w:r>
      <w:r w:rsidR="00A63D50">
        <w:rPr>
          <w:rFonts w:ascii="Times New Roman" w:hAnsi="Times New Roman" w:cs="Times New Roman"/>
          <w:color w:val="000000" w:themeColor="text1"/>
          <w:sz w:val="20"/>
          <w:szCs w:val="20"/>
        </w:rPr>
        <w:fldChar w:fldCharType="end"/>
      </w:r>
      <w:r w:rsidR="00036DC4" w:rsidRPr="00003E8D">
        <w:rPr>
          <w:rFonts w:ascii="Times New Roman" w:hAnsi="Times New Roman" w:cs="Times New Roman"/>
          <w:color w:val="000000" w:themeColor="text1"/>
          <w:sz w:val="20"/>
          <w:szCs w:val="20"/>
        </w:rPr>
        <w:t>; as noted above</w:t>
      </w:r>
      <w:r w:rsidR="007B69DC" w:rsidRPr="00003E8D">
        <w:rPr>
          <w:rFonts w:ascii="Times New Roman" w:hAnsi="Times New Roman" w:cs="Times New Roman"/>
          <w:color w:val="000000" w:themeColor="text1"/>
          <w:sz w:val="20"/>
          <w:szCs w:val="20"/>
        </w:rPr>
        <w:t>,</w:t>
      </w:r>
      <w:r w:rsidR="00036DC4" w:rsidRPr="00003E8D">
        <w:rPr>
          <w:rFonts w:ascii="Times New Roman" w:hAnsi="Times New Roman" w:cs="Times New Roman"/>
          <w:color w:val="000000" w:themeColor="text1"/>
          <w:sz w:val="20"/>
          <w:szCs w:val="20"/>
        </w:rPr>
        <w:t xml:space="preserve"> macrophages produce </w:t>
      </w:r>
      <w:r w:rsidRPr="00003E8D">
        <w:rPr>
          <w:rFonts w:ascii="Times New Roman" w:hAnsi="Times New Roman" w:cs="Times New Roman"/>
          <w:color w:val="000000" w:themeColor="text1"/>
          <w:sz w:val="20"/>
          <w:szCs w:val="20"/>
        </w:rPr>
        <w:t xml:space="preserve">pro-differentiation factors and </w:t>
      </w:r>
      <w:r w:rsidR="00036DC4" w:rsidRPr="00003E8D">
        <w:rPr>
          <w:rFonts w:ascii="Times New Roman" w:hAnsi="Times New Roman" w:cs="Times New Roman"/>
          <w:color w:val="000000" w:themeColor="text1"/>
          <w:sz w:val="20"/>
          <w:szCs w:val="20"/>
        </w:rPr>
        <w:t>clear</w:t>
      </w:r>
      <w:r w:rsidRPr="00003E8D">
        <w:rPr>
          <w:rFonts w:ascii="Times New Roman" w:hAnsi="Times New Roman" w:cs="Times New Roman"/>
          <w:color w:val="000000" w:themeColor="text1"/>
          <w:sz w:val="20"/>
          <w:szCs w:val="20"/>
        </w:rPr>
        <w:t xml:space="preserve"> debris by phagocytosi</w:t>
      </w:r>
      <w:r w:rsidR="00A63D50">
        <w:rPr>
          <w:rFonts w:ascii="Times New Roman" w:hAnsi="Times New Roman" w:cs="Times New Roman"/>
          <w:color w:val="000000" w:themeColor="text1"/>
          <w:sz w:val="20"/>
          <w:szCs w:val="20"/>
        </w:rPr>
        <w:t>s</w:t>
      </w:r>
      <w:r w:rsidR="00A63D50">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v4DWbfeS","properties":{"formattedCitation":"(79,93,94)","plainCitation":"(79,93,94)","noteIndex":0},"citationItems":[{"id":185,"uris":["http://zotero.org/users/local/OxFKn8nN/items/GVCAMCD6"],"uri":["http://zotero.org/users/local/OxFKn8nN/items/GVCAMCD6"],"itemData":{"id":185,"type":"article-journal","title":"Myelin Impairs CNS Remyelination by Inhibiting Oligodendrocyte Precursor Cell Differentiation","container-title":"The Journal of Neuroscience","page":"328","volume":"26","issue":"1","abstract":"Demyelination in the adult CNS can be followed by extensive repair. However, in multiple sclerosis, the differentiation of oligodendrocyte lineage cells present in demyelinated lesions is often inhibited by unknown factors. In this study, we test whether myelin debris, a feature of demyelinated lesions and an in vitro inhibitor of oligodendrocyte precursor differentiation, affects remyelination efficiency. Focal demyelinating lesions were created in the adult rat brainstem, and the naturally generated myelin debris was augmented by the addition of purified myelin. After quantification of myelin basic protein mRNA expression from lesion material obtained by laser capture microdissection and supported by histological data, we found a significant impairment of remyelination, attributable to an arrest of the differentiation and not the recruitment of oligodendrocyte precursor cells. These data identify myelin as an inhibitor of remyelination as well as its well documented inhibition of axon regeneration.","DOI":"10.1523/JNEUROSCI.2615-05.2006","journalAbbreviation":"J. Neurosci.","author":[{"family":"Kotter","given":"Mark R."},{"family":"Li","given":"Wen-Wu"},{"family":"Zhao","given":"Chao"},{"family":"Franklin","given":"Robin J. M."}],"issued":{"date-parts":[["2006",1,4]]}}},{"id":203,"uris":["http://zotero.org/users/local/OxFKn8nN/items/DVZTGF2L"],"uri":["http://zotero.org/users/local/OxFKn8nN/items/DVZTGF2L"],"itemData":{"id":203,"type":"article-journal","title":"Distinctive Patterns of PDGF-A, FGF-2, IGF-I, and TGF-β1 Gene Expression during Remyelination of Experimentally-Induced Spinal Cord Demyelination","container-title":"Molecular and Cellular Neuroscience","page":"153-168","volume":"14","issue":"2","abstract":"Although remyelination is a well-recognized regenerative process following both experimental and naturally occurring CNS demyelination, remarkably little is known about the molecules involved in its orchestration. In this study we have examined the mRNA expression of seven growth factors that influence oligodendrocyte lineage cells, during the remyelination of lysolecithin-induced demyelination in the rat spinal cord. These lesions involve rapid demyelination of axons, which undergo extensive remyelination between 10 and 28 days. The distribution and levels of expression of PDGF-A, IGF-I, CNTF, FGF-2, TGF-β1, GGF-2, and NT-3 mRNAs were examined at 2, 5, 7, 10, 14, 21, and 28 days post-lesion induction, both within the lesion and within dorsal root ganglia whose axons traverse the lesion, by quantitative in situ hybridization using 35S-labeled oligonucleotide probes. Large increases in IGF-I and TGF-β1 mRNAs were evident within the spinal cord by 5 days. These levels peaked at 10 days at a time when new myelin sheaths appear and had declined by 28 days. Increases in FGF-2 and PDGF-A mRNAs were less intense and less widely distributed than those of IGF-I and TGF-β1, but remained elevated for a longer duration. There were no changes in expression of CNTF, NT-3, or GGF-2 mRNAs within the lesioned cords; neither were there changes in levels of expression of any growth factor mRNAs in the dorsal root ganglia. This work therefore indicates that some but not all members of the family of growth factors that affect the oligodendrocyte lineage are expressed during remyelination of demyelinated spinal cord axons and provides the data on which future studies on the specific roles of these factors in orchestrating this important regenerative process will be based.","DOI":"10.1006/mcne.1999.0771","ISSN":"1044-7431","journalAbbreviation":"Molecular and Cellular Neuroscience","author":[{"family":"Hinks","given":"G.L."},{"family":"Franklin","given":"R.J.M."}],"issued":{"date-parts":[["1999",8,1]]}}},{"id":204,"uris":["http://zotero.org/users/local/OxFKn8nN/items/A8FIWEY4"],"uri":["http://zotero.org/users/local/OxFKn8nN/items/A8FIWEY4"],"itemData":{"id":204,"type":"article-journal","title":"Macrophage depletion impairs oligodendrocyte remyelination following lysolecithin-induced demyelination","container-title":"Glia","page":"204-212","volume":"35","issue":"3","abstract":"Abstract An association between macrophages and remyelination efficiency has been observed in a variety of different models of CNS demyelination. In order to test whether this association is causal or coincidental, we have examined the effects of macrophage depletion on the rate of remyelination of lysolecithin-induced demyelination in the spinal cord of young adult female rats. Macrophage depletion was achieved by reducing the monocyte contribution to the macrophages within the lesion using the clodronate-liposome technique. This technique not only resulted in a decrease in Ox-42?positive cells in the spleen of treated animals but also in the levels of macrophage scavenger receptor type B mRNA expression within the demyelinating lesion. In animals treated with clodronate-liposomes throughout the remyelination process, there was a significant decrease in the extent of oligodendrocyte remyelination at 3 weeks after lesion induction, but no effect on Schwann cell remyelination. If macrophage depletion was delayed until the second half of the remyelination phase, then there was no effect on the repair outcome, implying that macrophages are required for the early stages of CNS remyelination. The results of this study indicate that the macrophage response is an important component of successful CNS remyelination and that approaches to the treatment of demyelinating disease based on inhibition of the inflammatory response may also impair regenerative events that follow demyelination. GLIA 35:204?212, 2001. ? 2001 Wiley-Liss, Inc.","DOI":"10.1002/glia.1085","ISSN":"0894-1491","journalAbbreviation":"Glia","author":[{"family":"Kotter","given":"Mark R."},{"family":"Setzu","given":"Anna"},{"family":"Sim","given":"Fraser J."},{"family":"Van Rooijen","given":"Nico"},{"family":"Franklin","given":"Robin J.M."}],"issued":{"date-parts":[["2001",9,1]]}}}],"schema":"https://github.com/citation-style-language/schema/raw/master/csl-citation.json"} </w:instrText>
      </w:r>
      <w:r w:rsidR="00A63D50">
        <w:rPr>
          <w:rFonts w:ascii="Times New Roman" w:hAnsi="Times New Roman" w:cs="Times New Roman"/>
          <w:color w:val="000000" w:themeColor="text1"/>
          <w:sz w:val="20"/>
          <w:szCs w:val="20"/>
        </w:rPr>
        <w:fldChar w:fldCharType="separate"/>
      </w:r>
      <w:r w:rsidR="007E3B6C">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79,93,94</w:t>
      </w:r>
      <w:r w:rsidR="007E3B6C">
        <w:rPr>
          <w:rFonts w:ascii="Times New Roman" w:hAnsi="Times New Roman" w:cs="Times New Roman"/>
          <w:color w:val="000000"/>
          <w:sz w:val="20"/>
          <w:u w:val="dash"/>
          <w:lang w:val="en-US"/>
        </w:rPr>
        <w:t>]</w:t>
      </w:r>
      <w:r w:rsidR="00A63D50">
        <w:rPr>
          <w:rFonts w:ascii="Times New Roman" w:hAnsi="Times New Roman" w:cs="Times New Roman"/>
          <w:color w:val="000000" w:themeColor="text1"/>
          <w:sz w:val="20"/>
          <w:szCs w:val="20"/>
        </w:rPr>
        <w:fldChar w:fldCharType="end"/>
      </w:r>
      <w:r w:rsidR="00036DC4" w:rsidRPr="00003E8D">
        <w:rPr>
          <w:rFonts w:ascii="Times New Roman" w:hAnsi="Times New Roman" w:cs="Times New Roman"/>
          <w:color w:val="000000" w:themeColor="text1"/>
          <w:sz w:val="20"/>
          <w:szCs w:val="20"/>
        </w:rPr>
        <w:t xml:space="preserve">, </w:t>
      </w:r>
      <w:r w:rsidR="007B69DC" w:rsidRPr="00003E8D">
        <w:rPr>
          <w:rFonts w:ascii="Times New Roman" w:hAnsi="Times New Roman" w:cs="Times New Roman"/>
          <w:color w:val="000000" w:themeColor="text1"/>
          <w:sz w:val="20"/>
          <w:szCs w:val="20"/>
        </w:rPr>
        <w:t xml:space="preserve">which is </w:t>
      </w:r>
      <w:r w:rsidRPr="00003E8D">
        <w:rPr>
          <w:rFonts w:ascii="Times New Roman" w:hAnsi="Times New Roman" w:cs="Times New Roman"/>
          <w:color w:val="000000" w:themeColor="text1"/>
          <w:sz w:val="20"/>
          <w:szCs w:val="20"/>
        </w:rPr>
        <w:t xml:space="preserve">essential </w:t>
      </w:r>
      <w:r w:rsidR="00036DC4" w:rsidRPr="00003E8D">
        <w:rPr>
          <w:rFonts w:ascii="Times New Roman" w:hAnsi="Times New Roman" w:cs="Times New Roman"/>
          <w:color w:val="000000" w:themeColor="text1"/>
          <w:sz w:val="20"/>
          <w:szCs w:val="20"/>
        </w:rPr>
        <w:t>for</w:t>
      </w:r>
      <w:r w:rsidRPr="00003E8D">
        <w:rPr>
          <w:rFonts w:ascii="Times New Roman" w:hAnsi="Times New Roman" w:cs="Times New Roman"/>
          <w:color w:val="000000" w:themeColor="text1"/>
          <w:sz w:val="20"/>
          <w:szCs w:val="20"/>
        </w:rPr>
        <w:t xml:space="preserve"> remyelination. That this process might be modifiable was demonstrated by the reversal of a deficit in remyelination of an aged mouse by twinning its circulation with a young animal by heterochronic parabiosi</w:t>
      </w:r>
      <w:r w:rsidR="00A63D50">
        <w:rPr>
          <w:rFonts w:ascii="Times New Roman" w:hAnsi="Times New Roman" w:cs="Times New Roman"/>
          <w:color w:val="000000" w:themeColor="text1"/>
          <w:sz w:val="20"/>
          <w:szCs w:val="20"/>
        </w:rPr>
        <w:t>s</w:t>
      </w:r>
      <w:r w:rsidR="00A63D50">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gVRpyWj0","properties":{"formattedCitation":"(95)","plainCitation":"(95)","noteIndex":0},"citationItems":[{"id":206,"uris":["http://zotero.org/users/local/OxFKn8nN/items/9TXAJ6YH"],"uri":["http://zotero.org/users/local/OxFKn8nN/items/9TXAJ6YH"],"itemData":{"id":206,"type":"article-journal","title":"Rejuvenation of regeneration in the aging central nervous system","container-title":"Cell stem cell","page":"96-103","volume":"10","issue":"1","archive":"PubMed","archive_location":"22226359","abstract":"Remyelination is a regenerative process in the central nervous system (CNS) that produces new myelin sheaths from adult stem cells. The decline in remyelination that occurs with advancing age poses a significant barrier to therapy in the CNS, particularly for long-term demyelinating diseases such as multiple sclerosis (MS). Here we show that remyelination of experimentally induced demyelination is enhanced in old mice exposed to a youthful systemic milieu through heterochronic parabiosis. Restored remyelination in old animals involves recruitment to the repairing lesions of blood-derived monocytes from the young parabiotic partner, and preventing this recruitment partially inhibits rejuvenation of remyelination. These data suggest that enhanced remyelinating activity requires both youthful monocytes and other factors, and that remyelination-enhancing therapies targeting endogenous cells can be effective throughout life.","DOI":"10.1016/j.stem.2011.11.019","ISSN":"1875-9777","author":[{"family":"Ruckh","given":"Julia M"},{"family":"Zhao","given":"Jing-Wei"},{"family":"Shadrach","given":"Jennifer L"},{"family":"Wijngaarden","given":"Peter","non-dropping-particle":"van"},{"family":"Rao","given":"Tata Nageswara"},{"family":"Wagers","given":"Amy J"},{"family":"Franklin","given":"Robin J M"}],"issued":{"date-parts":[["2012",1,6]]}}}],"schema":"https://github.com/citation-style-language/schema/raw/master/csl-citation.json"} </w:instrText>
      </w:r>
      <w:r w:rsidR="00A63D50">
        <w:rPr>
          <w:rFonts w:ascii="Times New Roman" w:hAnsi="Times New Roman" w:cs="Times New Roman"/>
          <w:color w:val="000000" w:themeColor="text1"/>
          <w:sz w:val="20"/>
          <w:szCs w:val="20"/>
        </w:rPr>
        <w:fldChar w:fldCharType="separate"/>
      </w:r>
      <w:r w:rsidR="007E3B6C">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95</w:t>
      </w:r>
      <w:r w:rsidR="007E3B6C">
        <w:rPr>
          <w:rFonts w:ascii="Times New Roman" w:hAnsi="Times New Roman" w:cs="Times New Roman"/>
          <w:color w:val="000000"/>
          <w:sz w:val="20"/>
          <w:u w:val="dash"/>
          <w:lang w:val="en-US"/>
        </w:rPr>
        <w:t>]</w:t>
      </w:r>
      <w:r w:rsidR="00A63D50">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In a similar way, small molecule treatments can be used to promote endogenous remyelination, even in aged </w:t>
      </w:r>
      <w:r w:rsidR="00F73F1E">
        <w:rPr>
          <w:rFonts w:ascii="Times New Roman" w:hAnsi="Times New Roman" w:cs="Times New Roman"/>
          <w:color w:val="000000" w:themeColor="text1"/>
          <w:sz w:val="20"/>
          <w:szCs w:val="20"/>
        </w:rPr>
        <w:t>animals.</w:t>
      </w:r>
    </w:p>
    <w:p w14:paraId="4A82CF9C" w14:textId="6A3F01A9" w:rsidR="0086461F" w:rsidRDefault="00032CA8" w:rsidP="00E17010">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 </w:t>
      </w:r>
      <w:r w:rsidR="00641CF1" w:rsidRPr="00003E8D">
        <w:rPr>
          <w:rFonts w:ascii="Times New Roman" w:hAnsi="Times New Roman" w:cs="Times New Roman"/>
          <w:color w:val="000000" w:themeColor="text1"/>
          <w:sz w:val="20"/>
          <w:szCs w:val="20"/>
        </w:rPr>
        <w:t>A detailed understanding of the</w:t>
      </w:r>
      <w:r>
        <w:rPr>
          <w:rFonts w:ascii="Times New Roman" w:hAnsi="Times New Roman" w:cs="Times New Roman"/>
          <w:color w:val="000000" w:themeColor="text1"/>
          <w:sz w:val="20"/>
          <w:szCs w:val="20"/>
        </w:rPr>
        <w:t xml:space="preserve"> intrinsic</w:t>
      </w:r>
      <w:r w:rsidR="00641CF1" w:rsidRPr="00003E8D">
        <w:rPr>
          <w:rFonts w:ascii="Times New Roman" w:hAnsi="Times New Roman" w:cs="Times New Roman"/>
          <w:color w:val="000000" w:themeColor="text1"/>
          <w:sz w:val="20"/>
          <w:szCs w:val="20"/>
        </w:rPr>
        <w:t xml:space="preserve"> age-related changes in </w:t>
      </w:r>
      <w:proofErr w:type="spellStart"/>
      <w:r w:rsidR="00641CF1" w:rsidRPr="00003E8D">
        <w:rPr>
          <w:rFonts w:ascii="Times New Roman" w:hAnsi="Times New Roman" w:cs="Times New Roman"/>
          <w:color w:val="000000" w:themeColor="text1"/>
          <w:sz w:val="20"/>
          <w:szCs w:val="20"/>
        </w:rPr>
        <w:t>aOPCs</w:t>
      </w:r>
      <w:proofErr w:type="spellEnd"/>
      <w:r w:rsidR="00641CF1" w:rsidRPr="00003E8D">
        <w:rPr>
          <w:rFonts w:ascii="Times New Roman" w:hAnsi="Times New Roman" w:cs="Times New Roman"/>
          <w:color w:val="000000" w:themeColor="text1"/>
          <w:sz w:val="20"/>
          <w:szCs w:val="20"/>
        </w:rPr>
        <w:t xml:space="preserve"> is a recent devel</w:t>
      </w:r>
      <w:r w:rsidR="001B495A" w:rsidRPr="00003E8D">
        <w:rPr>
          <w:rFonts w:ascii="Times New Roman" w:hAnsi="Times New Roman" w:cs="Times New Roman"/>
          <w:color w:val="000000" w:themeColor="text1"/>
          <w:sz w:val="20"/>
          <w:szCs w:val="20"/>
        </w:rPr>
        <w:t>opment in the field following work by Neu</w:t>
      </w:r>
      <w:r>
        <w:rPr>
          <w:rFonts w:ascii="Times New Roman" w:hAnsi="Times New Roman" w:cs="Times New Roman"/>
          <w:color w:val="000000" w:themeColor="text1"/>
          <w:sz w:val="20"/>
          <w:szCs w:val="20"/>
        </w:rPr>
        <w:t>mann and colleagues</w:t>
      </w:r>
      <w:r w:rsidR="00A63D50">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LdpbXsWS","properties":{"formattedCitation":"(96)","plainCitation":"(96)","noteIndex":0},"citationItems":[{"id":322,"uris":["http://zotero.org/users/local/OxFKn8nN/items/FJV9WU2S"],"uri":["http://zotero.org/users/local/OxFKn8nN/items/FJV9WU2S"],"itemData":{"id":322,"type":"article-journal","title":"Remyelination of regenerating axons","container-title":"Acta Ophthalmologica","volume":"95","issue":"S259","abstract":"Summary Remyelination depends on adult multipotent progenitor cells, called oligodendrocyte progenitor cells (OPCs) that give rise to remyelinating oligodendrocytes. With age, remyelination slows and axons remain demyelinated, rendering them vulnerable to ir- reversible degeneration. which eventually contributes to the accumulation of disability in patients with chronic demyelinating diseases, such as multiple sclerosis. The rate limiting step for remyelination in aged individuals is the maturation of OPCs into oligo- dendrocytes. Here we report that aged OPCs undergo inherent changes that prevent their differentiation. Using alternate day fasting to ameliorate the effects of ageing, we were able to restore remyelination in aged rats. Mechanistically, this involved the mo- lecular rejuvenation of aged OPCs and amelioration of ageing hallmarks. By exposing aged OPCs to metformin we were able to phenocopy the effects of fasting in vitro and in vivo. Our results suggest that implementation of remyelination therapies will require both understanding and overcoming the effects of ageing, as well as finding ways to modulate extrinsic factors to generate a permissive environment for regeneration.","URL":"https://doi.org/10.1111/j.1755-3768.2017.03525","DOI":"10.1111/j.1755-3768.2017.03525","ISSN":"1755-375X","journalAbbreviation":"Acta Ophthalmologica","author":[{"family":"Neumann","given":"B."},{"family":"Baror","given":"R."},{"family":"Wijngaarden","given":"P.","non-dropping-particle":"van"},{"family":"Franklin","given":"R.J."}],"issued":{"date-parts":[["2017",9,1]]},"accessed":{"date-parts":[["2019",3,9]]}}}],"schema":"https://github.com/citation-style-language/schema/raw/master/csl-citation.json"} </w:instrText>
      </w:r>
      <w:r w:rsidR="00A63D50">
        <w:rPr>
          <w:rFonts w:ascii="Times New Roman" w:hAnsi="Times New Roman" w:cs="Times New Roman"/>
          <w:color w:val="000000" w:themeColor="text1"/>
          <w:sz w:val="20"/>
          <w:szCs w:val="20"/>
        </w:rPr>
        <w:fldChar w:fldCharType="separate"/>
      </w:r>
      <w:r w:rsidR="007E3B6C">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96</w:t>
      </w:r>
      <w:r w:rsidR="007E3B6C">
        <w:rPr>
          <w:rFonts w:ascii="Times New Roman" w:hAnsi="Times New Roman" w:cs="Times New Roman"/>
          <w:color w:val="000000"/>
          <w:sz w:val="20"/>
          <w:u w:val="dash"/>
          <w:lang w:val="en-US"/>
        </w:rPr>
        <w:t>]</w:t>
      </w:r>
      <w:r w:rsidR="00A63D50">
        <w:rPr>
          <w:rFonts w:ascii="Times New Roman" w:hAnsi="Times New Roman" w:cs="Times New Roman"/>
          <w:color w:val="000000" w:themeColor="text1"/>
          <w:sz w:val="20"/>
          <w:szCs w:val="20"/>
        </w:rPr>
        <w:fldChar w:fldCharType="end"/>
      </w:r>
      <w:r w:rsidR="001B495A" w:rsidRPr="00003E8D">
        <w:rPr>
          <w:rFonts w:ascii="Times New Roman" w:hAnsi="Times New Roman" w:cs="Times New Roman"/>
          <w:color w:val="000000" w:themeColor="text1"/>
          <w:sz w:val="20"/>
          <w:szCs w:val="20"/>
        </w:rPr>
        <w:t>.</w:t>
      </w:r>
      <w:r w:rsidR="00641CF1" w:rsidRPr="00003E8D">
        <w:rPr>
          <w:rFonts w:ascii="Times New Roman" w:hAnsi="Times New Roman" w:cs="Times New Roman"/>
          <w:color w:val="000000" w:themeColor="text1"/>
          <w:sz w:val="20"/>
          <w:szCs w:val="20"/>
        </w:rPr>
        <w:t xml:space="preserve"> </w:t>
      </w:r>
      <w:r w:rsidR="001B495A" w:rsidRPr="00003E8D">
        <w:rPr>
          <w:rFonts w:ascii="Times New Roman" w:hAnsi="Times New Roman" w:cs="Times New Roman"/>
          <w:color w:val="000000" w:themeColor="text1"/>
          <w:sz w:val="20"/>
          <w:szCs w:val="20"/>
        </w:rPr>
        <w:t xml:space="preserve">They </w:t>
      </w:r>
      <w:r w:rsidR="00641CF1" w:rsidRPr="00003E8D">
        <w:rPr>
          <w:rFonts w:ascii="Times New Roman" w:hAnsi="Times New Roman" w:cs="Times New Roman"/>
          <w:color w:val="000000" w:themeColor="text1"/>
          <w:sz w:val="20"/>
          <w:szCs w:val="20"/>
        </w:rPr>
        <w:t xml:space="preserve">demonstrated that aged </w:t>
      </w:r>
      <w:proofErr w:type="spellStart"/>
      <w:r w:rsidR="00DA2CA6" w:rsidRPr="00003E8D">
        <w:rPr>
          <w:rFonts w:ascii="Times New Roman" w:hAnsi="Times New Roman" w:cs="Times New Roman"/>
          <w:color w:val="000000" w:themeColor="text1"/>
          <w:sz w:val="20"/>
          <w:szCs w:val="20"/>
        </w:rPr>
        <w:t>aOPCs</w:t>
      </w:r>
      <w:proofErr w:type="spellEnd"/>
      <w:r w:rsidR="00641CF1" w:rsidRPr="00003E8D">
        <w:rPr>
          <w:rFonts w:ascii="Times New Roman" w:hAnsi="Times New Roman" w:cs="Times New Roman"/>
          <w:color w:val="000000" w:themeColor="text1"/>
          <w:sz w:val="20"/>
          <w:szCs w:val="20"/>
        </w:rPr>
        <w:t xml:space="preserve"> become less responsive to factors</w:t>
      </w:r>
      <w:r w:rsidR="00F73F1E">
        <w:rPr>
          <w:rFonts w:ascii="Times New Roman" w:hAnsi="Times New Roman" w:cs="Times New Roman"/>
          <w:color w:val="000000" w:themeColor="text1"/>
          <w:sz w:val="20"/>
          <w:szCs w:val="20"/>
        </w:rPr>
        <w:t xml:space="preserve"> that</w:t>
      </w:r>
      <w:r w:rsidR="00641CF1" w:rsidRPr="00003E8D">
        <w:rPr>
          <w:rFonts w:ascii="Times New Roman" w:hAnsi="Times New Roman" w:cs="Times New Roman"/>
          <w:color w:val="000000" w:themeColor="text1"/>
          <w:sz w:val="20"/>
          <w:szCs w:val="20"/>
        </w:rPr>
        <w:t xml:space="preserve"> induce differentiation, contributing to the reduced remyelination capacity seen in many non-remyelinating chronic MS lesions</w:t>
      </w:r>
      <w:r w:rsidR="00A63D50">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cOsOmHUY","properties":{"formattedCitation":"(97)","plainCitation":"(97)","noteIndex":0},"citationItems":[{"id":208,"uris":["http://zotero.org/users/local/OxFKn8nN/items/7X4EWD77"],"uri":["http://zotero.org/users/local/OxFKn8nN/items/7X4EWD77"],"itemData":{"id":208,"type":"article-journal","title":"Differentiation block of oligodendroglial progenitor cells as a cause for remyelination failure in chronic multiple sclerosis","container-title":"Brain","page":"1749-1758","volume":"131","issue":"7","abstract":"Impaired function/differentiation of progenitor cells might provide an explanation for the limited remyelination observed in the majority of chronic multiple sclerosis lesions. Here, we establish that in the normal adult human CNS, the transcription factors Nkx2.2 and Olig2 are strongly expressed in progenitor cells while mature oligodendrocytes are characterized by low levels of Olig2 or Nkx2.2. In vitro studies confirmed the expression of Olig2 in oligodendroglial progenitor cells and mature oligodendrocytes while astrocytes, microglial cells and neurons were negative for Olig2. In early multiple sclerosis lesions, we found Olig2-positive progenitor cells throughout all lesion stages and in periplaque white matter (PPWM). The number of progenitors in PPWM was significantly increased compared with the white matter from controls. In chronic multiple sclerosis lesions progenitor cells were still present, however, in significantly lower numbers than in early multiple sclerosis lesions. A subpopulation of progenitor cells in early multiple sclerosis lesions and PPWM but not in control cases co-expressed NogoA, a marker of mature oligodendrocytes. The co-expression of these two markers suggested that these cells were maturing oligodendrocytes recently recruited from the progenitor pool. In contrast, in chronic multiple sclerosis lesions maturing progenitors were only rarely present. In summary, we provide evidence that a differentiation block of oligodendroglial progenitors is a major determinant of remyelination failure in chronic multiple sclerosis lesions.","DOI":"10.1093/brain/awn096","ISSN":"0006-8950","journalAbbreviation":"Brain","author":[{"family":"Kuhlmann","given":"T."},{"family":"Miron","given":"V."},{"family":"Cuo","given":"Q."},{"family":"Wegner","given":"C."},{"family":"Antel","given":"J."},{"family":"Brück","given":"W."}],"issued":{"date-parts":[["2008",7,1]]}}}],"schema":"https://github.com/citation-style-language/schema/raw/master/csl-citation.json"} </w:instrText>
      </w:r>
      <w:r w:rsidR="00A63D50">
        <w:rPr>
          <w:rFonts w:ascii="Times New Roman" w:hAnsi="Times New Roman" w:cs="Times New Roman"/>
          <w:color w:val="000000" w:themeColor="text1"/>
          <w:sz w:val="20"/>
          <w:szCs w:val="20"/>
        </w:rPr>
        <w:fldChar w:fldCharType="separate"/>
      </w:r>
      <w:r w:rsidR="007E3B6C">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97</w:t>
      </w:r>
      <w:r w:rsidR="007E3B6C">
        <w:rPr>
          <w:rFonts w:ascii="Times New Roman" w:hAnsi="Times New Roman" w:cs="Times New Roman"/>
          <w:color w:val="000000"/>
          <w:sz w:val="20"/>
          <w:u w:val="dash"/>
          <w:lang w:val="en-US"/>
        </w:rPr>
        <w:t>]</w:t>
      </w:r>
      <w:r w:rsidR="00A63D50">
        <w:rPr>
          <w:rFonts w:ascii="Times New Roman" w:hAnsi="Times New Roman" w:cs="Times New Roman"/>
          <w:color w:val="000000" w:themeColor="text1"/>
          <w:sz w:val="20"/>
          <w:szCs w:val="20"/>
        </w:rPr>
        <w:fldChar w:fldCharType="end"/>
      </w:r>
      <w:r w:rsidR="00641CF1" w:rsidRPr="00003E8D">
        <w:rPr>
          <w:rFonts w:ascii="Times New Roman" w:hAnsi="Times New Roman" w:cs="Times New Roman"/>
          <w:color w:val="000000" w:themeColor="text1"/>
          <w:sz w:val="20"/>
          <w:szCs w:val="20"/>
        </w:rPr>
        <w:t xml:space="preserve">. Moreover, RNA sequencing from young and aged </w:t>
      </w:r>
      <w:proofErr w:type="spellStart"/>
      <w:r w:rsidR="00641CF1" w:rsidRPr="00003E8D">
        <w:rPr>
          <w:rFonts w:ascii="Times New Roman" w:hAnsi="Times New Roman" w:cs="Times New Roman"/>
          <w:color w:val="000000" w:themeColor="text1"/>
          <w:sz w:val="20"/>
          <w:szCs w:val="20"/>
        </w:rPr>
        <w:t>aOPCs</w:t>
      </w:r>
      <w:proofErr w:type="spellEnd"/>
      <w:r w:rsidR="00641CF1" w:rsidRPr="00003E8D">
        <w:rPr>
          <w:rFonts w:ascii="Times New Roman" w:hAnsi="Times New Roman" w:cs="Times New Roman"/>
          <w:color w:val="000000" w:themeColor="text1"/>
          <w:sz w:val="20"/>
          <w:szCs w:val="20"/>
        </w:rPr>
        <w:t xml:space="preserve"> highlighted a significant contribution from the </w:t>
      </w:r>
      <w:r w:rsidR="00641CF1" w:rsidRPr="00003E8D">
        <w:rPr>
          <w:rFonts w:ascii="Times New Roman" w:hAnsi="Times New Roman" w:cs="Times New Roman"/>
          <w:color w:val="000000" w:themeColor="text1"/>
          <w:sz w:val="20"/>
          <w:szCs w:val="20"/>
        </w:rPr>
        <w:lastRenderedPageBreak/>
        <w:t>mTO</w:t>
      </w:r>
      <w:r w:rsidR="0018730D" w:rsidRPr="00003E8D">
        <w:rPr>
          <w:rFonts w:ascii="Times New Roman" w:hAnsi="Times New Roman" w:cs="Times New Roman"/>
          <w:color w:val="000000" w:themeColor="text1"/>
          <w:sz w:val="20"/>
          <w:szCs w:val="20"/>
        </w:rPr>
        <w:t xml:space="preserve">R pathway. This led to </w:t>
      </w:r>
      <w:r w:rsidR="00641CF1" w:rsidRPr="00003E8D">
        <w:rPr>
          <w:rFonts w:ascii="Times New Roman" w:hAnsi="Times New Roman" w:cs="Times New Roman"/>
          <w:color w:val="000000" w:themeColor="text1"/>
          <w:sz w:val="20"/>
          <w:szCs w:val="20"/>
        </w:rPr>
        <w:t xml:space="preserve">the novel observation that manipulating this pathway </w:t>
      </w:r>
      <w:r w:rsidR="00DA2CA6" w:rsidRPr="00003E8D">
        <w:rPr>
          <w:rFonts w:ascii="Times New Roman" w:hAnsi="Times New Roman" w:cs="Times New Roman"/>
          <w:color w:val="000000" w:themeColor="text1"/>
          <w:sz w:val="20"/>
          <w:szCs w:val="20"/>
        </w:rPr>
        <w:t xml:space="preserve">in </w:t>
      </w:r>
      <w:r w:rsidR="00532A2C" w:rsidRPr="00003E8D">
        <w:rPr>
          <w:rFonts w:ascii="Times New Roman" w:hAnsi="Times New Roman" w:cs="Times New Roman"/>
          <w:color w:val="000000" w:themeColor="text1"/>
          <w:sz w:val="20"/>
          <w:szCs w:val="20"/>
        </w:rPr>
        <w:t xml:space="preserve">aged </w:t>
      </w:r>
      <w:r w:rsidR="00DA2CA6" w:rsidRPr="00003E8D">
        <w:rPr>
          <w:rFonts w:ascii="Times New Roman" w:hAnsi="Times New Roman" w:cs="Times New Roman"/>
          <w:color w:val="000000" w:themeColor="text1"/>
          <w:sz w:val="20"/>
          <w:szCs w:val="20"/>
        </w:rPr>
        <w:t xml:space="preserve">rats </w:t>
      </w:r>
      <w:r w:rsidR="00641CF1" w:rsidRPr="00003E8D">
        <w:rPr>
          <w:rFonts w:ascii="Times New Roman" w:hAnsi="Times New Roman" w:cs="Times New Roman"/>
          <w:color w:val="000000" w:themeColor="text1"/>
          <w:sz w:val="20"/>
          <w:szCs w:val="20"/>
        </w:rPr>
        <w:t>with caloric restriction</w:t>
      </w:r>
      <w:r w:rsidR="00036DC4" w:rsidRPr="00003E8D">
        <w:rPr>
          <w:rFonts w:ascii="Times New Roman" w:hAnsi="Times New Roman" w:cs="Times New Roman"/>
          <w:color w:val="000000" w:themeColor="text1"/>
          <w:sz w:val="20"/>
          <w:szCs w:val="20"/>
        </w:rPr>
        <w:t xml:space="preserve"> (three non-consecutive days of fasting per week over six months), or with the AMPK-</w:t>
      </w:r>
      <w:r w:rsidR="00641CF1" w:rsidRPr="00003E8D">
        <w:rPr>
          <w:rFonts w:ascii="Times New Roman" w:hAnsi="Times New Roman" w:cs="Times New Roman"/>
          <w:color w:val="000000" w:themeColor="text1"/>
          <w:sz w:val="20"/>
          <w:szCs w:val="20"/>
        </w:rPr>
        <w:t>agonist metformin</w:t>
      </w:r>
      <w:r w:rsidR="00036DC4" w:rsidRPr="00003E8D">
        <w:rPr>
          <w:rFonts w:ascii="Times New Roman" w:hAnsi="Times New Roman" w:cs="Times New Roman"/>
          <w:color w:val="000000" w:themeColor="text1"/>
          <w:sz w:val="20"/>
          <w:szCs w:val="20"/>
        </w:rPr>
        <w:t xml:space="preserve"> (over three months)</w:t>
      </w:r>
      <w:r w:rsidR="00641CF1" w:rsidRPr="00003E8D">
        <w:rPr>
          <w:rFonts w:ascii="Times New Roman" w:hAnsi="Times New Roman" w:cs="Times New Roman"/>
          <w:color w:val="000000" w:themeColor="text1"/>
          <w:sz w:val="20"/>
          <w:szCs w:val="20"/>
        </w:rPr>
        <w:t xml:space="preserve">, reverses the </w:t>
      </w:r>
      <w:r w:rsidR="000C17AF" w:rsidRPr="00003E8D">
        <w:rPr>
          <w:rFonts w:ascii="Times New Roman" w:hAnsi="Times New Roman" w:cs="Times New Roman"/>
          <w:color w:val="000000" w:themeColor="text1"/>
          <w:sz w:val="20"/>
          <w:szCs w:val="20"/>
        </w:rPr>
        <w:t>diminished</w:t>
      </w:r>
      <w:r w:rsidR="00641CF1" w:rsidRPr="00003E8D">
        <w:rPr>
          <w:rFonts w:ascii="Times New Roman" w:hAnsi="Times New Roman" w:cs="Times New Roman"/>
          <w:color w:val="000000" w:themeColor="text1"/>
          <w:sz w:val="20"/>
          <w:szCs w:val="20"/>
        </w:rPr>
        <w:t xml:space="preserve"> differentiation capacity of </w:t>
      </w:r>
      <w:proofErr w:type="spellStart"/>
      <w:r w:rsidR="00DA2CA6" w:rsidRPr="00003E8D">
        <w:rPr>
          <w:rFonts w:ascii="Times New Roman" w:hAnsi="Times New Roman" w:cs="Times New Roman"/>
          <w:color w:val="000000" w:themeColor="text1"/>
          <w:sz w:val="20"/>
          <w:szCs w:val="20"/>
        </w:rPr>
        <w:t>aOPCs</w:t>
      </w:r>
      <w:proofErr w:type="spellEnd"/>
      <w:r w:rsidR="00DA2CA6" w:rsidRPr="00003E8D">
        <w:rPr>
          <w:rFonts w:ascii="Times New Roman" w:hAnsi="Times New Roman" w:cs="Times New Roman"/>
          <w:color w:val="000000" w:themeColor="text1"/>
          <w:sz w:val="20"/>
          <w:szCs w:val="20"/>
        </w:rPr>
        <w:t xml:space="preserve"> </w:t>
      </w:r>
      <w:r w:rsidR="00641CF1" w:rsidRPr="00003E8D">
        <w:rPr>
          <w:rFonts w:ascii="Times New Roman" w:hAnsi="Times New Roman" w:cs="Times New Roman"/>
          <w:color w:val="000000" w:themeColor="text1"/>
          <w:sz w:val="20"/>
          <w:szCs w:val="20"/>
        </w:rPr>
        <w:t>and restores their abili</w:t>
      </w:r>
      <w:r w:rsidR="001B495A" w:rsidRPr="00003E8D">
        <w:rPr>
          <w:rFonts w:ascii="Times New Roman" w:hAnsi="Times New Roman" w:cs="Times New Roman"/>
          <w:color w:val="000000" w:themeColor="text1"/>
          <w:sz w:val="20"/>
          <w:szCs w:val="20"/>
        </w:rPr>
        <w:t>ty to remyelinate</w:t>
      </w:r>
      <w:r w:rsidR="00641CF1" w:rsidRPr="00003E8D">
        <w:rPr>
          <w:rFonts w:ascii="Times New Roman" w:hAnsi="Times New Roman" w:cs="Times New Roman"/>
          <w:color w:val="000000" w:themeColor="text1"/>
          <w:sz w:val="20"/>
          <w:szCs w:val="20"/>
        </w:rPr>
        <w:t>. As a result, manipulation of intrinsic changes in these stem cells is emerging as a promisin</w:t>
      </w:r>
      <w:r w:rsidR="000C17AF" w:rsidRPr="00003E8D">
        <w:rPr>
          <w:rFonts w:ascii="Times New Roman" w:hAnsi="Times New Roman" w:cs="Times New Roman"/>
          <w:color w:val="000000" w:themeColor="text1"/>
          <w:sz w:val="20"/>
          <w:szCs w:val="20"/>
        </w:rPr>
        <w:t xml:space="preserve">g treatment </w:t>
      </w:r>
      <w:r>
        <w:rPr>
          <w:rFonts w:ascii="Times New Roman" w:hAnsi="Times New Roman" w:cs="Times New Roman"/>
          <w:color w:val="000000" w:themeColor="text1"/>
          <w:sz w:val="20"/>
          <w:szCs w:val="20"/>
        </w:rPr>
        <w:t>strategy.</w:t>
      </w:r>
    </w:p>
    <w:p w14:paraId="708D441F" w14:textId="7A7A9A4A" w:rsidR="00A8435C" w:rsidRDefault="00D517E3" w:rsidP="00DB0E48">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b/>
        <w:t xml:space="preserve">Finally, </w:t>
      </w:r>
      <w:r w:rsidR="004B4AB0">
        <w:rPr>
          <w:rFonts w:ascii="Times New Roman" w:hAnsi="Times New Roman" w:cs="Times New Roman"/>
          <w:color w:val="000000" w:themeColor="text1"/>
          <w:sz w:val="20"/>
          <w:szCs w:val="20"/>
        </w:rPr>
        <w:t>t</w:t>
      </w:r>
      <w:r w:rsidR="00A8435C">
        <w:rPr>
          <w:rFonts w:ascii="Times New Roman" w:hAnsi="Times New Roman" w:cs="Times New Roman"/>
          <w:color w:val="000000" w:themeColor="text1"/>
          <w:sz w:val="20"/>
          <w:szCs w:val="20"/>
        </w:rPr>
        <w:t>here are also anatomical variations to the extent of remyelination</w:t>
      </w:r>
      <w:r w:rsidR="004B4AB0">
        <w:rPr>
          <w:rFonts w:ascii="Times New Roman" w:hAnsi="Times New Roman" w:cs="Times New Roman"/>
          <w:color w:val="000000" w:themeColor="text1"/>
          <w:sz w:val="20"/>
          <w:szCs w:val="20"/>
        </w:rPr>
        <w:t xml:space="preserve"> </w:t>
      </w:r>
      <w:r w:rsidR="009F0234">
        <w:rPr>
          <w:rFonts w:ascii="Times New Roman" w:hAnsi="Times New Roman" w:cs="Times New Roman"/>
          <w:color w:val="000000" w:themeColor="text1"/>
          <w:sz w:val="20"/>
          <w:szCs w:val="20"/>
        </w:rPr>
        <w:t>with</w:t>
      </w:r>
      <w:r w:rsidR="004B4AB0">
        <w:rPr>
          <w:rFonts w:ascii="Times New Roman" w:hAnsi="Times New Roman" w:cs="Times New Roman"/>
          <w:color w:val="000000" w:themeColor="text1"/>
          <w:sz w:val="20"/>
          <w:szCs w:val="20"/>
        </w:rPr>
        <w:t>in</w:t>
      </w:r>
      <w:r w:rsidR="00340D41">
        <w:rPr>
          <w:rFonts w:ascii="Times New Roman" w:hAnsi="Times New Roman" w:cs="Times New Roman"/>
          <w:color w:val="000000" w:themeColor="text1"/>
          <w:sz w:val="20"/>
          <w:szCs w:val="20"/>
        </w:rPr>
        <w:t xml:space="preserve"> different lesions in the same individual</w:t>
      </w:r>
      <w:r w:rsidR="004B4AB0">
        <w:rPr>
          <w:rFonts w:ascii="Times New Roman" w:hAnsi="Times New Roman" w:cs="Times New Roman"/>
          <w:color w:val="000000" w:themeColor="text1"/>
          <w:sz w:val="20"/>
          <w:szCs w:val="20"/>
        </w:rPr>
        <w:t>.</w:t>
      </w:r>
      <w:r w:rsidR="00A8435C">
        <w:rPr>
          <w:rFonts w:ascii="Times New Roman" w:hAnsi="Times New Roman" w:cs="Times New Roman"/>
          <w:color w:val="000000" w:themeColor="text1"/>
          <w:sz w:val="20"/>
          <w:szCs w:val="20"/>
        </w:rPr>
        <w:t xml:space="preserve"> </w:t>
      </w:r>
      <w:r w:rsidR="004B4AB0">
        <w:rPr>
          <w:rFonts w:ascii="Times New Roman" w:hAnsi="Times New Roman" w:cs="Times New Roman"/>
          <w:color w:val="000000" w:themeColor="text1"/>
          <w:sz w:val="20"/>
          <w:szCs w:val="20"/>
        </w:rPr>
        <w:t>For example, p</w:t>
      </w:r>
      <w:r w:rsidR="00A8435C">
        <w:rPr>
          <w:rFonts w:ascii="Times New Roman" w:hAnsi="Times New Roman" w:cs="Times New Roman"/>
          <w:color w:val="000000" w:themeColor="text1"/>
          <w:sz w:val="20"/>
          <w:szCs w:val="20"/>
        </w:rPr>
        <w:t>eriventricular lesions</w:t>
      </w:r>
      <w:r w:rsidR="004B4AB0">
        <w:rPr>
          <w:rFonts w:ascii="Times New Roman" w:hAnsi="Times New Roman" w:cs="Times New Roman"/>
          <w:color w:val="000000" w:themeColor="text1"/>
          <w:sz w:val="20"/>
          <w:szCs w:val="20"/>
        </w:rPr>
        <w:t xml:space="preserve"> are</w:t>
      </w:r>
      <w:r w:rsidR="00A8435C">
        <w:rPr>
          <w:rFonts w:ascii="Times New Roman" w:hAnsi="Times New Roman" w:cs="Times New Roman"/>
          <w:color w:val="000000" w:themeColor="text1"/>
          <w:sz w:val="20"/>
          <w:szCs w:val="20"/>
        </w:rPr>
        <w:t xml:space="preserve"> less amenable to remyelination than subcortical lesions</w:t>
      </w:r>
      <w:r w:rsidR="002161A5">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nntabmhad","properties":{"formattedCitation":"(42,83)","plainCitation":"(42,83)","noteIndex":0},"citationItems":[{"id":157,"uris":["http://zotero.org/users/local/OxFKn8nN/items/TPUN9GAD"],"uri":["http://zotero.org/users/local/OxFKn8nN/items/TPUN9GAD"],"itemData":{"id":157,"type":"article-journal","title":"Remyelination is extensive in a subset of multiple sclerosis patients","container-title":"Brain","page":"3165-3172","volume":"129","issue":"12","abstract":"Although spontaneous remyelination does occur in multiple sclerosis lesions, its extent within the global population with this disease is presently unknown. We have systematically analysed the incidence and distribution of completely remyelinated lesions (so-called shadow plaques) or partially remyelinated lesions (shadow plaque areas) in 51 autopsies of patients with different clinical courses and disease durations. The extent of remyelination was variable between cases. In 20% of the patients, the extent of remyelination was extensive with 60–96% of the global lesion area remyelinated. Extensive remyelination was found not only in patients with relapsing multiple sclerosis, but also in a subset of patients with progressive disease. Older age at death and longer disease duration were associated with significantly more remyelinated lesions or lesion areas. No correlation was found between the extent of remyelination and either gender or age at disease onset. These results suggest that the variable and patient-dependent extent of remyelination must be considered in the design of future clinical trials aimed at promoting CNS repair.","DOI":"10.1093/brain/awl217","ISSN":"0006-8950","journalAbbreviation":"Brain","author":[{"family":"Patrikios","given":"Peter"},{"family":"Stadelmann","given":"Christine"},{"family":"Kutzelnigg","given":"Alexandra"},{"family":"Rauschka","given":"Helmut"},{"family":"Schmidbauer","given":"Manfred"},{"family":"Laursen","given":"Henning"},{"family":"Sorensen","given":"Per Soelberg"},{"family":"Brück","given":"Wolfgang"},{"family":"Lucchinetti","given":"Claudia"},{"family":"Lassmann","given":"Hans"}],"issued":{"date-parts":[["2006",12,1]]}}},{"id":197,"uris":["http://zotero.org/users/local/OxFKn8nN/items/T68PUS36"],"uri":["http://zotero.org/users/local/OxFKn8nN/items/T68PUS36"],"itemData":{"id":197,"type":"article-journal","title":"Remyelination capacity of the MS brain decreases with disease chronicity","container-title":"Neurology","page":"1914","volume":"72","issue":"22","abstract":"Objective: To analyze and compare the extent of remyelination in lesions from patients with multiple sclerosis (MS) who have a short (early MS lesions) or a long (chronic MS lesions) disease duration and to determine the influence of anatomic localization on the extent of remyelination. In early MS lesions, remyelination has been described as a relatively frequent event, in contrast to chronic MS lesions, where remyelination is absent or limited to the lesion border in the majority of lesions. However, no studies have been published that have quantified and compared the extent of remyelination in early and chronic MS lesions. Methods: We analyzed the occurrence of remyelination in 52 biopsies from 51 patients (early MS) and in 174 lesions from 36 autopsy cases (chronic MS) by immunohistochemistry for myelin proteins, and correlated our findings with anatomic localization, sex, age, and disease duration. Results: Significantly more lesions were remyelinated in early than in chronic MS (80.7% vs 60%). In chronic MS, subcortical lesions showed more extensive remyelination than periventricular lesions. The majority of cerebellar lesions were completely demyelinated. Conclusion: In summary, our data demonstrate that remyelination is a frequent event in early multiple sclerosis lesions. Furthermore, the anatomic localization of a lesion might influence the extent of remyelination. CNPase = 2,3-cyclic nucleotide 3-phosphodiesterase; LFB = Luxol fast blue; MBP = myelin basic protein; MOG = myelin oligodendrocyte protein; MS = multiple sclerosis; OPC = oligodendrocyte progenitor cell;PAS = periodic acid-Schiff; PBS = phosphate-buffered saline; PLP = proteolipid protein.","DOI":"10.1212/WNL.0b013e3181a8260a","journalAbbreviation":"Neurology","author":[{"family":"Goldschmidt","given":"T."},{"family":"Antel","given":"J."},{"family":"König","given":"F. B."},{"family":"Brück","given":"W."},{"family":"Kuhlmann","given":"T."}],"issued":{"date-parts":[["2009",6,2]]}}}],"schema":"https://github.com/citation-style-language/schema/raw/master/csl-citation.json"} </w:instrText>
      </w:r>
      <w:r w:rsidR="002161A5">
        <w:rPr>
          <w:rFonts w:ascii="Times New Roman" w:hAnsi="Times New Roman" w:cs="Times New Roman"/>
          <w:color w:val="000000" w:themeColor="text1"/>
          <w:sz w:val="20"/>
          <w:szCs w:val="20"/>
        </w:rPr>
        <w:fldChar w:fldCharType="separate"/>
      </w:r>
      <w:r w:rsidR="007E3B6C">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42,83</w:t>
      </w:r>
      <w:r w:rsidR="007E3B6C">
        <w:rPr>
          <w:rFonts w:ascii="Times New Roman" w:hAnsi="Times New Roman" w:cs="Times New Roman"/>
          <w:color w:val="000000"/>
          <w:sz w:val="20"/>
          <w:lang w:val="en-US"/>
        </w:rPr>
        <w:t>]</w:t>
      </w:r>
      <w:r w:rsidR="002161A5">
        <w:rPr>
          <w:rFonts w:ascii="Times New Roman" w:hAnsi="Times New Roman" w:cs="Times New Roman"/>
          <w:color w:val="000000" w:themeColor="text1"/>
          <w:sz w:val="20"/>
          <w:szCs w:val="20"/>
        </w:rPr>
        <w:fldChar w:fldCharType="end"/>
      </w:r>
      <w:r w:rsidR="00A8435C">
        <w:rPr>
          <w:rFonts w:ascii="Times New Roman" w:hAnsi="Times New Roman" w:cs="Times New Roman"/>
          <w:color w:val="000000" w:themeColor="text1"/>
          <w:sz w:val="20"/>
          <w:szCs w:val="20"/>
        </w:rPr>
        <w:t>.</w:t>
      </w:r>
      <w:r w:rsidR="003A4C3D">
        <w:rPr>
          <w:rFonts w:ascii="Times New Roman" w:hAnsi="Times New Roman" w:cs="Times New Roman"/>
          <w:color w:val="000000" w:themeColor="text1"/>
          <w:sz w:val="20"/>
          <w:szCs w:val="20"/>
        </w:rPr>
        <w:t xml:space="preserve"> This might reflect an underlying heterogeneity in OPCs or in locational differences in permissibility for their differentiation</w:t>
      </w:r>
      <w:r w:rsidR="002161A5">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214p75pk4c","properties":{"formattedCitation":"(98)","plainCitation":"(98)","noteIndex":0},"citationItems":[{"id":397,"uris":["http://zotero.org/users/local/OxFKn8nN/items/3WEPAT4R"],"uri":["http://zotero.org/users/local/OxFKn8nN/items/3WEPAT4R"],"itemData":{"id":397,"type":"article-journal","title":"Transcription factor co-expression patterns indicate heterogeneity of oligodendroglial subpopulations in adult spinal cord","container-title":"Glia","page":"35-46","volume":"54","issue":"1","abstract":"Abstract Oligodendrocytes and their precursors serve critical roles in the maintenance of neurological function. Although activity of the transcription factors (TFs) Olig1, Olig2, Sox10, and Nkx2.2 is required during early oligodendrocyte development, their later expression in adult central nervous system is rather poorly characterized. Here we have analyzed co-expression patterns of these transcriptional proteins in the mouse cervical spinal cord. Our findings indicate that TF co-expression patterns describe heterogeneity in adult oligodendroglial populations (1) in distinct sub-regions of grey and white matter and (2) with respect to level of maturation from proliferating precursors to myelinating oligodendrocytes. Our findings suggest that TF co-expression patterns identify and might regulate distinct functional classes of grey and white matter oligodendroglia. ? 2006 Wiley-Liss, Inc.","DOI":"10.1002/glia.20354","ISSN":"0894-1491","journalAbbreviation":"Glia","author":[{"family":"Kitada","given":"Masaaki"},{"family":"Rowitch","given":"David H."}],"issued":{"date-parts":[["2006",7,1]]}}}],"schema":"https://github.com/citation-style-language/schema/raw/master/csl-citation.json"} </w:instrText>
      </w:r>
      <w:r w:rsidR="002161A5">
        <w:rPr>
          <w:rFonts w:ascii="Times New Roman" w:hAnsi="Times New Roman" w:cs="Times New Roman"/>
          <w:color w:val="000000" w:themeColor="text1"/>
          <w:sz w:val="20"/>
          <w:szCs w:val="20"/>
        </w:rPr>
        <w:fldChar w:fldCharType="separate"/>
      </w:r>
      <w:r w:rsidR="007E3B6C">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98</w:t>
      </w:r>
      <w:r w:rsidR="007E3B6C">
        <w:rPr>
          <w:rFonts w:ascii="Times New Roman" w:hAnsi="Times New Roman" w:cs="Times New Roman"/>
          <w:color w:val="000000"/>
          <w:sz w:val="20"/>
          <w:lang w:val="en-US"/>
        </w:rPr>
        <w:t>]</w:t>
      </w:r>
      <w:r w:rsidR="002161A5">
        <w:rPr>
          <w:rFonts w:ascii="Times New Roman" w:hAnsi="Times New Roman" w:cs="Times New Roman"/>
          <w:color w:val="000000" w:themeColor="text1"/>
          <w:sz w:val="20"/>
          <w:szCs w:val="20"/>
        </w:rPr>
        <w:fldChar w:fldCharType="end"/>
      </w:r>
      <w:r w:rsidR="006D02E7">
        <w:rPr>
          <w:rFonts w:ascii="Times New Roman" w:hAnsi="Times New Roman" w:cs="Times New Roman"/>
          <w:color w:val="000000" w:themeColor="text1"/>
          <w:sz w:val="20"/>
          <w:szCs w:val="20"/>
        </w:rPr>
        <w:t>; there are fewer inhibitors of remyelination in the cortex</w:t>
      </w:r>
      <w:r w:rsidR="002161A5">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1dhlophcb5","properties":{"formattedCitation":"(99)","plainCitation":"(99)","noteIndex":0},"citationItems":[{"id":399,"uris":["http://zotero.org/users/local/OxFKn8nN/items/JYV9MS8M"],"uri":["http://zotero.org/users/local/OxFKn8nN/items/JYV9MS8M"],"itemData":{"id":399,"type":"article-journal","title":"Cortical remyelination: A new target for repair therapies in multiple sclerosis","container-title":"Annals of Neurology","page":"918-926","volume":"72","issue":"6","abstract":"Abstract Objective: Generation and differentiation of new oligodendrocytes in demyelinated white matter is the best described repair process in the adult human brain. However, remyelinating capacity falters with age in patients with multiple sclerosis (MS). Because demyelination of cerebral cortex is extensive in brains from MS patients, we investigated the capacity of cortical lesions to remyelinate and directly compared the extent of remyelination in lesions that involve cerebral cortex and adjacent subcortical white matter. Methods: Postmortem brain tissue from 22 patients with MS (age 27?77 years) and 6 subjects without brain disease were analyzed. Regions of cerebral cortex with reduced myelin were examined for remyelination, oligodendrocyte progenitor cells, reactive astrocytes, and molecules that inhibit remyelination. Results: New oligodendrocytes that were actively forming myelin sheaths were identified in 30 of 42 remyelinated subpial cortical lesions, including lesions from 3 patients in their 70s. Oligodendrocyte progenitor cells were not decreased in demyelinated or remyelinated cortices when compared to adjacent normal-appearing cortex or controls. In demyelinated lesions involving cortex and adjacent white matter, the cortex showed greater remyelination, more actively remyelinating oligodendrocytes, and fewer reactive astrocytes. Astrocytes in the white matter, but not in cortical portions of these lesions, significantly upregulate CD44, hyaluronan, and versican, molecules that form complexes that inhibit oligodendrocyte maturation and remyelination. Interpretation: Endogenous remyelination of the cerebral cortex occurs in individuals with MS regardless of disease duration or chronological age of the patient. Cortical remyelination should be considered as a primary outcome measure in future clinical trials testing remyelination therapies. ANN NEUROL 2012","DOI":"10.1002/ana.23693","ISSN":"0364-5134","journalAbbreviation":"Annals of Neurology","author":[{"family":"Chang","given":"Ansi"},{"family":"Staugaitis","given":"Susan M."},{"family":"Dutta","given":"Ranjan"},{"family":"Batt","given":"Courtney E."},{"family":"Easley","given":"Kathryn E."},{"family":"Chomyk","given":"Anthony M."},{"family":"Yong","given":"V. Wee"},{"family":"Fox","given":"Robert J."},{"family":"Kidd","given":"Grahame J."},{"family":"Trapp","given":"Bruce D."}],"issued":{"date-parts":[["2012",12,1]]}}}],"schema":"https://github.com/citation-style-language/schema/raw/master/csl-citation.json"} </w:instrText>
      </w:r>
      <w:r w:rsidR="002161A5">
        <w:rPr>
          <w:rFonts w:ascii="Times New Roman" w:hAnsi="Times New Roman" w:cs="Times New Roman"/>
          <w:color w:val="000000" w:themeColor="text1"/>
          <w:sz w:val="20"/>
          <w:szCs w:val="20"/>
        </w:rPr>
        <w:fldChar w:fldCharType="separate"/>
      </w:r>
      <w:r w:rsidR="007E3B6C">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99</w:t>
      </w:r>
      <w:r w:rsidR="007E3B6C">
        <w:rPr>
          <w:rFonts w:ascii="Times New Roman" w:hAnsi="Times New Roman" w:cs="Times New Roman"/>
          <w:color w:val="000000"/>
          <w:sz w:val="20"/>
          <w:lang w:val="en-US"/>
        </w:rPr>
        <w:t>]</w:t>
      </w:r>
      <w:r w:rsidR="002161A5">
        <w:rPr>
          <w:rFonts w:ascii="Times New Roman" w:hAnsi="Times New Roman" w:cs="Times New Roman"/>
          <w:color w:val="000000" w:themeColor="text1"/>
          <w:sz w:val="20"/>
          <w:szCs w:val="20"/>
        </w:rPr>
        <w:fldChar w:fldCharType="end"/>
      </w:r>
      <w:r w:rsidR="00CD76F2">
        <w:rPr>
          <w:rFonts w:ascii="Times New Roman" w:hAnsi="Times New Roman" w:cs="Times New Roman"/>
          <w:color w:val="000000" w:themeColor="text1"/>
          <w:sz w:val="20"/>
          <w:szCs w:val="20"/>
        </w:rPr>
        <w:t>. Or, it</w:t>
      </w:r>
      <w:r w:rsidR="003A4C3D">
        <w:rPr>
          <w:rFonts w:ascii="Times New Roman" w:hAnsi="Times New Roman" w:cs="Times New Roman"/>
          <w:color w:val="000000" w:themeColor="text1"/>
          <w:sz w:val="20"/>
          <w:szCs w:val="20"/>
        </w:rPr>
        <w:t xml:space="preserve"> </w:t>
      </w:r>
      <w:r w:rsidR="00340D41">
        <w:rPr>
          <w:rFonts w:ascii="Times New Roman" w:hAnsi="Times New Roman" w:cs="Times New Roman"/>
          <w:color w:val="000000" w:themeColor="text1"/>
          <w:sz w:val="20"/>
          <w:szCs w:val="20"/>
        </w:rPr>
        <w:t>could</w:t>
      </w:r>
      <w:r w:rsidR="003A4C3D">
        <w:rPr>
          <w:rFonts w:ascii="Times New Roman" w:hAnsi="Times New Roman" w:cs="Times New Roman"/>
          <w:color w:val="000000" w:themeColor="text1"/>
          <w:sz w:val="20"/>
          <w:szCs w:val="20"/>
        </w:rPr>
        <w:t xml:space="preserve"> also be</w:t>
      </w:r>
      <w:r w:rsidR="00712C18">
        <w:rPr>
          <w:rFonts w:ascii="Times New Roman" w:hAnsi="Times New Roman" w:cs="Times New Roman"/>
          <w:color w:val="000000" w:themeColor="text1"/>
          <w:sz w:val="20"/>
          <w:szCs w:val="20"/>
        </w:rPr>
        <w:t xml:space="preserve"> </w:t>
      </w:r>
      <w:r w:rsidR="003A4C3D">
        <w:rPr>
          <w:rFonts w:ascii="Times New Roman" w:hAnsi="Times New Roman" w:cs="Times New Roman"/>
          <w:color w:val="000000" w:themeColor="text1"/>
          <w:sz w:val="20"/>
          <w:szCs w:val="20"/>
        </w:rPr>
        <w:t xml:space="preserve">due to the importance of neuronal activity to remyelination, which is more likely </w:t>
      </w:r>
      <w:r w:rsidR="008F2B2B">
        <w:rPr>
          <w:rFonts w:ascii="Times New Roman" w:hAnsi="Times New Roman" w:cs="Times New Roman"/>
          <w:color w:val="000000" w:themeColor="text1"/>
          <w:sz w:val="20"/>
          <w:szCs w:val="20"/>
        </w:rPr>
        <w:t xml:space="preserve">to occur </w:t>
      </w:r>
      <w:r w:rsidR="003A4C3D">
        <w:rPr>
          <w:rFonts w:ascii="Times New Roman" w:hAnsi="Times New Roman" w:cs="Times New Roman"/>
          <w:color w:val="000000" w:themeColor="text1"/>
          <w:sz w:val="20"/>
          <w:szCs w:val="20"/>
        </w:rPr>
        <w:t>closer to the soma</w:t>
      </w:r>
      <w:r w:rsidR="008F2B2B">
        <w:rPr>
          <w:rFonts w:ascii="Times New Roman" w:hAnsi="Times New Roman" w:cs="Times New Roman"/>
          <w:color w:val="000000" w:themeColor="text1"/>
          <w:sz w:val="20"/>
          <w:szCs w:val="20"/>
        </w:rPr>
        <w:t xml:space="preserve">. </w:t>
      </w:r>
      <w:r w:rsidR="00CD76F2">
        <w:rPr>
          <w:rFonts w:ascii="Times New Roman" w:hAnsi="Times New Roman" w:cs="Times New Roman"/>
          <w:color w:val="000000" w:themeColor="text1"/>
          <w:sz w:val="20"/>
          <w:szCs w:val="20"/>
        </w:rPr>
        <w:t xml:space="preserve">Regional variations in remyelination within an individual </w:t>
      </w:r>
      <w:r w:rsidR="005C2162">
        <w:rPr>
          <w:rFonts w:ascii="Times New Roman" w:hAnsi="Times New Roman" w:cs="Times New Roman"/>
          <w:color w:val="000000" w:themeColor="text1"/>
          <w:sz w:val="20"/>
          <w:szCs w:val="20"/>
        </w:rPr>
        <w:t xml:space="preserve">is an opportunity to investigate </w:t>
      </w:r>
      <w:r w:rsidR="00340D41">
        <w:rPr>
          <w:rFonts w:ascii="Times New Roman" w:hAnsi="Times New Roman" w:cs="Times New Roman"/>
          <w:color w:val="000000" w:themeColor="text1"/>
          <w:sz w:val="20"/>
          <w:szCs w:val="20"/>
        </w:rPr>
        <w:t>barriers</w:t>
      </w:r>
      <w:r w:rsidR="005C2162">
        <w:rPr>
          <w:rFonts w:ascii="Times New Roman" w:hAnsi="Times New Roman" w:cs="Times New Roman"/>
          <w:color w:val="000000" w:themeColor="text1"/>
          <w:sz w:val="20"/>
          <w:szCs w:val="20"/>
        </w:rPr>
        <w:t xml:space="preserve"> </w:t>
      </w:r>
      <w:r w:rsidR="00340D41">
        <w:rPr>
          <w:rFonts w:ascii="Times New Roman" w:hAnsi="Times New Roman" w:cs="Times New Roman"/>
          <w:color w:val="000000" w:themeColor="text1"/>
          <w:sz w:val="20"/>
          <w:szCs w:val="20"/>
        </w:rPr>
        <w:t>to</w:t>
      </w:r>
      <w:r w:rsidR="005C2162">
        <w:rPr>
          <w:rFonts w:ascii="Times New Roman" w:hAnsi="Times New Roman" w:cs="Times New Roman"/>
          <w:color w:val="000000" w:themeColor="text1"/>
          <w:sz w:val="20"/>
          <w:szCs w:val="20"/>
        </w:rPr>
        <w:t xml:space="preserve"> enhancing remyelination, but also raises questions about wh</w:t>
      </w:r>
      <w:r w:rsidR="00340D41">
        <w:rPr>
          <w:rFonts w:ascii="Times New Roman" w:hAnsi="Times New Roman" w:cs="Times New Roman"/>
          <w:color w:val="000000" w:themeColor="text1"/>
          <w:sz w:val="20"/>
          <w:szCs w:val="20"/>
        </w:rPr>
        <w:t xml:space="preserve">ich lesions </w:t>
      </w:r>
      <w:r w:rsidR="005C2162">
        <w:rPr>
          <w:rFonts w:ascii="Times New Roman" w:hAnsi="Times New Roman" w:cs="Times New Roman"/>
          <w:color w:val="000000" w:themeColor="text1"/>
          <w:sz w:val="20"/>
          <w:szCs w:val="20"/>
        </w:rPr>
        <w:t xml:space="preserve">should be </w:t>
      </w:r>
      <w:r w:rsidR="00340D41">
        <w:rPr>
          <w:rFonts w:ascii="Times New Roman" w:hAnsi="Times New Roman" w:cs="Times New Roman"/>
          <w:color w:val="000000" w:themeColor="text1"/>
          <w:sz w:val="20"/>
          <w:szCs w:val="20"/>
        </w:rPr>
        <w:t>tested</w:t>
      </w:r>
      <w:r w:rsidR="005C2162">
        <w:rPr>
          <w:rFonts w:ascii="Times New Roman" w:hAnsi="Times New Roman" w:cs="Times New Roman"/>
          <w:color w:val="000000" w:themeColor="text1"/>
          <w:sz w:val="20"/>
          <w:szCs w:val="20"/>
        </w:rPr>
        <w:t xml:space="preserve"> in clinical trials.</w:t>
      </w:r>
    </w:p>
    <w:p w14:paraId="062332B5" w14:textId="77777777" w:rsidR="00CA5144" w:rsidRDefault="00CA5144" w:rsidP="00E17010">
      <w:pPr>
        <w:spacing w:line="480" w:lineRule="auto"/>
        <w:rPr>
          <w:rFonts w:ascii="Times New Roman" w:hAnsi="Times New Roman" w:cs="Times New Roman"/>
          <w:color w:val="000000" w:themeColor="text1"/>
          <w:sz w:val="20"/>
          <w:szCs w:val="20"/>
        </w:rPr>
      </w:pPr>
    </w:p>
    <w:p w14:paraId="047E8E55" w14:textId="1683BEC6" w:rsidR="00790BBC" w:rsidRPr="005C5428" w:rsidRDefault="008725EA" w:rsidP="00E17010">
      <w:pPr>
        <w:spacing w:line="480" w:lineRule="auto"/>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rPr>
        <w:t xml:space="preserve">Identification of </w:t>
      </w:r>
      <w:r w:rsidR="003E1E46">
        <w:rPr>
          <w:rFonts w:ascii="Times New Roman" w:hAnsi="Times New Roman" w:cs="Times New Roman"/>
          <w:b/>
          <w:color w:val="000000" w:themeColor="text1"/>
          <w:sz w:val="20"/>
          <w:szCs w:val="20"/>
        </w:rPr>
        <w:t>agents</w:t>
      </w:r>
      <w:r>
        <w:rPr>
          <w:rFonts w:ascii="Times New Roman" w:hAnsi="Times New Roman" w:cs="Times New Roman"/>
          <w:b/>
          <w:color w:val="000000" w:themeColor="text1"/>
          <w:sz w:val="20"/>
          <w:szCs w:val="20"/>
        </w:rPr>
        <w:t xml:space="preserve"> capable of remyelination</w:t>
      </w:r>
    </w:p>
    <w:p w14:paraId="6681863F" w14:textId="50DF68FD" w:rsidR="00664665" w:rsidRPr="00003E8D" w:rsidRDefault="00664665" w:rsidP="00E17010">
      <w:pPr>
        <w:spacing w:line="480" w:lineRule="auto"/>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An enhanced understanding of the intrinsic and extrinsic regulatory pathways implicated in remyelination has identified a multitude of sensible targets for therapeutic manipulation. An example of th</w:t>
      </w:r>
      <w:r w:rsidR="00790BBC">
        <w:rPr>
          <w:rFonts w:ascii="Times New Roman" w:hAnsi="Times New Roman" w:cs="Times New Roman"/>
          <w:color w:val="000000" w:themeColor="text1"/>
          <w:sz w:val="20"/>
          <w:szCs w:val="20"/>
        </w:rPr>
        <w:t xml:space="preserve">is has been the development of </w:t>
      </w:r>
      <w:proofErr w:type="spellStart"/>
      <w:r w:rsidR="00790BBC">
        <w:rPr>
          <w:rFonts w:ascii="Times New Roman" w:hAnsi="Times New Roman" w:cs="Times New Roman"/>
          <w:color w:val="000000" w:themeColor="text1"/>
          <w:sz w:val="20"/>
          <w:szCs w:val="20"/>
        </w:rPr>
        <w:t>o</w:t>
      </w:r>
      <w:r w:rsidRPr="00003E8D">
        <w:rPr>
          <w:rFonts w:ascii="Times New Roman" w:hAnsi="Times New Roman" w:cs="Times New Roman"/>
          <w:color w:val="000000" w:themeColor="text1"/>
          <w:sz w:val="20"/>
          <w:szCs w:val="20"/>
        </w:rPr>
        <w:t>picinumab</w:t>
      </w:r>
      <w:proofErr w:type="spellEnd"/>
      <w:r w:rsidRPr="00003E8D">
        <w:rPr>
          <w:rFonts w:ascii="Times New Roman" w:hAnsi="Times New Roman" w:cs="Times New Roman"/>
          <w:color w:val="000000" w:themeColor="text1"/>
          <w:sz w:val="20"/>
          <w:szCs w:val="20"/>
        </w:rPr>
        <w:t xml:space="preserve"> to inhibit Lingo-1</w:t>
      </w:r>
      <w:r w:rsidR="0007353C" w:rsidRPr="00003E8D">
        <w:rPr>
          <w:rFonts w:ascii="Times New Roman" w:hAnsi="Times New Roman" w:cs="Times New Roman"/>
          <w:color w:val="000000" w:themeColor="text1"/>
          <w:sz w:val="20"/>
          <w:szCs w:val="20"/>
        </w:rPr>
        <w:t xml:space="preserve"> (</w:t>
      </w:r>
      <w:r w:rsidR="00096490">
        <w:rPr>
          <w:rFonts w:ascii="Times New Roman" w:hAnsi="Times New Roman" w:cs="Times New Roman"/>
          <w:color w:val="000000" w:themeColor="text1"/>
          <w:sz w:val="20"/>
          <w:szCs w:val="20"/>
        </w:rPr>
        <w:t>l</w:t>
      </w:r>
      <w:r w:rsidR="0007353C" w:rsidRPr="00003E8D">
        <w:rPr>
          <w:rFonts w:ascii="Times New Roman" w:hAnsi="Times New Roman" w:cs="Times New Roman"/>
          <w:color w:val="000000" w:themeColor="text1"/>
          <w:sz w:val="20"/>
          <w:szCs w:val="20"/>
        </w:rPr>
        <w:t>eucine-rich repeat and immunoglobulin-like</w:t>
      </w:r>
      <w:r w:rsidR="00172CEC" w:rsidRPr="00003E8D">
        <w:rPr>
          <w:rFonts w:ascii="Times New Roman" w:hAnsi="Times New Roman" w:cs="Times New Roman"/>
          <w:color w:val="000000" w:themeColor="text1"/>
          <w:sz w:val="20"/>
          <w:szCs w:val="20"/>
        </w:rPr>
        <w:t xml:space="preserve"> </w:t>
      </w:r>
      <w:r w:rsidR="0007353C" w:rsidRPr="00003E8D">
        <w:rPr>
          <w:rFonts w:ascii="Times New Roman" w:hAnsi="Times New Roman" w:cs="Times New Roman"/>
          <w:color w:val="000000" w:themeColor="text1"/>
          <w:sz w:val="20"/>
          <w:szCs w:val="20"/>
        </w:rPr>
        <w:t xml:space="preserve">domain-containing </w:t>
      </w:r>
      <w:proofErr w:type="spellStart"/>
      <w:r w:rsidR="0007353C" w:rsidRPr="00003E8D">
        <w:rPr>
          <w:rFonts w:ascii="Times New Roman" w:hAnsi="Times New Roman" w:cs="Times New Roman"/>
          <w:color w:val="000000" w:themeColor="text1"/>
          <w:sz w:val="20"/>
          <w:szCs w:val="20"/>
        </w:rPr>
        <w:t>nogo</w:t>
      </w:r>
      <w:proofErr w:type="spellEnd"/>
      <w:r w:rsidR="0007353C" w:rsidRPr="00003E8D">
        <w:rPr>
          <w:rFonts w:ascii="Times New Roman" w:hAnsi="Times New Roman" w:cs="Times New Roman"/>
          <w:color w:val="000000" w:themeColor="text1"/>
          <w:sz w:val="20"/>
          <w:szCs w:val="20"/>
        </w:rPr>
        <w:t xml:space="preserve"> receptor-interacting protein 1)</w:t>
      </w:r>
      <w:r w:rsidRPr="00003E8D">
        <w:rPr>
          <w:rFonts w:ascii="Times New Roman" w:hAnsi="Times New Roman" w:cs="Times New Roman"/>
          <w:color w:val="000000" w:themeColor="text1"/>
          <w:sz w:val="20"/>
          <w:szCs w:val="20"/>
        </w:rPr>
        <w:t>, a negative regulator o</w:t>
      </w:r>
      <w:r w:rsidR="00790BBC">
        <w:rPr>
          <w:rFonts w:ascii="Times New Roman" w:hAnsi="Times New Roman" w:cs="Times New Roman"/>
          <w:color w:val="000000" w:themeColor="text1"/>
          <w:sz w:val="20"/>
          <w:szCs w:val="20"/>
        </w:rPr>
        <w:t>f differentiation</w:t>
      </w:r>
      <w:r w:rsidR="00977117">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6FlnCnqu","properties":{"formattedCitation":"(100)","plainCitation":"(100)","noteIndex":0},"citationItems":[{"id":369,"uris":["http://zotero.org/users/local/OxFKn8nN/items/233ANZDF"],"uri":["http://zotero.org/users/local/OxFKn8nN/items/233ANZDF"],"itemData":{"id":369,"type":"article-journal","title":"Blocking LINGO-1 as a Therapy to Promote CNS Repair: From Concept to the Clinic","container-title":"CNS Drugs","page":"493-503","volume":"27","issue":"7","abstract":"LINGO-1 is a leucine-rich repeat and Ig domain-containing, Nogo receptor interacting protein, selectively expressed in the CNS on both oligodendrocytes and neurons. Its expression is developmentally regulated, and is upregulated in CNS diseases and injury. In animal models, LINGO-1 expression is upregulated in rat spinal cord injury, experimental autoimmune encephalomyelitis, 6-hydroxydopamine neurotoxic lesions and glaucoma models. In humans, LINGO-1 expression is increased in oligodendrocyte progenitor cells from demyelinated white matter of multiple sclerosis post-mortem samples, and in dopaminergic neurons from Parkinson’s disease brains. LINGO-1 negatively regulates oligodendrocyte differentiation and myelination, neuronal survival and axonal regeneration by activating ras homolog gene family member A (RhoA) and inhibiting protein kinase B (Akt) phosphorylation signalling pathways. Across diverse animal CNS disease models, targeted LINGO-1 inhibition promotes neuron and oligodendrocyte survival, axon regeneration, oligodendrocyte differentiation, remyelination and functional recovery. The targeted inhibition of LINGO-1 function presents a novel therapeutic approach for the treatment of CNS diseases.","DOI":"10.1007/s40263-013-0068-8","ISSN":"1179-1934","journalAbbreviation":"CNS Drugs","author":[{"family":"Mi","given":"Sha"},{"family":"Blake Pepinsky","given":"R."},{"family":"Cadavid","given":"Diego"}],"issued":{"date-parts":[["2013",7,1]]}}}],"schema":"https://github.com/citation-style-language/schema/raw/master/csl-citation.json"} </w:instrText>
      </w:r>
      <w:r w:rsidR="00977117">
        <w:rPr>
          <w:rFonts w:ascii="Times New Roman" w:hAnsi="Times New Roman" w:cs="Times New Roman"/>
          <w:color w:val="000000" w:themeColor="text1"/>
          <w:sz w:val="20"/>
          <w:szCs w:val="20"/>
        </w:rPr>
        <w:fldChar w:fldCharType="separate"/>
      </w:r>
      <w:r w:rsidR="00E33CB4">
        <w:rPr>
          <w:rFonts w:ascii="Times New Roman" w:hAnsi="Times New Roman" w:cs="Times New Roman"/>
          <w:noProof/>
          <w:color w:val="000000" w:themeColor="text1"/>
          <w:sz w:val="20"/>
          <w:szCs w:val="20"/>
        </w:rPr>
        <w:t>[</w:t>
      </w:r>
      <w:r w:rsidR="00AA2F7B">
        <w:rPr>
          <w:rFonts w:ascii="Times New Roman" w:hAnsi="Times New Roman" w:cs="Times New Roman"/>
          <w:noProof/>
          <w:color w:val="000000" w:themeColor="text1"/>
          <w:sz w:val="20"/>
          <w:szCs w:val="20"/>
        </w:rPr>
        <w:t>100</w:t>
      </w:r>
      <w:r w:rsidR="00E33CB4">
        <w:rPr>
          <w:rFonts w:ascii="Times New Roman" w:hAnsi="Times New Roman" w:cs="Times New Roman"/>
          <w:noProof/>
          <w:color w:val="000000" w:themeColor="text1"/>
          <w:sz w:val="20"/>
          <w:szCs w:val="20"/>
        </w:rPr>
        <w:t>]</w:t>
      </w:r>
      <w:r w:rsidR="00977117">
        <w:rPr>
          <w:rFonts w:ascii="Times New Roman" w:hAnsi="Times New Roman" w:cs="Times New Roman"/>
          <w:color w:val="000000" w:themeColor="text1"/>
          <w:sz w:val="20"/>
          <w:szCs w:val="20"/>
        </w:rPr>
        <w:fldChar w:fldCharType="end"/>
      </w:r>
    </w:p>
    <w:p w14:paraId="5A44C20E" w14:textId="18E9739C" w:rsidR="00664665" w:rsidRPr="00003E8D" w:rsidRDefault="00664665"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Another fruitful technique has been high-throughput screening of</w:t>
      </w:r>
      <w:r w:rsidR="00846D1E" w:rsidRPr="00003E8D">
        <w:rPr>
          <w:rFonts w:ascii="Times New Roman" w:hAnsi="Times New Roman" w:cs="Times New Roman"/>
          <w:color w:val="000000" w:themeColor="text1"/>
          <w:sz w:val="20"/>
          <w:szCs w:val="20"/>
        </w:rPr>
        <w:t xml:space="preserve"> libraries of</w:t>
      </w:r>
      <w:r w:rsidRPr="00003E8D">
        <w:rPr>
          <w:rFonts w:ascii="Times New Roman" w:hAnsi="Times New Roman" w:cs="Times New Roman"/>
          <w:color w:val="000000" w:themeColor="text1"/>
          <w:sz w:val="20"/>
          <w:szCs w:val="20"/>
        </w:rPr>
        <w:t xml:space="preserve"> compounds</w:t>
      </w:r>
      <w:r w:rsidR="00846D1E" w:rsidRPr="00003E8D">
        <w:rPr>
          <w:rFonts w:ascii="Times New Roman" w:hAnsi="Times New Roman" w:cs="Times New Roman"/>
          <w:color w:val="000000" w:themeColor="text1"/>
          <w:sz w:val="20"/>
          <w:szCs w:val="20"/>
        </w:rPr>
        <w:t>,</w:t>
      </w:r>
      <w:r w:rsidRPr="00003E8D">
        <w:rPr>
          <w:rFonts w:ascii="Times New Roman" w:hAnsi="Times New Roman" w:cs="Times New Roman"/>
          <w:color w:val="000000" w:themeColor="text1"/>
          <w:sz w:val="20"/>
          <w:szCs w:val="20"/>
        </w:rPr>
        <w:t xml:space="preserve"> looking for an effect on </w:t>
      </w:r>
      <w:proofErr w:type="spellStart"/>
      <w:r w:rsidRPr="00003E8D">
        <w:rPr>
          <w:rFonts w:ascii="Times New Roman" w:hAnsi="Times New Roman" w:cs="Times New Roman"/>
          <w:color w:val="000000" w:themeColor="text1"/>
          <w:sz w:val="20"/>
          <w:szCs w:val="20"/>
        </w:rPr>
        <w:t>aOPC</w:t>
      </w:r>
      <w:proofErr w:type="spellEnd"/>
      <w:r w:rsidRPr="00003E8D">
        <w:rPr>
          <w:rFonts w:ascii="Times New Roman" w:hAnsi="Times New Roman" w:cs="Times New Roman"/>
          <w:color w:val="000000" w:themeColor="text1"/>
          <w:sz w:val="20"/>
          <w:szCs w:val="20"/>
        </w:rPr>
        <w:t xml:space="preserve"> differentiatio</w:t>
      </w:r>
      <w:r w:rsidR="008C6A7C">
        <w:rPr>
          <w:rFonts w:ascii="Times New Roman" w:hAnsi="Times New Roman" w:cs="Times New Roman"/>
          <w:color w:val="000000" w:themeColor="text1"/>
          <w:sz w:val="20"/>
          <w:szCs w:val="20"/>
        </w:rPr>
        <w:t>n</w:t>
      </w:r>
      <w:r w:rsidR="008C6A7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QJSsvNla","properties":{"formattedCitation":"(101)","plainCitation":"(101)","noteIndex":0},"citationItems":[{"id":210,"uris":["http://zotero.org/users/local/OxFKn8nN/items/6Y3FABU7"],"uri":["http://zotero.org/users/local/OxFKn8nN/items/6Y3FABU7"],"itemData":{"id":210,"type":"article-journal","title":"Remyelinating Pharmacotherapies in Multiple Sclerosis","container-title":"Neurotherapeutics : the journal of the American Society for Experimental NeuroTherapeutics","page":"894-904","volume":"14","issue":"4","archive":"PubMed","archive_location":"28948533","abstract":"We have witnessed major successes in the development of effective immunomodulatory therapies capable of reducing adaptive immune-mediated myelin damage in MS over the last 30 years. However, until it is possible to prevent MS or initiate treatment before it has already caused lesions there is a need to repair myelin damage to prevent further axonal loss. The past decade has brought remarkable advances in our understanding of oligodendrocyte biology and the related search for remyelinating therapies in humans. In this review, we first outline the basic biology of central nervous system myelin and remyelination, including a discussion of the major identified pathways and targets that might help yield CNS remyelinating drugs. In conjunction, we provide an overview of techniques that have helped identify compounds capable of promoting oligodendrocyte precursor cell differentiation and myelination. This includes the methods for both initial in vitro screening and subsequent in vivo confirmation of the target. We then review methods proposed to quantify human remyelination in vivo, including visual evoked potentials and putative imaging modalities. As the remyelination era approaches, with the announcement of the first positive trial in remyelination, we are now tasked with answering new questions regarding patient-specific factors (e.g., age) that may influence the extent and optimal therapeutic window for remyelination.","DOI":"10.1007/s13311-017-0577-0","ISSN":"1878-7479","author":[{"family":"Bove","given":"Riley M"},{"family":"Green","given":"Ari J"}],"issued":{"date-parts":[["2017",10]]}}}],"schema":"https://github.com/citation-style-language/schema/raw/master/csl-citation.json"} </w:instrText>
      </w:r>
      <w:r w:rsidR="008C6A7C">
        <w:rPr>
          <w:rFonts w:ascii="Times New Roman" w:hAnsi="Times New Roman" w:cs="Times New Roman"/>
          <w:color w:val="000000" w:themeColor="text1"/>
          <w:sz w:val="20"/>
          <w:szCs w:val="20"/>
        </w:rPr>
        <w:fldChar w:fldCharType="separate"/>
      </w:r>
      <w:r w:rsidR="00E33CB4">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101</w:t>
      </w:r>
      <w:r w:rsidR="00E33CB4">
        <w:rPr>
          <w:rFonts w:ascii="Times New Roman" w:hAnsi="Times New Roman" w:cs="Times New Roman"/>
          <w:color w:val="000000"/>
          <w:sz w:val="20"/>
          <w:u w:val="dash"/>
          <w:lang w:val="en-US"/>
        </w:rPr>
        <w:t>]</w:t>
      </w:r>
      <w:r w:rsidR="008C6A7C">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One such study focussed on the ability of candidate compounds to promo</w:t>
      </w:r>
      <w:r w:rsidR="00960730" w:rsidRPr="00003E8D">
        <w:rPr>
          <w:rFonts w:ascii="Times New Roman" w:hAnsi="Times New Roman" w:cs="Times New Roman"/>
          <w:color w:val="000000" w:themeColor="text1"/>
          <w:sz w:val="20"/>
          <w:szCs w:val="20"/>
        </w:rPr>
        <w:t xml:space="preserve">te differentiation of rat optic </w:t>
      </w:r>
      <w:r w:rsidRPr="00003E8D">
        <w:rPr>
          <w:rFonts w:ascii="Times New Roman" w:hAnsi="Times New Roman" w:cs="Times New Roman"/>
          <w:color w:val="000000" w:themeColor="text1"/>
          <w:sz w:val="20"/>
          <w:szCs w:val="20"/>
        </w:rPr>
        <w:t>nerve-derived progenitor cells as evidenced by their production of oligodendrocyte differentiation marker</w:t>
      </w:r>
      <w:r w:rsidR="008C6A7C">
        <w:rPr>
          <w:rFonts w:ascii="Times New Roman" w:hAnsi="Times New Roman" w:cs="Times New Roman"/>
          <w:color w:val="000000" w:themeColor="text1"/>
          <w:sz w:val="20"/>
          <w:szCs w:val="20"/>
        </w:rPr>
        <w:t>s</w:t>
      </w:r>
      <w:r w:rsidR="008C6A7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Zdw0424W","properties":{"formattedCitation":"(102)","plainCitation":"(102)","noteIndex":0},"citationItems":[{"id":212,"uris":["http://zotero.org/users/local/OxFKn8nN/items/JZPK9EFI"],"uri":["http://zotero.org/users/local/OxFKn8nN/items/JZPK9EFI"],"itemData":{"id":212,"type":"article-journal","title":"A regenerative approach to the treatment of multiple sclerosis","container-title":"Nature","page":"327-332","volume":"502","issue":"7471","archive":"PubMed","archive_location":"24107995","abstract":"Progressive phases of multiple sclerosis are associated with inhibited differentiation of the progenitor cell population that generates the mature oligodendrocytes required for remyelination and disease remission. To identify selective inducers of oligodendrocyte differentiation, we performed an image-based screen for myelin basic protein (MBP) expression using primary rat optic-nerve-derived progenitor cells. Here we show that among the most effective compounds identifed was benztropine, which significantly decreases clinical severity in the experimental autoimmune encephalomyelitis (EAE) model of relapsing-remitting multiple sclerosis when administered alone or in combination with approved immunosuppressive treatments for multiple sclerosis. Evidence from a cuprizone-induced model of demyelination, in vitro and in vivo T-cell assays and EAE adoptive transfer experiments indicated that the observed efficacy of this drug results directly from an enhancement of remyelination rather than immune suppression. Pharmacological studies indicate that benztropine functions by a mechanism that involves direct antagonism of M1 and/or M3 muscarinic receptors. These studies should facilitate the development of effective new therapies for the treatment of multiple sclerosis that complement established immunosuppressive approaches.","DOI":"10.1038/nature12647","ISSN":"1476-4687","author":[{"family":"Deshmukh","given":"Vishal A"},{"family":"Tardif","given":"Virginie"},{"family":"Lyssiotis","given":"Costas A"},{"family":"Green","given":"Chelsea C"},{"family":"Kerman","given":"Bilal"},{"family":"Kim","given":"Hyung Joon"},{"family":"Padmanabhan","given":"Krishnan"},{"family":"Swoboda","given":"Jonathan G"},{"family":"Ahmad","given":"Insha"},{"family":"Kondo","given":"Toru"},{"family":"Gage","given":"Fred H"},{"family":"Theofilopoulos","given":"Argyrios N"},{"family":"Lawson","given":"Brian R"},{"family":"Schultz","given":"Peter G"},{"family":"Lairson","given":"Luke L"}],"issued":{"date-parts":[["2013",10,17]]}}}],"schema":"https://github.com/citation-style-language/schema/raw/master/csl-citation.json"} </w:instrText>
      </w:r>
      <w:r w:rsidR="008C6A7C">
        <w:rPr>
          <w:rFonts w:ascii="Times New Roman" w:hAnsi="Times New Roman" w:cs="Times New Roman"/>
          <w:color w:val="000000" w:themeColor="text1"/>
          <w:sz w:val="20"/>
          <w:szCs w:val="20"/>
        </w:rPr>
        <w:fldChar w:fldCharType="separate"/>
      </w:r>
      <w:r w:rsidR="00E33CB4">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102</w:t>
      </w:r>
      <w:r w:rsidR="00E33CB4">
        <w:rPr>
          <w:rFonts w:ascii="Times New Roman" w:hAnsi="Times New Roman" w:cs="Times New Roman"/>
          <w:color w:val="000000"/>
          <w:sz w:val="20"/>
          <w:u w:val="dash"/>
          <w:lang w:val="en-US"/>
        </w:rPr>
        <w:t>]</w:t>
      </w:r>
      <w:r w:rsidR="008C6A7C">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This revealed that antagonism of muscarinic receptors, with the antihistamine</w:t>
      </w:r>
      <w:r w:rsidR="005D4E7D" w:rsidRPr="00003E8D">
        <w:rPr>
          <w:rFonts w:ascii="Times New Roman" w:hAnsi="Times New Roman" w:cs="Times New Roman"/>
          <w:color w:val="000000" w:themeColor="text1"/>
          <w:sz w:val="20"/>
          <w:szCs w:val="20"/>
        </w:rPr>
        <w:t>/anticholinergic</w:t>
      </w:r>
      <w:r w:rsidRPr="00003E8D">
        <w:rPr>
          <w:rFonts w:ascii="Times New Roman" w:hAnsi="Times New Roman" w:cs="Times New Roman"/>
          <w:color w:val="000000" w:themeColor="text1"/>
          <w:sz w:val="20"/>
          <w:szCs w:val="20"/>
        </w:rPr>
        <w:t xml:space="preserve"> </w:t>
      </w:r>
      <w:proofErr w:type="spellStart"/>
      <w:r w:rsidR="00F226BA" w:rsidRPr="00003E8D">
        <w:rPr>
          <w:rFonts w:ascii="Times New Roman" w:hAnsi="Times New Roman" w:cs="Times New Roman"/>
          <w:color w:val="000000" w:themeColor="text1"/>
          <w:sz w:val="20"/>
          <w:szCs w:val="20"/>
        </w:rPr>
        <w:t>b</w:t>
      </w:r>
      <w:r w:rsidRPr="00003E8D">
        <w:rPr>
          <w:rFonts w:ascii="Times New Roman" w:hAnsi="Times New Roman" w:cs="Times New Roman"/>
          <w:color w:val="000000" w:themeColor="text1"/>
          <w:sz w:val="20"/>
          <w:szCs w:val="20"/>
        </w:rPr>
        <w:t>enzatropine</w:t>
      </w:r>
      <w:proofErr w:type="spellEnd"/>
      <w:r w:rsidRPr="00003E8D">
        <w:rPr>
          <w:rFonts w:ascii="Times New Roman" w:hAnsi="Times New Roman" w:cs="Times New Roman"/>
          <w:color w:val="000000" w:themeColor="text1"/>
          <w:sz w:val="20"/>
          <w:szCs w:val="20"/>
        </w:rPr>
        <w:t xml:space="preserve">, promotes OPC differentiation </w:t>
      </w:r>
      <w:r w:rsidRPr="00A03D47">
        <w:rPr>
          <w:rFonts w:ascii="Times New Roman" w:hAnsi="Times New Roman" w:cs="Times New Roman"/>
          <w:color w:val="000000" w:themeColor="text1"/>
          <w:sz w:val="20"/>
          <w:szCs w:val="20"/>
        </w:rPr>
        <w:t>in vitro,</w:t>
      </w:r>
      <w:r w:rsidRPr="00003E8D">
        <w:rPr>
          <w:rFonts w:ascii="Times New Roman" w:hAnsi="Times New Roman" w:cs="Times New Roman"/>
          <w:i/>
          <w:color w:val="000000" w:themeColor="text1"/>
          <w:sz w:val="20"/>
          <w:szCs w:val="20"/>
        </w:rPr>
        <w:t xml:space="preserve"> </w:t>
      </w:r>
      <w:r w:rsidRPr="00003E8D">
        <w:rPr>
          <w:rFonts w:ascii="Times New Roman" w:hAnsi="Times New Roman" w:cs="Times New Roman"/>
          <w:color w:val="000000" w:themeColor="text1"/>
          <w:sz w:val="20"/>
          <w:szCs w:val="20"/>
        </w:rPr>
        <w:t>which translated into a remyelinating effect in both</w:t>
      </w:r>
      <w:r w:rsidR="004F650A" w:rsidRPr="00003E8D">
        <w:rPr>
          <w:rFonts w:ascii="Times New Roman" w:hAnsi="Times New Roman" w:cs="Times New Roman"/>
          <w:color w:val="000000" w:themeColor="text1"/>
          <w:sz w:val="20"/>
          <w:szCs w:val="20"/>
        </w:rPr>
        <w:t xml:space="preserve"> </w:t>
      </w:r>
      <w:r w:rsidR="00946204">
        <w:rPr>
          <w:rFonts w:ascii="Times New Roman" w:hAnsi="Times New Roman" w:cs="Times New Roman"/>
          <w:color w:val="000000" w:themeColor="text1"/>
          <w:sz w:val="20"/>
          <w:szCs w:val="20"/>
        </w:rPr>
        <w:t xml:space="preserve">EAE </w:t>
      </w:r>
      <w:r w:rsidRPr="00003E8D">
        <w:rPr>
          <w:rFonts w:ascii="Times New Roman" w:hAnsi="Times New Roman" w:cs="Times New Roman"/>
          <w:color w:val="000000" w:themeColor="text1"/>
          <w:sz w:val="20"/>
          <w:szCs w:val="20"/>
        </w:rPr>
        <w:t xml:space="preserve">and cuprizone mice models. Similarly, </w:t>
      </w:r>
      <w:proofErr w:type="spellStart"/>
      <w:r w:rsidRPr="00003E8D">
        <w:rPr>
          <w:rFonts w:ascii="Times New Roman" w:hAnsi="Times New Roman" w:cs="Times New Roman"/>
          <w:color w:val="000000" w:themeColor="text1"/>
          <w:sz w:val="20"/>
          <w:szCs w:val="20"/>
        </w:rPr>
        <w:t>Najm</w:t>
      </w:r>
      <w:proofErr w:type="spellEnd"/>
      <w:r w:rsidRPr="00003E8D">
        <w:rPr>
          <w:rFonts w:ascii="Times New Roman" w:hAnsi="Times New Roman" w:cs="Times New Roman"/>
          <w:color w:val="000000" w:themeColor="text1"/>
          <w:sz w:val="20"/>
          <w:szCs w:val="20"/>
        </w:rPr>
        <w:t xml:space="preserve"> et al. used a flat plate culture system to screen a library of bioactive small molecules, this time on mouse pluripotent epiblast stem cell-derived OPCs. They discovered that the topical corticosteroid, clobetasol, and the anti-fungal, miconazole, as well as </w:t>
      </w:r>
      <w:proofErr w:type="spellStart"/>
      <w:r w:rsidRPr="00003E8D">
        <w:rPr>
          <w:rFonts w:ascii="Times New Roman" w:hAnsi="Times New Roman" w:cs="Times New Roman"/>
          <w:color w:val="000000" w:themeColor="text1"/>
          <w:sz w:val="20"/>
          <w:szCs w:val="20"/>
        </w:rPr>
        <w:t>benzatropine</w:t>
      </w:r>
      <w:proofErr w:type="spellEnd"/>
      <w:r w:rsidRPr="00003E8D">
        <w:rPr>
          <w:rFonts w:ascii="Times New Roman" w:hAnsi="Times New Roman" w:cs="Times New Roman"/>
          <w:color w:val="000000" w:themeColor="text1"/>
          <w:sz w:val="20"/>
          <w:szCs w:val="20"/>
        </w:rPr>
        <w:t>, leads to a mature oligodendrocyte morphology, and improved remyelination in a lysolecithin-induced mouse model of focal demyelinatio</w:t>
      </w:r>
      <w:r w:rsidR="008C6A7C">
        <w:rPr>
          <w:rFonts w:ascii="Times New Roman" w:hAnsi="Times New Roman" w:cs="Times New Roman"/>
          <w:color w:val="000000" w:themeColor="text1"/>
          <w:sz w:val="20"/>
          <w:szCs w:val="20"/>
        </w:rPr>
        <w:t>n</w:t>
      </w:r>
      <w:r w:rsidR="008C6A7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PXDrMAyE","properties":{"formattedCitation":"(103)","plainCitation":"(103)","noteIndex":0},"citationItems":[{"id":214,"uris":["http://zotero.org/users/local/OxFKn8nN/items/GD5V58XS"],"uri":["http://zotero.org/users/local/OxFKn8nN/items/GD5V58XS"],"itemData":{"id":214,"type":"article-journal","title":"Drug-based modulation of endogenous stem cells promotes functional remyelination in vivo","container-title":"Nature","page":"216-220","volume":"522","issue":"7555","archive":"PubMed","archive_location":"25896324","abstract":"Multiple sclerosis involves an aberrant autoimmune response and progressive failure of remyelination in the central nervous system. Prevention of neural degeneration and subsequent disability requires remyelination through the generation of new oligodendrocytes, but current treatments exclusively target the immune system. Oligodendrocyte progenitor cells are stem cells in the central nervous system and the principal source of myelinating oligodendrocytes. These cells are abundant in demyelinated regions of patients with multiple sclerosis, yet fail to differentiate, thereby representing a cellular target for pharmacological intervention. To discover therapeutic compounds for enhancing myelination from endogenous oligodendrocyte progenitor cells, we screened a library of bioactive small molecules on mouse pluripotent epiblast stem-cell-derived oligodendrocyte progenitor cells. Here we show seven drugs function at nanomolar doses selectively to enhance the generation of mature oligodendrocytes from progenitor cells in vitro. Two drugs, miconazole and clobetasol, are effective in promoting precocious myelination in organotypic cerebellar slice cultures, and in vivo in early postnatal mouse pups. Systemic delivery of each of the two drugs significantly increases the number of new oligodendrocytes and enhances remyelination in a lysolecithin-induced mouse model of focal demyelination. Administering each of the two drugs at the peak of disease in an experimental autoimmune encephalomyelitis mouse model of chronic progressive multiple sclerosis results in striking reversal of disease severity. Immune response assays show that miconazole functions directly as a remyelinating drug with no effect on the immune system, whereas clobetasol is a potent immunosuppressant as well as a remyelinating agent. Mechanistic studies show that miconazole and clobetasol function in oligodendrocyte progenitor cells through mitogen-activated protein kinase and glucocorticoid receptor signalling, respectively. Furthermore, both drugs enhance the generation of human oligodendrocytes from human oligodendrocyte progenitor cells in vitro. Collectively, our results provide a rationale for testing miconazole and clobetasol, or structurally modified derivatives, to enhance remyelination in patients.","DOI":"10.1038/nature14335","ISSN":"1476-4687","author":[{"family":"Najm","given":"Fadi J"},{"family":"Madhavan","given":"Mayur"},{"family":"Zaremba","given":"Anita"},{"family":"Shick","given":"Elizabeth"},{"family":"Karl","given":"Robert T"},{"family":"Factor","given":"Daniel C"},{"family":"Miller","given":"Tyler E"},{"family":"Nevin","given":"Zachary S"},{"family":"Kantor","given":"Christopher"},{"family":"Sargent","given":"Alex"},{"family":"Quick","given":"Kevin L"},{"family":"Schlatzer","given":"Daniela M"},{"family":"Tang","given":"Hong"},{"family":"Papoian","given":"Ruben"},{"family":"Brimacombe","given":"Kyle R"},{"family":"Shen","given":"Min"},{"family":"Boxer","given":"Matthew B"},{"family":"Jadhav","given":"Ajit"},{"family":"Robinson","given":"Andrew P"},{"family":"Podojil","given":"Joseph R"},{"family":"Miller","given":"Stephen D"},{"family":"Miller","given":"Robert H"},{"family":"Tesar","given":"Paul J"}],"issued":{"date-parts":[["2015",6,11]]}}}],"schema":"https://github.com/citation-style-language/schema/raw/master/csl-citation.json"} </w:instrText>
      </w:r>
      <w:r w:rsidR="008C6A7C">
        <w:rPr>
          <w:rFonts w:ascii="Times New Roman" w:hAnsi="Times New Roman" w:cs="Times New Roman"/>
          <w:color w:val="000000" w:themeColor="text1"/>
          <w:sz w:val="20"/>
          <w:szCs w:val="20"/>
        </w:rPr>
        <w:fldChar w:fldCharType="separate"/>
      </w:r>
      <w:r w:rsidR="00946204">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103</w:t>
      </w:r>
      <w:r w:rsidR="00946204">
        <w:rPr>
          <w:rFonts w:ascii="Times New Roman" w:hAnsi="Times New Roman" w:cs="Times New Roman"/>
          <w:color w:val="000000"/>
          <w:sz w:val="20"/>
          <w:u w:val="dash"/>
          <w:lang w:val="en-US"/>
        </w:rPr>
        <w:t>]</w:t>
      </w:r>
      <w:r w:rsidR="008C6A7C">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w:t>
      </w:r>
    </w:p>
    <w:p w14:paraId="0B4754AD" w14:textId="698F8B99" w:rsidR="00664665" w:rsidRPr="00624DCA" w:rsidRDefault="00664665"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 xml:space="preserve">A slightly different approach has used concentric wrapping of myelin around micropillars as an end point rather than differentiation per se. Mei et al. assessed the ability of 1000 FDA-approved small molecules to promote OPCs and oligodendrocytes to </w:t>
      </w:r>
      <w:proofErr w:type="spellStart"/>
      <w:r w:rsidRPr="00003E8D">
        <w:rPr>
          <w:rFonts w:ascii="Times New Roman" w:hAnsi="Times New Roman" w:cs="Times New Roman"/>
          <w:color w:val="000000" w:themeColor="text1"/>
          <w:sz w:val="20"/>
          <w:szCs w:val="20"/>
        </w:rPr>
        <w:t>ensheath</w:t>
      </w:r>
      <w:proofErr w:type="spellEnd"/>
      <w:r w:rsidRPr="00003E8D">
        <w:rPr>
          <w:rFonts w:ascii="Times New Roman" w:hAnsi="Times New Roman" w:cs="Times New Roman"/>
          <w:color w:val="000000" w:themeColor="text1"/>
          <w:sz w:val="20"/>
          <w:szCs w:val="20"/>
        </w:rPr>
        <w:t xml:space="preserve"> these cone-like structures with myeli</w:t>
      </w:r>
      <w:r w:rsidR="008C6A7C">
        <w:rPr>
          <w:rFonts w:ascii="Times New Roman" w:hAnsi="Times New Roman" w:cs="Times New Roman"/>
          <w:color w:val="000000" w:themeColor="text1"/>
          <w:sz w:val="20"/>
          <w:szCs w:val="20"/>
        </w:rPr>
        <w:t>n</w:t>
      </w:r>
      <w:r w:rsidR="008C6A7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7DZPsMTC","properties":{"formattedCitation":"(69)","plainCitation":"(69)","noteIndex":0},"citationItems":[{"id":216,"uris":["http://zotero.org/users/local/OxFKn8nN/items/YB4T24IY"],"uri":["http://zotero.org/users/local/OxFKn8nN/items/YB4T24IY"],"itemData":{"id":216,"type":"article-journal","title":"Micropillar arrays as a high-throughput screening platform for therapeutics in multiple sclerosis","container-title":"Nature medicine","page":"954-960","volume":"20","issue":"8","archive":"PubMed","archive_location":"24997607","abstract":"Functional screening for compounds that promote remyelination represents a major hurdle in the development of rational therapeutics for multiple sclerosis. Screening for remyelination is problematic, as myelination requires the presence of axons. Standard methods do not resolve cell-autonomous effects and are not suited for high-throughput formats. Here we describe a binary indicant for myelination using micropillar arrays (BIMA). Engineered with conical dimensions, micropillars permit resolution of the extent and length of membrane wrapping from a single two-dimensional image. Confocal imaging acquired from the base to the tip of the pillars allows for detection of concentric wrapping observed as 'rings' of myelin. The platform is formatted in 96-well plates, amenable to semiautomated random acquisition and automated detection and quantification. Upon screening 1,000 bioactive molecules, we identified a cluster of antimuscarinic compounds that enhance oligodendrocyte differentiation and remyelination. Our findings demonstrate a new high-throughput screening platform for potential regenerative therapeutics in multiple sclerosis.","DOI":"10.1038/nm.3618","ISSN":"1546-170X","author":[{"family":"Mei","given":"Feng"},{"family":"Fancy","given":"Stephen P J"},{"family":"Shen","given":"Yun-An A"},{"family":"Niu","given":"Jianqin"},{"family":"Zhao","given":"Chao"},{"family":"Presley","given":"Bryan"},{"family":"Miao","given":"Edna"},{"family":"Lee","given":"Seonok"},{"family":"Mayoral","given":"Sonia R"},{"family":"Redmond","given":"Stephanie A"},{"family":"Etxeberria","given":"Ainhoa"},{"family":"Xiao","given":"Lan"},{"family":"Franklin","given":"Robin J M"},{"family":"Green","given":"Ari"},{"family":"Hauser","given":"Stephen L"},{"family":"Chan","given":"Jonah R"}],"issued":{"date-parts":[["2014",8]]}}}],"schema":"https://github.com/citation-style-language/schema/raw/master/csl-citation.json"} </w:instrText>
      </w:r>
      <w:r w:rsidR="008C6A7C">
        <w:rPr>
          <w:rFonts w:ascii="Times New Roman" w:hAnsi="Times New Roman" w:cs="Times New Roman"/>
          <w:color w:val="000000" w:themeColor="text1"/>
          <w:sz w:val="20"/>
          <w:szCs w:val="20"/>
        </w:rPr>
        <w:fldChar w:fldCharType="separate"/>
      </w:r>
      <w:r w:rsidR="00946204">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69</w:t>
      </w:r>
      <w:r w:rsidR="00946204">
        <w:rPr>
          <w:rFonts w:ascii="Times New Roman" w:hAnsi="Times New Roman" w:cs="Times New Roman"/>
          <w:color w:val="000000"/>
          <w:sz w:val="20"/>
          <w:u w:val="dash"/>
          <w:lang w:val="en-US"/>
        </w:rPr>
        <w:t>]</w:t>
      </w:r>
      <w:r w:rsidR="008C6A7C">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In this way they identified a cluster of compounds with an anti-muscarinic effect: atropine, ipratropium, oxybutynin, </w:t>
      </w:r>
      <w:proofErr w:type="spellStart"/>
      <w:r w:rsidRPr="00003E8D">
        <w:rPr>
          <w:rFonts w:ascii="Times New Roman" w:hAnsi="Times New Roman" w:cs="Times New Roman"/>
          <w:color w:val="000000" w:themeColor="text1"/>
          <w:sz w:val="20"/>
          <w:szCs w:val="20"/>
        </w:rPr>
        <w:t>trospium</w:t>
      </w:r>
      <w:proofErr w:type="spellEnd"/>
      <w:r w:rsidRPr="00003E8D">
        <w:rPr>
          <w:rFonts w:ascii="Times New Roman" w:hAnsi="Times New Roman" w:cs="Times New Roman"/>
          <w:color w:val="000000" w:themeColor="text1"/>
          <w:sz w:val="20"/>
          <w:szCs w:val="20"/>
        </w:rPr>
        <w:t xml:space="preserve">, quetiapine, </w:t>
      </w:r>
      <w:proofErr w:type="spellStart"/>
      <w:r w:rsidRPr="00003E8D">
        <w:rPr>
          <w:rFonts w:ascii="Times New Roman" w:hAnsi="Times New Roman" w:cs="Times New Roman"/>
          <w:color w:val="000000" w:themeColor="text1"/>
          <w:sz w:val="20"/>
          <w:szCs w:val="20"/>
        </w:rPr>
        <w:t>benzatropine</w:t>
      </w:r>
      <w:proofErr w:type="spellEnd"/>
      <w:r w:rsidRPr="00003E8D">
        <w:rPr>
          <w:rFonts w:ascii="Times New Roman" w:hAnsi="Times New Roman" w:cs="Times New Roman"/>
          <w:color w:val="000000" w:themeColor="text1"/>
          <w:sz w:val="20"/>
          <w:szCs w:val="20"/>
        </w:rPr>
        <w:t xml:space="preserve"> and </w:t>
      </w:r>
      <w:r w:rsidRPr="00003E8D">
        <w:rPr>
          <w:rFonts w:ascii="Times New Roman" w:hAnsi="Times New Roman" w:cs="Times New Roman"/>
          <w:color w:val="000000" w:themeColor="text1"/>
          <w:sz w:val="20"/>
          <w:szCs w:val="20"/>
        </w:rPr>
        <w:lastRenderedPageBreak/>
        <w:t>clemastine.</w:t>
      </w:r>
      <w:r w:rsidR="00C1533E">
        <w:rPr>
          <w:rFonts w:ascii="Times New Roman" w:hAnsi="Times New Roman" w:cs="Times New Roman"/>
          <w:color w:val="000000" w:themeColor="text1"/>
          <w:sz w:val="20"/>
          <w:szCs w:val="20"/>
        </w:rPr>
        <w:t xml:space="preserve"> T</w:t>
      </w:r>
      <w:r w:rsidRPr="00003E8D">
        <w:rPr>
          <w:rFonts w:ascii="Times New Roman" w:hAnsi="Times New Roman" w:cs="Times New Roman"/>
          <w:color w:val="000000" w:themeColor="text1"/>
          <w:sz w:val="20"/>
          <w:szCs w:val="20"/>
        </w:rPr>
        <w:t xml:space="preserve">his work was </w:t>
      </w:r>
      <w:r w:rsidR="00C1533E">
        <w:rPr>
          <w:rFonts w:ascii="Times New Roman" w:hAnsi="Times New Roman" w:cs="Times New Roman"/>
          <w:color w:val="000000" w:themeColor="text1"/>
          <w:sz w:val="20"/>
          <w:szCs w:val="20"/>
        </w:rPr>
        <w:t>quickly</w:t>
      </w:r>
      <w:r w:rsidR="00C1533E" w:rsidRPr="00003E8D">
        <w:rPr>
          <w:rFonts w:ascii="Times New Roman" w:hAnsi="Times New Roman" w:cs="Times New Roman"/>
          <w:color w:val="000000" w:themeColor="text1"/>
          <w:sz w:val="20"/>
          <w:szCs w:val="20"/>
        </w:rPr>
        <w:t xml:space="preserve"> </w:t>
      </w:r>
      <w:r w:rsidRPr="00003E8D">
        <w:rPr>
          <w:rFonts w:ascii="Times New Roman" w:hAnsi="Times New Roman" w:cs="Times New Roman"/>
          <w:color w:val="000000" w:themeColor="text1"/>
          <w:sz w:val="20"/>
          <w:szCs w:val="20"/>
        </w:rPr>
        <w:t xml:space="preserve">translated into the positive phase </w:t>
      </w:r>
      <w:r w:rsidR="00A03D47">
        <w:rPr>
          <w:rFonts w:ascii="Times New Roman" w:hAnsi="Times New Roman" w:cs="Times New Roman"/>
          <w:color w:val="000000" w:themeColor="text1"/>
          <w:sz w:val="20"/>
          <w:szCs w:val="20"/>
        </w:rPr>
        <w:t>2</w:t>
      </w:r>
      <w:r w:rsidRPr="00003E8D">
        <w:rPr>
          <w:rFonts w:ascii="Times New Roman" w:hAnsi="Times New Roman" w:cs="Times New Roman"/>
          <w:color w:val="000000" w:themeColor="text1"/>
          <w:sz w:val="20"/>
          <w:szCs w:val="20"/>
        </w:rPr>
        <w:t xml:space="preserve"> trial of clemastine as a remyelinating </w:t>
      </w:r>
      <w:r w:rsidRPr="00624DCA">
        <w:rPr>
          <w:rFonts w:ascii="Times New Roman" w:hAnsi="Times New Roman" w:cs="Times New Roman"/>
          <w:color w:val="000000" w:themeColor="text1"/>
          <w:sz w:val="20"/>
          <w:szCs w:val="20"/>
        </w:rPr>
        <w:t>therap</w:t>
      </w:r>
      <w:r w:rsidR="008C6A7C">
        <w:rPr>
          <w:rFonts w:ascii="Times New Roman" w:hAnsi="Times New Roman" w:cs="Times New Roman"/>
          <w:color w:val="000000" w:themeColor="text1"/>
          <w:sz w:val="20"/>
          <w:szCs w:val="20"/>
        </w:rPr>
        <w:t>y</w:t>
      </w:r>
      <w:r w:rsidR="008C6A7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dISm8nD5","properties":{"formattedCitation":"(104)","plainCitation":"(104)","noteIndex":0},"citationItems":[{"id":11,"uris":["http://zotero.org/users/local/OxFKn8nN/items/V9EQYZ4F"],"uri":["http://zotero.org/users/local/OxFKn8nN/items/V9EQYZ4F"],"itemData":{"id":11,"type":"article-journal","title":"Clemastine fumarate as a remyelinating therapy for multiple sclerosis (ReBUILD): a randomised, controlled, double-blind, crossover trial","container-title":"The Lancet","page":"2481-2489","volume":"390","issue":"10111","abstract":"Summary\nBackground\nMultiple sclerosis is a degenerative inflammatory disease of the CNS characterised by immune-mediated destruction of myelin and progressive neuroaxonal loss. Myelin in the CNS is a specialised extension of the oligodendrocyte plasma membrane and clemastine fumarate can stimulate differentiation of oligodendrocyte precursor cells in vitro, in animal models, and in human cells. We aimed to analyse the efficacy and safety of clemastine fumarate as a treatment for patients with multiple sclerosis.\nMethods\nWe did this single-centre, 150-day, double-blind, randomised, placebo-controlled, crossover trial (ReBUILD) in patients with relapsing multiple sclerosis with chronic demyelinating optic neuropathy on stable immunomodulatory therapy. Patients who fulfilled international panel criteria for diagnosis with disease duration of less than 15 years were eligible. Patients were randomly assigned (1:1) via block randomisation using a random number generator to receive either clemastine fumarate (5·36 mg orally twice daily) for 90 days followed by placebo for 60 days (group 1), or placebo for 90 days followed by clemastine fumarate (5·36 mg orally twice daily) for 60 days (group 2). The primary outcome was shortening of P100 latency delay on full-field, pattern-reversal, visual-evoked potentials. We analysed by intention to treat. The trial is registered with ClinicalTrials.gov, number NCT02040298.\nFindings\nBetween Jan 1, 2014, and April 11, 2015, we randomly assigned 50 patients to group 1 (n=25) or group 2 (n=25). All patients completed the study. The primary efficacy endpoint was met with clemastine fumarate treatment, which reduced the latency delay by 1·7 ms/eye (95% CI 0·5–2·9; p=0·0048) when analysing the trial as a crossover. Clemastine fumarate treatment was associated with fatigue, but no serious adverse events were reported.\nInterpretation\nTo our knowledge, this is the first randomised controlled trial to document efficacy of a remyelinating drug for the treatment of chronic demyelinating injury in multiple sclerosis. Our findings suggest that myelin repair can be achieved even following prolonged damage.\nFunding\nUniversity of California, San Francisco and the Rachleff Family.","DOI":"10.1016/S0140-6736(17)32346-2","ISSN":"0140-6736","journalAbbreviation":"The Lancet","author":[{"family":"Green","given":"Ari J"},{"family":"Gelfand","given":"Jeffrey M"},{"family":"Cree","given":"Bruce A"},{"family":"Bevan","given":"Carolyn"},{"family":"Boscardin","given":"W John"},{"family":"Mei","given":"Feng"},{"family":"Inman","given":"Justin"},{"family":"Arnow","given":"Sam"},{"family":"Devereux","given":"Michael"},{"family":"Abounasr","given":"Aya"},{"family":"Nobuta","given":"Hiroko"},{"family":"Zhu","given":"Alyssa"},{"family":"Friessen","given":"Matt"},{"family":"Gerona","given":"Roy"},{"family":"Büdingen","given":"Hans Christian","non-dropping-particle":"von"},{"family":"Henry","given":"Roland G"},{"family":"Hauser","given":"Stephen L"},{"family":"Chan","given":"Jonah R"}],"issued":{"date-parts":[["2017",12,2]]}}}],"schema":"https://github.com/citation-style-language/schema/raw/master/csl-citation.json"} </w:instrText>
      </w:r>
      <w:r w:rsidR="008C6A7C">
        <w:rPr>
          <w:rFonts w:ascii="Times New Roman" w:hAnsi="Times New Roman" w:cs="Times New Roman"/>
          <w:color w:val="000000" w:themeColor="text1"/>
          <w:sz w:val="20"/>
          <w:szCs w:val="20"/>
        </w:rPr>
        <w:fldChar w:fldCharType="separate"/>
      </w:r>
      <w:r w:rsidR="00946204">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104</w:t>
      </w:r>
      <w:r w:rsidR="00946204">
        <w:rPr>
          <w:rFonts w:ascii="Times New Roman" w:hAnsi="Times New Roman" w:cs="Times New Roman"/>
          <w:color w:val="000000"/>
          <w:sz w:val="20"/>
          <w:u w:val="dash"/>
          <w:lang w:val="en-US"/>
        </w:rPr>
        <w:t>]</w:t>
      </w:r>
      <w:r w:rsidR="008C6A7C">
        <w:rPr>
          <w:rFonts w:ascii="Times New Roman" w:hAnsi="Times New Roman" w:cs="Times New Roman"/>
          <w:color w:val="000000" w:themeColor="text1"/>
          <w:sz w:val="20"/>
          <w:szCs w:val="20"/>
        </w:rPr>
        <w:fldChar w:fldCharType="end"/>
      </w:r>
      <w:r w:rsidR="00FE3091" w:rsidRPr="00624DCA">
        <w:rPr>
          <w:rFonts w:ascii="Times New Roman" w:hAnsi="Times New Roman" w:cs="Times New Roman"/>
          <w:color w:val="000000" w:themeColor="text1"/>
          <w:sz w:val="20"/>
          <w:szCs w:val="20"/>
        </w:rPr>
        <w:t>, discussed below.</w:t>
      </w:r>
    </w:p>
    <w:p w14:paraId="62DB01DA" w14:textId="2F463127" w:rsidR="00664665" w:rsidRPr="00624DCA" w:rsidRDefault="00664665" w:rsidP="00E17010">
      <w:pPr>
        <w:spacing w:line="480" w:lineRule="auto"/>
        <w:ind w:firstLine="720"/>
        <w:rPr>
          <w:rFonts w:ascii="Times New Roman" w:hAnsi="Times New Roman" w:cs="Times New Roman"/>
          <w:color w:val="000000" w:themeColor="text1"/>
          <w:sz w:val="20"/>
          <w:szCs w:val="20"/>
        </w:rPr>
      </w:pPr>
      <w:r w:rsidRPr="00624DCA">
        <w:rPr>
          <w:rFonts w:ascii="Times New Roman" w:hAnsi="Times New Roman" w:cs="Times New Roman"/>
          <w:color w:val="000000" w:themeColor="text1"/>
          <w:sz w:val="20"/>
          <w:szCs w:val="20"/>
        </w:rPr>
        <w:t xml:space="preserve">Such small molecules may not have their remyelinating effect through an exclusive action at their canonical targets. The closest to a unifying </w:t>
      </w:r>
      <w:r w:rsidR="00790BBC" w:rsidRPr="00624DCA">
        <w:rPr>
          <w:rFonts w:ascii="Times New Roman" w:hAnsi="Times New Roman" w:cs="Times New Roman"/>
          <w:color w:val="000000" w:themeColor="text1"/>
          <w:sz w:val="20"/>
          <w:szCs w:val="20"/>
        </w:rPr>
        <w:t>mechanism</w:t>
      </w:r>
      <w:r w:rsidRPr="00624DCA">
        <w:rPr>
          <w:rFonts w:ascii="Times New Roman" w:hAnsi="Times New Roman" w:cs="Times New Roman"/>
          <w:color w:val="000000" w:themeColor="text1"/>
          <w:sz w:val="20"/>
          <w:szCs w:val="20"/>
        </w:rPr>
        <w:t xml:space="preserve"> has been through demonstration that a wide range of these, including clemastine, </w:t>
      </w:r>
      <w:proofErr w:type="spellStart"/>
      <w:r w:rsidRPr="00624DCA">
        <w:rPr>
          <w:rFonts w:ascii="Times New Roman" w:hAnsi="Times New Roman" w:cs="Times New Roman"/>
          <w:color w:val="000000" w:themeColor="text1"/>
          <w:sz w:val="20"/>
          <w:szCs w:val="20"/>
        </w:rPr>
        <w:t>benztropine</w:t>
      </w:r>
      <w:proofErr w:type="spellEnd"/>
      <w:r w:rsidRPr="00624DCA">
        <w:rPr>
          <w:rFonts w:ascii="Times New Roman" w:hAnsi="Times New Roman" w:cs="Times New Roman"/>
          <w:color w:val="000000" w:themeColor="text1"/>
          <w:sz w:val="20"/>
          <w:szCs w:val="20"/>
        </w:rPr>
        <w:t xml:space="preserve">, </w:t>
      </w:r>
      <w:proofErr w:type="spellStart"/>
      <w:r w:rsidRPr="00624DCA">
        <w:rPr>
          <w:rFonts w:ascii="Times New Roman" w:hAnsi="Times New Roman" w:cs="Times New Roman"/>
          <w:color w:val="000000" w:themeColor="text1"/>
          <w:sz w:val="20"/>
          <w:szCs w:val="20"/>
        </w:rPr>
        <w:t>miconazole</w:t>
      </w:r>
      <w:proofErr w:type="spellEnd"/>
      <w:r w:rsidRPr="00624DCA">
        <w:rPr>
          <w:rFonts w:ascii="Times New Roman" w:hAnsi="Times New Roman" w:cs="Times New Roman"/>
          <w:color w:val="000000" w:themeColor="text1"/>
          <w:sz w:val="20"/>
          <w:szCs w:val="20"/>
        </w:rPr>
        <w:t xml:space="preserve"> and ketoconazole, </w:t>
      </w:r>
      <w:r w:rsidR="00FE3091" w:rsidRPr="00624DCA">
        <w:rPr>
          <w:rFonts w:ascii="Times New Roman" w:hAnsi="Times New Roman" w:cs="Times New Roman"/>
          <w:color w:val="000000" w:themeColor="text1"/>
          <w:sz w:val="20"/>
          <w:szCs w:val="20"/>
        </w:rPr>
        <w:t xml:space="preserve">might </w:t>
      </w:r>
      <w:r w:rsidRPr="00624DCA">
        <w:rPr>
          <w:rFonts w:ascii="Times New Roman" w:hAnsi="Times New Roman" w:cs="Times New Roman"/>
          <w:color w:val="000000" w:themeColor="text1"/>
          <w:sz w:val="20"/>
          <w:szCs w:val="20"/>
        </w:rPr>
        <w:t>promote remyelination through a altering the sterol landscape in the OPC to favour accumulation of 8,9-unsaturated sterol</w:t>
      </w:r>
      <w:r w:rsidR="008C6A7C">
        <w:rPr>
          <w:rFonts w:ascii="Times New Roman" w:hAnsi="Times New Roman" w:cs="Times New Roman"/>
          <w:color w:val="000000" w:themeColor="text1"/>
          <w:sz w:val="20"/>
          <w:szCs w:val="20"/>
        </w:rPr>
        <w:t>s</w:t>
      </w:r>
      <w:r w:rsidR="003C3C26">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Zw23H2Ue","properties":{"formattedCitation":"(105)","plainCitation":"(105)","noteIndex":0},"citationItems":[{"id":218,"uris":["http://zotero.org/users/local/OxFKn8nN/items/RN7VV2VP"],"uri":["http://zotero.org/users/local/OxFKn8nN/items/RN7VV2VP"],"itemData":{"id":218,"type":"article-journal","title":"Accumulation of 8,9-unsaturated sterols drives oligodendrocyte formation and remyelination","container-title":"Nature","page":"372-376","volume":"560","issue":"7718","abstract":"Regeneration of myelin is mediated by oligodendrocyte progenitor cells—an abundant stem cell population in the central nervous system (CNS) and the principal source of new myelinating oligodendrocytes. Loss of myelin-producing oligodendrocytes in the CNS underlies a number of neurological diseases, including multiple sclerosis and diverse genetic diseases1–3. High-throughput chemical screening approaches have been used to identify small molecules that stimulate the formation of oligodendrocytes from oligodendrocyte progenitor cells and functionally enhance remyelination in vivo4–10. Here we show that a wide range of these pro-myelinating small molecules function not through their canonical targets but by directly inhibiting CYP51, TM7SF2, or EBP, a narrow range of enzymes within the cholesterol biosynthesis pathway. Subsequent accumulation of the 8,9-unsaturated sterol substrates of these enzymes is a key mechanistic node that promotes oligodendrocyte formation, as 8,9-unsaturated sterols are effective when supplied to oligodendrocyte progenitor cells in purified form whereas analogous sterols that lack this structural feature have no effect. Collectively, our results define a unifying sterol-based mechanism of action for most known small-molecule enhancers of oligodendrocyte formation and highlight specific targets to propel the development of optimal remyelinating therapeutics.","DOI":"10.1038/s41586-018-0360-3","ISSN":"1476-4687","journalAbbreviation":"Nature","author":[{"family":"Hubler","given":"Zita"},{"family":"Allimuthu","given":"Dharmaraja"},{"family":"Bederman","given":"Ilya"},{"family":"Elitt","given":"Matthew S."},{"family":"Madhavan","given":"Mayur"},{"family":"Allan","given":"Kevin C."},{"family":"Shick","given":"H. Elizabeth"},{"family":"Garrison","given":"Eric"},{"family":"T. Karl","given":"Molly"},{"family":"Factor","given":"Daniel C."},{"family":"Nevin","given":"Zachary S."},{"family":"Sax","given":"Joel L."},{"family":"Thompson","given":"Matthew A."},{"family":"Fedorov","given":"Yuriy"},{"family":"Jin","given":"Jing"},{"family":"Wilson","given":"William K."},{"family":"Giera","given":"Martin"},{"family":"Bracher","given":"Franz"},{"family":"Miller","given":"Robert H."},{"family":"Tesar","given":"Paul J."},{"family":"Adams","given":"Drew J."}],"issued":{"date-parts":[["2018",8,1]]}}}],"schema":"https://github.com/citation-style-language/schema/raw/master/csl-citation.json"} </w:instrText>
      </w:r>
      <w:r w:rsidR="003C3C26">
        <w:rPr>
          <w:rFonts w:ascii="Times New Roman" w:hAnsi="Times New Roman" w:cs="Times New Roman"/>
          <w:color w:val="000000" w:themeColor="text1"/>
          <w:sz w:val="20"/>
          <w:szCs w:val="20"/>
        </w:rPr>
        <w:fldChar w:fldCharType="separate"/>
      </w:r>
      <w:r w:rsidR="00946204">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105</w:t>
      </w:r>
      <w:r w:rsidR="00946204">
        <w:rPr>
          <w:rFonts w:ascii="Times New Roman" w:hAnsi="Times New Roman" w:cs="Times New Roman"/>
          <w:color w:val="000000"/>
          <w:sz w:val="20"/>
          <w:u w:val="dash"/>
          <w:lang w:val="en-US"/>
        </w:rPr>
        <w:t>]</w:t>
      </w:r>
      <w:r w:rsidR="003C3C26">
        <w:rPr>
          <w:rFonts w:ascii="Times New Roman" w:hAnsi="Times New Roman" w:cs="Times New Roman"/>
          <w:color w:val="000000" w:themeColor="text1"/>
          <w:sz w:val="20"/>
          <w:szCs w:val="20"/>
        </w:rPr>
        <w:fldChar w:fldCharType="end"/>
      </w:r>
      <w:r w:rsidRPr="00624DCA">
        <w:rPr>
          <w:rFonts w:ascii="Times New Roman" w:hAnsi="Times New Roman" w:cs="Times New Roman"/>
          <w:color w:val="000000" w:themeColor="text1"/>
          <w:sz w:val="20"/>
          <w:szCs w:val="20"/>
        </w:rPr>
        <w:t xml:space="preserve">. </w:t>
      </w:r>
    </w:p>
    <w:p w14:paraId="6C170CFF" w14:textId="3A643040" w:rsidR="0086461F" w:rsidRPr="00DB0E48" w:rsidRDefault="00FE3091" w:rsidP="0099396A">
      <w:pPr>
        <w:spacing w:line="480" w:lineRule="auto"/>
        <w:ind w:firstLine="720"/>
        <w:rPr>
          <w:rFonts w:ascii="Times New Roman" w:hAnsi="Times New Roman" w:cs="Times New Roman"/>
          <w:color w:val="000000" w:themeColor="text1"/>
          <w:sz w:val="20"/>
          <w:szCs w:val="20"/>
        </w:rPr>
      </w:pPr>
      <w:r w:rsidRPr="00624DCA">
        <w:rPr>
          <w:rFonts w:ascii="Times New Roman" w:hAnsi="Times New Roman" w:cs="Times New Roman"/>
          <w:color w:val="000000" w:themeColor="text1"/>
          <w:sz w:val="20"/>
          <w:szCs w:val="20"/>
        </w:rPr>
        <w:t>However, these techniques predominantly rely on the assumption that OPC differentiation is the rate-limiting step in remyelination</w:t>
      </w:r>
      <w:r w:rsidR="000566BC" w:rsidRPr="00624DCA">
        <w:rPr>
          <w:rFonts w:ascii="Times New Roman" w:hAnsi="Times New Roman" w:cs="Times New Roman"/>
          <w:color w:val="000000" w:themeColor="text1"/>
          <w:sz w:val="20"/>
          <w:szCs w:val="20"/>
        </w:rPr>
        <w:t>, which might not be as rational as once thought</w:t>
      </w:r>
      <w:r w:rsidR="003C3C26">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EmNCgz8H","properties":{"formattedCitation":"(61,62,106)","plainCitation":"(61,62,106)","noteIndex":0},"citationItems":[{"id":219,"uris":["http://zotero.org/users/local/OxFKn8nN/items/XZCHWUND"],"uri":["http://zotero.org/users/local/OxFKn8nN/items/XZCHWUND"],"itemData":{"id":219,"type":"article-journal","title":"Insufficient OPC migration into demyelinated lesions is a cause of poor remyelination in MS and mouse models","container-title":"Acta neuropathologica","page":"841-859","volume":"125","issue":"6","archive":"PubMed","archive_location":"23595275","abstract":"Failure of remyelination of multiple sclerosis (MS) lesions contributes to neurodegeneration that correlates with chronic disability in patients. Currently, there are no available treatments to reduce neurodegeneration, but one therapeutic approach to fill this unmet need is to promote remyelination. As many demyelinated MS lesions contain plentiful oligodendrocyte precursor cells (OPCs), but no mature myelinating oligodendrocytes, research has previously concentrated on promoting OPC maturation. However, some MS lesions contain few OPCs, and therefore, remyelination failure may also be secondary to OPC recruitment failure. Here, in a series of MS samples, we determined how many lesions contained few OPCs, and correlated this to pathological subtype and expression of the chemotactic molecules Semaphorin (Sema) 3A and 3F. 37 % of MS lesions contained low numbers of OPCs, and these were mostly chronic active lesions, in which cells expressed Sema3A (chemorepellent). To test the hypothesis that differential Sema3 expression in demyelinated lesions alters OPC recruitment and the efficiency of subsequent remyelination, we used a focal myelinotoxic mouse model of demyelination. Adding recombinant (r)Sema3A (chemorepellent) to demyelinated lesions reduced OPC recruitment and remyelination, whereas the addition of rSema3F (chemoattractant), or use of transgenic mice with reduced Sema3A expression increased OPC recruitment and remyelination. We conclude that some MS lesions fail to remyelinate secondary to reduced OPC recruitment, and that chemotactic molecules are involved in the mechanism, providing a new group of drug targets to improve remyelination, with a specific target in the Sema3A receptor neuropilin-1.","DOI":"10.1007/s00401-013-1112-y","ISSN":"1432-0533","author":[{"family":"Boyd","given":"Amanda"},{"family":"Zhang","given":"Hui"},{"family":"Williams","given":"Anna"}],"issued":{"date-parts":[["2013",6]]}}},{"id":315,"uris":["http://zotero.org/users/local/OxFKn8nN/items/HIZGTBB7"],"uri":["http://zotero.org/users/local/OxFKn8nN/items/HIZGTBB7"],"itemData":{"id":315,"type":"article-journal","title":"Dynamics of oligodendrocyte generation in multiple sclerosis","container-title":"Nature","page":"538-542","volume":"566","issue":"7745","abstract":"Oligodendrocytes wrap nerve fibres in the central nervous system with layers of specialized cell membrane to form myelin sheaths1. Myelin is destroyed by the immune system in multiple sclerosis, but myelin is thought to regenerate and neurological function can be recovered. In animal models of demyelinating disease, myelin is regenerated by newly generated oligodendrocytes, and remaining mature oligodendrocytes do not seem to contribute to this process2–4. Given the major differences in the dynamics of oligodendrocyte generation and adaptive myelination between rodents and humans5–9, it is not clear how well experimental animal models reflect the situation in multiple sclerosis. Here, by measuring the integration of 14C derived from nuclear testing in genomic DNA10, we assess the dynamics of oligodendrocyte generation in patients with multiple sclerosis. The generation of new oligodendrocytes was increased several-fold in normal-appearing white matter in a subset of individuals with very aggressive multiple sclerosis, but not in most subjects with the disease, demonstrating an inherent potential to substantially increase oligodendrocyte generation that fails in most patients. Oligodendrocytes in shadow plaques—thinly myelinated lesions that are thought to represent remyelinated areas—were old in patients with multiple sclerosis. The absence of new oligodendrocytes in shadow plaques suggests that remyelination of lesions occurs transiently or not at all, or that myelin is regenerated by pre-existing, and not new, oligodendrocytes in multiple sclerosis. We report unexpected oligodendrocyte generation dynamics in multiple sclerosis, and this should guide the use of current, and the development of new, therapies.","DOI":"10.1038/s41586-018-0842-3","ISSN":"1476-4687","journalAbbreviation":"Nature","author":[{"family":"Yeung","given":"Maggie S. Y."},{"family":"Djelloul","given":"Mehdi"},{"family":"Steiner","given":"Embla"},{"family":"Bernard","given":"Samuel"},{"family":"Salehpour","given":"Mehran"},{"family":"Possnert","given":"Göran"},{"family":"Brundin","given":"Lou"},{"family":"Frisén","given":"Jonas"}],"issued":{"date-parts":[["2019",2,1]]}}},{"id":317,"uris":["http://zotero.org/users/local/OxFKn8nN/items/E3EBVP3I"],"uri":["http://zotero.org/users/local/OxFKn8nN/items/E3EBVP3I"],"itemData":{"id":317,"type":"article-journal","title":"Altered human oligodendrocyte heterogeneity in multiple sclerosis","container-title":"Nature","page":"543-547","volume":"566","issue":"7745","abstract":"Oligodendrocyte pathology is increasingly implicated in neurodegenerative diseases as oligodendrocytes both myelinate and provide metabolic support to axons. In multiple sclerosis (MS), demyelination in the central nervous system thus leads to neurodegeneration, but the severity of MS between patients is very variable. Disability does not correlate well with the extent of demyelination1, which suggests that other factors contribute to this variability. One such factor may be oligodendrocyte heterogeneity. Not all oligodendrocytes are the same—those from the mouse spinal cord inherently produce longer myelin sheaths than those from the cortex2, and single-cell analysis of the mouse central nervous system identified further differences3,4. However, the extent of human oligodendrocyte heterogeneity and its possible contribution to MS pathology remain unknown. Here we performed single-nucleus RNA sequencing from white matter areas of post-mortem human brain from patients with MS and from unaffected controls. We identified subclusters of oligodendroglia in control human white matter, some with similarities to mouse, and defined new markers for these cell states. Notably, some subclusters were underrepresented in MS tissue, whereas others were more prevalent. These differences in mature oligodendrocyte subclusters may indicate different functional states of oligodendrocytes in MS lesions. We found similar changes in normal-appearing white matter, showing that MS is a more diffuse disease than its focal demyelination suggests. Our findings of an altered oligodendroglial heterogeneity in MS may be important for understanding disease progression and developing therapeutic approaches.","DOI":"10.1038/s41586-019-0903-2","ISSN":"1476-4687","journalAbbreviation":"Nature","author":[{"family":"Jäkel","given":"Sarah"},{"family":"Agirre","given":"Eneritz"},{"family":"Mendanha Falcão","given":"Ana"},{"family":"Bruggen","given":"David","non-dropping-particle":"van"},{"family":"Lee","given":"Ka Wai"},{"family":"Knuesel","given":"Irene"},{"family":"Malhotra","given":"Dheeraj"},{"family":"Constant","given":"Charles","non-dropping-particle":"ffrench-"},{"family":"Williams","given":"Anna"},{"family":"Castelo-Branco","given":"Gonçalo"}],"issued":{"date-parts":[["2019",2,1]]}}}],"schema":"https://github.com/citation-style-language/schema/raw/master/csl-citation.json"} </w:instrText>
      </w:r>
      <w:r w:rsidR="003C3C26">
        <w:rPr>
          <w:rFonts w:ascii="Times New Roman" w:hAnsi="Times New Roman" w:cs="Times New Roman"/>
          <w:color w:val="000000" w:themeColor="text1"/>
          <w:sz w:val="20"/>
          <w:szCs w:val="20"/>
        </w:rPr>
        <w:fldChar w:fldCharType="separate"/>
      </w:r>
      <w:r w:rsidR="00946204">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61,62,106</w:t>
      </w:r>
      <w:r w:rsidR="00946204">
        <w:rPr>
          <w:rFonts w:ascii="Times New Roman" w:hAnsi="Times New Roman" w:cs="Times New Roman"/>
          <w:color w:val="000000"/>
          <w:sz w:val="20"/>
          <w:u w:val="dash"/>
          <w:lang w:val="en-US"/>
        </w:rPr>
        <w:t>]</w:t>
      </w:r>
      <w:r w:rsidR="003C3C26">
        <w:rPr>
          <w:rFonts w:ascii="Times New Roman" w:hAnsi="Times New Roman" w:cs="Times New Roman"/>
          <w:color w:val="000000" w:themeColor="text1"/>
          <w:sz w:val="20"/>
          <w:szCs w:val="20"/>
        </w:rPr>
        <w:fldChar w:fldCharType="end"/>
      </w:r>
      <w:r w:rsidR="000566BC" w:rsidRPr="00624DCA">
        <w:rPr>
          <w:rFonts w:ascii="Times New Roman" w:hAnsi="Times New Roman" w:cs="Times New Roman"/>
          <w:color w:val="000000" w:themeColor="text1"/>
          <w:sz w:val="20"/>
          <w:szCs w:val="20"/>
        </w:rPr>
        <w:t>.</w:t>
      </w:r>
      <w:r w:rsidR="0099396A">
        <w:rPr>
          <w:rFonts w:ascii="Times New Roman" w:hAnsi="Times New Roman" w:cs="Times New Roman"/>
          <w:color w:val="000000" w:themeColor="text1"/>
          <w:sz w:val="20"/>
          <w:szCs w:val="20"/>
        </w:rPr>
        <w:t xml:space="preserve"> The micropillar array is also limited in its ability to test the development of functional architecture in the form of nodes and internodes. </w:t>
      </w:r>
      <w:r w:rsidR="000566BC" w:rsidRPr="00624DCA">
        <w:rPr>
          <w:rFonts w:ascii="Times New Roman" w:hAnsi="Times New Roman" w:cs="Times New Roman"/>
          <w:color w:val="000000" w:themeColor="text1"/>
          <w:sz w:val="20"/>
          <w:szCs w:val="20"/>
        </w:rPr>
        <w:t xml:space="preserve"> It follows that combination therapies may be necessary to optimise an effect across the population of MS lesions</w:t>
      </w:r>
      <w:r w:rsidRPr="00624DCA">
        <w:rPr>
          <w:rFonts w:ascii="Times New Roman" w:hAnsi="Times New Roman" w:cs="Times New Roman"/>
          <w:color w:val="000000" w:themeColor="text1"/>
          <w:sz w:val="20"/>
          <w:szCs w:val="20"/>
        </w:rPr>
        <w:t>. Moreover, such efforts will inevitably be hampered by the lack of an animal model that encapsulates the complexity of the MS lesion; there is a risk that agents showing</w:t>
      </w:r>
      <w:r w:rsidR="000566BC" w:rsidRPr="00624DCA">
        <w:rPr>
          <w:rFonts w:ascii="Times New Roman" w:hAnsi="Times New Roman" w:cs="Times New Roman"/>
          <w:color w:val="000000" w:themeColor="text1"/>
          <w:sz w:val="20"/>
          <w:szCs w:val="20"/>
        </w:rPr>
        <w:t xml:space="preserve"> promise in preclinical work </w:t>
      </w:r>
      <w:r w:rsidRPr="00624DCA">
        <w:rPr>
          <w:rFonts w:ascii="Times New Roman" w:hAnsi="Times New Roman" w:cs="Times New Roman"/>
          <w:color w:val="000000" w:themeColor="text1"/>
          <w:sz w:val="20"/>
          <w:szCs w:val="20"/>
        </w:rPr>
        <w:t>do not translate into a beneficial effect in humans or indeed that a potentially useful treatment effect is missed in such models, halting progression towards clinical studie</w:t>
      </w:r>
      <w:r w:rsidR="003C3C26">
        <w:rPr>
          <w:rFonts w:ascii="Times New Roman" w:hAnsi="Times New Roman" w:cs="Times New Roman"/>
          <w:color w:val="000000" w:themeColor="text1"/>
          <w:sz w:val="20"/>
          <w:szCs w:val="20"/>
        </w:rPr>
        <w:t>s</w:t>
      </w:r>
      <w:r w:rsidR="003C3C26">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ULw9TNrc","properties":{"formattedCitation":"(23)","plainCitation":"(23)","noteIndex":0},"citationItems":[{"id":5,"uris":["http://zotero.org/users/local/OxFKn8nN/items/GQ5I6TDY"],"uri":["http://zotero.org/users/local/OxFKn8nN/items/GQ5I6TDY"],"itemData":{"id":5,"type":"article-journal","title":"Regenerating CNS myelin — from mechanisms to experimental medicines","container-title":"Nature Reviews Neuroscience","page":"753","volume":"18","journalAbbreviation":"Nature Reviews Neuroscience","author":[{"family":"Franklin","given":"Robin J. M."},{"family":"Constant","given":"Charles","non-dropping-particle":"ffrench-"}],"issued":{"date-parts":[["2017",11,16]]}}}],"schema":"https://github.com/citation-style-language/schema/raw/master/csl-citation.json"} </w:instrText>
      </w:r>
      <w:r w:rsidR="003C3C26">
        <w:rPr>
          <w:rFonts w:ascii="Times New Roman" w:hAnsi="Times New Roman" w:cs="Times New Roman"/>
          <w:color w:val="000000" w:themeColor="text1"/>
          <w:sz w:val="20"/>
          <w:szCs w:val="20"/>
        </w:rPr>
        <w:fldChar w:fldCharType="separate"/>
      </w:r>
      <w:r w:rsidR="00946204">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23</w:t>
      </w:r>
      <w:r w:rsidR="00946204">
        <w:rPr>
          <w:rFonts w:ascii="Times New Roman" w:hAnsi="Times New Roman" w:cs="Times New Roman"/>
          <w:color w:val="000000"/>
          <w:sz w:val="20"/>
          <w:u w:val="dash"/>
          <w:lang w:val="en-US"/>
        </w:rPr>
        <w:t>]</w:t>
      </w:r>
      <w:r w:rsidR="003C3C26">
        <w:rPr>
          <w:rFonts w:ascii="Times New Roman" w:hAnsi="Times New Roman" w:cs="Times New Roman"/>
          <w:color w:val="000000" w:themeColor="text1"/>
          <w:sz w:val="20"/>
          <w:szCs w:val="20"/>
        </w:rPr>
        <w:fldChar w:fldCharType="end"/>
      </w:r>
      <w:r w:rsidRPr="00624DCA">
        <w:rPr>
          <w:rFonts w:ascii="Times New Roman" w:hAnsi="Times New Roman" w:cs="Times New Roman"/>
          <w:color w:val="000000" w:themeColor="text1"/>
          <w:sz w:val="20"/>
          <w:szCs w:val="20"/>
        </w:rPr>
        <w:t>.</w:t>
      </w:r>
    </w:p>
    <w:p w14:paraId="6FC99686" w14:textId="77777777" w:rsidR="0086461F" w:rsidRDefault="0086461F" w:rsidP="00E17010">
      <w:pPr>
        <w:spacing w:line="480" w:lineRule="auto"/>
        <w:rPr>
          <w:rFonts w:ascii="Times New Roman" w:hAnsi="Times New Roman" w:cs="Times New Roman"/>
          <w:b/>
          <w:color w:val="000000" w:themeColor="text1"/>
          <w:sz w:val="20"/>
          <w:szCs w:val="20"/>
        </w:rPr>
      </w:pPr>
    </w:p>
    <w:p w14:paraId="33605501" w14:textId="573A6E65" w:rsidR="000E4D56" w:rsidRPr="005C5428" w:rsidRDefault="006E2684" w:rsidP="00E17010">
      <w:pPr>
        <w:spacing w:line="480" w:lineRule="auto"/>
        <w:rPr>
          <w:rFonts w:ascii="Times New Roman" w:hAnsi="Times New Roman" w:cs="Times New Roman"/>
          <w:color w:val="000000" w:themeColor="text1"/>
          <w:sz w:val="20"/>
          <w:szCs w:val="20"/>
        </w:rPr>
      </w:pPr>
      <w:r>
        <w:rPr>
          <w:rFonts w:ascii="Times New Roman" w:hAnsi="Times New Roman" w:cs="Times New Roman"/>
          <w:b/>
          <w:color w:val="000000" w:themeColor="text1"/>
          <w:sz w:val="20"/>
          <w:szCs w:val="20"/>
        </w:rPr>
        <w:t>Remyelination</w:t>
      </w:r>
      <w:r w:rsidR="00965983" w:rsidRPr="00003E8D">
        <w:rPr>
          <w:rFonts w:ascii="Times New Roman" w:hAnsi="Times New Roman" w:cs="Times New Roman"/>
          <w:b/>
          <w:color w:val="000000" w:themeColor="text1"/>
          <w:sz w:val="20"/>
          <w:szCs w:val="20"/>
        </w:rPr>
        <w:t xml:space="preserve"> c</w:t>
      </w:r>
      <w:r w:rsidR="00857EBD">
        <w:rPr>
          <w:rFonts w:ascii="Times New Roman" w:hAnsi="Times New Roman" w:cs="Times New Roman"/>
          <w:b/>
          <w:color w:val="000000" w:themeColor="text1"/>
          <w:sz w:val="20"/>
          <w:szCs w:val="20"/>
        </w:rPr>
        <w:t>linical trials</w:t>
      </w:r>
    </w:p>
    <w:p w14:paraId="47812978" w14:textId="0652ECB5" w:rsidR="00022287" w:rsidRPr="00022287" w:rsidRDefault="00F57E6D" w:rsidP="00022287">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The identification of </w:t>
      </w:r>
      <w:r w:rsidR="000467DB">
        <w:rPr>
          <w:rFonts w:ascii="Times New Roman" w:hAnsi="Times New Roman" w:cs="Times New Roman"/>
          <w:color w:val="000000" w:themeColor="text1"/>
          <w:sz w:val="20"/>
          <w:szCs w:val="20"/>
        </w:rPr>
        <w:t>agents</w:t>
      </w:r>
      <w:r>
        <w:rPr>
          <w:rFonts w:ascii="Times New Roman" w:hAnsi="Times New Roman" w:cs="Times New Roman"/>
          <w:color w:val="000000" w:themeColor="text1"/>
          <w:sz w:val="20"/>
          <w:szCs w:val="20"/>
        </w:rPr>
        <w:t xml:space="preserve"> </w:t>
      </w:r>
      <w:r w:rsidR="000467DB">
        <w:rPr>
          <w:rFonts w:ascii="Times New Roman" w:hAnsi="Times New Roman" w:cs="Times New Roman"/>
          <w:color w:val="000000" w:themeColor="text1"/>
          <w:sz w:val="20"/>
          <w:szCs w:val="20"/>
        </w:rPr>
        <w:t>that</w:t>
      </w:r>
      <w:r>
        <w:rPr>
          <w:rFonts w:ascii="Times New Roman" w:hAnsi="Times New Roman" w:cs="Times New Roman"/>
          <w:color w:val="000000" w:themeColor="text1"/>
          <w:sz w:val="20"/>
          <w:szCs w:val="20"/>
        </w:rPr>
        <w:t xml:space="preserve"> therapeutically enhance endogenous remyelination i</w:t>
      </w:r>
      <w:r w:rsidR="000467DB">
        <w:rPr>
          <w:rFonts w:ascii="Times New Roman" w:hAnsi="Times New Roman" w:cs="Times New Roman"/>
          <w:color w:val="000000" w:themeColor="text1"/>
          <w:sz w:val="20"/>
          <w:szCs w:val="20"/>
        </w:rPr>
        <w:t>n preclinical models has led several to be translated into clinical trials and the possibility of a neuroprotective tr</w:t>
      </w:r>
      <w:r w:rsidR="003D1974">
        <w:rPr>
          <w:rFonts w:ascii="Times New Roman" w:hAnsi="Times New Roman" w:cs="Times New Roman"/>
          <w:color w:val="000000" w:themeColor="text1"/>
          <w:sz w:val="20"/>
          <w:szCs w:val="20"/>
        </w:rPr>
        <w:t>eatment in MS looks increasing</w:t>
      </w:r>
      <w:r w:rsidR="000467DB">
        <w:rPr>
          <w:rFonts w:ascii="Times New Roman" w:hAnsi="Times New Roman" w:cs="Times New Roman"/>
          <w:color w:val="000000" w:themeColor="text1"/>
          <w:sz w:val="20"/>
          <w:szCs w:val="20"/>
        </w:rPr>
        <w:t xml:space="preserve">ly likely. In Table </w:t>
      </w:r>
      <w:r w:rsidR="009630D9">
        <w:rPr>
          <w:rFonts w:ascii="Times New Roman" w:hAnsi="Times New Roman" w:cs="Times New Roman"/>
          <w:color w:val="000000" w:themeColor="text1"/>
          <w:sz w:val="20"/>
          <w:szCs w:val="20"/>
        </w:rPr>
        <w:t>1</w:t>
      </w:r>
      <w:r w:rsidR="000467DB">
        <w:rPr>
          <w:rFonts w:ascii="Times New Roman" w:hAnsi="Times New Roman" w:cs="Times New Roman"/>
          <w:color w:val="000000" w:themeColor="text1"/>
          <w:sz w:val="20"/>
          <w:szCs w:val="20"/>
        </w:rPr>
        <w:t>, we summarise the clinical trials th</w:t>
      </w:r>
      <w:r w:rsidR="003D1974">
        <w:rPr>
          <w:rFonts w:ascii="Times New Roman" w:hAnsi="Times New Roman" w:cs="Times New Roman"/>
          <w:color w:val="000000" w:themeColor="text1"/>
          <w:sz w:val="20"/>
          <w:szCs w:val="20"/>
        </w:rPr>
        <w:t xml:space="preserve">at have been </w:t>
      </w:r>
      <w:r w:rsidR="000467DB">
        <w:rPr>
          <w:rFonts w:ascii="Times New Roman" w:hAnsi="Times New Roman" w:cs="Times New Roman"/>
          <w:color w:val="000000" w:themeColor="text1"/>
          <w:sz w:val="20"/>
          <w:szCs w:val="20"/>
        </w:rPr>
        <w:t>performed</w:t>
      </w:r>
      <w:r w:rsidR="003D1974">
        <w:rPr>
          <w:rFonts w:ascii="Times New Roman" w:hAnsi="Times New Roman" w:cs="Times New Roman"/>
          <w:color w:val="000000" w:themeColor="text1"/>
          <w:sz w:val="20"/>
          <w:szCs w:val="20"/>
        </w:rPr>
        <w:t xml:space="preserve"> </w:t>
      </w:r>
      <w:r w:rsidR="0051460E">
        <w:rPr>
          <w:rFonts w:ascii="Times New Roman" w:hAnsi="Times New Roman" w:cs="Times New Roman"/>
          <w:color w:val="000000" w:themeColor="text1"/>
          <w:sz w:val="20"/>
          <w:szCs w:val="20"/>
        </w:rPr>
        <w:t>while conside</w:t>
      </w:r>
      <w:r w:rsidR="003D1974">
        <w:rPr>
          <w:rFonts w:ascii="Times New Roman" w:hAnsi="Times New Roman" w:cs="Times New Roman"/>
          <w:color w:val="000000" w:themeColor="text1"/>
          <w:sz w:val="20"/>
          <w:szCs w:val="20"/>
        </w:rPr>
        <w:t>r</w:t>
      </w:r>
      <w:r w:rsidR="0051460E">
        <w:rPr>
          <w:rFonts w:ascii="Times New Roman" w:hAnsi="Times New Roman" w:cs="Times New Roman"/>
          <w:color w:val="000000" w:themeColor="text1"/>
          <w:sz w:val="20"/>
          <w:szCs w:val="20"/>
        </w:rPr>
        <w:t>ing</w:t>
      </w:r>
      <w:r w:rsidR="003D1974">
        <w:rPr>
          <w:rFonts w:ascii="Times New Roman" w:hAnsi="Times New Roman" w:cs="Times New Roman"/>
          <w:color w:val="000000" w:themeColor="text1"/>
          <w:sz w:val="20"/>
          <w:szCs w:val="20"/>
        </w:rPr>
        <w:t xml:space="preserve"> a few in more detail below.</w:t>
      </w:r>
    </w:p>
    <w:p w14:paraId="6698AB03" w14:textId="09E58E8D" w:rsidR="00022287" w:rsidRPr="00022287" w:rsidRDefault="00022287" w:rsidP="00022287">
      <w:pPr>
        <w:rPr>
          <w:rFonts w:ascii="Times New Roman" w:hAnsi="Times New Roman" w:cs="Times New Roman"/>
          <w:sz w:val="20"/>
          <w:szCs w:val="20"/>
        </w:rPr>
      </w:pPr>
    </w:p>
    <w:p w14:paraId="469A5F62" w14:textId="77777777" w:rsidR="00022287" w:rsidRPr="00022287" w:rsidRDefault="00022287" w:rsidP="00022287">
      <w:pPr>
        <w:rPr>
          <w:rFonts w:ascii="Times New Roman" w:hAnsi="Times New Roman" w:cs="Times New Roman"/>
          <w:sz w:val="20"/>
          <w:szCs w:val="20"/>
        </w:rPr>
      </w:pPr>
    </w:p>
    <w:p w14:paraId="50A6C0AF" w14:textId="4B6802E2" w:rsidR="00EB2FDB" w:rsidRPr="003D1974" w:rsidRDefault="00EB2FDB" w:rsidP="00E17010">
      <w:pPr>
        <w:spacing w:line="480" w:lineRule="auto"/>
        <w:rPr>
          <w:rFonts w:ascii="Times New Roman" w:hAnsi="Times New Roman" w:cs="Times New Roman"/>
          <w:i/>
          <w:color w:val="000000" w:themeColor="text1"/>
          <w:sz w:val="20"/>
          <w:szCs w:val="20"/>
        </w:rPr>
      </w:pPr>
      <w:r w:rsidRPr="003D1974">
        <w:rPr>
          <w:rFonts w:ascii="Times New Roman" w:hAnsi="Times New Roman" w:cs="Times New Roman"/>
          <w:b/>
          <w:i/>
          <w:color w:val="000000" w:themeColor="text1"/>
          <w:sz w:val="20"/>
          <w:szCs w:val="20"/>
        </w:rPr>
        <w:t>Clemastine</w:t>
      </w:r>
      <w:r w:rsidR="003D1974">
        <w:rPr>
          <w:rFonts w:ascii="Times New Roman" w:hAnsi="Times New Roman" w:cs="Times New Roman"/>
          <w:b/>
          <w:i/>
          <w:color w:val="000000" w:themeColor="text1"/>
          <w:sz w:val="20"/>
          <w:szCs w:val="20"/>
        </w:rPr>
        <w:t>.</w:t>
      </w:r>
      <w:r w:rsidR="003D1974">
        <w:rPr>
          <w:rFonts w:ascii="Times New Roman" w:hAnsi="Times New Roman" w:cs="Times New Roman"/>
          <w:i/>
          <w:color w:val="000000" w:themeColor="text1"/>
          <w:sz w:val="20"/>
          <w:szCs w:val="20"/>
        </w:rPr>
        <w:t xml:space="preserve"> </w:t>
      </w:r>
      <w:r w:rsidR="00096490">
        <w:rPr>
          <w:rFonts w:ascii="Times New Roman" w:hAnsi="Times New Roman" w:cs="Times New Roman"/>
          <w:color w:val="000000" w:themeColor="text1"/>
          <w:sz w:val="20"/>
          <w:szCs w:val="20"/>
        </w:rPr>
        <w:t>This</w:t>
      </w:r>
      <w:r w:rsidRPr="00003E8D">
        <w:rPr>
          <w:rFonts w:ascii="Times New Roman" w:hAnsi="Times New Roman" w:cs="Times New Roman"/>
          <w:color w:val="000000" w:themeColor="text1"/>
          <w:sz w:val="20"/>
          <w:szCs w:val="20"/>
        </w:rPr>
        <w:t xml:space="preserve"> is a first generation anti-histamine that was identified in the micropillar array as being capable of stimulating OPCs to differentiate and carry out the first stages of myelinatio</w:t>
      </w:r>
      <w:r w:rsidR="00382724">
        <w:rPr>
          <w:rFonts w:ascii="Times New Roman" w:hAnsi="Times New Roman" w:cs="Times New Roman"/>
          <w:color w:val="000000" w:themeColor="text1"/>
          <w:sz w:val="20"/>
          <w:szCs w:val="20"/>
        </w:rPr>
        <w:t>n</w:t>
      </w:r>
      <w:r w:rsidR="00382724">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uDAO55E2","properties":{"formattedCitation":"(69)","plainCitation":"(69)","noteIndex":0},"citationItems":[{"id":216,"uris":["http://zotero.org/users/local/OxFKn8nN/items/YB4T24IY"],"uri":["http://zotero.org/users/local/OxFKn8nN/items/YB4T24IY"],"itemData":{"id":216,"type":"article-journal","title":"Micropillar arrays as a high-throughput screening platform for therapeutics in multiple sclerosis","container-title":"Nature medicine","page":"954-960","volume":"20","issue":"8","archive":"PubMed","archive_location":"24997607","abstract":"Functional screening for compounds that promote remyelination represents a major hurdle in the development of rational therapeutics for multiple sclerosis. Screening for remyelination is problematic, as myelination requires the presence of axons. Standard methods do not resolve cell-autonomous effects and are not suited for high-throughput formats. Here we describe a binary indicant for myelination using micropillar arrays (BIMA). Engineered with conical dimensions, micropillars permit resolution of the extent and length of membrane wrapping from a single two-dimensional image. Confocal imaging acquired from the base to the tip of the pillars allows for detection of concentric wrapping observed as 'rings' of myelin. The platform is formatted in 96-well plates, amenable to semiautomated random acquisition and automated detection and quantification. Upon screening 1,000 bioactive molecules, we identified a cluster of antimuscarinic compounds that enhance oligodendrocyte differentiation and remyelination. Our findings demonstrate a new high-throughput screening platform for potential regenerative therapeutics in multiple sclerosis.","DOI":"10.1038/nm.3618","ISSN":"1546-170X","author":[{"family":"Mei","given":"Feng"},{"family":"Fancy","given":"Stephen P J"},{"family":"Shen","given":"Yun-An A"},{"family":"Niu","given":"Jianqin"},{"family":"Zhao","given":"Chao"},{"family":"Presley","given":"Bryan"},{"family":"Miao","given":"Edna"},{"family":"Lee","given":"Seonok"},{"family":"Mayoral","given":"Sonia R"},{"family":"Redmond","given":"Stephanie A"},{"family":"Etxeberria","given":"Ainhoa"},{"family":"Xiao","given":"Lan"},{"family":"Franklin","given":"Robin J M"},{"family":"Green","given":"Ari"},{"family":"Hauser","given":"Stephen L"},{"family":"Chan","given":"Jonah R"}],"issued":{"date-parts":[["2014",8]]}}}],"schema":"https://github.com/citation-style-language/schema/raw/master/csl-citation.json"} </w:instrText>
      </w:r>
      <w:r w:rsidR="00382724">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69</w:t>
      </w:r>
      <w:r w:rsidR="001F6ED7">
        <w:rPr>
          <w:rFonts w:ascii="Times New Roman" w:hAnsi="Times New Roman" w:cs="Times New Roman"/>
          <w:color w:val="000000"/>
          <w:sz w:val="20"/>
          <w:u w:val="dash"/>
          <w:lang w:val="en-US"/>
        </w:rPr>
        <w:t>]</w:t>
      </w:r>
      <w:r w:rsidR="00382724">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This was confirmed in a further scree</w:t>
      </w:r>
      <w:r w:rsidR="00382724">
        <w:rPr>
          <w:rFonts w:ascii="Times New Roman" w:hAnsi="Times New Roman" w:cs="Times New Roman"/>
          <w:color w:val="000000" w:themeColor="text1"/>
          <w:sz w:val="20"/>
          <w:szCs w:val="20"/>
        </w:rPr>
        <w:t>n</w:t>
      </w:r>
      <w:r w:rsidR="00382724">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W1AMOpnS","properties":{"formattedCitation":"(102)","plainCitation":"(102)","noteIndex":0},"citationItems":[{"id":212,"uris":["http://zotero.org/users/local/OxFKn8nN/items/JZPK9EFI"],"uri":["http://zotero.org/users/local/OxFKn8nN/items/JZPK9EFI"],"itemData":{"id":212,"type":"article-journal","title":"A regenerative approach to the treatment of multiple sclerosis","container-title":"Nature","page":"327-332","volume":"502","issue":"7471","archive":"PubMed","archive_location":"24107995","abstract":"Progressive phases of multiple sclerosis are associated with inhibited differentiation of the progenitor cell population that generates the mature oligodendrocytes required for remyelination and disease remission. To identify selective inducers of oligodendrocyte differentiation, we performed an image-based screen for myelin basic protein (MBP) expression using primary rat optic-nerve-derived progenitor cells. Here we show that among the most effective compounds identifed was benztropine, which significantly decreases clinical severity in the experimental autoimmune encephalomyelitis (EAE) model of relapsing-remitting multiple sclerosis when administered alone or in combination with approved immunosuppressive treatments for multiple sclerosis. Evidence from a cuprizone-induced model of demyelination, in vitro and in vivo T-cell assays and EAE adoptive transfer experiments indicated that the observed efficacy of this drug results directly from an enhancement of remyelination rather than immune suppression. Pharmacological studies indicate that benztropine functions by a mechanism that involves direct antagonism of M1 and/or M3 muscarinic receptors. These studies should facilitate the development of effective new therapies for the treatment of multiple sclerosis that complement established immunosuppressive approaches.","DOI":"10.1038/nature12647","ISSN":"1476-4687","author":[{"family":"Deshmukh","given":"Vishal A"},{"family":"Tardif","given":"Virginie"},{"family":"Lyssiotis","given":"Costas A"},{"family":"Green","given":"Chelsea C"},{"family":"Kerman","given":"Bilal"},{"family":"Kim","given":"Hyung Joon"},{"family":"Padmanabhan","given":"Krishnan"},{"family":"Swoboda","given":"Jonathan G"},{"family":"Ahmad","given":"Insha"},{"family":"Kondo","given":"Toru"},{"family":"Gage","given":"Fred H"},{"family":"Theofilopoulos","given":"Argyrios N"},{"family":"Lawson","given":"Brian R"},{"family":"Schultz","given":"Peter G"},{"family":"Lairson","given":"Luke L"}],"issued":{"date-parts":[["2013",10,17]]}}}],"schema":"https://github.com/citation-style-language/schema/raw/master/csl-citation.json"} </w:instrText>
      </w:r>
      <w:r w:rsidR="00382724">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102</w:t>
      </w:r>
      <w:r w:rsidR="001F6ED7">
        <w:rPr>
          <w:rFonts w:ascii="Times New Roman" w:hAnsi="Times New Roman" w:cs="Times New Roman"/>
          <w:color w:val="000000"/>
          <w:sz w:val="20"/>
          <w:u w:val="dash"/>
          <w:lang w:val="en-US"/>
        </w:rPr>
        <w:t>]</w:t>
      </w:r>
      <w:r w:rsidR="00382724">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and shown to occur via an off-target anti-muscarinic action, likely a specific effect on the M1 muscarinic recepto</w:t>
      </w:r>
      <w:r w:rsidR="00382724">
        <w:rPr>
          <w:rFonts w:ascii="Times New Roman" w:hAnsi="Times New Roman" w:cs="Times New Roman"/>
          <w:color w:val="000000" w:themeColor="text1"/>
          <w:sz w:val="20"/>
          <w:szCs w:val="20"/>
        </w:rPr>
        <w:t>r</w:t>
      </w:r>
      <w:r w:rsidR="00382724">
        <w:rPr>
          <w:rFonts w:ascii="Times New Roman" w:hAnsi="Times New Roman" w:cs="Times New Roman"/>
          <w:color w:val="000000" w:themeColor="text1"/>
          <w:sz w:val="20"/>
          <w:szCs w:val="20"/>
        </w:rPr>
        <w:fldChar w:fldCharType="begin"/>
      </w:r>
      <w:r w:rsidR="008F64AB">
        <w:rPr>
          <w:rFonts w:ascii="Times New Roman" w:hAnsi="Times New Roman" w:cs="Times New Roman"/>
          <w:color w:val="000000" w:themeColor="text1"/>
          <w:sz w:val="20"/>
          <w:szCs w:val="20"/>
        </w:rPr>
        <w:instrText xml:space="preserve"> ADDIN ZOTERO_ITEM CSL_CITATION {"citationID":"yRb239Cz","properties":{"formattedCitation":"(29)","plainCitation":"(29)","noteIndex":0},"citationItems":[{"id":151,"uris":["http://zotero.org/users/local/OxFKn8nN/items/9WKU46XM"],"uri":["http://zotero.org/users/local/OxFKn8nN/items/9WKU46XM"],"itemData":{"id":151,"type":"article-journal","title":"Accelerated remyelination during inflammatory demyelination prevents axonal loss and improves functional recovery","container-title":"eLife","page":"e18246","volume":"5","archive":"PubMed","archive_location":"27671734","abstract":"Demyelination in MS disrupts nerve signals and contributes to axon degeneration. While remyelination promises to restore lost function, it remains unclear whether remyelination will prevent axonal loss. Inflammatory demyelination is accompanied by significant neuronal loss in the experimental autoimmune encephalomyelitis (EAE) mouse model and evidence for remyelination in this model is complicated by ongoing inflammation, degeneration and possible remyelination. Demonstrating the functional significance of remyelination necessitates selectively altering the timing of remyelination relative to inflammation and degeneration. We demonstrate accelerated remyelination after EAE induction by direct lineage analysis and hypothesize that newly formed myelin remains stable at the height of inflammation due in part to the absence of MOG expression in immature myelin. Oligodendroglial-specific genetic ablation of the M1 muscarinic receptor, a potent negative regulator of oligodendrocyte differentiation and myelination, results in accelerated remyelination, preventing axonal loss and improving functional recovery. Together our findings demonstrate that accelerated remyelination supports axonal integrity and neuronal function after inflammatory demyelination.","DOI":"10.7554/eLife.18246","ISSN":"2050-084X","author":[{"family":"Mei","given":"Feng"},{"family":"Lehmann-Horn","given":"Klaus"},{"family":"Shen","given":"Yun-An A"},{"family":"Rankin","given":"Kelsey A"},{"family":"Stebbins","given":"Karin J"},{"family":"Lorrain","given":"Daniel S"},{"family":"Pekarek","given":"Kara"},{"family":"A Sagan","given":"Sharon"},{"family":"Xiao","given":"Lan"},{"family":"Teuscher","given":"Cory"},{"family":"Büdingen","given":"H-Christian","non-dropping-particle":"von"},{"family":"Wess","given":"Jürgen"},{"family":"Lawrence","given":"J Josh"},{"family":"Green","given":"Ari J"},{"family":"Fancy","given":"Stephen Pj"},{"family":"Zamvil","given":"Scott S"},{"family":"Chan","given":"Jonah R"}],"issued":{"date-parts":[["2016",9,27]]}}}],"schema":"https://github.com/citation-style-language/schema/raw/master/csl-citation.json"} </w:instrText>
      </w:r>
      <w:r w:rsidR="00382724">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081F0D">
        <w:rPr>
          <w:rFonts w:ascii="Times New Roman" w:hAnsi="Times New Roman" w:cs="Times New Roman"/>
          <w:color w:val="000000"/>
          <w:sz w:val="20"/>
          <w:u w:val="dash"/>
          <w:lang w:val="en-US"/>
        </w:rPr>
        <w:t>29</w:t>
      </w:r>
      <w:r w:rsidR="001F6ED7">
        <w:rPr>
          <w:rFonts w:ascii="Times New Roman" w:hAnsi="Times New Roman" w:cs="Times New Roman"/>
          <w:color w:val="000000"/>
          <w:sz w:val="20"/>
          <w:u w:val="dash"/>
          <w:lang w:val="en-US"/>
        </w:rPr>
        <w:t>]</w:t>
      </w:r>
      <w:r w:rsidR="00382724">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Ensuing work would confirm its remyelinating effect in multiple animal model</w:t>
      </w:r>
      <w:r w:rsidR="00382724">
        <w:rPr>
          <w:rFonts w:ascii="Times New Roman" w:hAnsi="Times New Roman" w:cs="Times New Roman"/>
          <w:color w:val="000000" w:themeColor="text1"/>
          <w:sz w:val="20"/>
          <w:szCs w:val="20"/>
        </w:rPr>
        <w:t>s</w:t>
      </w:r>
      <w:r w:rsidR="00382724">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qRuVFn3c","properties":{"formattedCitation":"(29,69,115,116)","plainCitation":"(29,69,115,116)","noteIndex":0},"citationItems":[{"id":151,"uris":["http://zotero.org/users/local/OxFKn8nN/items/9WKU46XM"],"uri":["http://zotero.org/users/local/OxFKn8nN/items/9WKU46XM"],"itemData":{"id":151,"type":"article-journal","title":"Accelerated remyelination during inflammatory demyelination prevents axonal loss and improves functional recovery","container-title":"eLife","page":"e18246","volume":"5","archive":"PubMed","archive_location":"27671734","abstract":"Demyelination in MS disrupts nerve signals and contributes to axon degeneration. While remyelination promises to restore lost function, it remains unclear whether remyelination will prevent axonal loss. Inflammatory demyelination is accompanied by significant neuronal loss in the experimental autoimmune encephalomyelitis (EAE) mouse model and evidence for remyelination in this model is complicated by ongoing inflammation, degeneration and possible remyelination. Demonstrating the functional significance of remyelination necessitates selectively altering the timing of remyelination relative to inflammation and degeneration. We demonstrate accelerated remyelination after EAE induction by direct lineage analysis and hypothesize that newly formed myelin remains stable at the height of inflammation due in part to the absence of MOG expression in immature myelin. Oligodendroglial-specific genetic ablation of the M1 muscarinic receptor, a potent negative regulator of oligodendrocyte differentiation and myelination, results in accelerated remyelination, preventing axonal loss and improving functional recovery. Together our findings demonstrate that accelerated remyelination supports axonal integrity and neuronal function after inflammatory demyelination.","DOI":"10.7554/eLife.18246","ISSN":"2050-084X","author":[{"family":"Mei","given":"Feng"},{"family":"Lehmann-Horn","given":"Klaus"},{"family":"Shen","given":"Yun-An A"},{"family":"Rankin","given":"Kelsey A"},{"family":"Stebbins","given":"Karin J"},{"family":"Lorrain","given":"Daniel S"},{"family":"Pekarek","given":"Kara"},{"family":"A Sagan","given":"Sharon"},{"family":"Xiao","given":"Lan"},{"family":"Teuscher","given":"Cory"},{"family":"Büdingen","given":"H-Christian","non-dropping-particle":"von"},{"family":"Wess","given":"Jürgen"},{"family":"Lawrence","given":"J Josh"},{"family":"Green","given":"Ari J"},{"family":"Fancy","given":"Stephen Pj"},{"family":"Zamvil","given":"Scott S"},{"family":"Chan","given":"Jonah R"}],"issued":{"date-parts":[["2016",9,27]]}}},{"id":216,"uris":["http://zotero.org/users/local/OxFKn8nN/items/YB4T24IY"],"uri":["http://zotero.org/users/local/OxFKn8nN/items/YB4T24IY"],"itemData":{"id":216,"type":"article-journal","title":"Micropillar arrays as a high-throughput screening platform for therapeutics in multiple sclerosis","container-title":"Nature medicine","page":"954-960","volume":"20","issue":"8","archive":"PubMed","archive_location":"24997607","abstract":"Functional screening for compounds that promote remyelination represents a major hurdle in the development of rational therapeutics for multiple sclerosis. Screening for remyelination is problematic, as myelination requires the presence of axons. Standard methods do not resolve cell-autonomous effects and are not suited for high-throughput formats. Here we describe a binary indicant for myelination using micropillar arrays (BIMA). Engineered with conical dimensions, micropillars permit resolution of the extent and length of membrane wrapping from a single two-dimensional image. Confocal imaging acquired from the base to the tip of the pillars allows for detection of concentric wrapping observed as 'rings' of myelin. The platform is formatted in 96-well plates, amenable to semiautomated random acquisition and automated detection and quantification. Upon screening 1,000 bioactive molecules, we identified a cluster of antimuscarinic compounds that enhance oligodendrocyte differentiation and remyelination. Our findings demonstrate a new high-throughput screening platform for potential regenerative therapeutics in multiple sclerosis.","DOI":"10.1038/nm.3618","ISSN":"1546-170X","author":[{"family":"Mei","given":"Feng"},{"family":"Fancy","given":"Stephen P J"},{"family":"Shen","given":"Yun-An A"},{"family":"Niu","given":"Jianqin"},{"family":"Zhao","given":"Chao"},{"family":"Presley","given":"Bryan"},{"family":"Miao","given":"Edna"},{"family":"Lee","given":"Seonok"},{"family":"Mayoral","given":"Sonia R"},{"family":"Redmond","given":"Stephanie A"},{"family":"Etxeberria","given":"Ainhoa"},{"family":"Xiao","given":"Lan"},{"family":"Franklin","given":"Robin J M"},{"family":"Green","given":"Ari"},{"family":"Hauser","given":"Stephen L"},{"family":"Chan","given":"Jonah R"}],"issued":{"date-parts":[["2014",8]]}}},{"id":223,"uris":["http://zotero.org/users/local/OxFKn8nN/items/BCI858Q6"],"uri":["http://zotero.org/users/local/OxFKn8nN/items/BCI858Q6"],"itemData":{"id":223,"type":"article-journal","title":"Clemastine Enhances Myelination in the Prefrontal Cortex and Rescues Behavioral Changes in Socially Isolated Mice","container-title":"The Journal of neuroscience : the official journal of the Society for Neuroscience","page":"957-962","volume":"36","issue":"3","archive":"PubMed","archive_location":"26791223","abstract":"Altered myelin structure and oligodendrocyte function have been shown to correlate with cognitive and motor dysfunction and deficits in social behavior. We and others have previously demonstrated that social isolation in mice induced behavioral, transcriptional, and ultrastructural changes in oligodendrocytes of the prefrontal cortex (PFC). However, whether enhancing myelination and oligodendrocyte differentiation could be beneficial in reversing such changes remains unexplored. To test this hypothesis, we orally administered clemastine, an antimuscarinic compound that has been shown to enhance oligodendrocyte differentiation and myelination in vitro, for 2 weeks in adult mice following social isolation. Clemastine successfully reversed social avoidance behavior in mice undergoing prolonged social isolation. Impaired myelination was rescued by oral clemastine treatment, and was associated with enhanced oligodendrocyte progenitor differentiation and epigenetic changes. Clemastine induced higher levels of repressive histone methylation (H3K9me3), a marker for heterochromatin, in oligodendrocytes, but not neurons, of the PFC. This was consistent with the capability of clemastine in elevating H3K9 histone methyltransferases activity in cultured primary mouse oligodendrocytes, an effect that could be antagonized by cotreatment with muscarine. Our data suggest that promoting adult myelination is a potential strategy for reversing depressive-like social behavior. Significance statement: Oligodendrocyte development and myelination are highly dynamic processes influenced by experience and neuronal activity. However, whether enhancing myelination and oligodendrocyte differentiation is beneficial to treat depressive-like behavior has been unexplored. Mice undergoing prolonged social isolation display impaired myelination in the prefrontal cortex. Clemastine, a Food and Drug Administration-approved antimuscarinic compound that has been shown to enhance myelination under demyelinating conditions, successfully reversed social avoidance behavior in adult socially isolated mice. This was associated with enhanced myelination and oligodendrocyte differentiation in the prefrontal cortex through epigenetic regulation. Thus, enhancing myelination may be a potential means of reversing depressive-like social behavior.","DOI":"10.1523/JNEUROSCI.3608-15.2016","ISSN":"1529-2401","author":[{"family":"Liu","given":"Jia"},{"family":"Dupree","given":"Jeffrey L"},{"family":"Gacias","given":"Mar"},{"family":"Frawley","given":"Rebecca"},{"family":"Sikder","given":"Tamjeed"},{"family":"Naik","given":"Payal"},{"family":"Casaccia","given":"Patrizia"}],"issued":{"date-parts":[["2016",1,20]]}}},{"id":221,"uris":["http://zotero.org/users/local/OxFKn8nN/items/2L5WT7IW"],"uri":["http://zotero.org/users/local/OxFKn8nN/items/2L5WT7IW"],"itemData":{"id":221,"type":"article-journal","title":"Clemastine rescues behavioral changes and enhances remyelination in the cuprizone mouse model of demyelination","container-title":"Neuroscience bulletin","page":"617-625","volume":"31","issue":"5","archive":"PubMed","archive_location":"26253956","abstract":"Increasing evidence suggests that white matter disorders based on myelin sheath impairment may underlie the neuropathological changes in schizophrenia. But it is unknown whether enhancing remyelination is a beneficial approach to schizophrenia. To investigate this hypothesis, we used clemastine, an FDA-approved drug with high potency in promoting oligodendroglial differentiation and myelination, on a cuprizone-induced mouse model of demyelination. The mice exposed to cuprizone (0.2% in chow) for 6 weeks displayed schizophrenia-like behavioral changes, including decreased exploration of the center in the open field test and increased entries into the arms of the Y-maze, as well as evident demyelination in the cortex and corpus callosum. Clemastine treatment was initiated upon cuprizone withdrawal at 10 mg/kg per day for 3 weeks. As expected, myelin repair was greatly enhanced in the demyelinated regions with increased mature oligodendrocytes (APC-positive) and myelin basic protein. More importantly, the clemastine treatment rescued the schizophrenia-like behavioral changes in the open field test and the Y-maze compared to vehicle, suggesting a beneficial effect via promoting myelin repair. Our findings indicate that enhancing remyelination may be a potential therapy for schizophrenia.","DOI":"10.1007/s12264-015-1555-3","ISSN":"1995-8218","author":[{"family":"Li","given":"Zhifang"},{"family":"He","given":"Yangtao"},{"family":"Fan","given":"Shuangyi"},{"family":"Sun","given":"Binbin"}],"issued":{"date-parts":[["2015",8,6]]}}}],"schema":"https://github.com/citation-style-language/schema/raw/master/csl-citation.json"} </w:instrText>
      </w:r>
      <w:r w:rsidR="00382724">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29,69,115,116</w:t>
      </w:r>
      <w:r w:rsidR="001F6ED7">
        <w:rPr>
          <w:rFonts w:ascii="Times New Roman" w:hAnsi="Times New Roman" w:cs="Times New Roman"/>
          <w:color w:val="000000"/>
          <w:sz w:val="20"/>
          <w:u w:val="dash"/>
          <w:lang w:val="en-US"/>
        </w:rPr>
        <w:t>]</w:t>
      </w:r>
      <w:r w:rsidR="00382724">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w:t>
      </w:r>
    </w:p>
    <w:p w14:paraId="76234047" w14:textId="0ACD12A9" w:rsidR="00EB2FDB" w:rsidRPr="00003E8D" w:rsidRDefault="00EB2FDB"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 xml:space="preserve">As </w:t>
      </w:r>
      <w:r w:rsidR="002F0FD5">
        <w:rPr>
          <w:rFonts w:ascii="Times New Roman" w:hAnsi="Times New Roman" w:cs="Times New Roman"/>
          <w:color w:val="000000" w:themeColor="text1"/>
          <w:sz w:val="20"/>
          <w:szCs w:val="20"/>
        </w:rPr>
        <w:t>c</w:t>
      </w:r>
      <w:r w:rsidRPr="00003E8D">
        <w:rPr>
          <w:rFonts w:ascii="Times New Roman" w:hAnsi="Times New Roman" w:cs="Times New Roman"/>
          <w:color w:val="000000" w:themeColor="text1"/>
          <w:sz w:val="20"/>
          <w:szCs w:val="20"/>
        </w:rPr>
        <w:t>lemastine has been licenced</w:t>
      </w:r>
      <w:r w:rsidR="009E6A7F">
        <w:rPr>
          <w:rFonts w:ascii="Times New Roman" w:hAnsi="Times New Roman" w:cs="Times New Roman"/>
          <w:color w:val="000000" w:themeColor="text1"/>
          <w:sz w:val="20"/>
          <w:szCs w:val="20"/>
        </w:rPr>
        <w:t xml:space="preserve"> </w:t>
      </w:r>
      <w:r w:rsidR="00D95BBC">
        <w:rPr>
          <w:rFonts w:ascii="Times New Roman" w:hAnsi="Times New Roman" w:cs="Times New Roman"/>
          <w:color w:val="000000" w:themeColor="text1"/>
          <w:sz w:val="20"/>
          <w:szCs w:val="20"/>
        </w:rPr>
        <w:t xml:space="preserve">for allergic rhinitis </w:t>
      </w:r>
      <w:r w:rsidRPr="00003E8D">
        <w:rPr>
          <w:rFonts w:ascii="Times New Roman" w:hAnsi="Times New Roman" w:cs="Times New Roman"/>
          <w:color w:val="000000" w:themeColor="text1"/>
          <w:sz w:val="20"/>
          <w:szCs w:val="20"/>
        </w:rPr>
        <w:t>since 1992, it was readily translated into a clinical tria</w:t>
      </w:r>
      <w:r w:rsidR="00382724">
        <w:rPr>
          <w:rFonts w:ascii="Times New Roman" w:hAnsi="Times New Roman" w:cs="Times New Roman"/>
          <w:color w:val="000000" w:themeColor="text1"/>
          <w:sz w:val="20"/>
          <w:szCs w:val="20"/>
        </w:rPr>
        <w:t>l</w:t>
      </w:r>
      <w:r w:rsidR="00382724">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9VUNVea7","properties":{"formattedCitation":"(104)","plainCitation":"(104)","noteIndex":0},"citationItems":[{"id":11,"uris":["http://zotero.org/users/local/OxFKn8nN/items/V9EQYZ4F"],"uri":["http://zotero.org/users/local/OxFKn8nN/items/V9EQYZ4F"],"itemData":{"id":11,"type":"article-journal","title":"Clemastine fumarate as a remyelinating therapy for multiple sclerosis (ReBUILD): a randomised, controlled, double-blind, crossover trial","container-title":"The Lancet","page":"2481-2489","volume":"390","issue":"10111","abstract":"Summary\nBackground\nMultiple sclerosis is a degenerative inflammatory disease of the CNS characterised by immune-mediated destruction of myelin and progressive neuroaxonal loss. Myelin in the CNS is a specialised extension of the oligodendrocyte plasma membrane and clemastine fumarate can stimulate differentiation of oligodendrocyte precursor cells in vitro, in animal models, and in human cells. We aimed to analyse the efficacy and safety of clemastine fumarate as a treatment for patients with multiple sclerosis.\nMethods\nWe did this single-centre, 150-day, double-blind, randomised, placebo-controlled, crossover trial (ReBUILD) in patients with relapsing multiple sclerosis with chronic demyelinating optic neuropathy on stable immunomodulatory therapy. Patients who fulfilled international panel criteria for diagnosis with disease duration of less than 15 years were eligible. Patients were randomly assigned (1:1) via block randomisation using a random number generator to receive either clemastine fumarate (5·36 mg orally twice daily) for 90 days followed by placebo for 60 days (group 1), or placebo for 90 days followed by clemastine fumarate (5·36 mg orally twice daily) for 60 days (group 2). The primary outcome was shortening of P100 latency delay on full-field, pattern-reversal, visual-evoked potentials. We analysed by intention to treat. The trial is registered with ClinicalTrials.gov, number NCT02040298.\nFindings\nBetween Jan 1, 2014, and April 11, 2015, we randomly assigned 50 patients to group 1 (n=25) or group 2 (n=25). All patients completed the study. The primary efficacy endpoint was met with clemastine fumarate treatment, which reduced the latency delay by 1·7 ms/eye (95% CI 0·5–2·9; p=0·0048) when analysing the trial as a crossover. Clemastine fumarate treatment was associated with fatigue, but no serious adverse events were reported.\nInterpretation\nTo our knowledge, this is the first randomised controlled trial to document efficacy of a remyelinating drug for the treatment of chronic demyelinating injury in multiple sclerosis. Our findings suggest that myelin repair can be achieved even following prolonged damage.\nFunding\nUniversity of California, San Francisco and the Rachleff Family.","DOI":"10.1016/S0140-6736(17)32346-2","ISSN":"0140-6736","journalAbbreviation":"The Lancet","author":[{"family":"Green","given":"Ari J"},{"family":"Gelfand","given":"Jeffrey M"},{"family":"Cree","given":"Bruce A"},{"family":"Bevan","given":"Carolyn"},{"family":"Boscardin","given":"W John"},{"family":"Mei","given":"Feng"},{"family":"Inman","given":"Justin"},{"family":"Arnow","given":"Sam"},{"family":"Devereux","given":"Michael"},{"family":"Abounasr","given":"Aya"},{"family":"Nobuta","given":"Hiroko"},{"family":"Zhu","given":"Alyssa"},{"family":"Friessen","given":"Matt"},{"family":"Gerona","given":"Roy"},{"family":"Büdingen","given":"Hans Christian","non-dropping-particle":"von"},{"family":"Henry","given":"Roland G"},{"family":"Hauser","given":"Stephen L"},{"family":"Chan","given":"Jonah R"}],"issued":{"date-parts":[["2017",12,2]]}}}],"schema":"https://github.com/citation-style-language/schema/raw/master/csl-citation.json"} </w:instrText>
      </w:r>
      <w:r w:rsidR="00382724">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104</w:t>
      </w:r>
      <w:r w:rsidR="001F6ED7">
        <w:rPr>
          <w:rFonts w:ascii="Times New Roman" w:hAnsi="Times New Roman" w:cs="Times New Roman"/>
          <w:color w:val="000000"/>
          <w:sz w:val="20"/>
          <w:u w:val="dash"/>
          <w:lang w:val="en-US"/>
        </w:rPr>
        <w:t>]</w:t>
      </w:r>
      <w:r w:rsidR="00382724">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The </w:t>
      </w:r>
      <w:proofErr w:type="spellStart"/>
      <w:r w:rsidRPr="00003E8D">
        <w:rPr>
          <w:rFonts w:ascii="Times New Roman" w:hAnsi="Times New Roman" w:cs="Times New Roman"/>
          <w:color w:val="000000" w:themeColor="text1"/>
          <w:sz w:val="20"/>
          <w:szCs w:val="20"/>
        </w:rPr>
        <w:t>ReBUILD</w:t>
      </w:r>
      <w:proofErr w:type="spellEnd"/>
      <w:r w:rsidRPr="00003E8D">
        <w:rPr>
          <w:rFonts w:ascii="Times New Roman" w:hAnsi="Times New Roman" w:cs="Times New Roman"/>
          <w:color w:val="000000" w:themeColor="text1"/>
          <w:sz w:val="20"/>
          <w:szCs w:val="20"/>
        </w:rPr>
        <w:t xml:space="preserve"> study was a </w:t>
      </w:r>
      <w:r w:rsidRPr="00003E8D">
        <w:rPr>
          <w:rFonts w:ascii="Times New Roman" w:hAnsi="Times New Roman" w:cs="Times New Roman"/>
          <w:color w:val="000000" w:themeColor="text1"/>
          <w:sz w:val="20"/>
          <w:szCs w:val="20"/>
          <w:lang w:val="en-US"/>
        </w:rPr>
        <w:t>single-</w:t>
      </w:r>
      <w:proofErr w:type="spellStart"/>
      <w:r w:rsidRPr="00003E8D">
        <w:rPr>
          <w:rFonts w:ascii="Times New Roman" w:hAnsi="Times New Roman" w:cs="Times New Roman"/>
          <w:color w:val="000000" w:themeColor="text1"/>
          <w:sz w:val="20"/>
          <w:szCs w:val="20"/>
          <w:lang w:val="en-US"/>
        </w:rPr>
        <w:t>centre</w:t>
      </w:r>
      <w:proofErr w:type="spellEnd"/>
      <w:r w:rsidRPr="00003E8D">
        <w:rPr>
          <w:rFonts w:ascii="Times New Roman" w:hAnsi="Times New Roman" w:cs="Times New Roman"/>
          <w:color w:val="000000" w:themeColor="text1"/>
          <w:sz w:val="20"/>
          <w:szCs w:val="20"/>
          <w:lang w:val="en-US"/>
        </w:rPr>
        <w:t>, double-blind, randomized, placebo-controlled, phase 2, crossover trial, which specifically investigated the remyelinating potential</w:t>
      </w:r>
      <w:r w:rsidR="009A0B01" w:rsidRPr="00003E8D">
        <w:rPr>
          <w:rFonts w:ascii="Times New Roman" w:hAnsi="Times New Roman" w:cs="Times New Roman"/>
          <w:color w:val="000000" w:themeColor="text1"/>
          <w:sz w:val="20"/>
          <w:szCs w:val="20"/>
          <w:lang w:val="en-US"/>
        </w:rPr>
        <w:t xml:space="preserve"> of c</w:t>
      </w:r>
      <w:r w:rsidRPr="00003E8D">
        <w:rPr>
          <w:rFonts w:ascii="Times New Roman" w:hAnsi="Times New Roman" w:cs="Times New Roman"/>
          <w:color w:val="000000" w:themeColor="text1"/>
          <w:sz w:val="20"/>
          <w:szCs w:val="20"/>
          <w:lang w:val="en-US"/>
        </w:rPr>
        <w:t xml:space="preserve">lemastine in patients with RRMS and evidence of chronic demyelinating optic neuropathy. Their inclusion criteria ensured that there was detectable demyelination in the optic pathway (evidenced by </w:t>
      </w:r>
      <w:r w:rsidR="005155BB" w:rsidRPr="00003E8D">
        <w:rPr>
          <w:rFonts w:ascii="Times New Roman" w:hAnsi="Times New Roman" w:cs="Times New Roman"/>
          <w:color w:val="000000" w:themeColor="text1"/>
          <w:sz w:val="20"/>
          <w:szCs w:val="20"/>
          <w:lang w:val="en-US"/>
        </w:rPr>
        <w:t>a visual evoked potential (VEP)</w:t>
      </w:r>
      <w:r w:rsidRPr="00003E8D">
        <w:rPr>
          <w:rFonts w:ascii="Times New Roman" w:hAnsi="Times New Roman" w:cs="Times New Roman"/>
          <w:color w:val="000000" w:themeColor="text1"/>
          <w:sz w:val="20"/>
          <w:szCs w:val="20"/>
          <w:lang w:val="en-US"/>
        </w:rPr>
        <w:t xml:space="preserve"> P100 latency &gt;118</w:t>
      </w:r>
      <w:r w:rsidR="00D95BBC">
        <w:rPr>
          <w:rFonts w:ascii="Times New Roman" w:hAnsi="Times New Roman" w:cs="Times New Roman"/>
          <w:color w:val="000000" w:themeColor="text1"/>
          <w:sz w:val="20"/>
          <w:szCs w:val="20"/>
          <w:lang w:val="en-US"/>
        </w:rPr>
        <w:t xml:space="preserve"> </w:t>
      </w:r>
      <w:proofErr w:type="spellStart"/>
      <w:r w:rsidRPr="00003E8D">
        <w:rPr>
          <w:rFonts w:ascii="Times New Roman" w:hAnsi="Times New Roman" w:cs="Times New Roman"/>
          <w:color w:val="000000" w:themeColor="text1"/>
          <w:sz w:val="20"/>
          <w:szCs w:val="20"/>
          <w:lang w:val="en-US"/>
        </w:rPr>
        <w:t>ms</w:t>
      </w:r>
      <w:proofErr w:type="spellEnd"/>
      <w:r w:rsidRPr="00003E8D">
        <w:rPr>
          <w:rFonts w:ascii="Times New Roman" w:hAnsi="Times New Roman" w:cs="Times New Roman"/>
          <w:color w:val="000000" w:themeColor="text1"/>
          <w:sz w:val="20"/>
          <w:szCs w:val="20"/>
          <w:lang w:val="en-US"/>
        </w:rPr>
        <w:t xml:space="preserve"> in at least one eye), but also sufficient axons to regenerate (with a </w:t>
      </w:r>
      <w:r w:rsidR="0005482B" w:rsidRPr="00003E8D">
        <w:rPr>
          <w:rFonts w:ascii="Times New Roman" w:hAnsi="Times New Roman" w:cs="Times New Roman"/>
          <w:color w:val="000000" w:themeColor="text1"/>
          <w:sz w:val="20"/>
          <w:szCs w:val="20"/>
          <w:lang w:val="en-US"/>
        </w:rPr>
        <w:t xml:space="preserve">retinal nerve </w:t>
      </w:r>
      <w:proofErr w:type="spellStart"/>
      <w:r w:rsidR="0005482B" w:rsidRPr="00003E8D">
        <w:rPr>
          <w:rFonts w:ascii="Times New Roman" w:hAnsi="Times New Roman" w:cs="Times New Roman"/>
          <w:color w:val="000000" w:themeColor="text1"/>
          <w:sz w:val="20"/>
          <w:szCs w:val="20"/>
          <w:lang w:val="en-US"/>
        </w:rPr>
        <w:t>fibre</w:t>
      </w:r>
      <w:proofErr w:type="spellEnd"/>
      <w:r w:rsidR="0005482B" w:rsidRPr="00003E8D">
        <w:rPr>
          <w:rFonts w:ascii="Times New Roman" w:hAnsi="Times New Roman" w:cs="Times New Roman"/>
          <w:color w:val="000000" w:themeColor="text1"/>
          <w:sz w:val="20"/>
          <w:szCs w:val="20"/>
          <w:lang w:val="en-US"/>
        </w:rPr>
        <w:t xml:space="preserve"> layer thickness</w:t>
      </w:r>
      <w:r w:rsidR="005155BB" w:rsidRPr="00003E8D">
        <w:rPr>
          <w:rFonts w:ascii="Times New Roman" w:hAnsi="Times New Roman" w:cs="Times New Roman"/>
          <w:color w:val="000000" w:themeColor="text1"/>
          <w:sz w:val="20"/>
          <w:szCs w:val="20"/>
          <w:lang w:val="en-US"/>
        </w:rPr>
        <w:t xml:space="preserve"> (RNFL)</w:t>
      </w:r>
      <w:r w:rsidRPr="00003E8D">
        <w:rPr>
          <w:rFonts w:ascii="Times New Roman" w:hAnsi="Times New Roman" w:cs="Times New Roman"/>
          <w:color w:val="000000" w:themeColor="text1"/>
          <w:sz w:val="20"/>
          <w:szCs w:val="20"/>
          <w:lang w:val="en-US"/>
        </w:rPr>
        <w:t xml:space="preserve"> &gt;70</w:t>
      </w:r>
      <w:r w:rsidR="00D95BBC">
        <w:rPr>
          <w:rFonts w:ascii="Times New Roman" w:hAnsi="Times New Roman" w:cs="Times New Roman"/>
          <w:color w:val="000000" w:themeColor="text1"/>
          <w:sz w:val="20"/>
          <w:szCs w:val="20"/>
          <w:lang w:val="en-US"/>
        </w:rPr>
        <w:t xml:space="preserve"> </w:t>
      </w:r>
      <w:r w:rsidR="00D21A01" w:rsidRPr="00003E8D">
        <w:rPr>
          <w:rFonts w:ascii="Times New Roman" w:hAnsi="Times New Roman" w:cs="Times New Roman"/>
          <w:color w:val="000000" w:themeColor="text1"/>
          <w:sz w:val="20"/>
          <w:szCs w:val="20"/>
        </w:rPr>
        <w:t>μ</w:t>
      </w:r>
      <w:r w:rsidRPr="00003E8D">
        <w:rPr>
          <w:rFonts w:ascii="Times New Roman" w:hAnsi="Times New Roman" w:cs="Times New Roman"/>
          <w:color w:val="000000" w:themeColor="text1"/>
          <w:sz w:val="20"/>
          <w:szCs w:val="20"/>
          <w:lang w:val="en-US"/>
        </w:rPr>
        <w:t>m in the qualifying eye</w:t>
      </w:r>
      <w:r w:rsidR="009A0B01" w:rsidRPr="00003E8D">
        <w:rPr>
          <w:rFonts w:ascii="Times New Roman" w:hAnsi="Times New Roman" w:cs="Times New Roman"/>
          <w:color w:val="000000" w:themeColor="text1"/>
          <w:sz w:val="20"/>
          <w:szCs w:val="20"/>
          <w:lang w:val="en-US"/>
        </w:rPr>
        <w:t xml:space="preserve"> when</w:t>
      </w:r>
      <w:r w:rsidR="0005482B" w:rsidRPr="00003E8D">
        <w:rPr>
          <w:rFonts w:ascii="Times New Roman" w:hAnsi="Times New Roman" w:cs="Times New Roman"/>
          <w:color w:val="000000" w:themeColor="text1"/>
          <w:sz w:val="20"/>
          <w:szCs w:val="20"/>
          <w:lang w:val="en-US"/>
        </w:rPr>
        <w:t xml:space="preserve"> </w:t>
      </w:r>
      <w:r w:rsidR="0005482B" w:rsidRPr="00003E8D">
        <w:rPr>
          <w:rFonts w:ascii="Times New Roman" w:hAnsi="Times New Roman" w:cs="Times New Roman"/>
          <w:color w:val="000000" w:themeColor="text1"/>
          <w:sz w:val="20"/>
          <w:szCs w:val="20"/>
          <w:lang w:val="en-US"/>
        </w:rPr>
        <w:lastRenderedPageBreak/>
        <w:t>measured with optical coherence tomography</w:t>
      </w:r>
      <w:r w:rsidR="005155BB" w:rsidRPr="00003E8D">
        <w:rPr>
          <w:rFonts w:ascii="Times New Roman" w:hAnsi="Times New Roman" w:cs="Times New Roman"/>
          <w:color w:val="000000" w:themeColor="text1"/>
          <w:sz w:val="20"/>
          <w:szCs w:val="20"/>
          <w:lang w:val="en-US"/>
        </w:rPr>
        <w:t xml:space="preserve"> (OCT)</w:t>
      </w:r>
      <w:r w:rsidRPr="00003E8D">
        <w:rPr>
          <w:rFonts w:ascii="Times New Roman" w:hAnsi="Times New Roman" w:cs="Times New Roman"/>
          <w:color w:val="000000" w:themeColor="text1"/>
          <w:sz w:val="20"/>
          <w:szCs w:val="20"/>
          <w:lang w:val="en-US"/>
        </w:rPr>
        <w:t>). Meanwhile, the remyelination that might be expected in the natural history of optic neuritis was excluded by selecting only those with</w:t>
      </w:r>
      <w:r w:rsidR="0005482B" w:rsidRPr="00003E8D">
        <w:rPr>
          <w:rFonts w:ascii="Times New Roman" w:hAnsi="Times New Roman" w:cs="Times New Roman"/>
          <w:color w:val="000000" w:themeColor="text1"/>
          <w:sz w:val="20"/>
          <w:szCs w:val="20"/>
          <w:lang w:val="en-US"/>
        </w:rPr>
        <w:t>out a history of</w:t>
      </w:r>
      <w:r w:rsidRPr="00003E8D">
        <w:rPr>
          <w:rFonts w:ascii="Times New Roman" w:hAnsi="Times New Roman" w:cs="Times New Roman"/>
          <w:color w:val="000000" w:themeColor="text1"/>
          <w:sz w:val="20"/>
          <w:szCs w:val="20"/>
          <w:lang w:val="en-US"/>
        </w:rPr>
        <w:t xml:space="preserve"> acute optic neuritis in the qualifying eye within the last 5 years, or in either eye in the last 6 months.   </w:t>
      </w:r>
    </w:p>
    <w:p w14:paraId="7178FEC5" w14:textId="11B3ABBE" w:rsidR="003D1974" w:rsidRDefault="00EB2FDB" w:rsidP="00E17010">
      <w:pPr>
        <w:widowControl w:val="0"/>
        <w:autoSpaceDE w:val="0"/>
        <w:autoSpaceDN w:val="0"/>
        <w:adjustRightInd w:val="0"/>
        <w:spacing w:line="480" w:lineRule="auto"/>
        <w:ind w:firstLine="720"/>
        <w:rPr>
          <w:rFonts w:ascii="Times New Roman" w:hAnsi="Times New Roman" w:cs="Times New Roman"/>
          <w:color w:val="000000" w:themeColor="text1"/>
          <w:sz w:val="20"/>
          <w:szCs w:val="20"/>
          <w:lang w:val="en-US"/>
        </w:rPr>
      </w:pPr>
      <w:r w:rsidRPr="00003E8D">
        <w:rPr>
          <w:rFonts w:ascii="Times New Roman" w:hAnsi="Times New Roman" w:cs="Times New Roman"/>
          <w:color w:val="000000" w:themeColor="text1"/>
          <w:sz w:val="20"/>
          <w:szCs w:val="20"/>
          <w:lang w:val="en-US"/>
        </w:rPr>
        <w:t xml:space="preserve">The study design saw participants divided into two groups but ensured that all had access to the study drug (which is readily available </w:t>
      </w:r>
      <w:r w:rsidR="002F0FD5">
        <w:rPr>
          <w:rFonts w:ascii="Times New Roman" w:hAnsi="Times New Roman" w:cs="Times New Roman"/>
          <w:color w:val="000000" w:themeColor="text1"/>
          <w:sz w:val="20"/>
          <w:szCs w:val="20"/>
          <w:lang w:val="en-US"/>
        </w:rPr>
        <w:t xml:space="preserve">in the US </w:t>
      </w:r>
      <w:r w:rsidRPr="00003E8D">
        <w:rPr>
          <w:rFonts w:ascii="Times New Roman" w:hAnsi="Times New Roman" w:cs="Times New Roman"/>
          <w:color w:val="000000" w:themeColor="text1"/>
          <w:sz w:val="20"/>
          <w:szCs w:val="20"/>
          <w:lang w:val="en-US"/>
        </w:rPr>
        <w:t>without prescript</w:t>
      </w:r>
      <w:r w:rsidR="009A0B01" w:rsidRPr="00003E8D">
        <w:rPr>
          <w:rFonts w:ascii="Times New Roman" w:hAnsi="Times New Roman" w:cs="Times New Roman"/>
          <w:color w:val="000000" w:themeColor="text1"/>
          <w:sz w:val="20"/>
          <w:szCs w:val="20"/>
          <w:lang w:val="en-US"/>
        </w:rPr>
        <w:t>ion).  25 were given 5.36</w:t>
      </w:r>
      <w:r w:rsidR="00AF0453">
        <w:rPr>
          <w:rFonts w:ascii="Times New Roman" w:hAnsi="Times New Roman" w:cs="Times New Roman"/>
          <w:color w:val="000000" w:themeColor="text1"/>
          <w:sz w:val="20"/>
          <w:szCs w:val="20"/>
          <w:lang w:val="en-US"/>
        </w:rPr>
        <w:t xml:space="preserve"> </w:t>
      </w:r>
      <w:r w:rsidR="009A0B01" w:rsidRPr="00003E8D">
        <w:rPr>
          <w:rFonts w:ascii="Times New Roman" w:hAnsi="Times New Roman" w:cs="Times New Roman"/>
          <w:color w:val="000000" w:themeColor="text1"/>
          <w:sz w:val="20"/>
          <w:szCs w:val="20"/>
          <w:lang w:val="en-US"/>
        </w:rPr>
        <w:t>mg of c</w:t>
      </w:r>
      <w:r w:rsidRPr="00003E8D">
        <w:rPr>
          <w:rFonts w:ascii="Times New Roman" w:hAnsi="Times New Roman" w:cs="Times New Roman"/>
          <w:color w:val="000000" w:themeColor="text1"/>
          <w:sz w:val="20"/>
          <w:szCs w:val="20"/>
          <w:lang w:val="en-US"/>
        </w:rPr>
        <w:t>lemastine twice daily for 90 days followed by placebo for 60 days (group 1), while a further 25 patients were given placebo for 90 days followed by cle</w:t>
      </w:r>
      <w:r w:rsidR="003D1974">
        <w:rPr>
          <w:rFonts w:ascii="Times New Roman" w:hAnsi="Times New Roman" w:cs="Times New Roman"/>
          <w:color w:val="000000" w:themeColor="text1"/>
          <w:sz w:val="20"/>
          <w:szCs w:val="20"/>
          <w:lang w:val="en-US"/>
        </w:rPr>
        <w:t xml:space="preserve">mastine for 60 days (group 2). </w:t>
      </w:r>
    </w:p>
    <w:p w14:paraId="005E927B" w14:textId="023202EA" w:rsidR="00EB2FDB" w:rsidRPr="003D1974" w:rsidRDefault="00EB2FDB" w:rsidP="00E17010">
      <w:pPr>
        <w:widowControl w:val="0"/>
        <w:autoSpaceDE w:val="0"/>
        <w:autoSpaceDN w:val="0"/>
        <w:adjustRightInd w:val="0"/>
        <w:spacing w:line="480" w:lineRule="auto"/>
        <w:ind w:firstLine="720"/>
        <w:rPr>
          <w:rFonts w:ascii="Times New Roman" w:hAnsi="Times New Roman" w:cs="Times New Roman"/>
          <w:color w:val="000000" w:themeColor="text1"/>
          <w:sz w:val="20"/>
          <w:szCs w:val="20"/>
          <w:lang w:val="en-US"/>
        </w:rPr>
      </w:pPr>
      <w:r w:rsidRPr="00003E8D">
        <w:rPr>
          <w:rFonts w:ascii="Times New Roman" w:hAnsi="Times New Roman" w:cs="Times New Roman"/>
          <w:color w:val="000000" w:themeColor="text1"/>
          <w:sz w:val="20"/>
          <w:szCs w:val="20"/>
          <w:lang w:val="en-US"/>
        </w:rPr>
        <w:t>The results of this were rather promising. VEP P100 full-field latency was reduced by 1.7</w:t>
      </w:r>
      <w:r w:rsidR="00AF0453">
        <w:rPr>
          <w:rFonts w:ascii="Times New Roman" w:hAnsi="Times New Roman" w:cs="Times New Roman"/>
          <w:color w:val="000000" w:themeColor="text1"/>
          <w:sz w:val="20"/>
          <w:szCs w:val="20"/>
          <w:lang w:val="en-US"/>
        </w:rPr>
        <w:t xml:space="preserve"> </w:t>
      </w:r>
      <w:proofErr w:type="spellStart"/>
      <w:r w:rsidRPr="00003E8D">
        <w:rPr>
          <w:rFonts w:ascii="Times New Roman" w:hAnsi="Times New Roman" w:cs="Times New Roman"/>
          <w:color w:val="000000" w:themeColor="text1"/>
          <w:sz w:val="20"/>
          <w:szCs w:val="20"/>
          <w:lang w:val="en-US"/>
        </w:rPr>
        <w:t>ms</w:t>
      </w:r>
      <w:proofErr w:type="spellEnd"/>
      <w:r w:rsidRPr="00003E8D">
        <w:rPr>
          <w:rFonts w:ascii="Times New Roman" w:hAnsi="Times New Roman" w:cs="Times New Roman"/>
          <w:color w:val="000000" w:themeColor="text1"/>
          <w:sz w:val="20"/>
          <w:szCs w:val="20"/>
          <w:lang w:val="en-US"/>
        </w:rPr>
        <w:t>/eye (p=0.0048) in the cross over model. Furthermore, the clinical effect of clemastine was sustained in group 1 after switching to placebo. Thus</w:t>
      </w:r>
      <w:r w:rsidR="00AF0453">
        <w:rPr>
          <w:rFonts w:ascii="Times New Roman" w:hAnsi="Times New Roman" w:cs="Times New Roman"/>
          <w:color w:val="000000" w:themeColor="text1"/>
          <w:sz w:val="20"/>
          <w:szCs w:val="20"/>
          <w:lang w:val="en-US"/>
        </w:rPr>
        <w:t>,</w:t>
      </w:r>
      <w:r w:rsidRPr="00003E8D">
        <w:rPr>
          <w:rFonts w:ascii="Times New Roman" w:hAnsi="Times New Roman" w:cs="Times New Roman"/>
          <w:color w:val="000000" w:themeColor="text1"/>
          <w:sz w:val="20"/>
          <w:szCs w:val="20"/>
          <w:lang w:val="en-US"/>
        </w:rPr>
        <w:t xml:space="preserve"> the cross-over model underestimates the actual effect, later demonstrated to be a 3.2</w:t>
      </w:r>
      <w:r w:rsidR="00AF0453">
        <w:rPr>
          <w:rFonts w:ascii="Times New Roman" w:hAnsi="Times New Roman" w:cs="Times New Roman"/>
          <w:color w:val="000000" w:themeColor="text1"/>
          <w:sz w:val="20"/>
          <w:szCs w:val="20"/>
          <w:lang w:val="en-US"/>
        </w:rPr>
        <w:t xml:space="preserve"> </w:t>
      </w:r>
      <w:proofErr w:type="spellStart"/>
      <w:r w:rsidRPr="00003E8D">
        <w:rPr>
          <w:rFonts w:ascii="Times New Roman" w:hAnsi="Times New Roman" w:cs="Times New Roman"/>
          <w:color w:val="000000" w:themeColor="text1"/>
          <w:sz w:val="20"/>
          <w:szCs w:val="20"/>
          <w:lang w:val="en-US"/>
        </w:rPr>
        <w:t>ms</w:t>
      </w:r>
      <w:proofErr w:type="spellEnd"/>
      <w:r w:rsidRPr="00003E8D">
        <w:rPr>
          <w:rFonts w:ascii="Times New Roman" w:hAnsi="Times New Roman" w:cs="Times New Roman"/>
          <w:color w:val="000000" w:themeColor="text1"/>
          <w:sz w:val="20"/>
          <w:szCs w:val="20"/>
          <w:lang w:val="en-US"/>
        </w:rPr>
        <w:t xml:space="preserve"> reduction in P100 latency.</w:t>
      </w:r>
      <w:r w:rsidR="0087776C" w:rsidRPr="00003E8D">
        <w:rPr>
          <w:rFonts w:ascii="Times New Roman" w:hAnsi="Times New Roman" w:cs="Times New Roman"/>
          <w:color w:val="000000" w:themeColor="text1"/>
          <w:sz w:val="20"/>
          <w:szCs w:val="20"/>
          <w:lang w:val="en-US"/>
        </w:rPr>
        <w:t xml:space="preserve"> Further, there was </w:t>
      </w:r>
      <w:r w:rsidR="00C35036" w:rsidRPr="00003E8D">
        <w:rPr>
          <w:rFonts w:ascii="Times New Roman" w:hAnsi="Times New Roman" w:cs="Times New Roman"/>
          <w:color w:val="000000" w:themeColor="text1"/>
          <w:sz w:val="20"/>
          <w:szCs w:val="20"/>
          <w:lang w:val="en-US"/>
        </w:rPr>
        <w:t>a significant improvement in a functional outcome, low contrast letter acuity, when the</w:t>
      </w:r>
      <w:r w:rsidR="001348AC" w:rsidRPr="00003E8D">
        <w:rPr>
          <w:rFonts w:ascii="Times New Roman" w:hAnsi="Times New Roman" w:cs="Times New Roman"/>
          <w:color w:val="000000" w:themeColor="text1"/>
          <w:sz w:val="20"/>
          <w:szCs w:val="20"/>
        </w:rPr>
        <w:t xml:space="preserve"> delayed treatment analysis was employed</w:t>
      </w:r>
      <w:r w:rsidR="009914DE">
        <w:rPr>
          <w:rFonts w:ascii="Times New Roman" w:hAnsi="Times New Roman" w:cs="Times New Roman"/>
          <w:color w:val="000000" w:themeColor="text1"/>
          <w:sz w:val="20"/>
          <w:szCs w:val="20"/>
        </w:rPr>
        <w:t>.</w:t>
      </w:r>
      <w:r w:rsidR="001348AC" w:rsidRPr="00003E8D">
        <w:rPr>
          <w:rFonts w:ascii="Times New Roman" w:hAnsi="Times New Roman" w:cs="Times New Roman"/>
          <w:color w:val="000000" w:themeColor="text1"/>
          <w:sz w:val="20"/>
          <w:szCs w:val="20"/>
          <w:lang w:val="en-US"/>
        </w:rPr>
        <w:t xml:space="preserve"> </w:t>
      </w:r>
      <w:r w:rsidRPr="00003E8D">
        <w:rPr>
          <w:rFonts w:ascii="Times New Roman" w:hAnsi="Times New Roman" w:cs="Times New Roman"/>
          <w:color w:val="000000" w:themeColor="text1"/>
          <w:sz w:val="20"/>
          <w:szCs w:val="20"/>
          <w:lang w:val="en-US"/>
        </w:rPr>
        <w:t>All the while, the drug was well tolerated, thoug</w:t>
      </w:r>
      <w:r w:rsidR="003D1974">
        <w:rPr>
          <w:rFonts w:ascii="Times New Roman" w:hAnsi="Times New Roman" w:cs="Times New Roman"/>
          <w:color w:val="000000" w:themeColor="text1"/>
          <w:sz w:val="20"/>
          <w:szCs w:val="20"/>
          <w:lang w:val="en-US"/>
        </w:rPr>
        <w:t xml:space="preserve">h was associated with fatigue. </w:t>
      </w:r>
      <w:r w:rsidRPr="00003E8D">
        <w:rPr>
          <w:rFonts w:ascii="Times New Roman" w:hAnsi="Times New Roman" w:cs="Times New Roman"/>
          <w:color w:val="000000" w:themeColor="text1"/>
          <w:sz w:val="20"/>
          <w:szCs w:val="20"/>
          <w:lang w:val="en-US"/>
        </w:rPr>
        <w:t>Secondary endpoints were negative however</w:t>
      </w:r>
      <w:r w:rsidR="002F0FD5">
        <w:rPr>
          <w:rFonts w:ascii="Times New Roman" w:hAnsi="Times New Roman" w:cs="Times New Roman"/>
          <w:color w:val="000000" w:themeColor="text1"/>
          <w:sz w:val="20"/>
          <w:szCs w:val="20"/>
          <w:lang w:val="en-US"/>
        </w:rPr>
        <w:t>, including</w:t>
      </w:r>
      <w:r w:rsidRPr="00003E8D">
        <w:rPr>
          <w:rFonts w:ascii="Times New Roman" w:hAnsi="Times New Roman" w:cs="Times New Roman"/>
          <w:color w:val="000000" w:themeColor="text1"/>
          <w:sz w:val="20"/>
          <w:szCs w:val="20"/>
          <w:lang w:val="en-US"/>
        </w:rPr>
        <w:t xml:space="preserve"> MRI</w:t>
      </w:r>
      <w:r w:rsidR="001348AC" w:rsidRPr="00003E8D">
        <w:rPr>
          <w:rFonts w:ascii="Times New Roman" w:hAnsi="Times New Roman" w:cs="Times New Roman"/>
          <w:color w:val="000000" w:themeColor="text1"/>
          <w:sz w:val="20"/>
          <w:szCs w:val="20"/>
          <w:lang w:val="en-US"/>
        </w:rPr>
        <w:t xml:space="preserve"> assessments of myelin water fraction (MWF)</w:t>
      </w:r>
      <w:r w:rsidRPr="00003E8D">
        <w:rPr>
          <w:rFonts w:ascii="Times New Roman" w:hAnsi="Times New Roman" w:cs="Times New Roman"/>
          <w:color w:val="000000" w:themeColor="text1"/>
          <w:sz w:val="20"/>
          <w:szCs w:val="20"/>
          <w:lang w:val="en-US"/>
        </w:rPr>
        <w:t xml:space="preserve">, whole brain </w:t>
      </w:r>
      <w:r w:rsidR="001348AC" w:rsidRPr="00003E8D">
        <w:rPr>
          <w:rFonts w:ascii="Times New Roman" w:hAnsi="Times New Roman" w:cs="Times New Roman"/>
          <w:color w:val="000000" w:themeColor="text1"/>
          <w:sz w:val="20"/>
          <w:szCs w:val="20"/>
          <w:lang w:val="en-US"/>
        </w:rPr>
        <w:t>MTR</w:t>
      </w:r>
      <w:r w:rsidRPr="00003E8D">
        <w:rPr>
          <w:rFonts w:ascii="Times New Roman" w:hAnsi="Times New Roman" w:cs="Times New Roman"/>
          <w:color w:val="000000" w:themeColor="text1"/>
          <w:sz w:val="20"/>
          <w:szCs w:val="20"/>
          <w:lang w:val="en-US"/>
        </w:rPr>
        <w:t xml:space="preserve">, white matter MTR, and white matter fractional anisotropy (FA).  </w:t>
      </w:r>
      <w:r w:rsidR="002F0FD5">
        <w:rPr>
          <w:rFonts w:ascii="Times New Roman" w:hAnsi="Times New Roman" w:cs="Times New Roman"/>
          <w:color w:val="000000" w:themeColor="text1"/>
          <w:sz w:val="20"/>
          <w:szCs w:val="20"/>
          <w:lang w:val="en-US"/>
        </w:rPr>
        <w:t>There was no effect on the</w:t>
      </w:r>
      <w:r w:rsidRPr="00003E8D">
        <w:rPr>
          <w:rFonts w:ascii="Times New Roman" w:hAnsi="Times New Roman" w:cs="Times New Roman"/>
          <w:color w:val="000000" w:themeColor="text1"/>
          <w:sz w:val="20"/>
          <w:szCs w:val="20"/>
          <w:lang w:val="en-US"/>
        </w:rPr>
        <w:t xml:space="preserve"> </w:t>
      </w:r>
      <w:r w:rsidR="005155BB" w:rsidRPr="00003E8D">
        <w:rPr>
          <w:rFonts w:ascii="Times New Roman" w:hAnsi="Times New Roman" w:cs="Times New Roman"/>
          <w:color w:val="000000" w:themeColor="text1"/>
          <w:sz w:val="20"/>
          <w:szCs w:val="20"/>
          <w:lang w:val="en-US"/>
        </w:rPr>
        <w:t>expanded disability status scale</w:t>
      </w:r>
      <w:r w:rsidR="009A0B01" w:rsidRPr="00003E8D">
        <w:rPr>
          <w:rFonts w:ascii="Times New Roman" w:hAnsi="Times New Roman" w:cs="Times New Roman"/>
          <w:color w:val="000000" w:themeColor="text1"/>
          <w:sz w:val="20"/>
          <w:szCs w:val="20"/>
          <w:lang w:val="en-US"/>
        </w:rPr>
        <w:t xml:space="preserve"> (EDSS)</w:t>
      </w:r>
      <w:r w:rsidRPr="00003E8D">
        <w:rPr>
          <w:rFonts w:ascii="Times New Roman" w:hAnsi="Times New Roman" w:cs="Times New Roman"/>
          <w:color w:val="000000" w:themeColor="text1"/>
          <w:sz w:val="20"/>
          <w:szCs w:val="20"/>
          <w:lang w:val="en-US"/>
        </w:rPr>
        <w:t xml:space="preserve">, </w:t>
      </w:r>
      <w:r w:rsidR="00843289" w:rsidRPr="00003E8D">
        <w:rPr>
          <w:rFonts w:ascii="Times New Roman" w:hAnsi="Times New Roman" w:cs="Times New Roman"/>
          <w:color w:val="000000" w:themeColor="text1"/>
          <w:sz w:val="20"/>
          <w:szCs w:val="20"/>
          <w:lang w:val="en-US"/>
        </w:rPr>
        <w:t xml:space="preserve">a timed 25-foot </w:t>
      </w:r>
      <w:r w:rsidR="005155BB" w:rsidRPr="00003E8D">
        <w:rPr>
          <w:rFonts w:ascii="Times New Roman" w:hAnsi="Times New Roman" w:cs="Times New Roman"/>
          <w:color w:val="000000" w:themeColor="text1"/>
          <w:sz w:val="20"/>
          <w:szCs w:val="20"/>
          <w:lang w:val="en-US"/>
        </w:rPr>
        <w:t>walk</w:t>
      </w:r>
      <w:r w:rsidRPr="00003E8D">
        <w:rPr>
          <w:rFonts w:ascii="Times New Roman" w:hAnsi="Times New Roman" w:cs="Times New Roman"/>
          <w:color w:val="000000" w:themeColor="text1"/>
          <w:sz w:val="20"/>
          <w:szCs w:val="20"/>
          <w:lang w:val="en-US"/>
        </w:rPr>
        <w:t xml:space="preserve"> and </w:t>
      </w:r>
      <w:r w:rsidR="005155BB" w:rsidRPr="00003E8D">
        <w:rPr>
          <w:rFonts w:ascii="Times New Roman" w:hAnsi="Times New Roman" w:cs="Times New Roman"/>
          <w:color w:val="000000" w:themeColor="text1"/>
          <w:sz w:val="20"/>
          <w:szCs w:val="20"/>
          <w:lang w:val="en-US"/>
        </w:rPr>
        <w:t>the 6</w:t>
      </w:r>
      <w:r w:rsidR="005D4E7D" w:rsidRPr="00003E8D">
        <w:rPr>
          <w:rFonts w:ascii="Times New Roman" w:hAnsi="Times New Roman" w:cs="Times New Roman"/>
          <w:color w:val="000000" w:themeColor="text1"/>
          <w:sz w:val="20"/>
          <w:szCs w:val="20"/>
          <w:lang w:val="en-US"/>
        </w:rPr>
        <w:t>-</w:t>
      </w:r>
      <w:r w:rsidR="005155BB" w:rsidRPr="00003E8D">
        <w:rPr>
          <w:rFonts w:ascii="Times New Roman" w:hAnsi="Times New Roman" w:cs="Times New Roman"/>
          <w:color w:val="000000" w:themeColor="text1"/>
          <w:sz w:val="20"/>
          <w:szCs w:val="20"/>
          <w:lang w:val="en-US"/>
        </w:rPr>
        <w:t>minute walk test</w:t>
      </w:r>
      <w:r w:rsidR="003D1974">
        <w:rPr>
          <w:rFonts w:ascii="Times New Roman" w:hAnsi="Times New Roman" w:cs="Times New Roman"/>
          <w:color w:val="000000" w:themeColor="text1"/>
          <w:sz w:val="20"/>
          <w:szCs w:val="20"/>
          <w:lang w:val="en-US"/>
        </w:rPr>
        <w:t xml:space="preserve">. </w:t>
      </w:r>
    </w:p>
    <w:p w14:paraId="472622F1" w14:textId="1FEBAD41" w:rsidR="00EB2FDB" w:rsidRPr="00003E8D" w:rsidRDefault="005155BB" w:rsidP="00AC4F0E">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This positive trial</w:t>
      </w:r>
      <w:r w:rsidR="00EB2FDB" w:rsidRPr="00003E8D">
        <w:rPr>
          <w:rFonts w:ascii="Times New Roman" w:hAnsi="Times New Roman" w:cs="Times New Roman"/>
          <w:color w:val="000000" w:themeColor="text1"/>
          <w:sz w:val="20"/>
          <w:szCs w:val="20"/>
        </w:rPr>
        <w:t xml:space="preserve"> ha</w:t>
      </w:r>
      <w:r w:rsidR="009A0B01" w:rsidRPr="00003E8D">
        <w:rPr>
          <w:rFonts w:ascii="Times New Roman" w:hAnsi="Times New Roman" w:cs="Times New Roman"/>
          <w:color w:val="000000" w:themeColor="text1"/>
          <w:sz w:val="20"/>
          <w:szCs w:val="20"/>
        </w:rPr>
        <w:t>s provided some optimism about c</w:t>
      </w:r>
      <w:r w:rsidR="00EB2FDB" w:rsidRPr="00003E8D">
        <w:rPr>
          <w:rFonts w:ascii="Times New Roman" w:hAnsi="Times New Roman" w:cs="Times New Roman"/>
          <w:color w:val="000000" w:themeColor="text1"/>
          <w:sz w:val="20"/>
          <w:szCs w:val="20"/>
        </w:rPr>
        <w:t xml:space="preserve">lemastine, though </w:t>
      </w:r>
      <w:r w:rsidR="002F0FD5">
        <w:rPr>
          <w:rFonts w:ascii="Times New Roman" w:hAnsi="Times New Roman" w:cs="Times New Roman"/>
          <w:color w:val="000000" w:themeColor="text1"/>
          <w:sz w:val="20"/>
          <w:szCs w:val="20"/>
        </w:rPr>
        <w:t>its selective inc</w:t>
      </w:r>
      <w:r w:rsidR="00AF0453">
        <w:rPr>
          <w:rFonts w:ascii="Times New Roman" w:hAnsi="Times New Roman" w:cs="Times New Roman"/>
          <w:color w:val="000000" w:themeColor="text1"/>
          <w:sz w:val="20"/>
          <w:szCs w:val="20"/>
        </w:rPr>
        <w:t>lu</w:t>
      </w:r>
      <w:r w:rsidR="002F0FD5">
        <w:rPr>
          <w:rFonts w:ascii="Times New Roman" w:hAnsi="Times New Roman" w:cs="Times New Roman"/>
          <w:color w:val="000000" w:themeColor="text1"/>
          <w:sz w:val="20"/>
          <w:szCs w:val="20"/>
        </w:rPr>
        <w:t xml:space="preserve">sion criteria raise the possibility that the results </w:t>
      </w:r>
      <w:r w:rsidR="00AF0453">
        <w:rPr>
          <w:rFonts w:ascii="Times New Roman" w:hAnsi="Times New Roman" w:cs="Times New Roman"/>
          <w:color w:val="000000" w:themeColor="text1"/>
          <w:sz w:val="20"/>
          <w:szCs w:val="20"/>
        </w:rPr>
        <w:t>are</w:t>
      </w:r>
      <w:r w:rsidR="002F0FD5">
        <w:rPr>
          <w:rFonts w:ascii="Times New Roman" w:hAnsi="Times New Roman" w:cs="Times New Roman"/>
          <w:color w:val="000000" w:themeColor="text1"/>
          <w:sz w:val="20"/>
          <w:szCs w:val="20"/>
        </w:rPr>
        <w:t xml:space="preserve"> not generalizable; </w:t>
      </w:r>
      <w:r w:rsidR="00EB2FDB" w:rsidRPr="00003E8D">
        <w:rPr>
          <w:rFonts w:ascii="Times New Roman" w:hAnsi="Times New Roman" w:cs="Times New Roman"/>
          <w:color w:val="000000" w:themeColor="text1"/>
          <w:sz w:val="20"/>
          <w:szCs w:val="20"/>
        </w:rPr>
        <w:t xml:space="preserve">75 </w:t>
      </w:r>
      <w:r w:rsidR="002F0FD5">
        <w:rPr>
          <w:rFonts w:ascii="Times New Roman" w:hAnsi="Times New Roman" w:cs="Times New Roman"/>
          <w:color w:val="000000" w:themeColor="text1"/>
          <w:sz w:val="20"/>
          <w:szCs w:val="20"/>
        </w:rPr>
        <w:t xml:space="preserve">patients </w:t>
      </w:r>
      <w:r w:rsidR="00EB2FDB" w:rsidRPr="00003E8D">
        <w:rPr>
          <w:rFonts w:ascii="Times New Roman" w:hAnsi="Times New Roman" w:cs="Times New Roman"/>
          <w:color w:val="000000" w:themeColor="text1"/>
          <w:sz w:val="20"/>
          <w:szCs w:val="20"/>
        </w:rPr>
        <w:t xml:space="preserve">were excluded based on VEPs. The </w:t>
      </w:r>
      <w:proofErr w:type="spellStart"/>
      <w:r w:rsidR="00EB2FDB" w:rsidRPr="00003E8D">
        <w:rPr>
          <w:rFonts w:ascii="Times New Roman" w:hAnsi="Times New Roman" w:cs="Times New Roman"/>
          <w:color w:val="000000" w:themeColor="text1"/>
          <w:sz w:val="20"/>
          <w:szCs w:val="20"/>
        </w:rPr>
        <w:t>ReCOVER</w:t>
      </w:r>
      <w:proofErr w:type="spellEnd"/>
      <w:r w:rsidR="00EB2FDB" w:rsidRPr="00003E8D">
        <w:rPr>
          <w:rFonts w:ascii="Times New Roman" w:hAnsi="Times New Roman" w:cs="Times New Roman"/>
          <w:color w:val="000000" w:themeColor="text1"/>
          <w:sz w:val="20"/>
          <w:szCs w:val="20"/>
        </w:rPr>
        <w:t xml:space="preserve"> trial (NCT02521311) will, no doubt, advance things further as</w:t>
      </w:r>
      <w:r w:rsidR="009A0B01" w:rsidRPr="00003E8D">
        <w:rPr>
          <w:rFonts w:ascii="Times New Roman" w:hAnsi="Times New Roman" w:cs="Times New Roman"/>
          <w:color w:val="000000" w:themeColor="text1"/>
          <w:sz w:val="20"/>
          <w:szCs w:val="20"/>
        </w:rPr>
        <w:t xml:space="preserve"> it investigates the effect of c</w:t>
      </w:r>
      <w:r w:rsidR="00EB2FDB" w:rsidRPr="00003E8D">
        <w:rPr>
          <w:rFonts w:ascii="Times New Roman" w:hAnsi="Times New Roman" w:cs="Times New Roman"/>
          <w:color w:val="000000" w:themeColor="text1"/>
          <w:sz w:val="20"/>
          <w:szCs w:val="20"/>
        </w:rPr>
        <w:t>lemastine (4mg three times daily for 1 week, followed by 4mg twice daily until 3 months treatment) in patients with acute optic neuritis.</w:t>
      </w:r>
      <w:r w:rsidR="00567D7E">
        <w:rPr>
          <w:rFonts w:ascii="Times New Roman" w:hAnsi="Times New Roman" w:cs="Times New Roman"/>
          <w:color w:val="000000" w:themeColor="text1"/>
          <w:sz w:val="20"/>
          <w:szCs w:val="20"/>
        </w:rPr>
        <w:t xml:space="preserve"> </w:t>
      </w:r>
      <w:r w:rsidR="00AC4F0E">
        <w:rPr>
          <w:rFonts w:ascii="Times New Roman" w:hAnsi="Times New Roman" w:cs="Times New Roman"/>
          <w:color w:val="000000" w:themeColor="text1"/>
          <w:sz w:val="20"/>
          <w:szCs w:val="20"/>
        </w:rPr>
        <w:t xml:space="preserve">However, its clinical </w:t>
      </w:r>
      <w:r w:rsidR="001B211D">
        <w:rPr>
          <w:rFonts w:ascii="Times New Roman" w:hAnsi="Times New Roman" w:cs="Times New Roman"/>
          <w:color w:val="000000" w:themeColor="text1"/>
          <w:sz w:val="20"/>
          <w:szCs w:val="20"/>
        </w:rPr>
        <w:t>role</w:t>
      </w:r>
      <w:r w:rsidR="00AC4F0E">
        <w:rPr>
          <w:rFonts w:ascii="Times New Roman" w:hAnsi="Times New Roman" w:cs="Times New Roman"/>
          <w:color w:val="000000" w:themeColor="text1"/>
          <w:sz w:val="20"/>
          <w:szCs w:val="20"/>
        </w:rPr>
        <w:t xml:space="preserve"> </w:t>
      </w:r>
      <w:r w:rsidR="003C6608">
        <w:rPr>
          <w:rFonts w:ascii="Times New Roman" w:hAnsi="Times New Roman" w:cs="Times New Roman"/>
          <w:color w:val="000000" w:themeColor="text1"/>
          <w:sz w:val="20"/>
          <w:szCs w:val="20"/>
        </w:rPr>
        <w:t>needs</w:t>
      </w:r>
      <w:r w:rsidR="00AC4F0E">
        <w:rPr>
          <w:rFonts w:ascii="Times New Roman" w:hAnsi="Times New Roman" w:cs="Times New Roman"/>
          <w:color w:val="000000" w:themeColor="text1"/>
          <w:sz w:val="20"/>
          <w:szCs w:val="20"/>
        </w:rPr>
        <w:t xml:space="preserve"> further </w:t>
      </w:r>
      <w:r w:rsidR="003C6608">
        <w:rPr>
          <w:rFonts w:ascii="Times New Roman" w:hAnsi="Times New Roman" w:cs="Times New Roman"/>
          <w:color w:val="000000" w:themeColor="text1"/>
          <w:sz w:val="20"/>
          <w:szCs w:val="20"/>
        </w:rPr>
        <w:t>definition</w:t>
      </w:r>
      <w:r w:rsidR="001B211D">
        <w:rPr>
          <w:rFonts w:ascii="Times New Roman" w:hAnsi="Times New Roman" w:cs="Times New Roman"/>
          <w:color w:val="000000" w:themeColor="text1"/>
          <w:sz w:val="20"/>
          <w:szCs w:val="20"/>
        </w:rPr>
        <w:t xml:space="preserve"> before widespread use</w:t>
      </w:r>
      <w:r w:rsidR="00AC4F0E">
        <w:rPr>
          <w:rFonts w:ascii="Times New Roman" w:hAnsi="Times New Roman" w:cs="Times New Roman"/>
          <w:color w:val="000000" w:themeColor="text1"/>
          <w:sz w:val="20"/>
          <w:szCs w:val="20"/>
        </w:rPr>
        <w:t>: th</w:t>
      </w:r>
      <w:r w:rsidR="003C6608">
        <w:rPr>
          <w:rFonts w:ascii="Times New Roman" w:hAnsi="Times New Roman" w:cs="Times New Roman"/>
          <w:color w:val="000000" w:themeColor="text1"/>
          <w:sz w:val="20"/>
          <w:szCs w:val="20"/>
        </w:rPr>
        <w:t xml:space="preserve">e </w:t>
      </w:r>
      <w:proofErr w:type="spellStart"/>
      <w:r w:rsidR="003C6608">
        <w:rPr>
          <w:rFonts w:ascii="Times New Roman" w:hAnsi="Times New Roman" w:cs="Times New Roman"/>
          <w:color w:val="000000" w:themeColor="text1"/>
          <w:sz w:val="20"/>
          <w:szCs w:val="20"/>
        </w:rPr>
        <w:t>ReBUILD</w:t>
      </w:r>
      <w:proofErr w:type="spellEnd"/>
      <w:r w:rsidR="003C6608">
        <w:rPr>
          <w:rFonts w:ascii="Times New Roman" w:hAnsi="Times New Roman" w:cs="Times New Roman"/>
          <w:color w:val="000000" w:themeColor="text1"/>
          <w:sz w:val="20"/>
          <w:szCs w:val="20"/>
        </w:rPr>
        <w:t xml:space="preserve"> result </w:t>
      </w:r>
      <w:r w:rsidR="00AC4F0E">
        <w:rPr>
          <w:rFonts w:ascii="Times New Roman" w:hAnsi="Times New Roman" w:cs="Times New Roman"/>
          <w:color w:val="000000" w:themeColor="text1"/>
          <w:sz w:val="20"/>
          <w:szCs w:val="20"/>
        </w:rPr>
        <w:t>requires</w:t>
      </w:r>
      <w:r w:rsidR="003C6608">
        <w:rPr>
          <w:rFonts w:ascii="Times New Roman" w:hAnsi="Times New Roman" w:cs="Times New Roman"/>
          <w:color w:val="000000" w:themeColor="text1"/>
          <w:sz w:val="20"/>
          <w:szCs w:val="20"/>
        </w:rPr>
        <w:t xml:space="preserve"> </w:t>
      </w:r>
      <w:r w:rsidR="007114FB">
        <w:rPr>
          <w:rFonts w:ascii="Times New Roman" w:hAnsi="Times New Roman" w:cs="Times New Roman"/>
          <w:color w:val="000000" w:themeColor="text1"/>
          <w:sz w:val="20"/>
          <w:szCs w:val="20"/>
        </w:rPr>
        <w:t>progression</w:t>
      </w:r>
      <w:r w:rsidR="00AC4F0E">
        <w:rPr>
          <w:rFonts w:ascii="Times New Roman" w:hAnsi="Times New Roman" w:cs="Times New Roman"/>
          <w:color w:val="000000" w:themeColor="text1"/>
          <w:sz w:val="20"/>
          <w:szCs w:val="20"/>
        </w:rPr>
        <w:t xml:space="preserve"> </w:t>
      </w:r>
      <w:r w:rsidR="007114FB">
        <w:rPr>
          <w:rFonts w:ascii="Times New Roman" w:hAnsi="Times New Roman" w:cs="Times New Roman"/>
          <w:color w:val="000000" w:themeColor="text1"/>
          <w:sz w:val="20"/>
          <w:szCs w:val="20"/>
        </w:rPr>
        <w:t>to</w:t>
      </w:r>
      <w:r w:rsidR="00AC4F0E">
        <w:rPr>
          <w:rFonts w:ascii="Times New Roman" w:hAnsi="Times New Roman" w:cs="Times New Roman"/>
          <w:color w:val="000000" w:themeColor="text1"/>
          <w:sz w:val="20"/>
          <w:szCs w:val="20"/>
        </w:rPr>
        <w:t xml:space="preserve"> phase 3 studies,</w:t>
      </w:r>
      <w:r w:rsidR="007114FB">
        <w:rPr>
          <w:rFonts w:ascii="Times New Roman" w:hAnsi="Times New Roman" w:cs="Times New Roman"/>
          <w:color w:val="000000" w:themeColor="text1"/>
          <w:sz w:val="20"/>
          <w:szCs w:val="20"/>
        </w:rPr>
        <w:t xml:space="preserve"> clemastine should be trialled in progressive cohorts,</w:t>
      </w:r>
      <w:r w:rsidR="00AC4F0E">
        <w:rPr>
          <w:rFonts w:ascii="Times New Roman" w:hAnsi="Times New Roman" w:cs="Times New Roman"/>
          <w:color w:val="000000" w:themeColor="text1"/>
          <w:sz w:val="20"/>
          <w:szCs w:val="20"/>
        </w:rPr>
        <w:t xml:space="preserve"> and the possibility of combin</w:t>
      </w:r>
      <w:r w:rsidR="007114FB">
        <w:rPr>
          <w:rFonts w:ascii="Times New Roman" w:hAnsi="Times New Roman" w:cs="Times New Roman"/>
          <w:color w:val="000000" w:themeColor="text1"/>
          <w:sz w:val="20"/>
          <w:szCs w:val="20"/>
        </w:rPr>
        <w:t>ing treatments</w:t>
      </w:r>
      <w:r w:rsidR="00AC4F0E">
        <w:rPr>
          <w:rFonts w:ascii="Times New Roman" w:hAnsi="Times New Roman" w:cs="Times New Roman"/>
          <w:color w:val="000000" w:themeColor="text1"/>
          <w:sz w:val="20"/>
          <w:szCs w:val="20"/>
        </w:rPr>
        <w:t xml:space="preserve">, such as </w:t>
      </w:r>
      <w:r w:rsidR="001B211D">
        <w:rPr>
          <w:rFonts w:ascii="Times New Roman" w:hAnsi="Times New Roman" w:cs="Times New Roman"/>
          <w:color w:val="000000" w:themeColor="text1"/>
          <w:sz w:val="20"/>
          <w:szCs w:val="20"/>
        </w:rPr>
        <w:t>with the</w:t>
      </w:r>
      <w:r w:rsidR="007114FB">
        <w:rPr>
          <w:rFonts w:ascii="Times New Roman" w:hAnsi="Times New Roman" w:cs="Times New Roman"/>
          <w:color w:val="000000" w:themeColor="text1"/>
          <w:sz w:val="20"/>
          <w:szCs w:val="20"/>
        </w:rPr>
        <w:t xml:space="preserve"> potential synergistic effect of </w:t>
      </w:r>
      <w:r w:rsidR="00AC4F0E">
        <w:rPr>
          <w:rFonts w:ascii="Times New Roman" w:hAnsi="Times New Roman" w:cs="Times New Roman"/>
          <w:color w:val="000000" w:themeColor="text1"/>
          <w:sz w:val="20"/>
          <w:szCs w:val="20"/>
        </w:rPr>
        <w:t xml:space="preserve">metformin, </w:t>
      </w:r>
      <w:r w:rsidR="003C6608">
        <w:rPr>
          <w:rFonts w:ascii="Times New Roman" w:hAnsi="Times New Roman" w:cs="Times New Roman"/>
          <w:color w:val="000000" w:themeColor="text1"/>
          <w:sz w:val="20"/>
          <w:szCs w:val="20"/>
        </w:rPr>
        <w:t>requires</w:t>
      </w:r>
      <w:r w:rsidR="00AC4F0E">
        <w:rPr>
          <w:rFonts w:ascii="Times New Roman" w:hAnsi="Times New Roman" w:cs="Times New Roman"/>
          <w:color w:val="000000" w:themeColor="text1"/>
          <w:sz w:val="20"/>
          <w:szCs w:val="20"/>
        </w:rPr>
        <w:t xml:space="preserve"> investigation.</w:t>
      </w:r>
      <w:r w:rsidR="00EB2FDB" w:rsidRPr="00003E8D">
        <w:rPr>
          <w:rFonts w:ascii="Times New Roman" w:hAnsi="Times New Roman" w:cs="Times New Roman"/>
          <w:color w:val="000000" w:themeColor="text1"/>
          <w:sz w:val="20"/>
          <w:szCs w:val="20"/>
        </w:rPr>
        <w:t xml:space="preserve"> </w:t>
      </w:r>
    </w:p>
    <w:p w14:paraId="3A3B54D3" w14:textId="77777777" w:rsidR="00ED5433" w:rsidRPr="00003E8D" w:rsidRDefault="00ED5433" w:rsidP="00E17010">
      <w:pPr>
        <w:spacing w:line="480" w:lineRule="auto"/>
        <w:rPr>
          <w:rFonts w:ascii="Times New Roman" w:hAnsi="Times New Roman" w:cs="Times New Roman"/>
          <w:i/>
          <w:color w:val="000000" w:themeColor="text1"/>
          <w:sz w:val="20"/>
          <w:szCs w:val="20"/>
        </w:rPr>
      </w:pPr>
    </w:p>
    <w:p w14:paraId="01D409E8" w14:textId="6D7A5C98" w:rsidR="005D5CC7" w:rsidRPr="006E2684" w:rsidRDefault="00ED5433" w:rsidP="00E17010">
      <w:pPr>
        <w:spacing w:line="480" w:lineRule="auto"/>
        <w:rPr>
          <w:rFonts w:ascii="Times New Roman" w:hAnsi="Times New Roman" w:cs="Times New Roman"/>
          <w:i/>
          <w:color w:val="000000" w:themeColor="text1"/>
          <w:sz w:val="20"/>
          <w:szCs w:val="20"/>
        </w:rPr>
      </w:pPr>
      <w:proofErr w:type="spellStart"/>
      <w:r w:rsidRPr="003D1974">
        <w:rPr>
          <w:rFonts w:ascii="Times New Roman" w:hAnsi="Times New Roman" w:cs="Times New Roman"/>
          <w:b/>
          <w:i/>
          <w:color w:val="000000" w:themeColor="text1"/>
          <w:sz w:val="20"/>
          <w:szCs w:val="20"/>
        </w:rPr>
        <w:t>Opicinimab</w:t>
      </w:r>
      <w:proofErr w:type="spellEnd"/>
      <w:r w:rsidR="003D1974">
        <w:rPr>
          <w:rFonts w:ascii="Times New Roman" w:hAnsi="Times New Roman" w:cs="Times New Roman"/>
          <w:b/>
          <w:i/>
          <w:color w:val="000000" w:themeColor="text1"/>
          <w:sz w:val="20"/>
          <w:szCs w:val="20"/>
        </w:rPr>
        <w:t>.</w:t>
      </w:r>
      <w:r w:rsidR="003D1974">
        <w:rPr>
          <w:rFonts w:ascii="Times New Roman" w:hAnsi="Times New Roman" w:cs="Times New Roman"/>
          <w:i/>
          <w:color w:val="000000" w:themeColor="text1"/>
          <w:sz w:val="20"/>
          <w:szCs w:val="20"/>
        </w:rPr>
        <w:t xml:space="preserve"> </w:t>
      </w:r>
      <w:r w:rsidRPr="00003E8D">
        <w:rPr>
          <w:rFonts w:ascii="Times New Roman" w:hAnsi="Times New Roman" w:cs="Times New Roman"/>
          <w:color w:val="000000" w:themeColor="text1"/>
          <w:sz w:val="20"/>
          <w:szCs w:val="20"/>
        </w:rPr>
        <w:t>As m</w:t>
      </w:r>
      <w:r w:rsidR="00C600BD">
        <w:rPr>
          <w:rFonts w:ascii="Times New Roman" w:hAnsi="Times New Roman" w:cs="Times New Roman"/>
          <w:color w:val="000000" w:themeColor="text1"/>
          <w:sz w:val="20"/>
          <w:szCs w:val="20"/>
        </w:rPr>
        <w:t>entioned above, L</w:t>
      </w:r>
      <w:r w:rsidR="00B838C0">
        <w:rPr>
          <w:rFonts w:ascii="Times New Roman" w:hAnsi="Times New Roman" w:cs="Times New Roman"/>
          <w:color w:val="000000" w:themeColor="text1"/>
          <w:sz w:val="20"/>
          <w:szCs w:val="20"/>
        </w:rPr>
        <w:t>ingo</w:t>
      </w:r>
      <w:r w:rsidRPr="00003E8D">
        <w:rPr>
          <w:rFonts w:ascii="Times New Roman" w:hAnsi="Times New Roman" w:cs="Times New Roman"/>
          <w:color w:val="000000" w:themeColor="text1"/>
          <w:sz w:val="20"/>
          <w:szCs w:val="20"/>
        </w:rPr>
        <w:t>-1 is a negative regulator of olig</w:t>
      </w:r>
      <w:r w:rsidR="00C600BD">
        <w:rPr>
          <w:rFonts w:ascii="Times New Roman" w:hAnsi="Times New Roman" w:cs="Times New Roman"/>
          <w:color w:val="000000" w:themeColor="text1"/>
          <w:sz w:val="20"/>
          <w:szCs w:val="20"/>
        </w:rPr>
        <w:t xml:space="preserve">odendrocyte differentiation </w:t>
      </w:r>
      <w:r w:rsidRPr="00003E8D">
        <w:rPr>
          <w:rFonts w:ascii="Times New Roman" w:hAnsi="Times New Roman" w:cs="Times New Roman"/>
          <w:color w:val="000000" w:themeColor="text1"/>
          <w:sz w:val="20"/>
          <w:szCs w:val="20"/>
        </w:rPr>
        <w:t xml:space="preserve">and its antagonism has been shown </w:t>
      </w:r>
      <w:r w:rsidRPr="001E46FB">
        <w:rPr>
          <w:rFonts w:ascii="Times New Roman" w:hAnsi="Times New Roman" w:cs="Times New Roman"/>
          <w:color w:val="000000" w:themeColor="text1"/>
          <w:sz w:val="20"/>
          <w:szCs w:val="20"/>
        </w:rPr>
        <w:t>in vitro</w:t>
      </w:r>
      <w:r w:rsidRPr="00003E8D">
        <w:rPr>
          <w:rFonts w:ascii="Times New Roman" w:hAnsi="Times New Roman" w:cs="Times New Roman"/>
          <w:color w:val="000000" w:themeColor="text1"/>
          <w:sz w:val="20"/>
          <w:szCs w:val="20"/>
        </w:rPr>
        <w:t xml:space="preserve"> and in animal models of CNS demyelination to enhance remyelinatio</w:t>
      </w:r>
      <w:r w:rsidR="00ED0D5C">
        <w:rPr>
          <w:rFonts w:ascii="Times New Roman" w:hAnsi="Times New Roman" w:cs="Times New Roman"/>
          <w:color w:val="000000" w:themeColor="text1"/>
          <w:sz w:val="20"/>
          <w:szCs w:val="20"/>
        </w:rPr>
        <w:t>n</w:t>
      </w:r>
      <w:r w:rsidR="00ED0D5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e88I9ea","properties":{"formattedCitation":"(117)","plainCitation":"(117)","noteIndex":0},"citationItems":[{"id":225,"uris":["http://zotero.org/users/local/OxFKn8nN/items/9YPV3MWN"],"uri":["http://zotero.org/users/local/OxFKn8nN/items/9YPV3MWN"],"itemData":{"id":225,"type":"article-journal","title":"LINGO-1 negatively regulates myelination by oligodendrocytes","container-title":"Nature Neuroscience","page":"745","volume":"8","journalAbbreviation":"Nature Neuroscience","author":[{"family":"Mi","given":"Sha"},{"family":"Miller","given":"Robert H"},{"family":"Lee","given":"Xinhua"},{"family":"Scott","given":"Martin L"},{"family":"Shulag-Morskaya","given":"Svetlane"},{"family":"Shao","given":"Zhaohui"},{"family":"Chang","given":"Jufang"},{"family":"Thill","given":"Greg"},{"family":"Levesque","given":"Melissa"},{"family":"Zhang","given":"Mingdi"},{"family":"Hession","given":"Cathy"},{"family":"Sah","given":"Dinah"},{"family":"Trapp","given":"Bruce"},{"family":"He","given":"Zhigang"},{"family":"Jung","given":"Vincent"},{"family":"McCoy","given":"John M"},{"family":"Pepinsky","given":"R Blake"}],"issued":{"date-parts":[["2005",5,15]]}}}],"schema":"https://github.com/citation-style-language/schema/raw/master/csl-citation.json"} </w:instrText>
      </w:r>
      <w:r w:rsidR="00ED0D5C">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117</w:t>
      </w:r>
      <w:r w:rsidR="001F6ED7">
        <w:rPr>
          <w:rFonts w:ascii="Times New Roman" w:hAnsi="Times New Roman" w:cs="Times New Roman"/>
          <w:color w:val="000000"/>
          <w:sz w:val="20"/>
          <w:u w:val="dash"/>
          <w:lang w:val="en-US"/>
        </w:rPr>
        <w:t>]</w:t>
      </w:r>
      <w:r w:rsidR="00ED0D5C">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The human monoclonal antibody </w:t>
      </w:r>
      <w:proofErr w:type="spellStart"/>
      <w:r w:rsidRPr="00003E8D">
        <w:rPr>
          <w:rFonts w:ascii="Times New Roman" w:hAnsi="Times New Roman" w:cs="Times New Roman"/>
          <w:color w:val="000000" w:themeColor="text1"/>
          <w:sz w:val="20"/>
          <w:szCs w:val="20"/>
        </w:rPr>
        <w:t>op</w:t>
      </w:r>
      <w:r w:rsidR="00B078B9" w:rsidRPr="00003E8D">
        <w:rPr>
          <w:rFonts w:ascii="Times New Roman" w:hAnsi="Times New Roman" w:cs="Times New Roman"/>
          <w:color w:val="000000" w:themeColor="text1"/>
          <w:sz w:val="20"/>
          <w:szCs w:val="20"/>
        </w:rPr>
        <w:t>icinumab</w:t>
      </w:r>
      <w:proofErr w:type="spellEnd"/>
      <w:r w:rsidR="00B078B9" w:rsidRPr="00003E8D">
        <w:rPr>
          <w:rFonts w:ascii="Times New Roman" w:hAnsi="Times New Roman" w:cs="Times New Roman"/>
          <w:color w:val="000000" w:themeColor="text1"/>
          <w:sz w:val="20"/>
          <w:szCs w:val="20"/>
        </w:rPr>
        <w:t xml:space="preserve"> (anti-L</w:t>
      </w:r>
      <w:r w:rsidR="00B838C0">
        <w:rPr>
          <w:rFonts w:ascii="Times New Roman" w:hAnsi="Times New Roman" w:cs="Times New Roman"/>
          <w:color w:val="000000" w:themeColor="text1"/>
          <w:sz w:val="20"/>
          <w:szCs w:val="20"/>
        </w:rPr>
        <w:t>ingo</w:t>
      </w:r>
      <w:r w:rsidR="00B078B9" w:rsidRPr="00003E8D">
        <w:rPr>
          <w:rFonts w:ascii="Times New Roman" w:hAnsi="Times New Roman" w:cs="Times New Roman"/>
          <w:color w:val="000000" w:themeColor="text1"/>
          <w:sz w:val="20"/>
          <w:szCs w:val="20"/>
        </w:rPr>
        <w:t xml:space="preserve">-1) showed </w:t>
      </w:r>
      <w:r w:rsidRPr="00003E8D">
        <w:rPr>
          <w:rFonts w:ascii="Times New Roman" w:hAnsi="Times New Roman" w:cs="Times New Roman"/>
          <w:color w:val="000000" w:themeColor="text1"/>
          <w:sz w:val="20"/>
          <w:szCs w:val="20"/>
        </w:rPr>
        <w:t>remyelinating activity in preclinical studie</w:t>
      </w:r>
      <w:r w:rsidR="00ED0D5C">
        <w:rPr>
          <w:rFonts w:ascii="Times New Roman" w:hAnsi="Times New Roman" w:cs="Times New Roman"/>
          <w:color w:val="000000" w:themeColor="text1"/>
          <w:sz w:val="20"/>
          <w:szCs w:val="20"/>
        </w:rPr>
        <w:t>s</w:t>
      </w:r>
      <w:r w:rsidR="00ED0D5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mqkek7cY","properties":{"formattedCitation":"(118)","plainCitation":"(118)","noteIndex":0},"citationItems":[{"id":226,"uris":["http://zotero.org/users/local/OxFKn8nN/items/FLNWIKZ4"],"uri":["http://zotero.org/users/local/OxFKn8nN/items/FLNWIKZ4"],"itemData":{"id":226,"type":"article-journal","title":"Inhibition of LINGO-1 promotes functional recovery after experimental spinal cord demyelination","container-title":"Experimental Neurology","page":"68-73","volume":"266","abstract":"Blocking LINGO-1 has been shown to enhance remyelination in the rat lysolecithin-induced focal spinal cord demyelination model. We used transcranial magnetic motor-evoked potentials (tcMMEPs) to assess the effect of blocking LINGO-1 on recovery of axonal function in a mouse lysolecithin model at 1, 2 and 4weeks after injury. The role of LINGO-1 was assessed using LINGO-1 knockout (KO) mice and in wild-type mice after intraperitoneal administration of anti-LINGO-1 antagonist monoclonal antibody (mAb3B5). Response rates (at 2 and 4weeks) and amplitudes (at 4weeks) were significantly increased in LINGO-1 KO and mAb3B5-treated mice compared with matched controls. The latency of potentials at 4weeks was significantly shorter in mAb3B5-treated mice compared with controls. Lesion areas in LINGO-1 KO and mAb3B5-treated mice were reduced significantly compared with matched controls. The number of remyelinated axons within the lesions was increased and the G-ratios of the axons were decreased in both LINGO-1 KO and mAb3B5-treated mice compared with matched controls. These data provide morphometric and functional evidence of enhancement of remyelination associated with antagonism of LINGO-1.","DOI":"10.1016/j.expneurol.2015.02.006","ISSN":"0014-4886","journalAbbreviation":"Experimental Neurology","author":[{"family":"Zhang","given":"Yongjie"},{"family":"Zhang","given":"Yi Ping"},{"family":"Pepinsky","given":"Blake"},{"family":"Huang","given":"Guanrong"},{"family":"Shields","given":"Lisa B.E."},{"family":"Shields","given":"Christopher B."},{"family":"Mi","given":"Sha"}],"issued":{"date-parts":[["2015",4,1]]}}}],"schema":"https://github.com/citation-style-language/schema/raw/master/csl-citation.json"} </w:instrText>
      </w:r>
      <w:r w:rsidR="00ED0D5C">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118</w:t>
      </w:r>
      <w:r w:rsidR="001F6ED7">
        <w:rPr>
          <w:rFonts w:ascii="Times New Roman" w:hAnsi="Times New Roman" w:cs="Times New Roman"/>
          <w:color w:val="000000"/>
          <w:sz w:val="20"/>
          <w:u w:val="dash"/>
          <w:lang w:val="en-US"/>
        </w:rPr>
        <w:t>]</w:t>
      </w:r>
      <w:r w:rsidR="00ED0D5C">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and therefore its utility was explored in early clinical trials. After passing safety analyses in a phase </w:t>
      </w:r>
      <w:r w:rsidR="00B026E0">
        <w:rPr>
          <w:rFonts w:ascii="Times New Roman" w:hAnsi="Times New Roman" w:cs="Times New Roman"/>
          <w:color w:val="000000" w:themeColor="text1"/>
          <w:sz w:val="20"/>
          <w:szCs w:val="20"/>
        </w:rPr>
        <w:t>1</w:t>
      </w:r>
      <w:r w:rsidRPr="00003E8D">
        <w:rPr>
          <w:rFonts w:ascii="Times New Roman" w:hAnsi="Times New Roman" w:cs="Times New Roman"/>
          <w:color w:val="000000" w:themeColor="text1"/>
          <w:sz w:val="20"/>
          <w:szCs w:val="20"/>
        </w:rPr>
        <w:t xml:space="preserve"> tria</w:t>
      </w:r>
      <w:r w:rsidR="00ED0D5C">
        <w:rPr>
          <w:rFonts w:ascii="Times New Roman" w:hAnsi="Times New Roman" w:cs="Times New Roman"/>
          <w:color w:val="000000" w:themeColor="text1"/>
          <w:sz w:val="20"/>
          <w:szCs w:val="20"/>
        </w:rPr>
        <w:t>l</w:t>
      </w:r>
      <w:r w:rsidR="00ED0D5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5R8Hl7HP","properties":{"formattedCitation":"(119)","plainCitation":"(119)","noteIndex":0},"citationItems":[{"id":227,"uris":["http://zotero.org/users/local/OxFKn8nN/items/EAI5ZVGK"],"uri":["http://zotero.org/users/local/OxFKn8nN/items/EAI5ZVGK"],"itemData":{"id":227,"type":"article-journal","title":"Randomized phase I trials of the safety/tolerability of anti-LINGO-1 monoclonal antibody BIIB033","container-title":"Neurology(R) neuroimmunology &amp; neuroinflammation","page":"e18-e18","volume":"1","issue":"2","archive":"PubMed","archive_location":"25340070","abstract":"OBJECTIVE: To evaluate the safety, tolerability, and pharmacokinetics (PK) of BIIB033 (anti-LINGO-1 monoclonal antibody) in healthy volunteers and participants with multiple sclerosis (MS). METHODS: In 2 separate randomized, placebo-controlled studies, single ascending doses (SAD; 0.1-100 mg/kg) of BIIB033 or placebo were administered via IV infusion or subcutaneous injection to 72 healthy volunteers, and multiple ascending doses (MAD; 0.3-100 mg/kg; 2 doses separated by 14 days) of BIIB033 or placebo were administered via IV infusion to 47 participants with relapsing-remitting or secondary progressive MS. Safety assessments included adverse event (AE) monitoring, neurologic examinations, conventional and nonconventional MRI, EEG, optical coherence tomography, retinal examinations, and evoked potentials. Serum and CSF PK as well as the immunogenicity of BIIB033 were also evaluated. RESULTS: All 72 healthy volunteers and 47 participants with MS were included in the safety analyses. BIIB033 infusions were well tolerated. The frequency of AEs was similar between BIIB033 and placebo. There were no serious AEs or deaths. No clinically significant changes in any of the safety measures were observed. BIIB033 PK was similar between healthy volunteers and participants with MS. Doses of ≥10 mg/kg resulted in BIIB033 concentrations similar to or higher than the concentration associated with 90% of the maximum remyelination effect in rat remyelination studies. The incidence of anti-drug antibody production was low. CONCLUSIONS: The emerging safety, tolerability, and PK of BIIB033 support advancing BIIB033 into phase II clinical development as a potential treatment for CNS demyelination disorders. CLASSIFICATION OF EVIDENCE: This study provides Class I evidence that BIIB033 is well tolerated and safe (serious adverse event rate 0%, 95% confidence interval 0-7.6%).","DOI":"10.1212/NXI.0000000000000018","ISSN":"2332-7812","author":[{"family":"Tran","given":"Jonathan Q"},{"family":"Rana","given":"Jitesh"},{"family":"Barkhof","given":"Frederik"},{"family":"Melamed","given":"Isaac"},{"family":"Gevorkyan","given":"Hakop"},{"family":"Wattjes","given":"Mike P"},{"family":"Jong","given":"Remko","non-dropping-particle":"de"},{"family":"Brosofsky","given":"Kristin"},{"family":"Ray","given":"Soma"},{"family":"Xu","given":"Lei"},{"family":"Zhao","given":"Jim"},{"family":"Parr","given":"Edward"},{"family":"Cadavid","given":"Diego"}],"issued":{"date-parts":[["2014",8,21]]}}}],"schema":"https://github.com/citation-style-language/schema/raw/master/csl-citation.json"} </w:instrText>
      </w:r>
      <w:r w:rsidR="00ED0D5C">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119</w:t>
      </w:r>
      <w:r w:rsidR="001F6ED7">
        <w:rPr>
          <w:rFonts w:ascii="Times New Roman" w:hAnsi="Times New Roman" w:cs="Times New Roman"/>
          <w:color w:val="000000"/>
          <w:sz w:val="20"/>
          <w:u w:val="dash"/>
          <w:lang w:val="en-US"/>
        </w:rPr>
        <w:t>]</w:t>
      </w:r>
      <w:r w:rsidR="00ED0D5C">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w:t>
      </w:r>
      <w:r w:rsidR="002F0FD5">
        <w:rPr>
          <w:rFonts w:ascii="Times New Roman" w:hAnsi="Times New Roman" w:cs="Times New Roman"/>
          <w:color w:val="000000" w:themeColor="text1"/>
          <w:sz w:val="20"/>
          <w:szCs w:val="20"/>
        </w:rPr>
        <w:t>there was</w:t>
      </w:r>
      <w:r w:rsidRPr="00003E8D">
        <w:rPr>
          <w:rFonts w:ascii="Times New Roman" w:hAnsi="Times New Roman" w:cs="Times New Roman"/>
          <w:color w:val="000000" w:themeColor="text1"/>
          <w:sz w:val="20"/>
          <w:szCs w:val="20"/>
        </w:rPr>
        <w:t xml:space="preserve"> a phase </w:t>
      </w:r>
      <w:r w:rsidR="00B026E0">
        <w:rPr>
          <w:rFonts w:ascii="Times New Roman" w:hAnsi="Times New Roman" w:cs="Times New Roman"/>
          <w:color w:val="000000" w:themeColor="text1"/>
          <w:sz w:val="20"/>
          <w:szCs w:val="20"/>
        </w:rPr>
        <w:t>2</w:t>
      </w:r>
      <w:r w:rsidRPr="00003E8D">
        <w:rPr>
          <w:rFonts w:ascii="Times New Roman" w:hAnsi="Times New Roman" w:cs="Times New Roman"/>
          <w:color w:val="000000" w:themeColor="text1"/>
          <w:sz w:val="20"/>
          <w:szCs w:val="20"/>
        </w:rPr>
        <w:t xml:space="preserve">, </w:t>
      </w:r>
      <w:r w:rsidR="00B026E0">
        <w:rPr>
          <w:rFonts w:ascii="Times New Roman" w:hAnsi="Times New Roman" w:cs="Times New Roman"/>
          <w:color w:val="000000" w:themeColor="text1"/>
          <w:sz w:val="20"/>
          <w:szCs w:val="20"/>
        </w:rPr>
        <w:t xml:space="preserve">randomized, </w:t>
      </w:r>
      <w:r w:rsidRPr="00003E8D">
        <w:rPr>
          <w:rFonts w:ascii="Times New Roman" w:hAnsi="Times New Roman" w:cs="Times New Roman"/>
          <w:color w:val="000000" w:themeColor="text1"/>
          <w:sz w:val="20"/>
          <w:szCs w:val="20"/>
        </w:rPr>
        <w:t>double-blind, placebo-controlled, clinical trial</w:t>
      </w:r>
      <w:r w:rsidR="00A17F65">
        <w:rPr>
          <w:rFonts w:ascii="Times New Roman" w:hAnsi="Times New Roman" w:cs="Times New Roman"/>
          <w:color w:val="000000" w:themeColor="text1"/>
          <w:sz w:val="20"/>
          <w:szCs w:val="20"/>
        </w:rPr>
        <w:t xml:space="preserve"> (RENEW)</w:t>
      </w:r>
      <w:r w:rsidRPr="00003E8D">
        <w:rPr>
          <w:rFonts w:ascii="Times New Roman" w:hAnsi="Times New Roman" w:cs="Times New Roman"/>
          <w:color w:val="000000" w:themeColor="text1"/>
          <w:sz w:val="20"/>
          <w:szCs w:val="20"/>
        </w:rPr>
        <w:t xml:space="preserve"> in patients with</w:t>
      </w:r>
      <w:r w:rsidR="00523A51" w:rsidRPr="00003E8D">
        <w:rPr>
          <w:rFonts w:ascii="Times New Roman" w:hAnsi="Times New Roman" w:cs="Times New Roman"/>
          <w:color w:val="000000" w:themeColor="text1"/>
          <w:sz w:val="20"/>
          <w:szCs w:val="20"/>
        </w:rPr>
        <w:t xml:space="preserve"> </w:t>
      </w:r>
      <w:r w:rsidR="00843289" w:rsidRPr="00003E8D">
        <w:rPr>
          <w:rFonts w:ascii="Times New Roman" w:hAnsi="Times New Roman" w:cs="Times New Roman"/>
          <w:color w:val="000000" w:themeColor="text1"/>
          <w:sz w:val="20"/>
          <w:szCs w:val="20"/>
        </w:rPr>
        <w:t xml:space="preserve">a first episode of </w:t>
      </w:r>
      <w:r w:rsidR="00523A51" w:rsidRPr="00003E8D">
        <w:rPr>
          <w:rFonts w:ascii="Times New Roman" w:hAnsi="Times New Roman" w:cs="Times New Roman"/>
          <w:color w:val="000000" w:themeColor="text1"/>
          <w:sz w:val="20"/>
          <w:szCs w:val="20"/>
        </w:rPr>
        <w:t>acute</w:t>
      </w:r>
      <w:r w:rsidRPr="00003E8D">
        <w:rPr>
          <w:rFonts w:ascii="Times New Roman" w:hAnsi="Times New Roman" w:cs="Times New Roman"/>
          <w:color w:val="000000" w:themeColor="text1"/>
          <w:sz w:val="20"/>
          <w:szCs w:val="20"/>
        </w:rPr>
        <w:t xml:space="preserve"> optic neuritis</w:t>
      </w:r>
      <w:r w:rsidR="00843289" w:rsidRPr="00003E8D">
        <w:rPr>
          <w:rFonts w:ascii="Times New Roman" w:hAnsi="Times New Roman" w:cs="Times New Roman"/>
          <w:color w:val="000000" w:themeColor="text1"/>
          <w:sz w:val="20"/>
          <w:szCs w:val="20"/>
        </w:rPr>
        <w:t xml:space="preserve"> (but not necessarily multiple sclerosis)</w:t>
      </w:r>
      <w:r w:rsidR="00ED0D5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jTDM9JIP","properties":{"formattedCitation":"(112)","plainCitation":"(112)","noteIndex":0},"citationItems":[{"id":10,"uris":["http://zotero.org/users/local/OxFKn8nN/items/VH83KEI5"],"uri":["http://zotero.org/users/local/OxFKn8nN/items/VH83KEI5"],"itemData":{"id":10,"type":"article-journal","title":"Safety and efficacy of opicinumab in acute optic neuritis (RENEW): a randomised, placebo-controlled, phase 2 trial","container-title":"The Lancet Neurology","page":"189-199","volume":"16","issue":"3","abstract":"Summary\nBackground\nThe human monoclonal antibody opicinumab (BIIB033, anti-LINGO-1) has shown remyelinating activity in preclinical studies. We therefore assessed the safety and tolerability, and efficacy of opicinumab given soon after a first acute optic neuritis episode.\nMethods\nThis randomised, double-blind, placebo-controlled, phase 2 study (RENEW) was done at 33 sites in Australia, Canada, and Europe in participants (aged 18–55 years) with a first unilateral acute optic neuritis episode within 28 days from study baseline. After treatment with high-dose methylprednisolone (1 g/day, intravenously, for 3–5 days), participants were assigned with a computer-generated sequence with permuted block randomisation (1:1) using a centralised interactive voice and web response system to receive 100 mg/kg opicinumab intravenously or placebo once every 4 weeks (six doses) and followed up to week 32. All study participants and all study staff, including the central readers, were masked to treatment assignment apart from the pharmacist responsible for preparing the study treatments and the pharmacy monitor at each site. The primary endpoint was remyelination at 24 weeks, measured as recovery of affected optic nerve conduction latency using full-field visual evoked potential (FF-VEP) versus the unaffected fellow eye at baseline. Analysis was by intention-to-treat (ITT); prespecified per-protocol (PP) analyses were also done. This study is registered with ClinicalTrials.gov, number NCT01721161.\nFindings\nThe study was done between Dec 21, 2012, and Oct 21, 2014. 82 participants were enrolled, and 41 in each group comprised the ITT population; 33 participants received opicinumab and 36 received placebo in the PP population. Adjusted mean treatment difference of opicinumab versus placebo was −3·5 ms (17·3 vs 20·8 [95% CI −10·6 to 3·7]; 17%; p=0·33) in the ITT population, and −7·6 ms in the PP population (14·7 vs 22·2 [−15·1 to 0·0]; 34%; p=0·050) at week 24 and −6·1 ms (15·1 vs 21·2 [−12·7 to 0·5]; 29%; p=0·071) in the ITT population and −9·1 ms (13·2 vs 22·4 [−16·1 to −2·1]; 41%; p=0·011) in the PP population at week 32. The overall incidence (34 [83%] of 41 in each group) and severity of adverse events (two [5%] of 41 severe adverse events with placebo vs three [7%] of 41 with opicinumab) were similar between groups and no significant effects on brain MRI measures were noted in either group (mean T2 lesion volume change, 0·05 mL [SD 0·21] for placebo vs 0·20 mL [0·52] with opicinumab; 27 [77%] of 35 participants with no change in gadolinium-enhancing [Gd+] lesion number with opicinumab vs 27 [79%] of 34 with placebo; mean 0·4 [SD 0·79 for the placebo group and 0·85 for the opicinumab group] new Gd+ lesions per participant in both groups). Treatment-related serious adverse events were reported in three (7%) of 41 participants in the opicinumab group (hypersensitivity [n=2], asymptomatic increase in transaminase concentrations [n=1]) and none of the participants in the placebo group.\nInterpretation\nRemyelination did not differ significantly between the opicinumab and placebo groups in the ITT population at week 24. However, results from the prespecified PP population suggest that enhancing remyelination in the human CNS with opicinumab might be possible and warrant further clinical investigation.\nFunding\nBiogen.","DOI":"10.1016/S1474-4422(16)30377-5","ISSN":"1474-4422","journalAbbreviation":"The Lancet Neurology","author":[{"family":"Cadavid","given":"Diego"},{"family":"Balcer","given":"Laura"},{"family":"Galetta","given":"Steven"},{"family":"Aktas","given":"Orhan"},{"family":"Ziemssen","given":"Tjalf"},{"family":"Vanopdenbosch","given":"Ludo"},{"family":"Frederiksen","given":"Jette"},{"family":"Skeen","given":"Mark"},{"family":"Jaffe","given":"Glenn J"},{"family":"Butzkueven","given":"Helmut"},{"family":"Ziemssen","given":"Focke"},{"family":"Massacesi","given":"Luca"},{"family":"Chai","given":"Yi"},{"family":"Xu","given":"Lei"},{"family":"Freeman","given":"Stefanie"}],"issued":{"date-parts":[["2017",3,1]]}}}],"schema":"https://github.com/citation-style-language/schema/raw/master/csl-citation.json"} </w:instrText>
      </w:r>
      <w:r w:rsidR="00ED0D5C">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112</w:t>
      </w:r>
      <w:r w:rsidR="001F6ED7">
        <w:rPr>
          <w:rFonts w:ascii="Times New Roman" w:hAnsi="Times New Roman" w:cs="Times New Roman"/>
          <w:color w:val="000000"/>
          <w:sz w:val="20"/>
          <w:u w:val="dash"/>
          <w:lang w:val="en-US"/>
        </w:rPr>
        <w:t>]</w:t>
      </w:r>
      <w:r w:rsidR="00ED0D5C">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w:t>
      </w:r>
      <w:r w:rsidR="00523A51" w:rsidRPr="00003E8D">
        <w:rPr>
          <w:rFonts w:ascii="Times New Roman" w:hAnsi="Times New Roman" w:cs="Times New Roman"/>
          <w:color w:val="000000" w:themeColor="text1"/>
          <w:sz w:val="20"/>
          <w:szCs w:val="20"/>
        </w:rPr>
        <w:t xml:space="preserve"> The primary outcome measure was the</w:t>
      </w:r>
      <w:r w:rsidR="005D5CC7" w:rsidRPr="00003E8D">
        <w:rPr>
          <w:rFonts w:ascii="Times New Roman" w:hAnsi="Times New Roman" w:cs="Times New Roman"/>
          <w:color w:val="000000" w:themeColor="text1"/>
          <w:sz w:val="20"/>
          <w:szCs w:val="20"/>
        </w:rPr>
        <w:t xml:space="preserve"> </w:t>
      </w:r>
      <w:r w:rsidR="00C600BD">
        <w:rPr>
          <w:rFonts w:ascii="Times New Roman" w:hAnsi="Times New Roman" w:cs="Times New Roman"/>
          <w:color w:val="000000" w:themeColor="text1"/>
          <w:sz w:val="20"/>
          <w:szCs w:val="20"/>
        </w:rPr>
        <w:t>recovery</w:t>
      </w:r>
      <w:r w:rsidR="005D5CC7" w:rsidRPr="00003E8D">
        <w:rPr>
          <w:rFonts w:ascii="Times New Roman" w:hAnsi="Times New Roman" w:cs="Times New Roman"/>
          <w:color w:val="000000" w:themeColor="text1"/>
          <w:sz w:val="20"/>
          <w:szCs w:val="20"/>
        </w:rPr>
        <w:t xml:space="preserve"> in</w:t>
      </w:r>
      <w:r w:rsidR="00523A51" w:rsidRPr="00003E8D">
        <w:rPr>
          <w:rFonts w:ascii="Times New Roman" w:hAnsi="Times New Roman" w:cs="Times New Roman"/>
          <w:color w:val="000000" w:themeColor="text1"/>
          <w:sz w:val="20"/>
          <w:szCs w:val="20"/>
        </w:rPr>
        <w:t xml:space="preserve"> VEP P100 latency in the affected eye, referenced to the unaffected eye, </w:t>
      </w:r>
      <w:r w:rsidR="005D5CC7" w:rsidRPr="00003E8D">
        <w:rPr>
          <w:rFonts w:ascii="Times New Roman" w:hAnsi="Times New Roman" w:cs="Times New Roman"/>
          <w:color w:val="000000" w:themeColor="text1"/>
          <w:sz w:val="20"/>
          <w:szCs w:val="20"/>
        </w:rPr>
        <w:t>over 24 weeks of treatment</w:t>
      </w:r>
      <w:r w:rsidR="002511F9">
        <w:rPr>
          <w:rFonts w:ascii="Times New Roman" w:hAnsi="Times New Roman" w:cs="Times New Roman"/>
          <w:color w:val="000000" w:themeColor="text1"/>
          <w:sz w:val="20"/>
          <w:szCs w:val="20"/>
        </w:rPr>
        <w:t xml:space="preserve"> (at 100 mg/kg)</w:t>
      </w:r>
      <w:r w:rsidR="005D5CC7" w:rsidRPr="00003E8D">
        <w:rPr>
          <w:rFonts w:ascii="Times New Roman" w:hAnsi="Times New Roman" w:cs="Times New Roman"/>
          <w:color w:val="000000" w:themeColor="text1"/>
          <w:sz w:val="20"/>
          <w:szCs w:val="20"/>
        </w:rPr>
        <w:t xml:space="preserve"> af</w:t>
      </w:r>
      <w:r w:rsidR="002511F9">
        <w:rPr>
          <w:rFonts w:ascii="Times New Roman" w:hAnsi="Times New Roman" w:cs="Times New Roman"/>
          <w:color w:val="000000" w:themeColor="text1"/>
          <w:sz w:val="20"/>
          <w:szCs w:val="20"/>
        </w:rPr>
        <w:t xml:space="preserve">ter an episode </w:t>
      </w:r>
      <w:r w:rsidR="002511F9">
        <w:rPr>
          <w:rFonts w:ascii="Times New Roman" w:hAnsi="Times New Roman" w:cs="Times New Roman"/>
          <w:color w:val="000000" w:themeColor="text1"/>
          <w:sz w:val="20"/>
          <w:szCs w:val="20"/>
        </w:rPr>
        <w:lastRenderedPageBreak/>
        <w:t>of optic neuritis</w:t>
      </w:r>
      <w:r w:rsidR="005D5CC7" w:rsidRPr="00003E8D">
        <w:rPr>
          <w:rFonts w:ascii="Times New Roman" w:hAnsi="Times New Roman" w:cs="Times New Roman"/>
          <w:color w:val="000000" w:themeColor="text1"/>
          <w:sz w:val="20"/>
          <w:szCs w:val="20"/>
        </w:rPr>
        <w:t xml:space="preserve">. It failed in this regard but, when a per-protocol analysis was employed, an improvement of </w:t>
      </w:r>
      <w:r w:rsidR="002511F9">
        <w:rPr>
          <w:rFonts w:ascii="Times New Roman" w:hAnsi="Times New Roman" w:cs="Times New Roman"/>
          <w:color w:val="000000" w:themeColor="text1"/>
          <w:sz w:val="20"/>
          <w:szCs w:val="20"/>
          <w:lang w:val="en-US"/>
        </w:rPr>
        <w:t xml:space="preserve">7.6 </w:t>
      </w:r>
      <w:proofErr w:type="spellStart"/>
      <w:r w:rsidR="005D5CC7" w:rsidRPr="00003E8D">
        <w:rPr>
          <w:rFonts w:ascii="Times New Roman" w:hAnsi="Times New Roman" w:cs="Times New Roman"/>
          <w:color w:val="000000" w:themeColor="text1"/>
          <w:sz w:val="20"/>
          <w:szCs w:val="20"/>
          <w:lang w:val="en-US"/>
        </w:rPr>
        <w:t>ms</w:t>
      </w:r>
      <w:proofErr w:type="spellEnd"/>
      <w:r w:rsidR="005D5CC7" w:rsidRPr="00003E8D">
        <w:rPr>
          <w:rFonts w:ascii="Times New Roman" w:hAnsi="Times New Roman" w:cs="Times New Roman"/>
          <w:color w:val="000000" w:themeColor="text1"/>
          <w:sz w:val="20"/>
          <w:szCs w:val="20"/>
          <w:lang w:val="en-US"/>
        </w:rPr>
        <w:t xml:space="preserve"> in the </w:t>
      </w:r>
      <w:proofErr w:type="spellStart"/>
      <w:r w:rsidR="005D5CC7" w:rsidRPr="00003E8D">
        <w:rPr>
          <w:rFonts w:ascii="Times New Roman" w:hAnsi="Times New Roman" w:cs="Times New Roman"/>
          <w:color w:val="000000" w:themeColor="text1"/>
          <w:sz w:val="20"/>
          <w:szCs w:val="20"/>
          <w:lang w:val="en-US"/>
        </w:rPr>
        <w:t>op</w:t>
      </w:r>
      <w:r w:rsidR="005D4E7D" w:rsidRPr="00003E8D">
        <w:rPr>
          <w:rFonts w:ascii="Times New Roman" w:hAnsi="Times New Roman" w:cs="Times New Roman"/>
          <w:color w:val="000000" w:themeColor="text1"/>
          <w:sz w:val="20"/>
          <w:szCs w:val="20"/>
          <w:lang w:val="en-US"/>
        </w:rPr>
        <w:t>i</w:t>
      </w:r>
      <w:r w:rsidR="005D5CC7" w:rsidRPr="00003E8D">
        <w:rPr>
          <w:rFonts w:ascii="Times New Roman" w:hAnsi="Times New Roman" w:cs="Times New Roman"/>
          <w:color w:val="000000" w:themeColor="text1"/>
          <w:sz w:val="20"/>
          <w:szCs w:val="20"/>
          <w:lang w:val="en-US"/>
        </w:rPr>
        <w:t>cinimab</w:t>
      </w:r>
      <w:proofErr w:type="spellEnd"/>
      <w:r w:rsidR="005D5CC7" w:rsidRPr="00003E8D">
        <w:rPr>
          <w:rFonts w:ascii="Times New Roman" w:hAnsi="Times New Roman" w:cs="Times New Roman"/>
          <w:color w:val="000000" w:themeColor="text1"/>
          <w:sz w:val="20"/>
          <w:szCs w:val="20"/>
          <w:lang w:val="en-US"/>
        </w:rPr>
        <w:t xml:space="preserve"> group was seen over that in the placebo group. No change was observed in the secondary endpoints, though this did not include MRI sequences such as MTR.</w:t>
      </w:r>
    </w:p>
    <w:p w14:paraId="5236630E" w14:textId="6381636A" w:rsidR="00ED5433" w:rsidRPr="00003E8D" w:rsidRDefault="00ED5433"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The SYNERG</w:t>
      </w:r>
      <w:r w:rsidR="002511F9">
        <w:rPr>
          <w:rFonts w:ascii="Times New Roman" w:hAnsi="Times New Roman" w:cs="Times New Roman"/>
          <w:color w:val="000000" w:themeColor="text1"/>
          <w:sz w:val="20"/>
          <w:szCs w:val="20"/>
        </w:rPr>
        <w:t>Y trial followed (NCT01864148):</w:t>
      </w:r>
      <w:r w:rsidR="00843289" w:rsidRPr="00003E8D">
        <w:rPr>
          <w:rFonts w:ascii="Times New Roman" w:hAnsi="Times New Roman" w:cs="Times New Roman"/>
          <w:color w:val="000000" w:themeColor="text1"/>
          <w:sz w:val="20"/>
          <w:szCs w:val="20"/>
        </w:rPr>
        <w:t xml:space="preserve"> a dose-ranging study including 418 people with RRMS and SPMS. The primary outcome measure was a composite of ambulation (25-foot walk), upper extremity function (9-Hole Peg Test), cognition (3-Second Paced Auditory Serial Addition Test; PASAT) and the </w:t>
      </w:r>
      <w:r w:rsidR="00B15FE1">
        <w:rPr>
          <w:rFonts w:ascii="Times New Roman" w:hAnsi="Times New Roman" w:cs="Times New Roman"/>
          <w:color w:val="000000" w:themeColor="text1"/>
          <w:sz w:val="20"/>
          <w:szCs w:val="20"/>
        </w:rPr>
        <w:t>EDSS</w:t>
      </w:r>
      <w:r w:rsidR="00843289" w:rsidRPr="00003E8D">
        <w:rPr>
          <w:rFonts w:ascii="Times New Roman" w:hAnsi="Times New Roman" w:cs="Times New Roman"/>
          <w:color w:val="000000" w:themeColor="text1"/>
          <w:sz w:val="20"/>
          <w:szCs w:val="20"/>
        </w:rPr>
        <w:t xml:space="preserve">. </w:t>
      </w:r>
      <w:r w:rsidR="005D4E7D" w:rsidRPr="00003E8D">
        <w:rPr>
          <w:rFonts w:ascii="Times New Roman" w:hAnsi="Times New Roman" w:cs="Times New Roman"/>
          <w:color w:val="000000" w:themeColor="text1"/>
          <w:sz w:val="20"/>
          <w:szCs w:val="20"/>
        </w:rPr>
        <w:t>It</w:t>
      </w:r>
      <w:r w:rsidR="00843289" w:rsidRPr="00003E8D">
        <w:rPr>
          <w:rFonts w:ascii="Times New Roman" w:hAnsi="Times New Roman" w:cs="Times New Roman"/>
          <w:color w:val="000000" w:themeColor="text1"/>
          <w:sz w:val="20"/>
          <w:szCs w:val="20"/>
        </w:rPr>
        <w:t xml:space="preserve"> failed to meet </w:t>
      </w:r>
      <w:r w:rsidR="00A31100" w:rsidRPr="00003E8D">
        <w:rPr>
          <w:rFonts w:ascii="Times New Roman" w:hAnsi="Times New Roman" w:cs="Times New Roman"/>
          <w:color w:val="000000" w:themeColor="text1"/>
          <w:sz w:val="20"/>
          <w:szCs w:val="20"/>
        </w:rPr>
        <w:t>this</w:t>
      </w:r>
      <w:r w:rsidR="00843289" w:rsidRPr="00003E8D">
        <w:rPr>
          <w:rFonts w:ascii="Times New Roman" w:hAnsi="Times New Roman" w:cs="Times New Roman"/>
          <w:color w:val="000000" w:themeColor="text1"/>
          <w:sz w:val="20"/>
          <w:szCs w:val="20"/>
        </w:rPr>
        <w:t xml:space="preserve"> primary endpoint, </w:t>
      </w:r>
      <w:r w:rsidR="00EF5F52" w:rsidRPr="00003E8D">
        <w:rPr>
          <w:rFonts w:ascii="Times New Roman" w:hAnsi="Times New Roman" w:cs="Times New Roman"/>
          <w:color w:val="000000" w:themeColor="text1"/>
          <w:sz w:val="20"/>
          <w:szCs w:val="20"/>
        </w:rPr>
        <w:t xml:space="preserve">but </w:t>
      </w:r>
      <w:r w:rsidR="00FE3A28" w:rsidRPr="00003E8D">
        <w:rPr>
          <w:rFonts w:ascii="Times New Roman" w:hAnsi="Times New Roman" w:cs="Times New Roman"/>
          <w:color w:val="000000" w:themeColor="text1"/>
          <w:sz w:val="20"/>
          <w:szCs w:val="20"/>
        </w:rPr>
        <w:t>was presented as showing</w:t>
      </w:r>
      <w:r w:rsidR="00EF5F52" w:rsidRPr="00003E8D">
        <w:rPr>
          <w:rFonts w:ascii="Times New Roman" w:hAnsi="Times New Roman" w:cs="Times New Roman"/>
          <w:color w:val="000000" w:themeColor="text1"/>
          <w:sz w:val="20"/>
          <w:szCs w:val="20"/>
        </w:rPr>
        <w:t xml:space="preserve"> an increased percentage of</w:t>
      </w:r>
      <w:r w:rsidR="00FE3A28" w:rsidRPr="00003E8D">
        <w:rPr>
          <w:rFonts w:ascii="Times New Roman" w:hAnsi="Times New Roman" w:cs="Times New Roman"/>
          <w:color w:val="000000" w:themeColor="text1"/>
          <w:sz w:val="20"/>
          <w:szCs w:val="20"/>
        </w:rPr>
        <w:t xml:space="preserve"> responders in those treated with </w:t>
      </w:r>
      <w:r w:rsidR="005D4E7D" w:rsidRPr="00003E8D">
        <w:rPr>
          <w:rFonts w:ascii="Times New Roman" w:hAnsi="Times New Roman" w:cs="Times New Roman"/>
          <w:color w:val="000000" w:themeColor="text1"/>
          <w:sz w:val="20"/>
          <w:szCs w:val="20"/>
        </w:rPr>
        <w:t xml:space="preserve">the mid-range </w:t>
      </w:r>
      <w:r w:rsidR="00FE3A28" w:rsidRPr="00003E8D">
        <w:rPr>
          <w:rFonts w:ascii="Times New Roman" w:hAnsi="Times New Roman" w:cs="Times New Roman"/>
          <w:color w:val="000000" w:themeColor="text1"/>
          <w:sz w:val="20"/>
          <w:szCs w:val="20"/>
        </w:rPr>
        <w:t>doses of 10 and 30</w:t>
      </w:r>
      <w:r w:rsidR="00B838C0">
        <w:rPr>
          <w:rFonts w:ascii="Times New Roman" w:hAnsi="Times New Roman" w:cs="Times New Roman"/>
          <w:color w:val="000000" w:themeColor="text1"/>
          <w:sz w:val="20"/>
          <w:szCs w:val="20"/>
        </w:rPr>
        <w:t xml:space="preserve"> </w:t>
      </w:r>
      <w:r w:rsidR="00FE3A28" w:rsidRPr="00003E8D">
        <w:rPr>
          <w:rFonts w:ascii="Times New Roman" w:hAnsi="Times New Roman" w:cs="Times New Roman"/>
          <w:color w:val="000000" w:themeColor="text1"/>
          <w:sz w:val="20"/>
          <w:szCs w:val="20"/>
        </w:rPr>
        <w:t>mg/kg</w:t>
      </w:r>
      <w:r w:rsidR="00ED0D5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fTenjpbq","properties":{"formattedCitation":"(113)","plainCitation":"(113)","noteIndex":0},"citationItems":[{"id":324,"uris":["http://zotero.org/users/local/OxFKn8nN/items/W7BRNIXY"],"uri":["http://zotero.org/users/local/OxFKn8nN/items/W7BRNIXY"],"itemData":{"id":324,"type":"article-journal","title":"Efficacy Results from the Phase 2b SYNERGY Study: Treatment of Disabling Multiple Sclerosis with the Anti-LINGO-1 Monoclonal Antibody Opicinumab (S33.004)","container-title":"Neurology","page":"S33.004","volume":"88","issue":"16 Supplement","abstract":"Objective: To evaluate the efficacy of opicinumab (anti-LINGO-1; BIIB033) in participants with relapsing multiple sclerosis (MS) when used concurrently with intramuscular (IM) interferon (IFN) beta-1a.Background: Opicinumab blocks LINGO-1, a negative regulator of myelination and axonal regeneration, and is a candidate reparative therapy for MS.Design/Methods: SYNERGY (NCT01864148) is a double-blind, dose-ranging proof-of-concept study. Participants aged 18–58 years with a baseline Expanded Disability Status Scale (EDSS) score 2.0–6.0 and active relapsing-remitting or secondary progressive MS were randomized to intravenous opicinumab (3, 10, 30 or 100 mg/kg) or placebo every 4 weeks for 19 doses. All participants received concurrent treatment with IM IFN beta-1a 30 mcg once weekly. The primary endpoint was the percentage of participants with ≥3 month confirmed improvement of neurophysical and/or cognitive function over 72 weeks measured by a multicomponent endpoint comprising the EDSS, Timed 25-Foot Walk, 9-Hole Peg Test and 3-Second Paced Auditory Serial Addition Test. Analysis for the primary endpoint used logistic regression and a linear trend test to assess dose response.Results: A total of 418 participants were randomized and dosed; 334 completed the study. The linear trend test for the primary endpoint was not statistically significant (P=0.8931). Pairwise comparison of each dose arm to placebo showed an inverted U-shaped dose-response: the estimated percentage of improvement responders was 51.6% for placebo, 51.1% for 3 mg/kg opicinumab (odds ratio [OR] 0.98; 95% confidence interval [CI] 0.46–2.07), 65.6% for 10 mg/kg (OR 1.79; 95% CI 0.97–3.31), 68.8% for 30 mg/kg (OR 2.06; 95% CI 1.11–3.84) and 41.2% for 100 mg/kg (OR 0.66; 95% CI 0.36–1.21).Conclusions: The pre-specified primary endpoint was not met. Results revealed an increased percentage of improvement responders in opicinumab-treated arms vs placebo at 10 and 30 mg/kg, with an inverted U-shaped dose-response.Study Supported by: BiogenDisclosure: Dr. Mellion has received personal compensation for activities with Biogen has an employee. Dr. Mellion holds stock and/or stock options with Biogen. Dr. Edwards has received personal compensation for activities with Biogen and Sanofi Genzyme as a speaker and/or consultant. Dr. Edwards has received research support from Biogen, Genentech, Sanofi-Genzyme, and Hoffmann-La Roche. Dr. Hupperts has received personal compensation for activities with Biogen, Merck Serono, Novartis, Sanofi-Aventis as a speaker. Dr. Hupperts has received research support from Biogen and Merck Serono. Dr. Drulovic has received personal compensation for activities with Bayer HealthCare, Genzyme, Medis, Merck, Novartis, and Sanofi-Aventis as a speaker and/or advisor. Dr. Drulovic has received research support from the Ministry of Education and Science, Republic of Serbia. Dr. Montalban has received personal compensation for activities with Almirall, Bayer, Biogen, Celgene, Sanofi Genzyme, Merck, Novartis, Roche, and Teva Pharmaceutical. Dr. Hartung has received personal compensation from Bayer, Biogen, CSL Behring, Grifols, Merck Serono, Novartis, Roche, and Sanofi Genzyme as a speaker and consultant. Dr. Brochet has received personal compensation for activities with for Biogen, Genzyme, Merck-Serono, Novartis and Roche for advisory boards. Dr. Calabresi has received personal compensation for activities with Biogen and Vertex as a consultant. Dr. Calabresi has received research support from Biogen, MedImmune, Novartis and Teva. Dr. Rudick has received personal compensation for activities with Biogen Idec. Dr. Rudick holds stock and/or stock options in Biogen Idec. Dr. Ibrahim has received personal compensation for activities with Biogen Idec. Dr. Ibrahim holds stock and/or stock options in Biogen Idec. Dr. Zhang has received personal compensation for activities with Biogen Idec as an employee. Dr. Zhang holds stock and/or stock options in Biogen Idec. Dr. Xu has received personal compensation for activities with Biogen as an employee. Dr. Xu hold stock and/or stock options in Biogen. Dr. Cadavid has received personal compensation for activities with Biogen as a holder of stock and/or stock options and as an employee. Dr. SYNERGY investigators has nothing to disclose.","journalAbbreviation":"Neurology","author":[{"family":"Mellion","given":"Michelle"},{"family":"Edwards","given":"Keith R."},{"family":"Hupperts","given":"Raymond"},{"family":"Drulović","given":"Jelena"},{"family":"Montalban","given":"Xavier"},{"family":"Hartung","given":"Hans-Peter"},{"family":"Brochet","given":"Bruno"},{"family":"Calabresi","given":"Peter A."},{"family":"Rudick","given":"Richard"},{"family":"Ibrahim","given":"Adama"},{"family":"Zhang","given":"Yiwei"},{"family":"Xu","given":"Lei"},{"family":"Cadavid","given":"Diego"}],"issued":{"date-parts":[["2017",4,18]]}}}],"schema":"https://github.com/citation-style-language/schema/raw/master/csl-citation.json"} </w:instrText>
      </w:r>
      <w:r w:rsidR="00ED0D5C">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113</w:t>
      </w:r>
      <w:r w:rsidR="001F6ED7">
        <w:rPr>
          <w:rFonts w:ascii="Times New Roman" w:hAnsi="Times New Roman" w:cs="Times New Roman"/>
          <w:color w:val="000000"/>
          <w:sz w:val="20"/>
          <w:u w:val="dash"/>
          <w:lang w:val="en-US"/>
        </w:rPr>
        <w:t>]</w:t>
      </w:r>
      <w:r w:rsidR="00ED0D5C">
        <w:rPr>
          <w:rFonts w:ascii="Times New Roman" w:hAnsi="Times New Roman" w:cs="Times New Roman"/>
          <w:color w:val="000000" w:themeColor="text1"/>
          <w:sz w:val="20"/>
          <w:szCs w:val="20"/>
        </w:rPr>
        <w:fldChar w:fldCharType="end"/>
      </w:r>
      <w:r w:rsidR="00FE3A28" w:rsidRPr="00003E8D">
        <w:rPr>
          <w:rFonts w:ascii="Times New Roman" w:hAnsi="Times New Roman" w:cs="Times New Roman"/>
          <w:color w:val="000000" w:themeColor="text1"/>
          <w:sz w:val="20"/>
          <w:szCs w:val="20"/>
        </w:rPr>
        <w:t>.</w:t>
      </w:r>
      <w:r w:rsidR="00EF5F52" w:rsidRPr="00003E8D">
        <w:rPr>
          <w:rFonts w:ascii="Times New Roman" w:hAnsi="Times New Roman" w:cs="Times New Roman"/>
          <w:color w:val="000000" w:themeColor="text1"/>
          <w:sz w:val="20"/>
          <w:szCs w:val="20"/>
        </w:rPr>
        <w:t xml:space="preserve"> This has led to </w:t>
      </w:r>
      <w:r w:rsidR="00843289" w:rsidRPr="00003E8D">
        <w:rPr>
          <w:rFonts w:ascii="Times New Roman" w:hAnsi="Times New Roman" w:cs="Times New Roman"/>
          <w:color w:val="000000" w:themeColor="text1"/>
          <w:sz w:val="20"/>
          <w:szCs w:val="20"/>
        </w:rPr>
        <w:t xml:space="preserve">Biogen </w:t>
      </w:r>
      <w:r w:rsidRPr="00003E8D">
        <w:rPr>
          <w:rFonts w:ascii="Times New Roman" w:hAnsi="Times New Roman" w:cs="Times New Roman"/>
          <w:color w:val="000000" w:themeColor="text1"/>
          <w:sz w:val="20"/>
          <w:szCs w:val="20"/>
        </w:rPr>
        <w:t xml:space="preserve">proceeding with a </w:t>
      </w:r>
      <w:r w:rsidR="00B838C0">
        <w:rPr>
          <w:rFonts w:ascii="Times New Roman" w:hAnsi="Times New Roman" w:cs="Times New Roman"/>
          <w:color w:val="000000" w:themeColor="text1"/>
          <w:sz w:val="20"/>
          <w:szCs w:val="20"/>
        </w:rPr>
        <w:t xml:space="preserve">refined </w:t>
      </w:r>
      <w:r w:rsidRPr="00003E8D">
        <w:rPr>
          <w:rFonts w:ascii="Times New Roman" w:hAnsi="Times New Roman" w:cs="Times New Roman"/>
          <w:color w:val="000000" w:themeColor="text1"/>
          <w:sz w:val="20"/>
          <w:szCs w:val="20"/>
        </w:rPr>
        <w:t>phase II trial (AFFINITY</w:t>
      </w:r>
      <w:r w:rsidR="002511F9">
        <w:rPr>
          <w:rFonts w:ascii="Times New Roman" w:hAnsi="Times New Roman" w:cs="Times New Roman"/>
          <w:color w:val="000000" w:themeColor="text1"/>
          <w:sz w:val="20"/>
          <w:szCs w:val="20"/>
        </w:rPr>
        <w:t>) in addition to an ex</w:t>
      </w:r>
      <w:r w:rsidR="00A17F65">
        <w:rPr>
          <w:rFonts w:ascii="Times New Roman" w:hAnsi="Times New Roman" w:cs="Times New Roman"/>
          <w:color w:val="000000" w:themeColor="text1"/>
          <w:sz w:val="20"/>
          <w:szCs w:val="20"/>
        </w:rPr>
        <w:t>tension study (RENEWED</w:t>
      </w:r>
      <w:r w:rsidR="002511F9">
        <w:rPr>
          <w:rFonts w:ascii="Times New Roman" w:hAnsi="Times New Roman" w:cs="Times New Roman"/>
          <w:color w:val="000000" w:themeColor="text1"/>
          <w:sz w:val="20"/>
          <w:szCs w:val="20"/>
        </w:rPr>
        <w:t xml:space="preserve">, </w:t>
      </w:r>
      <w:r w:rsidR="002511F9" w:rsidRPr="002511F9">
        <w:rPr>
          <w:rFonts w:ascii="Times New Roman" w:hAnsi="Times New Roman" w:cs="Times New Roman"/>
          <w:color w:val="000000" w:themeColor="text1"/>
          <w:sz w:val="20"/>
          <w:szCs w:val="20"/>
        </w:rPr>
        <w:t>NCT02657915</w:t>
      </w:r>
      <w:r w:rsidR="002511F9">
        <w:rPr>
          <w:rFonts w:ascii="Times New Roman" w:hAnsi="Times New Roman" w:cs="Times New Roman"/>
          <w:color w:val="000000" w:themeColor="text1"/>
          <w:sz w:val="20"/>
          <w:szCs w:val="20"/>
        </w:rPr>
        <w:t xml:space="preserve">) </w:t>
      </w:r>
      <w:r w:rsidR="00D77E9F">
        <w:rPr>
          <w:rFonts w:ascii="Times New Roman" w:hAnsi="Times New Roman" w:cs="Times New Roman"/>
          <w:color w:val="000000" w:themeColor="text1"/>
          <w:sz w:val="20"/>
          <w:szCs w:val="20"/>
        </w:rPr>
        <w:t>of</w:t>
      </w:r>
      <w:r w:rsidR="002511F9">
        <w:rPr>
          <w:rFonts w:ascii="Times New Roman" w:hAnsi="Times New Roman" w:cs="Times New Roman"/>
          <w:color w:val="000000" w:themeColor="text1"/>
          <w:sz w:val="20"/>
          <w:szCs w:val="20"/>
        </w:rPr>
        <w:t xml:space="preserve"> the RENEW trial.</w:t>
      </w:r>
    </w:p>
    <w:p w14:paraId="2529ABE7" w14:textId="77777777" w:rsidR="00EB2FDB" w:rsidRPr="00003E8D" w:rsidRDefault="00EB2FDB" w:rsidP="00E17010">
      <w:pPr>
        <w:spacing w:line="480" w:lineRule="auto"/>
        <w:rPr>
          <w:rFonts w:ascii="Times New Roman" w:hAnsi="Times New Roman" w:cs="Times New Roman"/>
          <w:color w:val="000000" w:themeColor="text1"/>
          <w:sz w:val="20"/>
          <w:szCs w:val="20"/>
        </w:rPr>
      </w:pPr>
    </w:p>
    <w:p w14:paraId="6118F466" w14:textId="2D87E0E9" w:rsidR="00EB2FDB" w:rsidRPr="006E2684" w:rsidRDefault="00EB2FDB" w:rsidP="00E17010">
      <w:pPr>
        <w:spacing w:line="480" w:lineRule="auto"/>
        <w:rPr>
          <w:rFonts w:ascii="Times New Roman" w:hAnsi="Times New Roman" w:cs="Times New Roman"/>
          <w:b/>
          <w:i/>
          <w:color w:val="000000" w:themeColor="text1"/>
          <w:sz w:val="20"/>
          <w:szCs w:val="20"/>
        </w:rPr>
      </w:pPr>
      <w:r w:rsidRPr="006E2684">
        <w:rPr>
          <w:rFonts w:ascii="Times New Roman" w:hAnsi="Times New Roman" w:cs="Times New Roman"/>
          <w:b/>
          <w:i/>
          <w:color w:val="000000" w:themeColor="text1"/>
          <w:sz w:val="20"/>
          <w:szCs w:val="20"/>
        </w:rPr>
        <w:t>G</w:t>
      </w:r>
      <w:r w:rsidR="006E2684">
        <w:rPr>
          <w:rFonts w:ascii="Times New Roman" w:hAnsi="Times New Roman" w:cs="Times New Roman"/>
          <w:b/>
          <w:i/>
          <w:color w:val="000000" w:themeColor="text1"/>
          <w:sz w:val="20"/>
          <w:szCs w:val="20"/>
        </w:rPr>
        <w:t xml:space="preserve">SK239512. </w:t>
      </w:r>
      <w:r w:rsidRPr="00003E8D">
        <w:rPr>
          <w:rFonts w:ascii="Times New Roman" w:hAnsi="Times New Roman" w:cs="Times New Roman"/>
          <w:color w:val="000000" w:themeColor="text1"/>
          <w:sz w:val="20"/>
          <w:szCs w:val="20"/>
        </w:rPr>
        <w:t>This H3-receptor antagonist was originally developed to treat Alzheimer’s disease</w:t>
      </w:r>
      <w:r w:rsidR="00ED0D5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BNfKrsHY","properties":{"formattedCitation":"(120,121)","plainCitation":"(120,121)","noteIndex":0},"citationItems":[{"id":229,"uris":["http://zotero.org/users/local/OxFKn8nN/items/TJQF8BFI"],"uri":["http://zotero.org/users/local/OxFKn8nN/items/TJQF8BFI"],"itemData":{"id":229,"type":"article-journal","title":"A Randomized, Double-Blind, Placebo-Controlled, 16-Week Study of the H3 Receptor Antagonist, GSK239512 as a Monotherapy in Subjects with Mild-to-Moderate Alzheimer’s Disease","container-title":"Current Alzheimer Research","page":"47-58","volume":"11","issue":"1","abstract":"Introduction: Histaminergic H3 receptors may play a role in modulating cholinergic and monoaminergic neurotransmission.\nThis Phase II study evaluated the efficacy and safety of GSK239512, a highly potent, brain penetrant H3 receptor\nantagonist as monotherapy treatment for subjects with mild-to-moderate probable Alzheimer&amp;#039;s disease (AD). Methods:\nIn this 16-week, double-blind, randomized, parallel group study, 196 currently untreated subjects with mild-tomoderate\nAD (Mini Mental State Examination [MMSE] 16-24) received GSK239512 (n=97); or placebo (n=99) administered\norally each morning. After a two-week placebo run-in period GSK239512 was up-titrated over 4 weeks in a flexible\nmanner (10-20-40-80 microgram [\u0002&amp;#181;g]) followed by a 12-week Maintenance Phase. Co-primary efficacy endpoints were\nchange from baseline in Episodic Memory and Executive Function/Working Memory composite scores from the CogState\nneuropsychological test battery (NTB) at Week 16. Results: Compared to placebo, GSK239512 improved Episodic Memory\nat Week 16 (Effect Size [ES] =0.35; p=0.0495). No statistically significant differences were observed on other cognitive\ndomains or on clinical measures including the Alzheimer’s Disease Assessment Scale–Cognitive Subscale (ADASCog).\nGSK239512 treatment was associated with mild to moderate adverse events with headache, dizziness and events related\nto sleep disturbances being the most common and more pronounced in the early titration period when subjects were\nfirst being exposed to GSK239512 at the lower 10&amp;#181;\u0002g and 20&amp;#181;\u0002g doses. There were no clinically relevant changes in other\nsafety parameters. Conclusion: GSK239512, at doses up to 80&amp;#181;\u0002g/day, improved Episodic Memory in patients with mildto-\nmoderate AD. However, no improvements were observed on Executive Function/Working Memory or other domains\nof cognition. No changes were observed on any of the clinical measures included as secondary endpoints (including\nADAS-Cog) indicating that GSK239512 failed to show benefit in this population. GSK239512 had an acceptable safety\nand tolerability profile. These findings suggest that H3 antagonists may, at most, have modest and selective effects on\ncognitive function in patients with mild-to-moderate AD.","DOI":"10.2174/1567205010666131212110148","ISSN":"1567-2050/1875-5828","journalAbbreviation":"Current Alzheimer Research","author":[{"literal":"Richard A. Grove"},{"literal":"Conn M. Harrington"},{"literal":"Andreas  Mahler"},{"literal":"Isabel  Beresford"},{"literal":"Paul  Maruff"},{"literal":"Martin T. Lowy"},{"literal":"Andrew P. Nicholls"},{"literal":"Rebecca L. Boardley"},{"literal":"Alienor C. Berges"},{"literal":"Pradeep J. Nathan and   Joseph P. Horrigan"}],"issued":{"date-parts":[["2014"]]}}},{"id":230,"uris":["http://zotero.org/users/local/OxFKn8nN/items/TNV93TQU"],"uri":["http://zotero.org/users/local/OxFKn8nN/items/TNV93TQU"],"itemData":{"id":230,"type":"article-journal","title":"The Safety, Tolerability, Pharmacokinetics and Cognitive Effects of GSK239512, a Selective Histamine H3 Receptor Antagonist in Patients with Mild to Moderate Alzheimer’s Disease: A Preliminary Investigation","container-title":"Current Alzheimer Research","page":"240-251","volume":"10","issue":"3","abstract":"Background: The histamine H3 receptor plays a critical role in the negative neuromodulation of neurotransmitters\ninvolved in cognitive function. H3 receptor antagonists/inverse agonists have been shown to exert pro-cognitive effects\nin pre-clinical models. GSK239512 is a potent and selective H3 receptor antagonist developed for the treatment of\ncognitive dysfunction in neurodegenerative disorders. In this study we examined the safety, tolerability, pharmacokinetics\nand pro-cognitive effects of GSK239512 (oral) in patients with mild to moderate Alzheimer’s disease using ascending\ndose titration regimens.\n\n\nMethods: The study was conducted in two parts. Part A was a single-blind, placebo run-in, flexible dose titration over 9\ndays in two cohorts, each consisting of two patients. Part B was a double-blind, randomised, placebo controlled, parallel\ngroup, which investigated 3 flexible dose titration regimens over 4 weeks in 3 cohorts, each consisting of eight patients.\n\n\nResults: Overall, the 5/10/20/40μg and 10/20/40/80μg regimens were well-tolerated. The regimen of 20/40/80/150μg\nshowed the poorest tolerability likely due to the higher starting dose. There were no clinically significant abnormalities in\nhaematology, clinical chemistry, urinalysis parameters and cardiovascular parameters. GSK239512 had positive effects\non tasks of attention and memory with effect sizes between 0.56 and 1.37.\n\n\nConclusions: GSK239512 displayed asatisfactory level of tolerability in patients with Alzheimer’s disease with evidence\nfor positive effects on attention and memory. The findings suggest that a titration regimen with a starting dose of 5-10μg\nand a maximum dose of 80μg is likely to be a well-tolerated and potentially efficacious regimen for future clinical trials\nin patients with Alzheimer’s disease. These findings await replication in a larger study.","DOI":"10.2174/1567205011310030003","ISSN":"1567-2050/1875-5828","journalAbbreviation":"Current Alzheimer Research","author":[{"literal":"Pradeep  J. Nathan"},{"literal":"Rebecca  Boardley"},{"literal":"Nicola  Scott"},{"literal":"Alienor  Berges"},{"literal":"Paul  Maruff"},{"literal":"Tharani  Sivananthan"},{"literal":"Neil  Upton"},{"literal":"Martin  T. Lowy"},{"literal":"Peter  J. Nestor and   Robert  Lai"}],"issued":{"date-parts":[["2013"]]}}}],"schema":"https://github.com/citation-style-language/schema/raw/master/csl-citation.json"} </w:instrText>
      </w:r>
      <w:r w:rsidR="00ED0D5C">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120,121</w:t>
      </w:r>
      <w:r w:rsidR="001F6ED7">
        <w:rPr>
          <w:rFonts w:ascii="Times New Roman" w:hAnsi="Times New Roman" w:cs="Times New Roman"/>
          <w:color w:val="000000"/>
          <w:sz w:val="20"/>
          <w:u w:val="dash"/>
          <w:lang w:val="en-US"/>
        </w:rPr>
        <w:t>]</w:t>
      </w:r>
      <w:r w:rsidR="00ED0D5C">
        <w:rPr>
          <w:rFonts w:ascii="Times New Roman" w:hAnsi="Times New Roman" w:cs="Times New Roman"/>
          <w:color w:val="000000" w:themeColor="text1"/>
          <w:sz w:val="20"/>
          <w:szCs w:val="20"/>
        </w:rPr>
        <w:fldChar w:fldCharType="end"/>
      </w:r>
      <w:r w:rsidR="00ED0D5C">
        <w:rPr>
          <w:rFonts w:ascii="Times New Roman" w:hAnsi="Times New Roman" w:cs="Times New Roman"/>
          <w:color w:val="000000" w:themeColor="text1"/>
          <w:sz w:val="20"/>
          <w:szCs w:val="20"/>
          <w:vertAlign w:val="superscript"/>
        </w:rPr>
        <w:t xml:space="preserve"> </w:t>
      </w:r>
      <w:r w:rsidRPr="00003E8D">
        <w:rPr>
          <w:rFonts w:ascii="Times New Roman" w:hAnsi="Times New Roman" w:cs="Times New Roman"/>
          <w:color w:val="000000" w:themeColor="text1"/>
          <w:sz w:val="20"/>
          <w:szCs w:val="20"/>
        </w:rPr>
        <w:t xml:space="preserve">and was put forward as a potential remyelinating agent </w:t>
      </w:r>
      <w:r w:rsidR="002F0FD5">
        <w:rPr>
          <w:rFonts w:ascii="Times New Roman" w:hAnsi="Times New Roman" w:cs="Times New Roman"/>
          <w:color w:val="000000" w:themeColor="text1"/>
          <w:sz w:val="20"/>
          <w:szCs w:val="20"/>
        </w:rPr>
        <w:t>because</w:t>
      </w:r>
      <w:r w:rsidRPr="00003E8D">
        <w:rPr>
          <w:rFonts w:ascii="Times New Roman" w:hAnsi="Times New Roman" w:cs="Times New Roman"/>
          <w:color w:val="000000" w:themeColor="text1"/>
          <w:sz w:val="20"/>
          <w:szCs w:val="20"/>
        </w:rPr>
        <w:t xml:space="preserve"> H3 negatively regulates oligo</w:t>
      </w:r>
      <w:r w:rsidR="004F650A" w:rsidRPr="00003E8D">
        <w:rPr>
          <w:rFonts w:ascii="Times New Roman" w:hAnsi="Times New Roman" w:cs="Times New Roman"/>
          <w:color w:val="000000" w:themeColor="text1"/>
          <w:sz w:val="20"/>
          <w:szCs w:val="20"/>
        </w:rPr>
        <w:t>dendrocyte differentiatio</w:t>
      </w:r>
      <w:r w:rsidR="00ED0D5C">
        <w:rPr>
          <w:rFonts w:ascii="Times New Roman" w:hAnsi="Times New Roman" w:cs="Times New Roman"/>
          <w:color w:val="000000" w:themeColor="text1"/>
          <w:sz w:val="20"/>
          <w:szCs w:val="20"/>
        </w:rPr>
        <w:t>n</w:t>
      </w:r>
      <w:r w:rsidR="00ED0D5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gFvLRPzI","properties":{"formattedCitation":"(122)","plainCitation":"(122)","noteIndex":0},"citationItems":[{"id":231,"uris":["http://zotero.org/users/local/OxFKn8nN/items/XXPX4KB5"],"uri":["http://zotero.org/users/local/OxFKn8nN/items/XXPX4KB5"],"itemData":{"id":231,"type":"article-journal","title":"Histamine Receptor 3 negatively regulates oligodendrocyte differentiation and remyelination","container-title":"PloS one","page":"e0189380-e0189380","volume":"12","issue":"12","archive":"PubMed","archive_location":"29253893","abstract":"BACKGROUND: Agents promoting oligodendrocyte precursor cell differentiation have the potential to restore halted and/or delayed remyelination in patients with multiple sclerosis. However, few therapeutic targets have been identified. The objective of this study was to identify novel targets for promotion of remyelination and characterize their activity in vitro and in vivo. METHODS: A high-content screening assay with differentiation of primary rat oligodendrocyte precursor cells was used to screen GSK-proprietary annotated libraries for remyelination-promoting compounds. Compounds were further validated in vitro and in vivo models; clinical relevance of target was confirmed in human post-mortem brain sections from patients with MS. RESULTS: Of ~1000 compounds screened, 36 promoted oligodendrocyte precursor cell differentiation in a concentration-dependent manner; seven were histamine receptor-3 (H3R) antagonists. Inverse agonists of H3R but not neutral antagonists promoted oligodendrocyte precursor cell (OPC) differentiation. H3R was expressed throughout OPC differentiation; H3R expression was transiently upregulated on Days 3-5 and subsequently downregulated. H3R gene knockdown in OPCs increased the expression of differentiation markers and the number of mature oligodendrocytes. Overexpression of full-length H3R reduced differentiation marker expression and the number of mature cells. H3R inverse agonist GSK247246 reduced intracellular cyclic AMP (cAMP) and downstream cAMP response element-binding protein (CREB) phosphorylation in a dose-dependent manner. Histone deacetylase (HDAC-1) and Hes-5 were identified as key downstream targets of H3R during OPC differentiation. In the mouse cuprizone/rapamycin model of demyelination, systemic administration of brain-penetrable GSK247246 enhanced remyelination and subsequently protected axons. Finally, we detected high H3R expression in oligodendroglial cells from demyelination lesions in human samples of patients with MS, and validated a genetic association between an exonic single nucleotide polymorphism in HRH3 and susceptibility to multiple sclerosis. CONCLUSIONS: From phenotypic screening to human genetics, we provide evidence for H3R as a novel therapeutic target to promote remyelination in patients with multiple sclerosis.","DOI":"10.1371/journal.pone.0189380","ISSN":"1932-6203","author":[{"family":"Chen","given":"Yongfeng"},{"family":"Zhen","given":"Wei"},{"family":"Guo","given":"Tony"},{"family":"Zhao","given":"Yonggang"},{"family":"Liu","given":"Ailian"},{"family":"Rubio","given":"Justin P"},{"family":"Krull","given":"David"},{"family":"Richardson","given":"Jill C"},{"family":"Lu","given":"Hongtao"},{"family":"Wang","given":"Ryan"}],"issued":{"date-parts":[["2017",12,18]]}}}],"schema":"https://github.com/citation-style-language/schema/raw/master/csl-citation.json"} </w:instrText>
      </w:r>
      <w:r w:rsidR="00ED0D5C">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122</w:t>
      </w:r>
      <w:r w:rsidR="001F6ED7">
        <w:rPr>
          <w:rFonts w:ascii="Times New Roman" w:hAnsi="Times New Roman" w:cs="Times New Roman"/>
          <w:color w:val="000000"/>
          <w:sz w:val="20"/>
          <w:u w:val="dash"/>
          <w:lang w:val="en-US"/>
        </w:rPr>
        <w:t>]</w:t>
      </w:r>
      <w:r w:rsidR="00ED0D5C">
        <w:rPr>
          <w:rFonts w:ascii="Times New Roman" w:hAnsi="Times New Roman" w:cs="Times New Roman"/>
          <w:color w:val="000000" w:themeColor="text1"/>
          <w:sz w:val="20"/>
          <w:szCs w:val="20"/>
        </w:rPr>
        <w:fldChar w:fldCharType="end"/>
      </w:r>
      <w:r w:rsidR="001A65DE" w:rsidRPr="00003E8D">
        <w:rPr>
          <w:rFonts w:ascii="Times New Roman" w:hAnsi="Times New Roman" w:cs="Times New Roman"/>
          <w:color w:val="000000" w:themeColor="text1"/>
          <w:sz w:val="20"/>
          <w:szCs w:val="20"/>
        </w:rPr>
        <w:t xml:space="preserve">. </w:t>
      </w:r>
      <w:r w:rsidRPr="00003E8D">
        <w:rPr>
          <w:rFonts w:ascii="Times New Roman" w:hAnsi="Times New Roman" w:cs="Times New Roman"/>
          <w:color w:val="000000" w:themeColor="text1"/>
          <w:sz w:val="20"/>
          <w:szCs w:val="20"/>
        </w:rPr>
        <w:t xml:space="preserve">A phase </w:t>
      </w:r>
      <w:r w:rsidR="00B026E0">
        <w:rPr>
          <w:rFonts w:ascii="Times New Roman" w:hAnsi="Times New Roman" w:cs="Times New Roman"/>
          <w:color w:val="000000" w:themeColor="text1"/>
          <w:sz w:val="20"/>
          <w:szCs w:val="20"/>
        </w:rPr>
        <w:t>2</w:t>
      </w:r>
      <w:r w:rsidRPr="00003E8D">
        <w:rPr>
          <w:rFonts w:ascii="Times New Roman" w:hAnsi="Times New Roman" w:cs="Times New Roman"/>
          <w:color w:val="000000" w:themeColor="text1"/>
          <w:sz w:val="20"/>
          <w:szCs w:val="20"/>
        </w:rPr>
        <w:t>, randomised, placebo-controlled study</w:t>
      </w:r>
      <w:r w:rsidR="00BC14F3" w:rsidRPr="00003E8D">
        <w:rPr>
          <w:rFonts w:ascii="Times New Roman" w:hAnsi="Times New Roman" w:cs="Times New Roman"/>
          <w:color w:val="000000" w:themeColor="text1"/>
          <w:sz w:val="20"/>
          <w:szCs w:val="20"/>
        </w:rPr>
        <w:t xml:space="preserve"> in people with RRMS on interferon or </w:t>
      </w:r>
      <w:r w:rsidR="00A17F65">
        <w:rPr>
          <w:rFonts w:ascii="Times New Roman" w:hAnsi="Times New Roman" w:cs="Times New Roman"/>
          <w:color w:val="000000" w:themeColor="text1"/>
          <w:sz w:val="20"/>
          <w:szCs w:val="20"/>
        </w:rPr>
        <w:t>glatiramer acetate</w:t>
      </w:r>
      <w:r w:rsidR="00BC14F3" w:rsidRPr="00003E8D">
        <w:rPr>
          <w:rFonts w:ascii="Times New Roman" w:hAnsi="Times New Roman" w:cs="Times New Roman"/>
          <w:color w:val="000000" w:themeColor="text1"/>
          <w:sz w:val="20"/>
          <w:szCs w:val="20"/>
        </w:rPr>
        <w:t>,</w:t>
      </w:r>
      <w:r w:rsidRPr="00003E8D">
        <w:rPr>
          <w:rFonts w:ascii="Times New Roman" w:hAnsi="Times New Roman" w:cs="Times New Roman"/>
          <w:color w:val="000000" w:themeColor="text1"/>
          <w:sz w:val="20"/>
          <w:szCs w:val="20"/>
        </w:rPr>
        <w:t xml:space="preserve"> </w:t>
      </w:r>
      <w:r w:rsidR="00B078B9" w:rsidRPr="00003E8D">
        <w:rPr>
          <w:rFonts w:ascii="Times New Roman" w:hAnsi="Times New Roman" w:cs="Times New Roman"/>
          <w:color w:val="000000" w:themeColor="text1"/>
          <w:sz w:val="20"/>
          <w:szCs w:val="20"/>
        </w:rPr>
        <w:t>revealed</w:t>
      </w:r>
      <w:r w:rsidRPr="00003E8D">
        <w:rPr>
          <w:rFonts w:ascii="Times New Roman" w:hAnsi="Times New Roman" w:cs="Times New Roman"/>
          <w:color w:val="000000" w:themeColor="text1"/>
          <w:sz w:val="20"/>
          <w:szCs w:val="20"/>
        </w:rPr>
        <w:t xml:space="preserve"> a small, but significant, </w:t>
      </w:r>
      <w:r w:rsidR="00BC14F3" w:rsidRPr="00003E8D">
        <w:rPr>
          <w:rFonts w:ascii="Times New Roman" w:hAnsi="Times New Roman" w:cs="Times New Roman"/>
          <w:color w:val="000000" w:themeColor="text1"/>
          <w:sz w:val="20"/>
          <w:szCs w:val="20"/>
        </w:rPr>
        <w:t>improvement in mean change in post-lesion MTR in gadolinium-enhan</w:t>
      </w:r>
      <w:r w:rsidR="001A65DE" w:rsidRPr="00003E8D">
        <w:rPr>
          <w:rFonts w:ascii="Times New Roman" w:hAnsi="Times New Roman" w:cs="Times New Roman"/>
          <w:color w:val="000000" w:themeColor="text1"/>
          <w:sz w:val="20"/>
          <w:szCs w:val="20"/>
        </w:rPr>
        <w:t>ced lesions compared to placeb</w:t>
      </w:r>
      <w:r w:rsidR="00ED0D5C">
        <w:rPr>
          <w:rFonts w:ascii="Times New Roman" w:hAnsi="Times New Roman" w:cs="Times New Roman"/>
          <w:color w:val="000000" w:themeColor="text1"/>
          <w:sz w:val="20"/>
          <w:szCs w:val="20"/>
        </w:rPr>
        <w:t>o</w:t>
      </w:r>
      <w:r w:rsidR="00ED0D5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s6DQDS2S","properties":{"formattedCitation":"(109)","plainCitation":"(109)","noteIndex":0},"citationItems":[{"id":53,"uris":["http://zotero.org/users/local/OxFKn8nN/items/QKSB3LSL"],"uri":["http://zotero.org/users/local/OxFKn8nN/items/QKSB3LSL"],"itemData":{"id":53,"type":"article-journal","title":"Lesion remyelinating activity of GSK239512 versus placebo in patients with relapsing-remitting multiple sclerosis: a randomised, single-blind, phase II study","container-title":"Journal of neurology","page":"304-315","volume":"264","issue":"2","archive":"PubMed","archive_location":"27888416","abstract":"Histamine H(3) receptor blockade may enhance lesion remyelination in multiple sclerosis (MS). The efficacy (using a magnetic resonance imaging marker of myelination, magnetisation transfer ratio [MTR]), safety and pharmacokinetics of GSK239512, a potent and brain penetrant H(3) receptor antagonist/inverse agonist on lesion remyelination in relapsing-remitting MS (RRMS) were assessed. This was a phase II, randomised, parallel-group, placebo-controlled, double-blind (sponsor-unblinded), international, multicentre study (NCT01772199). Patients aged 18-50 with RRMS, receiving intramuscular interferon-β1a or glatiramer acetate, were randomised 1:1 to once-daily oral GSK239512 or placebo, up-titrated over 4-5 weeks to a maximum tolerable dose up to 80 µg and maintained until Week 48. The co-primary endpoints were mean changes in post-lesion MTR in gadolinium-enhanced (GdE) or Delta-MTR defined lesions from pre-lesion values. Adverse events (AE) and withdrawals were monitored. Of the 131 patients randomised, 114 patients completed the study (GSK239512, n = 51; placebo, n = 63) and 27 (GSK239512) and 28 (placebo) patients contributed lesions to the primary analysis. GSK239512 was associated with positive effect sizes of 0.344 [90% confidence interval (CI) 0.018, 0.671] and 0.243 (90% CI -0.112, 0.598) for adjusted mean changes in the normalised MTR for GdE and Delta-MTR lesions, respectively. The overall incidence of AEs was similar between GSK239512 and placebo during the treatment phase although some AEs including insomnia were more common with GSK239512, particularly during the titration period. A small but positive effect of GSK239512 on remyelination was observed. MTR assessment represents a promising method for detecting lesion remyelination in RRMS.","DOI":"10.1007/s00415-016-8341-7","ISSN":"1432-1459","author":[{"family":"Schwartzbach","given":"Caryl J"},{"family":"Grove","given":"Richard A"},{"family":"Brown","given":"Robert"},{"family":"Tompson","given":"Debra"},{"family":"Then Bergh","given":"Florian"},{"family":"Arnold","given":"Douglas L"}],"issued":{"date-parts":[["2017"]]}}}],"schema":"https://github.com/citation-style-language/schema/raw/master/csl-citation.json"} </w:instrText>
      </w:r>
      <w:r w:rsidR="00ED0D5C">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109</w:t>
      </w:r>
      <w:r w:rsidR="001F6ED7">
        <w:rPr>
          <w:rFonts w:ascii="Times New Roman" w:hAnsi="Times New Roman" w:cs="Times New Roman"/>
          <w:color w:val="000000"/>
          <w:sz w:val="20"/>
          <w:u w:val="dash"/>
          <w:lang w:val="en-US"/>
        </w:rPr>
        <w:t>]</w:t>
      </w:r>
      <w:r w:rsidR="00ED0D5C">
        <w:rPr>
          <w:rFonts w:ascii="Times New Roman" w:hAnsi="Times New Roman" w:cs="Times New Roman"/>
          <w:color w:val="000000" w:themeColor="text1"/>
          <w:sz w:val="20"/>
          <w:szCs w:val="20"/>
        </w:rPr>
        <w:fldChar w:fldCharType="end"/>
      </w:r>
      <w:r w:rsidR="001A65DE" w:rsidRPr="00003E8D">
        <w:rPr>
          <w:rFonts w:ascii="Times New Roman" w:hAnsi="Times New Roman" w:cs="Times New Roman"/>
          <w:color w:val="000000" w:themeColor="text1"/>
          <w:sz w:val="20"/>
          <w:szCs w:val="20"/>
        </w:rPr>
        <w:t>.</w:t>
      </w:r>
    </w:p>
    <w:p w14:paraId="3E8EE815" w14:textId="77777777" w:rsidR="00EB2FDB" w:rsidRPr="00003E8D" w:rsidRDefault="00EB2FDB" w:rsidP="00E17010">
      <w:pPr>
        <w:spacing w:line="480" w:lineRule="auto"/>
        <w:rPr>
          <w:rFonts w:ascii="Times New Roman" w:hAnsi="Times New Roman" w:cs="Times New Roman"/>
          <w:color w:val="000000" w:themeColor="text1"/>
          <w:sz w:val="20"/>
          <w:szCs w:val="20"/>
        </w:rPr>
      </w:pPr>
    </w:p>
    <w:p w14:paraId="6CF4F00A" w14:textId="3B0336AD" w:rsidR="00872D89" w:rsidRDefault="00EB2FDB" w:rsidP="00E17010">
      <w:pPr>
        <w:spacing w:line="480" w:lineRule="auto"/>
        <w:rPr>
          <w:rFonts w:ascii="Times New Roman" w:hAnsi="Times New Roman" w:cs="Times New Roman"/>
          <w:b/>
          <w:i/>
          <w:color w:val="000000" w:themeColor="text1"/>
          <w:sz w:val="20"/>
          <w:szCs w:val="20"/>
        </w:rPr>
      </w:pPr>
      <w:r w:rsidRPr="006E2684">
        <w:rPr>
          <w:rFonts w:ascii="Times New Roman" w:hAnsi="Times New Roman" w:cs="Times New Roman"/>
          <w:b/>
          <w:i/>
          <w:color w:val="000000" w:themeColor="text1"/>
          <w:sz w:val="20"/>
          <w:szCs w:val="20"/>
        </w:rPr>
        <w:t>Bexarotene</w:t>
      </w:r>
      <w:r w:rsidR="006E2684">
        <w:rPr>
          <w:rFonts w:ascii="Times New Roman" w:hAnsi="Times New Roman" w:cs="Times New Roman"/>
          <w:b/>
          <w:i/>
          <w:color w:val="000000" w:themeColor="text1"/>
          <w:sz w:val="20"/>
          <w:szCs w:val="20"/>
        </w:rPr>
        <w:t xml:space="preserve">. </w:t>
      </w:r>
      <w:r w:rsidRPr="00003E8D">
        <w:rPr>
          <w:rFonts w:ascii="Times New Roman" w:hAnsi="Times New Roman" w:cs="Times New Roman"/>
          <w:color w:val="000000" w:themeColor="text1"/>
          <w:sz w:val="20"/>
          <w:szCs w:val="20"/>
        </w:rPr>
        <w:t xml:space="preserve">Robin Franklin’s group demonstrated that, in aged animals, </w:t>
      </w:r>
      <w:r w:rsidRPr="00003E8D">
        <w:rPr>
          <w:rFonts w:ascii="Times New Roman" w:hAnsi="Times New Roman" w:cs="Times New Roman"/>
          <w:color w:val="000000" w:themeColor="text1"/>
          <w:sz w:val="20"/>
          <w:szCs w:val="20"/>
          <w:u w:color="353535"/>
          <w:lang w:val="en-US"/>
        </w:rPr>
        <w:t xml:space="preserve">9-cis-retinoic acid enhances remyelination through agonism of </w:t>
      </w:r>
      <w:r w:rsidRPr="00003E8D">
        <w:rPr>
          <w:rFonts w:ascii="Times New Roman" w:hAnsi="Times New Roman" w:cs="Times New Roman"/>
          <w:color w:val="000000" w:themeColor="text1"/>
          <w:sz w:val="20"/>
          <w:szCs w:val="20"/>
        </w:rPr>
        <w:t xml:space="preserve">the nuclear </w:t>
      </w:r>
      <w:r w:rsidR="00794FC6" w:rsidRPr="00003E8D">
        <w:rPr>
          <w:rFonts w:ascii="Times New Roman" w:hAnsi="Times New Roman" w:cs="Times New Roman"/>
          <w:color w:val="000000" w:themeColor="text1"/>
          <w:sz w:val="20"/>
          <w:szCs w:val="20"/>
        </w:rPr>
        <w:t xml:space="preserve">retinoid acid </w:t>
      </w:r>
      <w:r w:rsidRPr="00003E8D">
        <w:rPr>
          <w:rFonts w:ascii="Times New Roman" w:hAnsi="Times New Roman" w:cs="Times New Roman"/>
          <w:color w:val="000000" w:themeColor="text1"/>
          <w:sz w:val="20"/>
          <w:szCs w:val="20"/>
        </w:rPr>
        <w:t>rec</w:t>
      </w:r>
      <w:r w:rsidR="00794FC6" w:rsidRPr="00003E8D">
        <w:rPr>
          <w:rFonts w:ascii="Times New Roman" w:hAnsi="Times New Roman" w:cs="Times New Roman"/>
          <w:color w:val="000000" w:themeColor="text1"/>
          <w:sz w:val="20"/>
          <w:szCs w:val="20"/>
        </w:rPr>
        <w:t xml:space="preserve">eptor </w:t>
      </w:r>
      <w:r w:rsidR="00BF54DC" w:rsidRPr="00003E8D">
        <w:rPr>
          <w:rFonts w:ascii="Times New Roman" w:hAnsi="Times New Roman" w:cs="Times New Roman"/>
          <w:color w:val="000000" w:themeColor="text1"/>
          <w:sz w:val="20"/>
          <w:szCs w:val="20"/>
        </w:rPr>
        <w:t>R</w:t>
      </w:r>
      <w:r w:rsidRPr="00003E8D">
        <w:rPr>
          <w:rFonts w:ascii="Times New Roman" w:hAnsi="Times New Roman" w:cs="Times New Roman"/>
          <w:color w:val="000000" w:themeColor="text1"/>
          <w:sz w:val="20"/>
          <w:szCs w:val="20"/>
        </w:rPr>
        <w:t>X</w:t>
      </w:r>
      <w:r w:rsidR="00BF54DC" w:rsidRPr="00003E8D">
        <w:rPr>
          <w:rFonts w:ascii="Times New Roman" w:hAnsi="Times New Roman" w:cs="Times New Roman"/>
          <w:color w:val="000000" w:themeColor="text1"/>
          <w:sz w:val="20"/>
          <w:szCs w:val="20"/>
        </w:rPr>
        <w:t>R</w:t>
      </w:r>
      <w:r w:rsidRPr="00003E8D">
        <w:rPr>
          <w:rFonts w:ascii="Times New Roman" w:hAnsi="Times New Roman" w:cs="Times New Roman"/>
          <w:color w:val="000000" w:themeColor="text1"/>
          <w:sz w:val="20"/>
          <w:szCs w:val="20"/>
        </w:rPr>
        <w:t>-</w:t>
      </w:r>
      <w:r w:rsidR="00794FC6" w:rsidRPr="00003E8D">
        <w:rPr>
          <w:rFonts w:ascii="Times New Roman" w:hAnsi="Times New Roman" w:cs="Times New Roman"/>
          <w:color w:val="000000" w:themeColor="text1"/>
          <w:sz w:val="20"/>
          <w:szCs w:val="20"/>
        </w:rPr>
        <w:t>γ</w:t>
      </w:r>
      <w:r w:rsidR="00122F14">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u2rFfEJW","properties":{"formattedCitation":"(123)","plainCitation":"(123)","noteIndex":0},"citationItems":[{"id":233,"uris":["http://zotero.org/users/local/OxFKn8nN/items/BAA9KHYQ"],"uri":["http://zotero.org/users/local/OxFKn8nN/items/BAA9KHYQ"],"itemData":{"id":233,"type":"article-journal","title":"Retinoid X receptor gamma signaling accelerates CNS remyelination","container-title":"Nature neuroscience","page":"45-53","volume":"14","issue":"1","archive":"PubMed","archive_location":"21131950","abstract":"The molecular basis of CNS myelin regeneration (remyelination) is poorly understood. We generated a comprehensive transcriptional profile of the separate stages of spontaneous remyelination that follow focal demyelination in the rat CNS and found that transcripts that encode the retinoid acid receptor RXR-γ were differentially expressed during remyelination. Cells of the oligodendrocyte lineage expressed RXR-γ in rat tissues that were undergoing remyelination and in active and remyelinated multiple sclerosis lesions. Knockdown of RXR-γ by RNA interference or RXR-specific antagonists severely inhibited oligodendrocyte differentiation in culture. In mice that lacked RXR-γ, adult oligodendrocyte precursor cells efficiently repopulated lesions after demyelination, but showed delayed differentiation into mature oligodendrocytes. Administration of the RXR agonist 9-cis-retinoic acid to demyelinated cerebellar slice cultures and to aged rats after demyelination caused an increase in remyelinated axons. Our results indicate that RXR-γ is a positive regulator of endogenous oligodendrocyte precursor cell differentiation and remyelination and might be a pharmacological target for regenerative therapy in the CNS.","DOI":"10.1038/nn.2702","ISSN":"1546-1726","author":[{"family":"Huang","given":"Jeffrey K"},{"family":"Jarjour","given":"Andrew A"},{"family":"Nait Oumesmar","given":"Brahim"},{"family":"Kerninon","given":"Christophe"},{"family":"Williams","given":"Anna"},{"family":"Krezel","given":"Wojciech"},{"family":"Kagechika","given":"Hiroyuki"},{"family":"Bauer","given":"Julien"},{"family":"Zhao","given":"Chao"},{"family":"Baron-Van Evercooren","given":"Anne"},{"family":"Chambon","given":"Pierre"},{"family":"Ffrench-Constant","given":"Charles"},{"family":"Franklin","given":"Robin J M"}],"issued":{"date-parts":[["2011",1]]}}}],"schema":"https://github.com/citation-style-language/schema/raw/master/csl-citation.json"} </w:instrText>
      </w:r>
      <w:r w:rsidR="00122F14">
        <w:rPr>
          <w:rFonts w:ascii="Times New Roman" w:hAnsi="Times New Roman" w:cs="Times New Roman"/>
          <w:color w:val="000000" w:themeColor="text1"/>
          <w:sz w:val="20"/>
          <w:szCs w:val="20"/>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123</w:t>
      </w:r>
      <w:r w:rsidR="001F6ED7">
        <w:rPr>
          <w:rFonts w:ascii="Times New Roman" w:hAnsi="Times New Roman" w:cs="Times New Roman"/>
          <w:color w:val="000000"/>
          <w:sz w:val="20"/>
          <w:u w:val="dash"/>
          <w:lang w:val="en-US"/>
        </w:rPr>
        <w:t>]</w:t>
      </w:r>
      <w:r w:rsidR="00122F14">
        <w:rPr>
          <w:rFonts w:ascii="Times New Roman" w:hAnsi="Times New Roman" w:cs="Times New Roman"/>
          <w:color w:val="000000" w:themeColor="text1"/>
          <w:sz w:val="20"/>
          <w:szCs w:val="20"/>
        </w:rPr>
        <w:fldChar w:fldCharType="end"/>
      </w:r>
      <w:r w:rsidR="00122F14">
        <w:rPr>
          <w:rFonts w:ascii="Times New Roman" w:hAnsi="Times New Roman" w:cs="Times New Roman"/>
          <w:color w:val="000000" w:themeColor="text1"/>
          <w:sz w:val="20"/>
          <w:szCs w:val="20"/>
          <w:u w:color="353535"/>
          <w:lang w:val="en-US"/>
        </w:rPr>
        <w:t>.</w:t>
      </w:r>
      <w:r w:rsidRPr="00003E8D">
        <w:rPr>
          <w:rFonts w:ascii="Times New Roman" w:hAnsi="Times New Roman" w:cs="Times New Roman"/>
          <w:color w:val="000000" w:themeColor="text1"/>
          <w:sz w:val="20"/>
          <w:szCs w:val="20"/>
          <w:u w:color="353535"/>
          <w:lang w:val="en-US"/>
        </w:rPr>
        <w:t xml:space="preserve"> As a similar effect could be achieved by a pan-RXR</w:t>
      </w:r>
      <w:r w:rsidR="00631C8D" w:rsidRPr="00003E8D">
        <w:rPr>
          <w:rFonts w:ascii="Times New Roman" w:hAnsi="Times New Roman" w:cs="Times New Roman"/>
          <w:color w:val="000000" w:themeColor="text1"/>
          <w:sz w:val="20"/>
          <w:szCs w:val="20"/>
          <w:u w:color="353535"/>
          <w:lang w:val="en-US"/>
        </w:rPr>
        <w:t xml:space="preserve"> agonist</w:t>
      </w:r>
      <w:r w:rsidR="002F0FD5">
        <w:rPr>
          <w:rFonts w:ascii="Times New Roman" w:hAnsi="Times New Roman" w:cs="Times New Roman"/>
          <w:color w:val="000000" w:themeColor="text1"/>
          <w:sz w:val="20"/>
          <w:szCs w:val="20"/>
          <w:u w:color="353535"/>
          <w:lang w:val="en-US"/>
        </w:rPr>
        <w:t xml:space="preserve"> licensed to treat skin lymphoma</w:t>
      </w:r>
      <w:r w:rsidR="00993520" w:rsidRPr="00003E8D">
        <w:rPr>
          <w:rFonts w:ascii="Times New Roman" w:hAnsi="Times New Roman" w:cs="Times New Roman"/>
          <w:color w:val="000000" w:themeColor="text1"/>
          <w:sz w:val="20"/>
          <w:szCs w:val="20"/>
          <w:u w:color="353535"/>
          <w:lang w:val="en-US"/>
        </w:rPr>
        <w:t>,</w:t>
      </w:r>
      <w:r w:rsidR="00631C8D" w:rsidRPr="00003E8D">
        <w:rPr>
          <w:rFonts w:ascii="Times New Roman" w:hAnsi="Times New Roman" w:cs="Times New Roman"/>
          <w:color w:val="000000" w:themeColor="text1"/>
          <w:sz w:val="20"/>
          <w:szCs w:val="20"/>
          <w:u w:color="353535"/>
          <w:lang w:val="en-US"/>
        </w:rPr>
        <w:t xml:space="preserve"> </w:t>
      </w:r>
      <w:r w:rsidR="002C0757">
        <w:rPr>
          <w:rFonts w:ascii="Times New Roman" w:hAnsi="Times New Roman" w:cs="Times New Roman"/>
          <w:color w:val="000000" w:themeColor="text1"/>
          <w:sz w:val="20"/>
          <w:szCs w:val="20"/>
          <w:u w:color="353535"/>
          <w:lang w:val="en-US"/>
        </w:rPr>
        <w:t>b</w:t>
      </w:r>
      <w:r w:rsidR="00631C8D" w:rsidRPr="00003E8D">
        <w:rPr>
          <w:rFonts w:ascii="Times New Roman" w:hAnsi="Times New Roman" w:cs="Times New Roman"/>
          <w:color w:val="000000" w:themeColor="text1"/>
          <w:sz w:val="20"/>
          <w:szCs w:val="20"/>
          <w:u w:color="353535"/>
          <w:lang w:val="en-US"/>
        </w:rPr>
        <w:t>exarotene</w:t>
      </w:r>
      <w:r w:rsidR="00631C8D" w:rsidRPr="00003E8D">
        <w:rPr>
          <w:rFonts w:ascii="Times New Roman" w:hAnsi="Times New Roman" w:cs="Times New Roman"/>
          <w:color w:val="000000" w:themeColor="text1"/>
          <w:sz w:val="20"/>
          <w:szCs w:val="20"/>
          <w:u w:color="353535"/>
          <w:vertAlign w:val="superscript"/>
          <w:lang w:val="en-US"/>
        </w:rPr>
        <w:fldChar w:fldCharType="begin"/>
      </w:r>
      <w:r w:rsidR="00AA2F7B">
        <w:rPr>
          <w:rFonts w:ascii="Times New Roman" w:hAnsi="Times New Roman" w:cs="Times New Roman"/>
          <w:color w:val="000000" w:themeColor="text1"/>
          <w:sz w:val="20"/>
          <w:szCs w:val="20"/>
          <w:u w:color="353535"/>
          <w:vertAlign w:val="superscript"/>
          <w:lang w:val="en-US"/>
        </w:rPr>
        <w:instrText xml:space="preserve"> ADDIN ZOTERO_ITEM CSL_CITATION {"citationID":"Ik3ThVbs","properties":{"formattedCitation":"(124)","plainCitation":"(124)","noteIndex":0},"citationItems":[{"id":235,"uris":["http://zotero.org/users/local/OxFKn8nN/items/IBJXF5P6"],"uri":["http://zotero.org/users/local/OxFKn8nN/items/IBJXF5P6"],"itemData":{"id":235,"type":"article-journal","title":"Modeling, Synthesis, and Biological Evaluation of Potential Retinoid X Receptor (RXR)-Selective Agonists: Analogues of 4-[1-(3,5,5,8,8-Pentamethyl-5,6,7,8-tetrahydro-2-naphthyl)ethynyl]benzoic Acid (Bexarotene) and 6-(Ethyl(5,5,8,8-tetrahydronaphthalen-2-yl)amino)nicotinic Acid (NEt-TMN)","container-title":"Journal of Medicinal Chemistry","page":"8924-8940","volume":"59","issue":"19","DOI":"10.1021/acs.jmedchem.6b00812","ISSN":"0022-2623","journalAbbreviation":"J. Med. Chem.","author":[{"family":"Heck","given":"Michael C."},{"family":"Wagner","given":"Carl E."},{"family":"Shahani","given":"Pritika H."},{"family":"MacNeill","given":"Mairi"},{"family":"Grozic","given":"Aleksandra"},{"family":"Darwaiz","given":"Tamana"},{"family":"Shimabuku","given":"Micah"},{"family":"Deans","given":"David G."},{"family":"Robinson","given":"Nathan M."},{"family":"Salama","given":"Samer H."},{"family":"Ziller","given":"Joseph W."},{"family":"Ma","given":"Ning"},{"family":"Vaart","given":"Arjan","non-dropping-particle":"van der"},{"family":"Marshall","given":"Pamela A."},{"family":"Jurutka","given":"Peter W."}],"issued":{"date-parts":[["2016",10,13]]}}}],"schema":"https://github.com/citation-style-language/schema/raw/master/csl-citation.json"} </w:instrText>
      </w:r>
      <w:r w:rsidR="00631C8D" w:rsidRPr="00003E8D">
        <w:rPr>
          <w:rFonts w:ascii="Times New Roman" w:hAnsi="Times New Roman" w:cs="Times New Roman"/>
          <w:color w:val="000000" w:themeColor="text1"/>
          <w:sz w:val="20"/>
          <w:szCs w:val="20"/>
          <w:u w:color="353535"/>
          <w:vertAlign w:val="superscript"/>
          <w:lang w:val="en-US"/>
        </w:rPr>
        <w:fldChar w:fldCharType="separate"/>
      </w:r>
      <w:r w:rsidR="001F6ED7">
        <w:rPr>
          <w:rFonts w:ascii="Times New Roman" w:hAnsi="Times New Roman" w:cs="Times New Roman"/>
          <w:noProof/>
          <w:color w:val="000000" w:themeColor="text1"/>
          <w:sz w:val="20"/>
          <w:szCs w:val="20"/>
          <w:u w:color="353535"/>
          <w:lang w:val="en-US"/>
        </w:rPr>
        <w:t>[</w:t>
      </w:r>
      <w:r w:rsidR="00AA2F7B">
        <w:rPr>
          <w:rFonts w:ascii="Times New Roman" w:hAnsi="Times New Roman" w:cs="Times New Roman"/>
          <w:noProof/>
          <w:color w:val="000000" w:themeColor="text1"/>
          <w:sz w:val="20"/>
          <w:szCs w:val="20"/>
          <w:u w:color="353535"/>
          <w:lang w:val="en-US"/>
        </w:rPr>
        <w:t>124</w:t>
      </w:r>
      <w:r w:rsidR="001F6ED7">
        <w:rPr>
          <w:rFonts w:ascii="Times New Roman" w:hAnsi="Times New Roman" w:cs="Times New Roman"/>
          <w:noProof/>
          <w:color w:val="000000" w:themeColor="text1"/>
          <w:sz w:val="20"/>
          <w:szCs w:val="20"/>
          <w:u w:color="353535"/>
          <w:lang w:val="en-US"/>
        </w:rPr>
        <w:t>]</w:t>
      </w:r>
      <w:r w:rsidR="00631C8D" w:rsidRPr="00003E8D">
        <w:rPr>
          <w:rFonts w:ascii="Times New Roman" w:hAnsi="Times New Roman" w:cs="Times New Roman"/>
          <w:color w:val="000000" w:themeColor="text1"/>
          <w:sz w:val="20"/>
          <w:szCs w:val="20"/>
          <w:u w:color="353535"/>
          <w:vertAlign w:val="superscript"/>
          <w:lang w:val="en-US"/>
        </w:rPr>
        <w:fldChar w:fldCharType="end"/>
      </w:r>
      <w:r w:rsidRPr="00003E8D">
        <w:rPr>
          <w:rFonts w:ascii="Times New Roman" w:hAnsi="Times New Roman" w:cs="Times New Roman"/>
          <w:color w:val="000000" w:themeColor="text1"/>
          <w:sz w:val="20"/>
          <w:szCs w:val="20"/>
          <w:u w:color="353535"/>
          <w:lang w:val="en-US"/>
        </w:rPr>
        <w:t xml:space="preserve">, this facilitated translation into a phase </w:t>
      </w:r>
      <w:r w:rsidR="00B026E0">
        <w:rPr>
          <w:rFonts w:ascii="Times New Roman" w:hAnsi="Times New Roman" w:cs="Times New Roman"/>
          <w:color w:val="000000" w:themeColor="text1"/>
          <w:sz w:val="20"/>
          <w:szCs w:val="20"/>
          <w:u w:color="353535"/>
          <w:lang w:val="en-US"/>
        </w:rPr>
        <w:t>2</w:t>
      </w:r>
      <w:r w:rsidRPr="00003E8D">
        <w:rPr>
          <w:rFonts w:ascii="Times New Roman" w:hAnsi="Times New Roman" w:cs="Times New Roman"/>
          <w:color w:val="000000" w:themeColor="text1"/>
          <w:sz w:val="20"/>
          <w:szCs w:val="20"/>
          <w:u w:color="353535"/>
          <w:lang w:val="en-US"/>
        </w:rPr>
        <w:t xml:space="preserve"> clinical trial (CCMR One). Indeed, while an RXR-</w:t>
      </w:r>
      <w:r w:rsidR="00794FC6" w:rsidRPr="00003E8D">
        <w:rPr>
          <w:rFonts w:ascii="Times New Roman" w:hAnsi="Times New Roman" w:cs="Times New Roman"/>
          <w:color w:val="000000" w:themeColor="text1"/>
          <w:sz w:val="20"/>
          <w:szCs w:val="20"/>
        </w:rPr>
        <w:t>γ</w:t>
      </w:r>
      <w:r w:rsidR="00794FC6" w:rsidRPr="00003E8D">
        <w:rPr>
          <w:rFonts w:ascii="Times New Roman" w:hAnsi="Times New Roman" w:cs="Times New Roman"/>
          <w:color w:val="000000" w:themeColor="text1"/>
          <w:sz w:val="20"/>
          <w:szCs w:val="20"/>
          <w:u w:color="353535"/>
          <w:lang w:val="en-US"/>
        </w:rPr>
        <w:t xml:space="preserve"> </w:t>
      </w:r>
      <w:r w:rsidRPr="00003E8D">
        <w:rPr>
          <w:rFonts w:ascii="Times New Roman" w:hAnsi="Times New Roman" w:cs="Times New Roman"/>
          <w:color w:val="000000" w:themeColor="text1"/>
          <w:sz w:val="20"/>
          <w:szCs w:val="20"/>
          <w:u w:color="353535"/>
          <w:lang w:val="en-US"/>
        </w:rPr>
        <w:t>specific agonist might be more desirable, an effect of RXR-</w:t>
      </w:r>
      <w:r w:rsidR="00A71EFA" w:rsidRPr="00003E8D">
        <w:rPr>
          <w:rFonts w:ascii="Times New Roman" w:hAnsi="Times New Roman" w:cs="Times New Roman"/>
          <w:color w:val="000000" w:themeColor="text1"/>
          <w:sz w:val="20"/>
          <w:szCs w:val="20"/>
          <w:u w:color="353535"/>
          <w:lang w:val="en-US"/>
        </w:rPr>
        <w:t>α</w:t>
      </w:r>
      <w:r w:rsidRPr="00003E8D">
        <w:rPr>
          <w:rFonts w:ascii="Times New Roman" w:hAnsi="Times New Roman" w:cs="Times New Roman"/>
          <w:color w:val="000000" w:themeColor="text1"/>
          <w:sz w:val="20"/>
          <w:szCs w:val="20"/>
          <w:u w:color="353535"/>
          <w:lang w:val="en-US"/>
        </w:rPr>
        <w:t xml:space="preserve"> activity on remyelination was </w:t>
      </w:r>
      <w:r w:rsidR="00201743" w:rsidRPr="00003E8D">
        <w:rPr>
          <w:rFonts w:ascii="Times New Roman" w:hAnsi="Times New Roman" w:cs="Times New Roman"/>
          <w:color w:val="000000" w:themeColor="text1"/>
          <w:sz w:val="20"/>
          <w:szCs w:val="20"/>
          <w:u w:color="353535"/>
          <w:lang w:val="en-US"/>
        </w:rPr>
        <w:t xml:space="preserve">also </w:t>
      </w:r>
      <w:r w:rsidRPr="00003E8D">
        <w:rPr>
          <w:rFonts w:ascii="Times New Roman" w:hAnsi="Times New Roman" w:cs="Times New Roman"/>
          <w:color w:val="000000" w:themeColor="text1"/>
          <w:sz w:val="20"/>
          <w:szCs w:val="20"/>
          <w:u w:color="353535"/>
          <w:lang w:val="en-US"/>
        </w:rPr>
        <w:t>later reporte</w:t>
      </w:r>
      <w:r w:rsidR="00122F14">
        <w:rPr>
          <w:rFonts w:ascii="Times New Roman" w:hAnsi="Times New Roman" w:cs="Times New Roman"/>
          <w:color w:val="000000" w:themeColor="text1"/>
          <w:sz w:val="20"/>
          <w:szCs w:val="20"/>
          <w:u w:color="353535"/>
          <w:lang w:val="en-US"/>
        </w:rPr>
        <w:t>d</w:t>
      </w:r>
      <w:r w:rsidR="00122F14">
        <w:rPr>
          <w:rFonts w:ascii="Times New Roman" w:hAnsi="Times New Roman" w:cs="Times New Roman"/>
          <w:color w:val="000000" w:themeColor="text1"/>
          <w:sz w:val="20"/>
          <w:szCs w:val="20"/>
          <w:u w:color="353535"/>
          <w:lang w:val="en-US"/>
        </w:rPr>
        <w:fldChar w:fldCharType="begin"/>
      </w:r>
      <w:r w:rsidR="00AA2F7B">
        <w:rPr>
          <w:rFonts w:ascii="Times New Roman" w:hAnsi="Times New Roman" w:cs="Times New Roman"/>
          <w:color w:val="000000" w:themeColor="text1"/>
          <w:sz w:val="20"/>
          <w:szCs w:val="20"/>
          <w:u w:color="353535"/>
          <w:lang w:val="en-US"/>
        </w:rPr>
        <w:instrText xml:space="preserve"> ADDIN ZOTERO_ITEM CSL_CITATION {"citationID":"FVGSqeIZ","properties":{"formattedCitation":"(125)","plainCitation":"(125)","noteIndex":0},"citationItems":[{"id":237,"uris":["http://zotero.org/users/local/OxFKn8nN/items/F5GNN9DZ"],"uri":["http://zotero.org/users/local/OxFKn8nN/items/F5GNN9DZ"],"itemData":{"id":237,"type":"article-journal","title":"Retinoid X receptor activation reverses age-related deficiencies in myelin debris phagocytosis and remyelination","container-title":"Brain : a journal of neurology","page":"3581-3597","volume":"138","issue":"Pt 12","archive":"PubMed","archive_location":"26463675","abstract":"The efficiency of central nervous system remyelination declines with age. This is in part due to an age-associated decline in the phagocytic removal of myelin debris, which contains inhibitors of oligodendrocyte progenitor cell differentiation. In this study, we show that expression of genes involved in the retinoid X receptor pathway are decreased with ageing in both myelin-phagocytosing human monocytes and mouse macrophages using a combination of in vivo and in vitro approaches. Disruption of retinoid X receptor function in young macrophages, using the antagonist HX531, mimics ageing by reducing myelin debris uptake. Macrophage-specific RXRα (Rxra) knockout mice revealed that loss of function in young mice caused delayed myelin debris uptake and slowed remyelination after experimentally-induced demyelination. Alternatively, retinoid X receptor agonists partially restored myelin debris phagocytosis in aged macrophages. The agonist bexarotene, when used in concentrations achievable in human subjects, caused a reversion of the gene expression profile in multiple sclerosis patient monocytes to a more youthful profile and enhanced myelin debris phagocytosis by patient cells. These results reveal the retinoid X receptor pathway as a positive regulator of myelin debris clearance and a key player in the age-related decline in remyelination that may be targeted by available or newly-developed therapeutics.","DOI":"10.1093/brain/awv289","ISSN":"1460-2156","author":[{"family":"Natrajan","given":"Muktha S"},{"family":"Fuente","given":"Alerie G","non-dropping-particle":"de la"},{"family":"Crawford","given":"Abbe H"},{"family":"Linehan","given":"Eimear"},{"family":"Nuñez","given":"Vanessa"},{"family":"Johnson","given":"Kory R"},{"family":"Wu","given":"Tianxia"},{"family":"Fitzgerald","given":"Denise C"},{"family":"Ricote","given":"Mercedes"},{"family":"Bielekova","given":"Bibiana"},{"family":"Franklin","given":"Robin J M"}],"issued":{"date-parts":[["2015",12]]}}}],"schema":"https://github.com/citation-style-language/schema/raw/master/csl-citation.json"} </w:instrText>
      </w:r>
      <w:r w:rsidR="00122F14">
        <w:rPr>
          <w:rFonts w:ascii="Times New Roman" w:hAnsi="Times New Roman" w:cs="Times New Roman"/>
          <w:color w:val="000000" w:themeColor="text1"/>
          <w:sz w:val="20"/>
          <w:szCs w:val="20"/>
          <w:u w:color="353535"/>
          <w:lang w:val="en-US"/>
        </w:rPr>
        <w:fldChar w:fldCharType="separate"/>
      </w:r>
      <w:r w:rsidR="001F6ED7">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125</w:t>
      </w:r>
      <w:r w:rsidR="001F6ED7">
        <w:rPr>
          <w:rFonts w:ascii="Times New Roman" w:hAnsi="Times New Roman" w:cs="Times New Roman"/>
          <w:color w:val="000000"/>
          <w:sz w:val="20"/>
          <w:u w:val="dash"/>
          <w:lang w:val="en-US"/>
        </w:rPr>
        <w:t>]</w:t>
      </w:r>
      <w:r w:rsidR="00122F14">
        <w:rPr>
          <w:rFonts w:ascii="Times New Roman" w:hAnsi="Times New Roman" w:cs="Times New Roman"/>
          <w:color w:val="000000" w:themeColor="text1"/>
          <w:sz w:val="20"/>
          <w:szCs w:val="20"/>
          <w:u w:color="353535"/>
          <w:lang w:val="en-US"/>
        </w:rPr>
        <w:fldChar w:fldCharType="end"/>
      </w:r>
      <w:r w:rsidRPr="00003E8D">
        <w:rPr>
          <w:rFonts w:ascii="Times New Roman" w:hAnsi="Times New Roman" w:cs="Times New Roman"/>
          <w:color w:val="000000" w:themeColor="text1"/>
          <w:sz w:val="20"/>
          <w:szCs w:val="20"/>
          <w:u w:color="353535"/>
          <w:lang w:val="en-US"/>
        </w:rPr>
        <w:t>.</w:t>
      </w:r>
    </w:p>
    <w:p w14:paraId="6FD9E157" w14:textId="4E8CD410" w:rsidR="003B5BFC" w:rsidRDefault="00EB2FDB" w:rsidP="003B5BFC">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The CCMR One study utili</w:t>
      </w:r>
      <w:r w:rsidR="00597C0D">
        <w:rPr>
          <w:rFonts w:ascii="Times New Roman" w:hAnsi="Times New Roman" w:cs="Times New Roman"/>
          <w:color w:val="000000" w:themeColor="text1"/>
          <w:sz w:val="20"/>
          <w:szCs w:val="20"/>
        </w:rPr>
        <w:t>sed</w:t>
      </w:r>
      <w:r w:rsidRPr="00003E8D">
        <w:rPr>
          <w:rFonts w:ascii="Times New Roman" w:hAnsi="Times New Roman" w:cs="Times New Roman"/>
          <w:color w:val="000000" w:themeColor="text1"/>
          <w:sz w:val="20"/>
          <w:szCs w:val="20"/>
        </w:rPr>
        <w:t xml:space="preserve"> MTR to quantify remyelination</w:t>
      </w:r>
      <w:r w:rsidR="002F0FD5">
        <w:rPr>
          <w:rFonts w:ascii="Times New Roman" w:hAnsi="Times New Roman" w:cs="Times New Roman"/>
          <w:color w:val="000000" w:themeColor="text1"/>
          <w:sz w:val="20"/>
          <w:szCs w:val="20"/>
        </w:rPr>
        <w:t xml:space="preserve"> as a primary measure</w:t>
      </w:r>
      <w:r w:rsidRPr="00003E8D">
        <w:rPr>
          <w:rFonts w:ascii="Times New Roman" w:hAnsi="Times New Roman" w:cs="Times New Roman"/>
          <w:color w:val="000000" w:themeColor="text1"/>
          <w:sz w:val="20"/>
          <w:szCs w:val="20"/>
        </w:rPr>
        <w:t>. However, in contrast to other studies, it</w:t>
      </w:r>
      <w:r w:rsidR="001F6ED7">
        <w:rPr>
          <w:rFonts w:ascii="Times New Roman" w:hAnsi="Times New Roman" w:cs="Times New Roman"/>
          <w:color w:val="000000" w:themeColor="text1"/>
          <w:sz w:val="20"/>
          <w:szCs w:val="20"/>
        </w:rPr>
        <w:t>s</w:t>
      </w:r>
      <w:r w:rsidRPr="00003E8D">
        <w:rPr>
          <w:rFonts w:ascii="Times New Roman" w:hAnsi="Times New Roman" w:cs="Times New Roman"/>
          <w:color w:val="000000" w:themeColor="text1"/>
          <w:sz w:val="20"/>
          <w:szCs w:val="20"/>
        </w:rPr>
        <w:t xml:space="preserve"> focus</w:t>
      </w:r>
      <w:r w:rsidR="001F6ED7">
        <w:rPr>
          <w:rFonts w:ascii="Times New Roman" w:hAnsi="Times New Roman" w:cs="Times New Roman"/>
          <w:color w:val="000000" w:themeColor="text1"/>
          <w:sz w:val="20"/>
          <w:szCs w:val="20"/>
        </w:rPr>
        <w:t xml:space="preserve"> is</w:t>
      </w:r>
      <w:r w:rsidRPr="00003E8D">
        <w:rPr>
          <w:rFonts w:ascii="Times New Roman" w:hAnsi="Times New Roman" w:cs="Times New Roman"/>
          <w:color w:val="000000" w:themeColor="text1"/>
          <w:sz w:val="20"/>
          <w:szCs w:val="20"/>
        </w:rPr>
        <w:t xml:space="preserve"> on changes in mean </w:t>
      </w:r>
      <w:proofErr w:type="spellStart"/>
      <w:r w:rsidRPr="00003E8D">
        <w:rPr>
          <w:rFonts w:ascii="Times New Roman" w:hAnsi="Times New Roman" w:cs="Times New Roman"/>
          <w:color w:val="000000" w:themeColor="text1"/>
          <w:sz w:val="20"/>
          <w:szCs w:val="20"/>
        </w:rPr>
        <w:t>lesional</w:t>
      </w:r>
      <w:proofErr w:type="spellEnd"/>
      <w:r w:rsidRPr="00003E8D">
        <w:rPr>
          <w:rFonts w:ascii="Times New Roman" w:hAnsi="Times New Roman" w:cs="Times New Roman"/>
          <w:color w:val="000000" w:themeColor="text1"/>
          <w:sz w:val="20"/>
          <w:szCs w:val="20"/>
        </w:rPr>
        <w:t xml:space="preserve"> MTR between month zero and month six for the lesions selected, for each patient, whose MTR lies below the within-patient median. In this way, it is hoped that the outcome will focus on an effect on lesions that are dem</w:t>
      </w:r>
      <w:r w:rsidR="00BF54DC" w:rsidRPr="00003E8D">
        <w:rPr>
          <w:rFonts w:ascii="Times New Roman" w:hAnsi="Times New Roman" w:cs="Times New Roman"/>
          <w:color w:val="000000" w:themeColor="text1"/>
          <w:sz w:val="20"/>
          <w:szCs w:val="20"/>
        </w:rPr>
        <w:t>yelinated at the baseline visi</w:t>
      </w:r>
      <w:r w:rsidR="00122F14">
        <w:rPr>
          <w:rFonts w:ascii="Times New Roman" w:hAnsi="Times New Roman" w:cs="Times New Roman"/>
          <w:color w:val="000000" w:themeColor="text1"/>
          <w:sz w:val="20"/>
          <w:szCs w:val="20"/>
        </w:rPr>
        <w:t>t</w:t>
      </w:r>
      <w:r w:rsidR="00122F14">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fbcu5wKU","properties":{"formattedCitation":"(126)","plainCitation":"(126)","noteIndex":0},"citationItems":[{"id":35,"uris":["http://zotero.org/users/local/OxFKn8nN/items/MBLYXQJC"],"uri":["http://zotero.org/users/local/OxFKn8nN/items/MBLYXQJC"],"itemData":{"id":35,"type":"article-journal","title":"Sample sizes for lesion magnetisation transfer ratio outcomes in remyelination trials for multiple sclerosis","container-title":"Multiple Sclerosis and Related Disorders","page":"237-243","volume":"3","issue":"2","DOI":"10.1016/j.msard.2013.09.007","ISSN":"2211-0348","author":[{"family":"Altmann","given":"D.R."},{"family":"Button","given":"T."},{"family":"Schmierer","given":"K."},{"family":"Hunter","given":"K."},{"family":"Tozer","given":"D.J."},{"family":"Wheeler-Kingshott","given":"C.A."},{"family":"Coles","given":"A."},{"family":"Miller","given":"D.H."}],"issued":{"date-parts":[["2014",3,1]]}}}],"schema":"https://github.com/citation-style-language/schema/raw/master/csl-citation.json"} </w:instrText>
      </w:r>
      <w:r w:rsidR="00122F14">
        <w:rPr>
          <w:rFonts w:ascii="Times New Roman" w:hAnsi="Times New Roman" w:cs="Times New Roman"/>
          <w:color w:val="000000" w:themeColor="text1"/>
          <w:sz w:val="20"/>
          <w:szCs w:val="20"/>
        </w:rPr>
        <w:fldChar w:fldCharType="separate"/>
      </w:r>
      <w:r w:rsidR="009931D8">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126</w:t>
      </w:r>
      <w:r w:rsidR="009931D8">
        <w:rPr>
          <w:rFonts w:ascii="Times New Roman" w:hAnsi="Times New Roman" w:cs="Times New Roman"/>
          <w:color w:val="000000"/>
          <w:sz w:val="20"/>
          <w:u w:val="dash"/>
          <w:lang w:val="en-US"/>
        </w:rPr>
        <w:t>]</w:t>
      </w:r>
      <w:r w:rsidR="00122F14">
        <w:rPr>
          <w:rFonts w:ascii="Times New Roman" w:hAnsi="Times New Roman" w:cs="Times New Roman"/>
          <w:color w:val="000000" w:themeColor="text1"/>
          <w:sz w:val="20"/>
          <w:szCs w:val="20"/>
        </w:rPr>
        <w:fldChar w:fldCharType="end"/>
      </w:r>
      <w:r w:rsidR="00BF54DC" w:rsidRPr="00003E8D">
        <w:rPr>
          <w:rFonts w:ascii="Times New Roman" w:hAnsi="Times New Roman" w:cs="Times New Roman"/>
          <w:color w:val="000000" w:themeColor="text1"/>
          <w:sz w:val="20"/>
          <w:szCs w:val="20"/>
        </w:rPr>
        <w:t>.</w:t>
      </w:r>
    </w:p>
    <w:p w14:paraId="4BD4674D" w14:textId="2E8BC96B" w:rsidR="00D83753" w:rsidRDefault="00D83753" w:rsidP="00D83753">
      <w:pPr>
        <w:spacing w:line="480" w:lineRule="auto"/>
        <w:rPr>
          <w:rFonts w:ascii="Times New Roman" w:hAnsi="Times New Roman" w:cs="Times New Roman"/>
          <w:color w:val="000000" w:themeColor="text1"/>
          <w:sz w:val="20"/>
          <w:szCs w:val="20"/>
        </w:rPr>
      </w:pPr>
    </w:p>
    <w:p w14:paraId="16ACB0D6" w14:textId="466083F4" w:rsidR="004D6429" w:rsidRDefault="004D6429" w:rsidP="004D6429">
      <w:pPr>
        <w:spacing w:line="480" w:lineRule="auto"/>
        <w:rPr>
          <w:rFonts w:ascii="Times New Roman" w:hAnsi="Times New Roman" w:cs="Times New Roman"/>
          <w:color w:val="000000" w:themeColor="text1"/>
          <w:sz w:val="20"/>
          <w:szCs w:val="20"/>
        </w:rPr>
      </w:pPr>
      <w:r>
        <w:rPr>
          <w:rFonts w:ascii="Times New Roman" w:hAnsi="Times New Roman" w:cs="Times New Roman"/>
          <w:b/>
          <w:i/>
          <w:color w:val="000000" w:themeColor="text1"/>
          <w:sz w:val="20"/>
          <w:szCs w:val="20"/>
        </w:rPr>
        <w:t>Biotin.</w:t>
      </w:r>
      <w:r>
        <w:rPr>
          <w:rFonts w:ascii="Times New Roman" w:hAnsi="Times New Roman" w:cs="Times New Roman"/>
          <w:color w:val="000000" w:themeColor="text1"/>
          <w:sz w:val="20"/>
          <w:szCs w:val="20"/>
        </w:rPr>
        <w:t xml:space="preserve"> Biotin is postulated to promote remyelination when given in high-doses through its role as a cofactor for carboxylases required for fatty acid synthesis in oligodendrocytes</w:t>
      </w:r>
      <w:r w:rsidR="001B21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2peigr8n9r","properties":{"formattedCitation":"(127)","plainCitation":"(127)","noteIndex":0},"citationItems":[{"id":389,"uris":["http://zotero.org/users/local/OxFKn8nN/items/XQLQ5F6R"],"uri":["http://zotero.org/users/local/OxFKn8nN/items/XQLQ5F6R"],"itemData":{"id":389,"type":"article-journal","title":"Targeting demyelination and virtual hypoxia with high-dose biotin as a treatment for progressive multiple sclerosis","container-title":"Oligodendrocytes in Health and Disease","page":"644-653","volume":"110","abstract":"Progressive multiple sclerosis (MS) is a severely disabling neurological condition, and an effective treatment is urgently needed. Recently, high-dose biotin has emerged as a promising therapy for affected individuals. Initial clinical data have shown that daily doses of biotin of up to 300 mg can improve objective measures of MS-related disability. In this article, we review the biology of biotin and explore the properties of this ubiquitous coenzyme that may explain the encouraging responses seen in patients with progressive MS. The gradual worsening of neurological disability in patients with progressive MS is caused by progressive axonal loss or damage. The triggers for axonal loss in MS likely include both inflammatory demyelination of the myelin sheath and primary neurodegeneration caused by a state of virtual hypoxia within the neuron. Accordingly, targeting both these pathological processes could be effective in the treatment of progressive MS. Biotin is an essential co-factor for five carboxylases involved in fatty acid synthesis and energy production. We hypothesize that high-dose biotin is exerting a therapeutic effect in patients with progressive MS through two different and complementary mechanisms: by promoting axonal remyelination by enhancing myelin production and by reducing axonal hypoxia through enhanced energy production. This article is part of the Special Issue entitled ‘Oligodendrocytes in Health and Disease’.","DOI":"10.1016/j.neuropharm.2015.08.028","ISSN":"0028-3908","journalAbbreviation":"Neuropharmacology","author":[{"family":"Sedel","given":"Frédéric"},{"family":"Bernard","given":"Delphine"},{"family":"Mock","given":"Donald M."},{"family":"Tourbah","given":"Ayman"}],"issued":{"date-parts":[["2016",11,1]]}}}],"schema":"https://github.com/citation-style-language/schema/raw/master/csl-citation.json"} </w:instrText>
      </w:r>
      <w:r w:rsidR="001B211D">
        <w:rPr>
          <w:rFonts w:ascii="Times New Roman" w:hAnsi="Times New Roman" w:cs="Times New Roman"/>
          <w:color w:val="000000" w:themeColor="text1"/>
          <w:sz w:val="20"/>
          <w:szCs w:val="20"/>
        </w:rPr>
        <w:fldChar w:fldCharType="separate"/>
      </w:r>
      <w:r w:rsidR="009931D8">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127</w:t>
      </w:r>
      <w:r w:rsidR="009931D8">
        <w:rPr>
          <w:rFonts w:ascii="Times New Roman" w:hAnsi="Times New Roman" w:cs="Times New Roman"/>
          <w:color w:val="000000"/>
          <w:sz w:val="20"/>
          <w:lang w:val="en-US"/>
        </w:rPr>
        <w:t>]</w:t>
      </w:r>
      <w:r w:rsidR="001B211D">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To date, clinical trials have focussed on cohorts of progressive patients. The MS-SPI study showed</w:t>
      </w:r>
      <w:r w:rsidR="001B211D">
        <w:rPr>
          <w:rFonts w:ascii="Times New Roman" w:hAnsi="Times New Roman" w:cs="Times New Roman"/>
          <w:color w:val="000000" w:themeColor="text1"/>
          <w:sz w:val="20"/>
          <w:szCs w:val="20"/>
        </w:rPr>
        <w:t xml:space="preserve"> a small</w:t>
      </w:r>
      <w:r>
        <w:rPr>
          <w:rFonts w:ascii="Times New Roman" w:hAnsi="Times New Roman" w:cs="Times New Roman"/>
          <w:color w:val="000000" w:themeColor="text1"/>
          <w:sz w:val="20"/>
          <w:szCs w:val="20"/>
        </w:rPr>
        <w:t xml:space="preserve"> statistically significant </w:t>
      </w:r>
      <w:r w:rsidR="001B211D">
        <w:rPr>
          <w:rFonts w:ascii="Times New Roman" w:hAnsi="Times New Roman" w:cs="Times New Roman"/>
          <w:color w:val="000000" w:themeColor="text1"/>
          <w:sz w:val="20"/>
          <w:szCs w:val="20"/>
        </w:rPr>
        <w:t>effect</w:t>
      </w:r>
      <w:r>
        <w:rPr>
          <w:rFonts w:ascii="Times New Roman" w:hAnsi="Times New Roman" w:cs="Times New Roman"/>
          <w:color w:val="000000" w:themeColor="text1"/>
          <w:sz w:val="20"/>
          <w:szCs w:val="20"/>
        </w:rPr>
        <w:t xml:space="preserve"> in 12.6% of treated participants when using an improvement of either the EDSS or timed 25-foot walk as its outcome</w:t>
      </w:r>
      <w:r w:rsidR="001B21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96rfp14fg","properties":{"formattedCitation":"(110)","plainCitation":"(110)","noteIndex":0},"citationItems":[{"id":387,"uris":["http://zotero.org/users/local/OxFKn8nN/items/P2IUV9T8"],"uri":["http://zotero.org/users/local/OxFKn8nN/items/P2IUV9T8"],"itemData":{"id":387,"type":"article-journal","title":"MD1003 (high-dose biotin) for the treatment of progressive multiple sclerosis: A randomised, double-blind, placebo-controlled study","container-title":"Multiple Sclerosis Journal","page":"1719-1731","volume":"22","issue":"13","abstract":"Background:Treatment with MD1003 (high-dose biotin) showed promising results in progressive multiple sclerosis (MS) in a pilot open-label study.Objective:To confirm the efficacy and safety of MD1003 in progressive MS in a double-blind, placebo-controlled study.Methods:Patients (n?=?154) with a baseline Expanded Disability Status Scale (EDSS) score of 4.5?7 and evidence of disease worsening within the previous 2?years were randomised to 12-month MD1003 (100?mg biotin) or placebo thrice daily, followed by 12-month MD1003 for all patients. The primary endpoint was the proportion of patients with disability reversal at month 9, confirmed at month 12, defined as an EDSS decrease of ?1 point (?0.5 for EDSS 6?7) or a ?20% decrease in timed 25-foot walk time compared with the best baseline among screening or randomisation visits.Results:A total of 13 (12.6%) MD1003-treated patients achieved the primary endpoint versus none of the placebo-treated patients (p?=?0.005). MD1003 treatment also reduced EDSS progression and improved clinical impression of change compared with placebo. Efficacy was maintained over follow-up, and the safety profile of MD1003 was similar to that of placebo.Conclusion:MD1003 achieves sustained reversal of MS-related disability in a subset of patients with progressive MS and is well tolerated.","DOI":"10.1177/1352458516667568","ISSN":"1352-4585","journalAbbreviation":"Mult Scler","author":[{"family":"Tourbah","given":"Ayman"},{"family":"Lebrun-Frenay","given":"Christine"},{"family":"Edan","given":"Gilles"},{"family":"Clanet","given":"Michel"},{"family":"Papeix","given":"Caroline"},{"family":"Vukusic","given":"Sandra"},{"family":"De Sèze","given":"Jerome"},{"family":"Debouverie","given":"Marc"},{"family":"Gout","given":"Olivier"},{"family":"Clavelou","given":"Pierre"},{"family":"Defer","given":"Gilles"},{"family":"Laplaud","given":"David-Axel"},{"family":"Moreau","given":"Thibault"},{"family":"Labauge","given":"Pierre"},{"family":"Brochet","given":"Bruno"},{"family":"Sedel","given":"Frédéric"},{"family":"Pelletier","given":"Jean"}],"issued":{"date-parts":[["2016",9,1]]}}}],"schema":"https://github.com/citation-style-language/schema/raw/master/csl-citation.json"} </w:instrText>
      </w:r>
      <w:r w:rsidR="001B211D">
        <w:rPr>
          <w:rFonts w:ascii="Times New Roman" w:hAnsi="Times New Roman" w:cs="Times New Roman"/>
          <w:color w:val="000000" w:themeColor="text1"/>
          <w:sz w:val="20"/>
          <w:szCs w:val="20"/>
        </w:rPr>
        <w:fldChar w:fldCharType="separate"/>
      </w:r>
      <w:r w:rsidR="009931D8">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110</w:t>
      </w:r>
      <w:r w:rsidR="009931D8">
        <w:rPr>
          <w:rFonts w:ascii="Times New Roman" w:hAnsi="Times New Roman" w:cs="Times New Roman"/>
          <w:color w:val="000000"/>
          <w:sz w:val="20"/>
          <w:lang w:val="en-US"/>
        </w:rPr>
        <w:t>]</w:t>
      </w:r>
      <w:r w:rsidR="001B211D">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xml:space="preserve">. However, the MS-ON study </w:t>
      </w:r>
      <w:r>
        <w:rPr>
          <w:rFonts w:ascii="Times New Roman" w:hAnsi="Times New Roman" w:cs="Times New Roman"/>
          <w:color w:val="000000" w:themeColor="text1"/>
          <w:sz w:val="20"/>
          <w:szCs w:val="20"/>
        </w:rPr>
        <w:lastRenderedPageBreak/>
        <w:t xml:space="preserve">returned a negative result when change in visual acuity was employed as the primary </w:t>
      </w:r>
      <w:r w:rsidR="009931D8">
        <w:rPr>
          <w:rFonts w:ascii="Times New Roman" w:hAnsi="Times New Roman" w:cs="Times New Roman"/>
          <w:color w:val="000000" w:themeColor="text1"/>
          <w:sz w:val="20"/>
          <w:szCs w:val="20"/>
        </w:rPr>
        <w:t xml:space="preserve">endpoint </w:t>
      </w:r>
      <w:r w:rsidR="001B21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24e6b69igi","properties":{"formattedCitation":"(111)","plainCitation":"(111)","noteIndex":0},"citationItems":[{"id":401,"uris":["http://zotero.org/users/local/OxFKn8nN/items/2FY2FYD3"],"uri":["http://zotero.org/users/local/OxFKn8nN/items/2FY2FYD3"],"itemData":{"id":401,"type":"article-journal","title":"MD1003 (High-Dose Pharmaceutical-Grade Biotin) for the Treatment of Chronic Visual Loss Related to Optic Neuritis in Multiple Sclerosis: A Randomized, Double-Blind, Placebo-Controlled Study","container-title":"CNS Drugs","page":"661-672","volume":"32","issue":"7","abstract":"Chronic visual loss is a disabling feature in patients with multiple sclerosis (MS). It was recently shown that MD1003 (high-dose pharmaceutical-grade biotin or hdPB) may improve disability in patients with progressive MS.","DOI":"10.1007/s40263-018-0528-2","ISSN":"1179-1934","journalAbbreviation":"CNS Drugs","author":[{"family":"Tourbah","given":"Ayman"},{"family":"Gout","given":"Olivier"},{"family":"Vighetto","given":"Alain"},{"family":"Deburghgraeve","given":"Véronique"},{"family":"Pelletier","given":"Jean"},{"family":"Papeix","given":"Caroline"},{"family":"Lebrun-Frenay","given":"Christine"},{"family":"Labauge","given":"Pierre"},{"family":"Brassat","given":"David"},{"family":"Toosy","given":"Ahmed"},{"family":"Laplaud","given":"David-Axel"},{"family":"Outteryck","given":"Olivier"},{"family":"Moreau","given":"Thibault"},{"family":"Debouverie","given":"Marc"},{"family":"Clavelou","given":"Pierre"},{"family":"Heinzlef","given":"Olivier"},{"family":"De Sèze","given":"Jérôme"},{"family":"Defer","given":"Gilles"},{"family":"Sedel","given":"Frédéric"},{"family":"Arndt","given":"Carl"}],"issued":{"date-parts":[["2018",7,1]]}}}],"schema":"https://github.com/citation-style-language/schema/raw/master/csl-citation.json"} </w:instrText>
      </w:r>
      <w:r w:rsidR="001B211D">
        <w:rPr>
          <w:rFonts w:ascii="Times New Roman" w:hAnsi="Times New Roman" w:cs="Times New Roman"/>
          <w:color w:val="000000" w:themeColor="text1"/>
          <w:sz w:val="20"/>
          <w:szCs w:val="20"/>
        </w:rPr>
        <w:fldChar w:fldCharType="separate"/>
      </w:r>
      <w:r w:rsidR="009931D8">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111</w:t>
      </w:r>
      <w:r w:rsidR="009931D8">
        <w:rPr>
          <w:rFonts w:ascii="Times New Roman" w:hAnsi="Times New Roman" w:cs="Times New Roman"/>
          <w:color w:val="000000"/>
          <w:sz w:val="20"/>
          <w:lang w:val="en-US"/>
        </w:rPr>
        <w:t>]</w:t>
      </w:r>
      <w:r w:rsidR="001B211D">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It therefore remains uncertain whether high-dose biotin could be a clinically useful treatment for people with MS – and is under further investigation in MS-SPII</w:t>
      </w:r>
      <w:r w:rsidR="005551C8">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 yet these trials also highlight the importance of selection of patient group and outcome measures, which will be discussed further below.</w:t>
      </w:r>
    </w:p>
    <w:p w14:paraId="7C72490A" w14:textId="77777777" w:rsidR="00CB136A" w:rsidRDefault="00CB136A" w:rsidP="003B5BFC">
      <w:pPr>
        <w:spacing w:line="480" w:lineRule="auto"/>
        <w:rPr>
          <w:rFonts w:ascii="Times New Roman" w:hAnsi="Times New Roman" w:cs="Times New Roman"/>
          <w:b/>
          <w:color w:val="000000" w:themeColor="text1"/>
          <w:sz w:val="20"/>
          <w:szCs w:val="20"/>
        </w:rPr>
      </w:pPr>
    </w:p>
    <w:p w14:paraId="0B8ABB7A" w14:textId="30DCFE78" w:rsidR="00532EF7" w:rsidRPr="00DB0E48" w:rsidRDefault="00F82D86" w:rsidP="00BB3CD2">
      <w:pPr>
        <w:spacing w:line="480" w:lineRule="auto"/>
        <w:rPr>
          <w:rFonts w:ascii="Times New Roman" w:hAnsi="Times New Roman" w:cs="Times New Roman"/>
          <w:color w:val="000000" w:themeColor="text1"/>
          <w:sz w:val="20"/>
          <w:szCs w:val="20"/>
        </w:rPr>
      </w:pPr>
      <w:r>
        <w:rPr>
          <w:rFonts w:ascii="Times New Roman" w:hAnsi="Times New Roman" w:cs="Times New Roman"/>
          <w:b/>
          <w:i/>
          <w:color w:val="000000" w:themeColor="text1"/>
          <w:sz w:val="20"/>
          <w:szCs w:val="20"/>
        </w:rPr>
        <w:t>Cell</w:t>
      </w:r>
      <w:r w:rsidR="00597C0D">
        <w:rPr>
          <w:rFonts w:ascii="Times New Roman" w:hAnsi="Times New Roman" w:cs="Times New Roman"/>
          <w:b/>
          <w:i/>
          <w:color w:val="000000" w:themeColor="text1"/>
          <w:sz w:val="20"/>
          <w:szCs w:val="20"/>
        </w:rPr>
        <w:t>-</w:t>
      </w:r>
      <w:r>
        <w:rPr>
          <w:rFonts w:ascii="Times New Roman" w:hAnsi="Times New Roman" w:cs="Times New Roman"/>
          <w:b/>
          <w:i/>
          <w:color w:val="000000" w:themeColor="text1"/>
          <w:sz w:val="20"/>
          <w:szCs w:val="20"/>
        </w:rPr>
        <w:t>based therapies.</w:t>
      </w:r>
      <w:r w:rsidR="006475A8">
        <w:rPr>
          <w:rFonts w:ascii="Times New Roman" w:hAnsi="Times New Roman" w:cs="Times New Roman"/>
          <w:color w:val="000000" w:themeColor="text1"/>
          <w:sz w:val="20"/>
          <w:szCs w:val="20"/>
        </w:rPr>
        <w:t xml:space="preserve"> </w:t>
      </w:r>
      <w:r w:rsidR="00AD41D9">
        <w:rPr>
          <w:rFonts w:ascii="Times New Roman" w:hAnsi="Times New Roman" w:cs="Times New Roman"/>
          <w:color w:val="000000" w:themeColor="text1"/>
          <w:sz w:val="20"/>
          <w:szCs w:val="20"/>
        </w:rPr>
        <w:t>E</w:t>
      </w:r>
      <w:r w:rsidR="00597C0D">
        <w:rPr>
          <w:rFonts w:ascii="Times New Roman" w:hAnsi="Times New Roman" w:cs="Times New Roman"/>
          <w:color w:val="000000" w:themeColor="text1"/>
          <w:sz w:val="20"/>
          <w:szCs w:val="20"/>
        </w:rPr>
        <w:t>nhancing the activity of endogenous oligodendrocyte progenitor</w:t>
      </w:r>
      <w:r w:rsidR="00976471">
        <w:rPr>
          <w:rFonts w:ascii="Times New Roman" w:hAnsi="Times New Roman" w:cs="Times New Roman"/>
          <w:color w:val="000000" w:themeColor="text1"/>
          <w:sz w:val="20"/>
          <w:szCs w:val="20"/>
        </w:rPr>
        <w:t>s</w:t>
      </w:r>
      <w:r w:rsidR="00AD41D9">
        <w:rPr>
          <w:rFonts w:ascii="Times New Roman" w:hAnsi="Times New Roman" w:cs="Times New Roman"/>
          <w:color w:val="000000" w:themeColor="text1"/>
          <w:sz w:val="20"/>
          <w:szCs w:val="20"/>
        </w:rPr>
        <w:t xml:space="preserve"> </w:t>
      </w:r>
      <w:r w:rsidR="00776A83">
        <w:rPr>
          <w:rFonts w:ascii="Times New Roman" w:hAnsi="Times New Roman" w:cs="Times New Roman"/>
          <w:color w:val="000000" w:themeColor="text1"/>
          <w:sz w:val="20"/>
          <w:szCs w:val="20"/>
        </w:rPr>
        <w:t>has proved</w:t>
      </w:r>
      <w:r w:rsidR="00AD41D9">
        <w:rPr>
          <w:rFonts w:ascii="Times New Roman" w:hAnsi="Times New Roman" w:cs="Times New Roman"/>
          <w:color w:val="000000" w:themeColor="text1"/>
          <w:sz w:val="20"/>
          <w:szCs w:val="20"/>
        </w:rPr>
        <w:t xml:space="preserve"> </w:t>
      </w:r>
      <w:r w:rsidR="00776A83">
        <w:rPr>
          <w:rFonts w:ascii="Times New Roman" w:hAnsi="Times New Roman" w:cs="Times New Roman"/>
          <w:color w:val="000000" w:themeColor="text1"/>
          <w:sz w:val="20"/>
          <w:szCs w:val="20"/>
        </w:rPr>
        <w:t>the most accessible strategy to promote remyelination to date</w:t>
      </w:r>
      <w:r w:rsidR="00532EF7">
        <w:rPr>
          <w:rFonts w:ascii="Times New Roman" w:hAnsi="Times New Roman" w:cs="Times New Roman"/>
          <w:color w:val="000000" w:themeColor="text1"/>
          <w:sz w:val="20"/>
          <w:szCs w:val="20"/>
        </w:rPr>
        <w:t>, therefore forming the focus of this review</w:t>
      </w:r>
      <w:r w:rsidR="00776A83">
        <w:rPr>
          <w:rFonts w:ascii="Times New Roman" w:hAnsi="Times New Roman" w:cs="Times New Roman"/>
          <w:color w:val="000000" w:themeColor="text1"/>
          <w:sz w:val="20"/>
          <w:szCs w:val="20"/>
        </w:rPr>
        <w:t xml:space="preserve">. However, </w:t>
      </w:r>
      <w:r w:rsidR="00F36E1C">
        <w:rPr>
          <w:rFonts w:ascii="Times New Roman" w:hAnsi="Times New Roman" w:cs="Times New Roman"/>
          <w:color w:val="000000" w:themeColor="text1"/>
          <w:sz w:val="20"/>
          <w:szCs w:val="20"/>
        </w:rPr>
        <w:t>other</w:t>
      </w:r>
      <w:r w:rsidR="00AD41D9">
        <w:rPr>
          <w:rFonts w:ascii="Times New Roman" w:hAnsi="Times New Roman" w:cs="Times New Roman"/>
          <w:color w:val="000000" w:themeColor="text1"/>
          <w:sz w:val="20"/>
          <w:szCs w:val="20"/>
        </w:rPr>
        <w:t xml:space="preserve"> </w:t>
      </w:r>
      <w:r w:rsidR="003122F0">
        <w:rPr>
          <w:rFonts w:ascii="Times New Roman" w:hAnsi="Times New Roman" w:cs="Times New Roman"/>
          <w:color w:val="000000" w:themeColor="text1"/>
          <w:sz w:val="20"/>
          <w:szCs w:val="20"/>
        </w:rPr>
        <w:t xml:space="preserve">non-ablative </w:t>
      </w:r>
      <w:r w:rsidR="00AD41D9">
        <w:rPr>
          <w:rFonts w:ascii="Times New Roman" w:hAnsi="Times New Roman" w:cs="Times New Roman"/>
          <w:color w:val="000000" w:themeColor="text1"/>
          <w:sz w:val="20"/>
          <w:szCs w:val="20"/>
        </w:rPr>
        <w:t xml:space="preserve">cell-based approaches </w:t>
      </w:r>
      <w:r w:rsidR="00776A83">
        <w:rPr>
          <w:rFonts w:ascii="Times New Roman" w:hAnsi="Times New Roman" w:cs="Times New Roman"/>
          <w:color w:val="000000" w:themeColor="text1"/>
          <w:sz w:val="20"/>
          <w:szCs w:val="20"/>
        </w:rPr>
        <w:t>are generating substantial interest (</w:t>
      </w:r>
      <w:r w:rsidR="00BB3CD2">
        <w:rPr>
          <w:rFonts w:ascii="Times New Roman" w:hAnsi="Times New Roman" w:cs="Times New Roman"/>
          <w:color w:val="000000" w:themeColor="text1"/>
          <w:sz w:val="20"/>
          <w:szCs w:val="20"/>
        </w:rPr>
        <w:t>reviewed in</w:t>
      </w:r>
      <w:r w:rsidR="001B211D">
        <w:rPr>
          <w:rFonts w:ascii="Times New Roman" w:hAnsi="Times New Roman" w:cs="Times New Roman"/>
          <w:color w:val="000000" w:themeColor="text1"/>
          <w:sz w:val="20"/>
          <w:szCs w:val="20"/>
        </w:rPr>
        <w:t xml:space="preserve"> </w:t>
      </w:r>
      <w:r w:rsidR="001B21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srk4d57lf","properties":{"formattedCitation":"(128)","plainCitation":"(128)","noteIndex":0},"citationItems":[{"id":381,"uris":["http://zotero.org/users/local/OxFKn8nN/items/BNF3EUNC"],"uri":["http://zotero.org/users/local/OxFKn8nN/items/BNF3EUNC"],"itemData":{"id":381,"type":"article-journal","title":"Cell-based therapeutic strategies for multiple sclerosis","container-title":"Brain","page":"2776-2796","volume":"140","issue":"11","abstract":"The availability of multiple disease-modifying medications with regulatory approval to treat multiple sclerosis illustrates the substantial progress made in therapy of the disease. However, all are only partially effective in preventing inflammatory tissue damage in the central nervous system and none directly promotes repair. Cell-based therapies, including immunoablation followed by autologous haematopoietic stem cell transplantation, mesenchymal and related stem cell transplantation, pharmacologic manipulation of endogenous stem cells to enhance their reparative capabilities, and transplantation of oligodendrocyte progenitor cells, have generated substantial interest as novel therapeutic strategies for immune modulation, neuroprotection, or repair of the damaged central nervous system in multiple sclerosis. Each approach has potential advantages but also safety concerns and unresolved questions. Moreover, clinical trials of cell-based therapies present several unique methodological and ethical issues. We summarize here the status of cell-based therapies to treat multiple sclerosis and make consensus recommendations for future research and clinical trials.","DOI":"10.1093/brain/awx154","ISSN":"0006-8950","journalAbbreviation":"Brain","author":[{"family":"Scolding","given":"Neil J"},{"family":"Pasquini","given":"Marcelo"},{"family":"Reingold","given":"Stephen C"},{"family":"Cohen","given":"Jeffrey A"},{"literal":"International Conference on Cell-Based Therapies for Multiple Sclerosis:"}],"issued":{"date-parts":[["2017",7,21]]}}}],"schema":"https://github.com/citation-style-language/schema/raw/master/csl-citation.json"} </w:instrText>
      </w:r>
      <w:r w:rsidR="001B211D">
        <w:rPr>
          <w:rFonts w:ascii="Times New Roman" w:hAnsi="Times New Roman" w:cs="Times New Roman"/>
          <w:color w:val="000000" w:themeColor="text1"/>
          <w:sz w:val="20"/>
          <w:szCs w:val="20"/>
        </w:rPr>
        <w:fldChar w:fldCharType="separate"/>
      </w:r>
      <w:r w:rsidR="006B6168">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128</w:t>
      </w:r>
      <w:r w:rsidR="006B6168">
        <w:rPr>
          <w:rFonts w:ascii="Times New Roman" w:hAnsi="Times New Roman" w:cs="Times New Roman"/>
          <w:color w:val="000000"/>
          <w:sz w:val="20"/>
          <w:lang w:val="en-US"/>
        </w:rPr>
        <w:t>]</w:t>
      </w:r>
      <w:r w:rsidR="001B211D">
        <w:rPr>
          <w:rFonts w:ascii="Times New Roman" w:hAnsi="Times New Roman" w:cs="Times New Roman"/>
          <w:color w:val="000000" w:themeColor="text1"/>
          <w:sz w:val="20"/>
          <w:szCs w:val="20"/>
        </w:rPr>
        <w:fldChar w:fldCharType="end"/>
      </w:r>
      <w:r w:rsidR="00776A83">
        <w:rPr>
          <w:rFonts w:ascii="Times New Roman" w:hAnsi="Times New Roman" w:cs="Times New Roman"/>
          <w:color w:val="000000" w:themeColor="text1"/>
          <w:sz w:val="20"/>
          <w:szCs w:val="20"/>
        </w:rPr>
        <w:t>): t</w:t>
      </w:r>
      <w:r w:rsidR="00AD41D9">
        <w:rPr>
          <w:rFonts w:ascii="Times New Roman" w:hAnsi="Times New Roman" w:cs="Times New Roman"/>
          <w:color w:val="000000" w:themeColor="text1"/>
          <w:sz w:val="20"/>
          <w:szCs w:val="20"/>
        </w:rPr>
        <w:t xml:space="preserve">ransplantation of mesenchymal stem cells (MSCs), derived from bone marrow or other tissues, </w:t>
      </w:r>
      <w:r w:rsidR="00776A83">
        <w:rPr>
          <w:rFonts w:ascii="Times New Roman" w:hAnsi="Times New Roman" w:cs="Times New Roman"/>
          <w:color w:val="000000" w:themeColor="text1"/>
          <w:sz w:val="20"/>
          <w:szCs w:val="20"/>
        </w:rPr>
        <w:t>or</w:t>
      </w:r>
      <w:r w:rsidR="00AD41D9">
        <w:rPr>
          <w:rFonts w:ascii="Times New Roman" w:hAnsi="Times New Roman" w:cs="Times New Roman"/>
          <w:color w:val="000000" w:themeColor="text1"/>
          <w:sz w:val="20"/>
          <w:szCs w:val="20"/>
        </w:rPr>
        <w:t xml:space="preserve"> transplantation of</w:t>
      </w:r>
      <w:r w:rsidR="00976471">
        <w:rPr>
          <w:rFonts w:ascii="Times New Roman" w:hAnsi="Times New Roman" w:cs="Times New Roman"/>
          <w:color w:val="000000" w:themeColor="text1"/>
          <w:sz w:val="20"/>
          <w:szCs w:val="20"/>
        </w:rPr>
        <w:t xml:space="preserve"> </w:t>
      </w:r>
      <w:r w:rsidR="003841E6">
        <w:rPr>
          <w:rFonts w:ascii="Times New Roman" w:hAnsi="Times New Roman" w:cs="Times New Roman"/>
          <w:color w:val="000000" w:themeColor="text1"/>
          <w:sz w:val="20"/>
          <w:szCs w:val="20"/>
        </w:rPr>
        <w:t>OPCs</w:t>
      </w:r>
      <w:r w:rsidR="00AD41D9">
        <w:rPr>
          <w:rFonts w:ascii="Times New Roman" w:hAnsi="Times New Roman" w:cs="Times New Roman"/>
          <w:color w:val="000000" w:themeColor="text1"/>
          <w:sz w:val="20"/>
          <w:szCs w:val="20"/>
        </w:rPr>
        <w:t>, derived from</w:t>
      </w:r>
      <w:r w:rsidR="00BB3CD2">
        <w:rPr>
          <w:rFonts w:ascii="Times New Roman" w:hAnsi="Times New Roman" w:cs="Times New Roman"/>
          <w:color w:val="000000" w:themeColor="text1"/>
          <w:sz w:val="20"/>
          <w:szCs w:val="20"/>
        </w:rPr>
        <w:t xml:space="preserve"> foetal tissue, embryonic stem cells or</w:t>
      </w:r>
      <w:r w:rsidR="00AD41D9">
        <w:rPr>
          <w:rFonts w:ascii="Times New Roman" w:hAnsi="Times New Roman" w:cs="Times New Roman"/>
          <w:color w:val="000000" w:themeColor="text1"/>
          <w:sz w:val="20"/>
          <w:szCs w:val="20"/>
        </w:rPr>
        <w:t xml:space="preserve"> </w:t>
      </w:r>
      <w:r w:rsidR="00976471">
        <w:rPr>
          <w:rFonts w:ascii="Times New Roman" w:hAnsi="Times New Roman" w:cs="Times New Roman"/>
          <w:color w:val="000000" w:themeColor="text1"/>
          <w:sz w:val="20"/>
          <w:szCs w:val="20"/>
        </w:rPr>
        <w:t>induced pluripotent stem cells</w:t>
      </w:r>
      <w:r w:rsidR="00D258FF">
        <w:rPr>
          <w:rFonts w:ascii="Times New Roman" w:hAnsi="Times New Roman" w:cs="Times New Roman"/>
          <w:color w:val="000000" w:themeColor="text1"/>
          <w:sz w:val="20"/>
          <w:szCs w:val="20"/>
        </w:rPr>
        <w:t xml:space="preserve"> (iPSCs)</w:t>
      </w:r>
      <w:r w:rsidR="001B21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5k38820j","properties":{"formattedCitation":"(129,130)","plainCitation":"(129,130)","noteIndex":0},"citationItems":[{"id":382,"uris":["http://zotero.org/users/local/OxFKn8nN/items/73KYHP2B"],"uri":["http://zotero.org/users/local/OxFKn8nN/items/73KYHP2B"],"itemData":{"id":382,"type":"article-journal","title":"Glial Progenitor Cell–Based Treatment and Modeling of Neurological Disease","container-title":"Science","page":"491","volume":"338","issue":"6106","abstract":"The diseases of myelin are among the most prevalent and disabling conditions in neurology. These diseases include both the vascular and inflammatory demyelinating disorders of adulthood, as well as the childhood leukodystrophies and cerebral palsy. These fundamentally glial disorders may be amenable to treatment by glial progenitor cells (GPCs), which give rise to astroglia and myelin-producing oligodendrocytes. Given the development of new methods for generating and isolating human GPCs, the myelin disorders may now be compelling targets for cell-based therapy. In addition, the efficient engraftment and expansion of human GPCs in murine hosts has led to the development of human glial chimeric mouse brains, which provides new opportunities for studying the species-specific roles of human glia in cognition, as well as in disease pathogenesis.","DOI":"10.1126/science.1218071","journalAbbreviation":"Science","author":[{"family":"Goldman","given":"Steven A."},{"family":"Nedergaard","given":"Maiken"},{"family":"Windrem","given":"Martha S."}],"issued":{"date-parts":[["2012",10,26]]}}},{"id":383,"uris":["http://zotero.org/users/local/OxFKn8nN/items/7YPHJR6W"],"uri":["http://zotero.org/users/local/OxFKn8nN/items/7YPHJR6W"],"itemData":{"id":383,"type":"article-journal","title":"Glia Disease and Repair—Remyelination","container-title":"Cold Spring Harbor Perspectives in Biology","volume":"7","issue":"7","abstract":"The inability of the mammalian central nervous system (CNS) to undergo spontaneous regeneration has long been regarded as a central tenet of neurobiology. However, although this is largely true of the neuronal elements of the adult mammalian CNS, save for discrete populations of granular neurons, the same is not true of its glial elements. In particular, the loss of oligodendrocytes, which results in demyelination, triggers a spontaneous and often highly efficient regenerative response, remyelination, in which new oligodendrocytes are generated and myelin sheaths are restored to denuded axons. Yet, remyelination in humans is not without limitation, and a variety of demyelinating conditions are associated with sustained and disabling myelin loss. In this review, we will review the biology of remyelination, including the cells and signals involved; describe when remyelination occurs and when and why it fails and the consequences of its failure; and discuss approaches for therapeutically enhancing remyelination in demyelinating diseases of both children and adults, both by stimulating endogenous oligodendrocyte progenitor cells and by transplanting these cells into demyelinated brain.","URL":"http://cshperspectives.cshlp.org/content/7/7/a020594.abstract","DOI":"10.1101/cshperspect.a020594","journalAbbreviation":"Cold Spring Harbor Perspectives in Biology","author":[{"family":"Franklin","given":"Robin J.M."},{"family":"Goldman","given":"Steven A."}],"issued":{"date-parts":[["2015",7,1]]}}}],"schema":"https://github.com/citation-style-language/schema/raw/master/csl-citation.json"} </w:instrText>
      </w:r>
      <w:r w:rsidR="001B211D">
        <w:rPr>
          <w:rFonts w:ascii="Times New Roman" w:hAnsi="Times New Roman" w:cs="Times New Roman"/>
          <w:color w:val="000000" w:themeColor="text1"/>
          <w:sz w:val="20"/>
          <w:szCs w:val="20"/>
        </w:rPr>
        <w:fldChar w:fldCharType="separate"/>
      </w:r>
      <w:r w:rsidR="006B6168">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129,130</w:t>
      </w:r>
      <w:r w:rsidR="006B6168">
        <w:rPr>
          <w:rFonts w:ascii="Times New Roman" w:hAnsi="Times New Roman" w:cs="Times New Roman"/>
          <w:color w:val="000000"/>
          <w:sz w:val="20"/>
          <w:lang w:val="en-US"/>
        </w:rPr>
        <w:t>]</w:t>
      </w:r>
      <w:r w:rsidR="001B211D">
        <w:rPr>
          <w:rFonts w:ascii="Times New Roman" w:hAnsi="Times New Roman" w:cs="Times New Roman"/>
          <w:color w:val="000000" w:themeColor="text1"/>
          <w:sz w:val="20"/>
          <w:szCs w:val="20"/>
        </w:rPr>
        <w:fldChar w:fldCharType="end"/>
      </w:r>
      <w:r w:rsidR="003122F0">
        <w:rPr>
          <w:rFonts w:ascii="Times New Roman" w:hAnsi="Times New Roman" w:cs="Times New Roman"/>
          <w:color w:val="000000" w:themeColor="text1"/>
          <w:sz w:val="20"/>
          <w:szCs w:val="20"/>
        </w:rPr>
        <w:t xml:space="preserve"> </w:t>
      </w:r>
      <w:r w:rsidR="00776A83">
        <w:rPr>
          <w:rFonts w:ascii="Times New Roman" w:hAnsi="Times New Roman" w:cs="Times New Roman"/>
          <w:color w:val="000000" w:themeColor="text1"/>
          <w:sz w:val="20"/>
          <w:szCs w:val="20"/>
        </w:rPr>
        <w:t xml:space="preserve">are </w:t>
      </w:r>
      <w:r w:rsidR="003122F0">
        <w:rPr>
          <w:rFonts w:ascii="Times New Roman" w:hAnsi="Times New Roman" w:cs="Times New Roman"/>
          <w:color w:val="000000" w:themeColor="text1"/>
          <w:sz w:val="20"/>
          <w:szCs w:val="20"/>
        </w:rPr>
        <w:t>viable options, but remain experimental. C</w:t>
      </w:r>
      <w:r w:rsidR="00AD41D9">
        <w:rPr>
          <w:rFonts w:ascii="Times New Roman" w:hAnsi="Times New Roman" w:cs="Times New Roman"/>
          <w:color w:val="000000" w:themeColor="text1"/>
          <w:sz w:val="20"/>
          <w:szCs w:val="20"/>
        </w:rPr>
        <w:t xml:space="preserve">hallenges exist for each with regards to </w:t>
      </w:r>
      <w:r w:rsidR="003122F0">
        <w:rPr>
          <w:rFonts w:ascii="Times New Roman" w:hAnsi="Times New Roman" w:cs="Times New Roman"/>
          <w:color w:val="000000" w:themeColor="text1"/>
          <w:sz w:val="20"/>
          <w:szCs w:val="20"/>
        </w:rPr>
        <w:t>cell</w:t>
      </w:r>
      <w:r w:rsidR="00AD41D9">
        <w:rPr>
          <w:rFonts w:ascii="Times New Roman" w:hAnsi="Times New Roman" w:cs="Times New Roman"/>
          <w:color w:val="000000" w:themeColor="text1"/>
          <w:sz w:val="20"/>
          <w:szCs w:val="20"/>
        </w:rPr>
        <w:t xml:space="preserve"> production,</w:t>
      </w:r>
      <w:r w:rsidR="00BB3CD2">
        <w:rPr>
          <w:rFonts w:ascii="Times New Roman" w:hAnsi="Times New Roman" w:cs="Times New Roman"/>
          <w:color w:val="000000" w:themeColor="text1"/>
          <w:sz w:val="20"/>
          <w:szCs w:val="20"/>
        </w:rPr>
        <w:t xml:space="preserve"> mode of delivery,</w:t>
      </w:r>
      <w:r w:rsidR="00AD41D9">
        <w:rPr>
          <w:rFonts w:ascii="Times New Roman" w:hAnsi="Times New Roman" w:cs="Times New Roman"/>
          <w:color w:val="000000" w:themeColor="text1"/>
          <w:sz w:val="20"/>
          <w:szCs w:val="20"/>
        </w:rPr>
        <w:t xml:space="preserve"> tumour-forming potential, and requirements for immune suppression</w:t>
      </w:r>
      <w:r w:rsidR="003122F0">
        <w:rPr>
          <w:rFonts w:ascii="Times New Roman" w:hAnsi="Times New Roman" w:cs="Times New Roman"/>
          <w:color w:val="000000" w:themeColor="text1"/>
          <w:sz w:val="20"/>
          <w:szCs w:val="20"/>
        </w:rPr>
        <w:t xml:space="preserve">, although using autologous sources may </w:t>
      </w:r>
      <w:r w:rsidR="002E5EED">
        <w:rPr>
          <w:rFonts w:ascii="Times New Roman" w:hAnsi="Times New Roman" w:cs="Times New Roman"/>
          <w:color w:val="000000" w:themeColor="text1"/>
          <w:sz w:val="20"/>
          <w:szCs w:val="20"/>
        </w:rPr>
        <w:t>abrogate the need for</w:t>
      </w:r>
      <w:r w:rsidR="003122F0">
        <w:rPr>
          <w:rFonts w:ascii="Times New Roman" w:hAnsi="Times New Roman" w:cs="Times New Roman"/>
          <w:color w:val="000000" w:themeColor="text1"/>
          <w:sz w:val="20"/>
          <w:szCs w:val="20"/>
        </w:rPr>
        <w:t xml:space="preserve"> the latter</w:t>
      </w:r>
      <w:r w:rsidR="00291E8A">
        <w:rPr>
          <w:rFonts w:ascii="Times New Roman" w:hAnsi="Times New Roman" w:cs="Times New Roman"/>
          <w:color w:val="000000" w:themeColor="text1"/>
          <w:sz w:val="20"/>
          <w:szCs w:val="20"/>
        </w:rPr>
        <w:t xml:space="preserve">. </w:t>
      </w:r>
      <w:r w:rsidR="00C22EDE">
        <w:rPr>
          <w:rFonts w:ascii="Times New Roman" w:hAnsi="Times New Roman" w:cs="Times New Roman"/>
          <w:color w:val="000000" w:themeColor="text1"/>
          <w:sz w:val="20"/>
          <w:szCs w:val="20"/>
        </w:rPr>
        <w:t xml:space="preserve">One noteworthy, albeit uncontrolled, trial administered bone marrow-derived MSCs to ten patients with progressive MS, noting an improvement in VEP latency of 1.3 </w:t>
      </w:r>
      <w:proofErr w:type="spellStart"/>
      <w:r w:rsidR="00C22EDE">
        <w:rPr>
          <w:rFonts w:ascii="Times New Roman" w:hAnsi="Times New Roman" w:cs="Times New Roman"/>
          <w:color w:val="000000" w:themeColor="text1"/>
          <w:sz w:val="20"/>
          <w:szCs w:val="20"/>
        </w:rPr>
        <w:t>ms</w:t>
      </w:r>
      <w:proofErr w:type="spellEnd"/>
      <w:r w:rsidR="00C22EDE">
        <w:rPr>
          <w:rFonts w:ascii="Times New Roman" w:hAnsi="Times New Roman" w:cs="Times New Roman"/>
          <w:color w:val="000000" w:themeColor="text1"/>
          <w:sz w:val="20"/>
          <w:szCs w:val="20"/>
        </w:rPr>
        <w:t>, interpreting the mechanism for this as a neuroprotective effect through the promotion of myelin repair</w:t>
      </w:r>
      <w:r w:rsidR="001B21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42rcpbcgj","properties":{"formattedCitation":"(131)","plainCitation":"(131)","noteIndex":0},"citationItems":[{"id":379,"uris":["http://zotero.org/users/local/OxFKn8nN/items/9ACF9R2P"],"uri":["http://zotero.org/users/local/OxFKn8nN/items/9ACF9R2P"],"itemData":{"id":379,"type":"article-journal","title":"Autologous mesenchymal stem cells for the treatment of secondary progressive multiple sclerosis: an open-label phase 2a proof-of-concept study","container-title":"The Lancet Neurology","page":"150-156","volume":"11","issue":"2","DOI":"10.1016/S1474-4422(11)70305-2","ISSN":"1474-4422","author":[{"family":"Connick","given":"Peter"},{"family":"Kolappan","given":"Madhan"},{"family":"Crawley","given":"Charles"},{"family":"Webber","given":"Daniel J"},{"family":"Patani","given":"Rickie"},{"family":"Michell","given":"Andrew W"},{"family":"Du","given":"Ming-Qing"},{"family":"Luan","given":"Shi-Lu"},{"family":"Altmann","given":"Daniel R"},{"family":"Thompson","given":"Alan J"},{"family":"Compston","given":"Alastair"},{"family":"Scott","given":"Michael A"},{"family":"Miller","given":"David H"},{"family":"Chandran","given":"Siddharthan"}],"issued":{"date-parts":[["2012",2,1]]}}}],"schema":"https://github.com/citation-style-language/schema/raw/master/csl-citation.json"} </w:instrText>
      </w:r>
      <w:r w:rsidR="001B211D">
        <w:rPr>
          <w:rFonts w:ascii="Times New Roman" w:hAnsi="Times New Roman" w:cs="Times New Roman"/>
          <w:color w:val="000000" w:themeColor="text1"/>
          <w:sz w:val="20"/>
          <w:szCs w:val="20"/>
        </w:rPr>
        <w:fldChar w:fldCharType="separate"/>
      </w:r>
      <w:r w:rsidR="006B6168">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131</w:t>
      </w:r>
      <w:r w:rsidR="006B6168">
        <w:rPr>
          <w:rFonts w:ascii="Times New Roman" w:hAnsi="Times New Roman" w:cs="Times New Roman"/>
          <w:color w:val="000000"/>
          <w:sz w:val="20"/>
          <w:lang w:val="en-US"/>
        </w:rPr>
        <w:t>]</w:t>
      </w:r>
      <w:r w:rsidR="001B211D">
        <w:rPr>
          <w:rFonts w:ascii="Times New Roman" w:hAnsi="Times New Roman" w:cs="Times New Roman"/>
          <w:color w:val="000000" w:themeColor="text1"/>
          <w:sz w:val="20"/>
          <w:szCs w:val="20"/>
        </w:rPr>
        <w:fldChar w:fldCharType="end"/>
      </w:r>
      <w:r w:rsidR="00C22EDE">
        <w:rPr>
          <w:rFonts w:ascii="Times New Roman" w:hAnsi="Times New Roman" w:cs="Times New Roman"/>
          <w:color w:val="000000" w:themeColor="text1"/>
          <w:sz w:val="20"/>
          <w:szCs w:val="20"/>
        </w:rPr>
        <w:t>.</w:t>
      </w:r>
      <w:r w:rsidR="00BB3CD2">
        <w:rPr>
          <w:rFonts w:ascii="Times New Roman" w:hAnsi="Times New Roman" w:cs="Times New Roman"/>
          <w:color w:val="000000" w:themeColor="text1"/>
          <w:sz w:val="20"/>
          <w:szCs w:val="20"/>
        </w:rPr>
        <w:t xml:space="preserve"> </w:t>
      </w:r>
      <w:r w:rsidR="00532EF7">
        <w:rPr>
          <w:rFonts w:ascii="Times New Roman" w:hAnsi="Times New Roman" w:cs="Times New Roman"/>
          <w:color w:val="000000" w:themeColor="text1"/>
          <w:sz w:val="20"/>
          <w:szCs w:val="20"/>
        </w:rPr>
        <w:t>L</w:t>
      </w:r>
      <w:r w:rsidR="00BB3CD2">
        <w:rPr>
          <w:rFonts w:ascii="Times New Roman" w:hAnsi="Times New Roman" w:cs="Times New Roman"/>
          <w:color w:val="000000" w:themeColor="text1"/>
          <w:sz w:val="20"/>
          <w:szCs w:val="20"/>
        </w:rPr>
        <w:t>arger phase 2 studies are underway</w:t>
      </w:r>
      <w:r w:rsidR="001B211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jcadsi7b3","properties":{"formattedCitation":"(132)","plainCitation":"(132)","noteIndex":0},"citationItems":[{"id":357,"uris":["http://zotero.org/users/local/OxFKn8nN/items/98C8A8CJ"],"uri":["http://zotero.org/users/local/OxFKn8nN/items/98C8A8CJ"],"itemData":{"id":357,"type":"article-journal","title":"Assessment of bone marrow-derived Cellular Therapy in progressive Multiple Sclerosis (ACTiMuS): study protocol for a randomised controlled trial","container-title":"Trials","page":"463","volume":"16","issue":"1","abstract":"We have recently completed an evaluation of the safety and feasibility of intravenous delivery of autologous bone marrow in patients with progressive multiple sclerosis (MS). The possibility of repair was suggested by improvement in the neurophysiological secondary outcome measure seen in all participants. The current study will examine the efficacy of intravenous delivery of autologous marrow in progressive MS. Laboratory studies performed in parallel with the clinical trial will further investigate the biology of bone marrow-derived stem cell infusion in MS, including mechanisms underlying repair.","DOI":"10.1186/s13063-015-0953-1","ISSN":"1745-6215","journalAbbreviation":"Trials","author":[{"family":"Rice","given":"Claire M."},{"family":"Marks","given":"David I."},{"family":"Ben-Shlomo","given":"Yoav"},{"family":"Evangelou","given":"Nikos"},{"family":"Morgan","given":"Paul S."},{"family":"Metcalfe","given":"Chris"},{"family":"Walsh","given":"Peter"},{"family":"Kane","given":"Nick M."},{"family":"Guttridge","given":"Martin G."},{"family":"Miflin","given":"Gail"},{"family":"Blackmore","given":"Stuart"},{"family":"Sarkar","given":"Pamela"},{"family":"Redondo","given":"Juliana"},{"family":"Owen","given":"Denise"},{"family":"Cottrell","given":"David A."},{"family":"Wilkins","given":"Alastair"},{"family":"Scolding","given":"Neil J."}],"issued":{"date-parts":[["2015",10,14]]}}}],"schema":"https://github.com/citation-style-language/schema/raw/master/csl-citation.json"} </w:instrText>
      </w:r>
      <w:r w:rsidR="001B211D">
        <w:rPr>
          <w:rFonts w:ascii="Times New Roman" w:hAnsi="Times New Roman" w:cs="Times New Roman"/>
          <w:color w:val="000000" w:themeColor="text1"/>
          <w:sz w:val="20"/>
          <w:szCs w:val="20"/>
        </w:rPr>
        <w:fldChar w:fldCharType="separate"/>
      </w:r>
      <w:r w:rsidR="006B6168">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132</w:t>
      </w:r>
      <w:r w:rsidR="006B6168">
        <w:rPr>
          <w:rFonts w:ascii="Times New Roman" w:hAnsi="Times New Roman" w:cs="Times New Roman"/>
          <w:color w:val="000000"/>
          <w:sz w:val="20"/>
          <w:lang w:val="en-US"/>
        </w:rPr>
        <w:t>]</w:t>
      </w:r>
      <w:r w:rsidR="001B211D">
        <w:rPr>
          <w:rFonts w:ascii="Times New Roman" w:hAnsi="Times New Roman" w:cs="Times New Roman"/>
          <w:color w:val="000000" w:themeColor="text1"/>
          <w:sz w:val="20"/>
          <w:szCs w:val="20"/>
        </w:rPr>
        <w:fldChar w:fldCharType="end"/>
      </w:r>
      <w:r w:rsidR="00532EF7">
        <w:rPr>
          <w:rFonts w:ascii="Times New Roman" w:hAnsi="Times New Roman" w:cs="Times New Roman"/>
          <w:color w:val="000000" w:themeColor="text1"/>
          <w:sz w:val="20"/>
          <w:szCs w:val="20"/>
        </w:rPr>
        <w:t>, though there are many unresolved barriers to widespread application of a transplant-based approach MS.</w:t>
      </w:r>
    </w:p>
    <w:p w14:paraId="4DECB05F" w14:textId="77777777" w:rsidR="00B92ECE" w:rsidRDefault="00B92ECE" w:rsidP="003B5BFC">
      <w:pPr>
        <w:spacing w:line="480" w:lineRule="auto"/>
        <w:rPr>
          <w:rFonts w:ascii="Times New Roman" w:hAnsi="Times New Roman" w:cs="Times New Roman"/>
          <w:b/>
          <w:color w:val="000000" w:themeColor="text1"/>
          <w:sz w:val="20"/>
          <w:szCs w:val="20"/>
        </w:rPr>
      </w:pPr>
    </w:p>
    <w:p w14:paraId="5D975D38" w14:textId="07F6A179" w:rsidR="00606CDE" w:rsidRPr="003B5BFC" w:rsidRDefault="00606CDE" w:rsidP="003B5BFC">
      <w:pPr>
        <w:spacing w:line="480" w:lineRule="auto"/>
        <w:rPr>
          <w:rFonts w:ascii="Times New Roman" w:hAnsi="Times New Roman" w:cs="Times New Roman"/>
          <w:b/>
          <w:i/>
          <w:color w:val="000000" w:themeColor="text1"/>
          <w:sz w:val="20"/>
          <w:szCs w:val="20"/>
        </w:rPr>
      </w:pPr>
      <w:r>
        <w:rPr>
          <w:rFonts w:ascii="Times New Roman" w:hAnsi="Times New Roman" w:cs="Times New Roman"/>
          <w:b/>
          <w:color w:val="000000" w:themeColor="text1"/>
          <w:sz w:val="20"/>
          <w:szCs w:val="20"/>
        </w:rPr>
        <w:t>The target population for remyelination therapies</w:t>
      </w:r>
    </w:p>
    <w:p w14:paraId="7F07F69B" w14:textId="55D213A3" w:rsidR="00606CDE" w:rsidRDefault="00606CDE" w:rsidP="00E17010">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The efficacy of a remyelinating therapy would be greatest early in the course of </w:t>
      </w:r>
      <w:r w:rsidR="00F163BE">
        <w:rPr>
          <w:rFonts w:ascii="Times New Roman" w:hAnsi="Times New Roman" w:cs="Times New Roman"/>
          <w:color w:val="000000" w:themeColor="text1"/>
          <w:sz w:val="20"/>
          <w:szCs w:val="20"/>
        </w:rPr>
        <w:t>MS</w:t>
      </w:r>
      <w:r>
        <w:rPr>
          <w:rFonts w:ascii="Times New Roman" w:hAnsi="Times New Roman" w:cs="Times New Roman"/>
          <w:color w:val="000000" w:themeColor="text1"/>
          <w:sz w:val="20"/>
          <w:szCs w:val="20"/>
        </w:rPr>
        <w:t xml:space="preserve">, to </w:t>
      </w:r>
      <w:r w:rsidR="00F163BE">
        <w:rPr>
          <w:rFonts w:ascii="Times New Roman" w:hAnsi="Times New Roman" w:cs="Times New Roman"/>
          <w:color w:val="000000" w:themeColor="text1"/>
          <w:sz w:val="20"/>
          <w:szCs w:val="20"/>
        </w:rPr>
        <w:t>stop</w:t>
      </w:r>
      <w:r>
        <w:rPr>
          <w:rFonts w:ascii="Times New Roman" w:hAnsi="Times New Roman" w:cs="Times New Roman"/>
          <w:color w:val="000000" w:themeColor="text1"/>
          <w:sz w:val="20"/>
          <w:szCs w:val="20"/>
        </w:rPr>
        <w:t xml:space="preserve"> long-term axonal degeneration and so </w:t>
      </w:r>
      <w:r w:rsidR="00F163BE">
        <w:rPr>
          <w:rFonts w:ascii="Times New Roman" w:hAnsi="Times New Roman" w:cs="Times New Roman"/>
          <w:color w:val="000000" w:themeColor="text1"/>
          <w:sz w:val="20"/>
          <w:szCs w:val="20"/>
        </w:rPr>
        <w:t>prevent</w:t>
      </w:r>
      <w:r>
        <w:rPr>
          <w:rFonts w:ascii="Times New Roman" w:hAnsi="Times New Roman" w:cs="Times New Roman"/>
          <w:color w:val="000000" w:themeColor="text1"/>
          <w:sz w:val="20"/>
          <w:szCs w:val="20"/>
        </w:rPr>
        <w:t xml:space="preserve">, or at least slow the onset of, secondary progression. More problematic is how effective such a therapy would be later in the disease course, for instance in progressive multiple sclerosis, when presumably many axons have already degenerated and so </w:t>
      </w:r>
      <w:r w:rsidR="00F163BE">
        <w:rPr>
          <w:rFonts w:ascii="Times New Roman" w:hAnsi="Times New Roman" w:cs="Times New Roman"/>
          <w:color w:val="000000" w:themeColor="text1"/>
          <w:sz w:val="20"/>
          <w:szCs w:val="20"/>
        </w:rPr>
        <w:t xml:space="preserve">there is </w:t>
      </w:r>
      <w:r>
        <w:rPr>
          <w:rFonts w:ascii="Times New Roman" w:hAnsi="Times New Roman" w:cs="Times New Roman"/>
          <w:color w:val="000000" w:themeColor="text1"/>
          <w:sz w:val="20"/>
          <w:szCs w:val="20"/>
        </w:rPr>
        <w:t xml:space="preserve">no scaffold for remyelination. Ultimately, this question can only be resolved by clinical trials. For the moment, we would advocate testing potential remyelinating agents in trials of patients identified as having demyelinated lesions with axons still present, such as those in the </w:t>
      </w:r>
      <w:proofErr w:type="spellStart"/>
      <w:r w:rsidR="00F163BE">
        <w:rPr>
          <w:rFonts w:ascii="Times New Roman" w:hAnsi="Times New Roman" w:cs="Times New Roman"/>
          <w:color w:val="000000" w:themeColor="text1"/>
          <w:sz w:val="20"/>
          <w:szCs w:val="20"/>
        </w:rPr>
        <w:t>ReBUILD</w:t>
      </w:r>
      <w:proofErr w:type="spellEnd"/>
      <w:r>
        <w:rPr>
          <w:rFonts w:ascii="Times New Roman" w:hAnsi="Times New Roman" w:cs="Times New Roman"/>
          <w:color w:val="000000" w:themeColor="text1"/>
          <w:sz w:val="20"/>
          <w:szCs w:val="20"/>
        </w:rPr>
        <w:t xml:space="preserve"> trial. </w:t>
      </w:r>
    </w:p>
    <w:p w14:paraId="7D474F53" w14:textId="77777777" w:rsidR="00606CDE" w:rsidRDefault="00606CDE" w:rsidP="00E17010">
      <w:pPr>
        <w:spacing w:line="480" w:lineRule="auto"/>
        <w:rPr>
          <w:rFonts w:ascii="Times New Roman" w:hAnsi="Times New Roman" w:cs="Times New Roman"/>
          <w:color w:val="000000" w:themeColor="text1"/>
          <w:sz w:val="20"/>
          <w:szCs w:val="20"/>
        </w:rPr>
      </w:pPr>
    </w:p>
    <w:p w14:paraId="1888353F" w14:textId="2A080F0A" w:rsidR="00606CDE" w:rsidRPr="00606CDE" w:rsidRDefault="004049C7" w:rsidP="00E17010">
      <w:pPr>
        <w:spacing w:line="480" w:lineRule="auto"/>
        <w:rPr>
          <w:rFonts w:ascii="Times New Roman" w:hAnsi="Times New Roman" w:cs="Times New Roman"/>
          <w:b/>
          <w:color w:val="000000" w:themeColor="text1"/>
          <w:sz w:val="20"/>
          <w:szCs w:val="20"/>
        </w:rPr>
      </w:pPr>
      <w:r w:rsidRPr="00606CDE">
        <w:rPr>
          <w:rFonts w:ascii="Times New Roman" w:hAnsi="Times New Roman" w:cs="Times New Roman"/>
          <w:b/>
          <w:color w:val="000000" w:themeColor="text1"/>
          <w:sz w:val="20"/>
          <w:szCs w:val="20"/>
        </w:rPr>
        <w:t>Determining</w:t>
      </w:r>
      <w:r w:rsidR="000816FE" w:rsidRPr="00606CDE">
        <w:rPr>
          <w:rFonts w:ascii="Times New Roman" w:hAnsi="Times New Roman" w:cs="Times New Roman"/>
          <w:b/>
          <w:color w:val="000000" w:themeColor="text1"/>
          <w:sz w:val="20"/>
          <w:szCs w:val="20"/>
        </w:rPr>
        <w:t xml:space="preserve"> </w:t>
      </w:r>
      <w:r w:rsidR="00933831" w:rsidRPr="00606CDE">
        <w:rPr>
          <w:rFonts w:ascii="Times New Roman" w:hAnsi="Times New Roman" w:cs="Times New Roman"/>
          <w:b/>
          <w:color w:val="000000" w:themeColor="text1"/>
          <w:sz w:val="20"/>
          <w:szCs w:val="20"/>
        </w:rPr>
        <w:t>remyelination</w:t>
      </w:r>
      <w:r w:rsidRPr="00606CDE">
        <w:rPr>
          <w:rFonts w:ascii="Times New Roman" w:hAnsi="Times New Roman" w:cs="Times New Roman"/>
          <w:b/>
          <w:color w:val="000000" w:themeColor="text1"/>
          <w:sz w:val="20"/>
          <w:szCs w:val="20"/>
        </w:rPr>
        <w:t xml:space="preserve"> in clinical</w:t>
      </w:r>
      <w:r w:rsidR="000816FE" w:rsidRPr="00606CDE">
        <w:rPr>
          <w:rFonts w:ascii="Times New Roman" w:hAnsi="Times New Roman" w:cs="Times New Roman"/>
          <w:b/>
          <w:color w:val="000000" w:themeColor="text1"/>
          <w:sz w:val="20"/>
          <w:szCs w:val="20"/>
        </w:rPr>
        <w:t xml:space="preserve"> trials</w:t>
      </w:r>
    </w:p>
    <w:p w14:paraId="6361D70F" w14:textId="457433BB" w:rsidR="00456989" w:rsidRPr="00003E8D" w:rsidRDefault="00991B92" w:rsidP="00E17010">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One of the foremost </w:t>
      </w:r>
      <w:r w:rsidR="00963D7B" w:rsidRPr="00003E8D">
        <w:rPr>
          <w:rFonts w:ascii="Times New Roman" w:hAnsi="Times New Roman" w:cs="Times New Roman"/>
          <w:color w:val="000000" w:themeColor="text1"/>
          <w:sz w:val="20"/>
          <w:szCs w:val="20"/>
        </w:rPr>
        <w:t>challenge</w:t>
      </w:r>
      <w:r>
        <w:rPr>
          <w:rFonts w:ascii="Times New Roman" w:hAnsi="Times New Roman" w:cs="Times New Roman"/>
          <w:color w:val="000000" w:themeColor="text1"/>
          <w:sz w:val="20"/>
          <w:szCs w:val="20"/>
        </w:rPr>
        <w:t>s</w:t>
      </w:r>
      <w:r w:rsidR="00963D7B" w:rsidRPr="00003E8D">
        <w:rPr>
          <w:rFonts w:ascii="Times New Roman" w:hAnsi="Times New Roman" w:cs="Times New Roman"/>
          <w:color w:val="000000" w:themeColor="text1"/>
          <w:sz w:val="20"/>
          <w:szCs w:val="20"/>
        </w:rPr>
        <w:t xml:space="preserve"> to </w:t>
      </w:r>
      <w:r>
        <w:rPr>
          <w:rFonts w:ascii="Times New Roman" w:hAnsi="Times New Roman" w:cs="Times New Roman"/>
          <w:color w:val="000000" w:themeColor="text1"/>
          <w:sz w:val="20"/>
          <w:szCs w:val="20"/>
        </w:rPr>
        <w:t>translating promising preclinical findings into</w:t>
      </w:r>
      <w:r w:rsidR="00963D7B" w:rsidRPr="00003E8D">
        <w:rPr>
          <w:rFonts w:ascii="Times New Roman" w:hAnsi="Times New Roman" w:cs="Times New Roman"/>
          <w:color w:val="000000" w:themeColor="text1"/>
          <w:sz w:val="20"/>
          <w:szCs w:val="20"/>
        </w:rPr>
        <w:t xml:space="preserve"> clinical studies is uncertainty in the optimum way to demo</w:t>
      </w:r>
      <w:r w:rsidR="002D2D7A" w:rsidRPr="00003E8D">
        <w:rPr>
          <w:rFonts w:ascii="Times New Roman" w:hAnsi="Times New Roman" w:cs="Times New Roman"/>
          <w:color w:val="000000" w:themeColor="text1"/>
          <w:sz w:val="20"/>
          <w:szCs w:val="20"/>
        </w:rPr>
        <w:t>nstrate a remyelinating effect</w:t>
      </w:r>
      <w:r w:rsidR="009C27D1">
        <w:rPr>
          <w:rFonts w:ascii="Times New Roman" w:hAnsi="Times New Roman" w:cs="Times New Roman"/>
          <w:color w:val="000000" w:themeColor="text1"/>
          <w:sz w:val="20"/>
          <w:szCs w:val="20"/>
        </w:rPr>
        <w:t xml:space="preserve"> in living individuals</w:t>
      </w:r>
      <w:r>
        <w:rPr>
          <w:rFonts w:ascii="Times New Roman" w:hAnsi="Times New Roman" w:cs="Times New Roman"/>
          <w:color w:val="000000" w:themeColor="text1"/>
          <w:sz w:val="20"/>
          <w:szCs w:val="20"/>
        </w:rPr>
        <w:t xml:space="preserve">. </w:t>
      </w:r>
      <w:r w:rsidR="002D2D7A" w:rsidRPr="00003E8D">
        <w:rPr>
          <w:rFonts w:ascii="Times New Roman" w:hAnsi="Times New Roman" w:cs="Times New Roman"/>
          <w:color w:val="000000" w:themeColor="text1"/>
          <w:sz w:val="20"/>
          <w:szCs w:val="20"/>
        </w:rPr>
        <w:t>Given that the anticipated benefit to the pati</w:t>
      </w:r>
      <w:r w:rsidR="00DA7691" w:rsidRPr="00003E8D">
        <w:rPr>
          <w:rFonts w:ascii="Times New Roman" w:hAnsi="Times New Roman" w:cs="Times New Roman"/>
          <w:color w:val="000000" w:themeColor="text1"/>
          <w:sz w:val="20"/>
          <w:szCs w:val="20"/>
        </w:rPr>
        <w:t>ent, the prevention or delay to</w:t>
      </w:r>
      <w:r w:rsidR="002D2D7A" w:rsidRPr="00003E8D">
        <w:rPr>
          <w:rFonts w:ascii="Times New Roman" w:hAnsi="Times New Roman" w:cs="Times New Roman"/>
          <w:color w:val="000000" w:themeColor="text1"/>
          <w:sz w:val="20"/>
          <w:szCs w:val="20"/>
        </w:rPr>
        <w:t xml:space="preserve"> </w:t>
      </w:r>
      <w:r w:rsidR="00DA7691" w:rsidRPr="00003E8D">
        <w:rPr>
          <w:rFonts w:ascii="Times New Roman" w:hAnsi="Times New Roman" w:cs="Times New Roman"/>
          <w:color w:val="000000" w:themeColor="text1"/>
          <w:sz w:val="20"/>
          <w:szCs w:val="20"/>
        </w:rPr>
        <w:t>progression</w:t>
      </w:r>
      <w:r w:rsidR="002D2D7A" w:rsidRPr="00003E8D">
        <w:rPr>
          <w:rFonts w:ascii="Times New Roman" w:hAnsi="Times New Roman" w:cs="Times New Roman"/>
          <w:color w:val="000000" w:themeColor="text1"/>
          <w:sz w:val="20"/>
          <w:szCs w:val="20"/>
        </w:rPr>
        <w:t>, only manifests over years, reliance on</w:t>
      </w:r>
      <w:r w:rsidR="006D2894" w:rsidRPr="00003E8D">
        <w:rPr>
          <w:rFonts w:ascii="Times New Roman" w:hAnsi="Times New Roman" w:cs="Times New Roman"/>
          <w:color w:val="000000" w:themeColor="text1"/>
          <w:sz w:val="20"/>
          <w:szCs w:val="20"/>
        </w:rPr>
        <w:t xml:space="preserve"> standard </w:t>
      </w:r>
      <w:r>
        <w:rPr>
          <w:rFonts w:ascii="Times New Roman" w:hAnsi="Times New Roman" w:cs="Times New Roman"/>
          <w:color w:val="000000" w:themeColor="text1"/>
          <w:sz w:val="20"/>
          <w:szCs w:val="20"/>
        </w:rPr>
        <w:t xml:space="preserve">objective </w:t>
      </w:r>
      <w:r w:rsidR="006D2894" w:rsidRPr="00003E8D">
        <w:rPr>
          <w:rFonts w:ascii="Times New Roman" w:hAnsi="Times New Roman" w:cs="Times New Roman"/>
          <w:color w:val="000000" w:themeColor="text1"/>
          <w:sz w:val="20"/>
          <w:szCs w:val="20"/>
        </w:rPr>
        <w:t xml:space="preserve">clinical </w:t>
      </w:r>
      <w:r w:rsidR="007A4327">
        <w:rPr>
          <w:rFonts w:ascii="Times New Roman" w:hAnsi="Times New Roman" w:cs="Times New Roman"/>
          <w:color w:val="000000" w:themeColor="text1"/>
          <w:sz w:val="20"/>
          <w:szCs w:val="20"/>
        </w:rPr>
        <w:t>markers</w:t>
      </w:r>
      <w:r w:rsidR="006D2894" w:rsidRPr="00003E8D">
        <w:rPr>
          <w:rFonts w:ascii="Times New Roman" w:hAnsi="Times New Roman" w:cs="Times New Roman"/>
          <w:color w:val="000000" w:themeColor="text1"/>
          <w:sz w:val="20"/>
          <w:szCs w:val="20"/>
        </w:rPr>
        <w:t xml:space="preserve"> of disability</w:t>
      </w:r>
      <w:r w:rsidR="009C27D1">
        <w:rPr>
          <w:rFonts w:ascii="Times New Roman" w:hAnsi="Times New Roman" w:cs="Times New Roman"/>
          <w:color w:val="000000" w:themeColor="text1"/>
          <w:sz w:val="20"/>
          <w:szCs w:val="20"/>
        </w:rPr>
        <w:t xml:space="preserve">, for example the </w:t>
      </w:r>
      <w:r w:rsidR="009C27D1" w:rsidRPr="00003E8D">
        <w:rPr>
          <w:rFonts w:ascii="Times New Roman" w:hAnsi="Times New Roman" w:cs="Times New Roman"/>
          <w:color w:val="000000" w:themeColor="text1"/>
          <w:sz w:val="20"/>
          <w:szCs w:val="20"/>
          <w:lang w:val="en-US"/>
        </w:rPr>
        <w:t>EDSS</w:t>
      </w:r>
      <w:r w:rsidR="00244C7B">
        <w:rPr>
          <w:rFonts w:ascii="Times New Roman" w:hAnsi="Times New Roman" w:cs="Times New Roman"/>
          <w:color w:val="000000" w:themeColor="text1"/>
          <w:sz w:val="20"/>
          <w:szCs w:val="20"/>
          <w:lang w:val="en-US"/>
        </w:rPr>
        <w:fldChar w:fldCharType="begin"/>
      </w:r>
      <w:r w:rsidR="00AA2F7B">
        <w:rPr>
          <w:rFonts w:ascii="Times New Roman" w:hAnsi="Times New Roman" w:cs="Times New Roman"/>
          <w:color w:val="000000" w:themeColor="text1"/>
          <w:sz w:val="20"/>
          <w:szCs w:val="20"/>
          <w:lang w:val="en-US"/>
        </w:rPr>
        <w:instrText xml:space="preserve"> ADDIN ZOTERO_ITEM CSL_CITATION {"citationID":"tN8nJda9","properties":{"formattedCitation":"(133)","plainCitation":"(133)","noteIndex":0},"citationItems":[{"id":330,"uris":["http://zotero.org/users/local/OxFKn8nN/items/KSFVEXDU"],"uri":["http://zotero.org/users/local/OxFKn8nN/items/KSFVEXDU"],"itemData":{"id":330,"type":"article-journal","title":"Rating neurologic impairment in multiple sclerosis","container-title":"Neurology","page":"1444","volume":"33","issue":"11","abstract":"One method of evaluating the degree of neurologic impairment in MS has been the combination of grades (0 = normal to 5 or 6 = maximal impairment) within 8 Functional Systems (FS) and an overall Disability Status Scale (DSS) that had steps from 0 (normal) to 10 (death due to MS). A new Expanded Disability Status Scale (EDSS) is presented, with each of the former steps (1,2,3 … 9) now divided into two (1.0, 1.5, 2.0 … 9.5). The lower portion is obligatorily defined by Functional System grades. The FS are Pyramidal, Cerebellar, Brain Stem, Sensory, Bowel &amp;amp; Bladder, Visual, Cerebral, and Other; the Sensory and Bowel &amp;amp; Bladder Systems have been revised. Patterns of FS and relations of FS by type and grade to the DSS are demonstrated.","DOI":"10.1212/WNL.33.11.1444","journalAbbreviation":"Neurology","author":[{"family":"Kurtzke","given":"John F."}],"issued":{"date-parts":[["1983",11,1]]}}}],"schema":"https://github.com/citation-style-language/schema/raw/master/csl-citation.json"} </w:instrText>
      </w:r>
      <w:r w:rsidR="00244C7B">
        <w:rPr>
          <w:rFonts w:ascii="Times New Roman" w:hAnsi="Times New Roman" w:cs="Times New Roman"/>
          <w:color w:val="000000" w:themeColor="text1"/>
          <w:sz w:val="20"/>
          <w:szCs w:val="20"/>
          <w:lang w:val="en-US"/>
        </w:rPr>
        <w:fldChar w:fldCharType="separate"/>
      </w:r>
      <w:r w:rsidR="0081439E">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133</w:t>
      </w:r>
      <w:r w:rsidR="0081439E">
        <w:rPr>
          <w:rFonts w:ascii="Times New Roman" w:hAnsi="Times New Roman" w:cs="Times New Roman"/>
          <w:color w:val="000000"/>
          <w:sz w:val="20"/>
          <w:u w:val="dash"/>
          <w:lang w:val="en-US"/>
        </w:rPr>
        <w:t>]</w:t>
      </w:r>
      <w:r w:rsidR="00244C7B">
        <w:rPr>
          <w:rFonts w:ascii="Times New Roman" w:hAnsi="Times New Roman" w:cs="Times New Roman"/>
          <w:color w:val="000000" w:themeColor="text1"/>
          <w:sz w:val="20"/>
          <w:szCs w:val="20"/>
          <w:lang w:val="en-US"/>
        </w:rPr>
        <w:fldChar w:fldCharType="end"/>
      </w:r>
      <w:r w:rsidR="00133ED2" w:rsidRPr="00003E8D">
        <w:rPr>
          <w:rFonts w:ascii="Times New Roman" w:hAnsi="Times New Roman" w:cs="Times New Roman"/>
          <w:color w:val="000000" w:themeColor="text1"/>
          <w:sz w:val="20"/>
          <w:szCs w:val="20"/>
        </w:rPr>
        <w:t xml:space="preserve">, or </w:t>
      </w:r>
      <w:r w:rsidR="00534BB9" w:rsidRPr="00003E8D">
        <w:rPr>
          <w:rFonts w:ascii="Times New Roman" w:hAnsi="Times New Roman" w:cs="Times New Roman"/>
          <w:color w:val="000000" w:themeColor="text1"/>
          <w:sz w:val="20"/>
          <w:szCs w:val="20"/>
        </w:rPr>
        <w:t xml:space="preserve">indeed </w:t>
      </w:r>
      <w:r w:rsidR="00133ED2" w:rsidRPr="00003E8D">
        <w:rPr>
          <w:rFonts w:ascii="Times New Roman" w:hAnsi="Times New Roman" w:cs="Times New Roman"/>
          <w:color w:val="000000" w:themeColor="text1"/>
          <w:sz w:val="20"/>
          <w:szCs w:val="20"/>
        </w:rPr>
        <w:t>on functional measures such as visual acuity,</w:t>
      </w:r>
      <w:r w:rsidR="006D2894" w:rsidRPr="00003E8D">
        <w:rPr>
          <w:rFonts w:ascii="Times New Roman" w:hAnsi="Times New Roman" w:cs="Times New Roman"/>
          <w:color w:val="000000" w:themeColor="text1"/>
          <w:sz w:val="20"/>
          <w:szCs w:val="20"/>
        </w:rPr>
        <w:t xml:space="preserve"> a</w:t>
      </w:r>
      <w:r w:rsidR="002D2D7A" w:rsidRPr="00003E8D">
        <w:rPr>
          <w:rFonts w:ascii="Times New Roman" w:hAnsi="Times New Roman" w:cs="Times New Roman"/>
          <w:color w:val="000000" w:themeColor="text1"/>
          <w:sz w:val="20"/>
          <w:szCs w:val="20"/>
        </w:rPr>
        <w:t>s outcome</w:t>
      </w:r>
      <w:r w:rsidR="0081439E">
        <w:rPr>
          <w:rFonts w:ascii="Times New Roman" w:hAnsi="Times New Roman" w:cs="Times New Roman"/>
          <w:color w:val="000000" w:themeColor="text1"/>
          <w:sz w:val="20"/>
          <w:szCs w:val="20"/>
        </w:rPr>
        <w:t xml:space="preserve">s </w:t>
      </w:r>
      <w:r w:rsidR="002D2D7A" w:rsidRPr="00003E8D">
        <w:rPr>
          <w:rFonts w:ascii="Times New Roman" w:hAnsi="Times New Roman" w:cs="Times New Roman"/>
          <w:color w:val="000000" w:themeColor="text1"/>
          <w:sz w:val="20"/>
          <w:szCs w:val="20"/>
        </w:rPr>
        <w:t xml:space="preserve">may miss a </w:t>
      </w:r>
      <w:r w:rsidR="002D2D7A" w:rsidRPr="00003E8D">
        <w:rPr>
          <w:rFonts w:ascii="Times New Roman" w:hAnsi="Times New Roman" w:cs="Times New Roman"/>
          <w:color w:val="000000" w:themeColor="text1"/>
          <w:sz w:val="20"/>
          <w:szCs w:val="20"/>
        </w:rPr>
        <w:lastRenderedPageBreak/>
        <w:t>useful therapeutic effect</w:t>
      </w:r>
      <w:r w:rsidR="009C27D1">
        <w:rPr>
          <w:rFonts w:ascii="Times New Roman" w:hAnsi="Times New Roman" w:cs="Times New Roman"/>
          <w:color w:val="000000" w:themeColor="text1"/>
          <w:sz w:val="20"/>
          <w:szCs w:val="20"/>
        </w:rPr>
        <w:t xml:space="preserve"> over a comparatively short clinical trial</w:t>
      </w:r>
      <w:r w:rsidR="002D2D7A" w:rsidRPr="00003E8D">
        <w:rPr>
          <w:rFonts w:ascii="Times New Roman" w:hAnsi="Times New Roman" w:cs="Times New Roman"/>
          <w:color w:val="000000" w:themeColor="text1"/>
          <w:sz w:val="20"/>
          <w:szCs w:val="20"/>
        </w:rPr>
        <w:t>.</w:t>
      </w:r>
      <w:r w:rsidR="00DA7691" w:rsidRPr="00003E8D">
        <w:rPr>
          <w:rFonts w:ascii="Times New Roman" w:hAnsi="Times New Roman" w:cs="Times New Roman"/>
          <w:color w:val="000000" w:themeColor="text1"/>
          <w:sz w:val="20"/>
          <w:szCs w:val="20"/>
        </w:rPr>
        <w:t xml:space="preserve"> Moreover, using functional </w:t>
      </w:r>
      <w:r w:rsidR="009C27D1">
        <w:rPr>
          <w:rFonts w:ascii="Times New Roman" w:hAnsi="Times New Roman" w:cs="Times New Roman"/>
          <w:color w:val="000000" w:themeColor="text1"/>
          <w:sz w:val="20"/>
          <w:szCs w:val="20"/>
        </w:rPr>
        <w:t>scores</w:t>
      </w:r>
      <w:r w:rsidR="00DA7691" w:rsidRPr="00003E8D">
        <w:rPr>
          <w:rFonts w:ascii="Times New Roman" w:hAnsi="Times New Roman" w:cs="Times New Roman"/>
          <w:color w:val="000000" w:themeColor="text1"/>
          <w:sz w:val="20"/>
          <w:szCs w:val="20"/>
        </w:rPr>
        <w:t xml:space="preserve"> to study remyelination specifically is further complicated by other adaptations that occur in nerves in response to injury, such as ion channel redistribution and cortical plasticit</w:t>
      </w:r>
      <w:r w:rsidR="009C27D1">
        <w:rPr>
          <w:rFonts w:ascii="Times New Roman" w:hAnsi="Times New Roman" w:cs="Times New Roman"/>
          <w:color w:val="000000" w:themeColor="text1"/>
          <w:sz w:val="20"/>
          <w:szCs w:val="20"/>
        </w:rPr>
        <w:t>y/adaptation after demyelination</w:t>
      </w:r>
      <w:r w:rsidR="006D1E7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JzZyB85R","properties":{"formattedCitation":"(134,135)","plainCitation":"(134,135)","noteIndex":0},"citationItems":[{"id":239,"uris":["http://zotero.org/users/local/OxFKn8nN/items/HWYUBDHL"],"uri":["http://zotero.org/users/local/OxFKn8nN/items/HWYUBDHL"],"itemData":{"id":239,"type":"article-journal","title":"Axonal conduction and injury in multiple sclerosis: the role of sodium channels","container-title":"Nature Reviews Neuroscience","page":"932","volume":"7","journalAbbreviation":"Nature Reviews Neuroscience","author":[{"family":"Waxman","given":"Stephen G."}],"issued":{"date-parts":[["2006",12,1]]}}},{"id":331,"uris":["http://zotero.org/users/local/OxFKn8nN/items/2KR2KARR"],"uri":["http://zotero.org/users/local/OxFKn8nN/items/2KR2KARR"],"itemData":{"id":331,"type":"article-journal","title":"Neuroplasticity and functional recovery in multiple sclerosis","container-title":"Nature Reviews Neurology","page":"635","volume":"8","journalAbbreviation":"Nature Reviews Neurology","author":[{"family":"Tomassini","given":"Valentina"},{"family":"Matthews","given":"Paul M."},{"family":"Thompson","given":"Alan J."},{"family":"Fuglø","given":"Daniel"},{"family":"Geurts","given":"Jeroen J."},{"family":"Johansen-Berg","given":"Heidi"},{"family":"Jones","given":"Derek K."},{"family":"Rocca","given":"Maria A."},{"family":"Wise","given":"Richard G."},{"family":"Barkhof","given":"Frederik"},{"family":"Palace","given":"Jacqueline"}],"issued":{"date-parts":[["2012",9,18]]}}}],"schema":"https://github.com/citation-style-language/schema/raw/master/csl-citation.json"} </w:instrText>
      </w:r>
      <w:r w:rsidR="006D1E72">
        <w:rPr>
          <w:rFonts w:ascii="Times New Roman" w:hAnsi="Times New Roman" w:cs="Times New Roman"/>
          <w:color w:val="000000" w:themeColor="text1"/>
          <w:sz w:val="20"/>
          <w:szCs w:val="20"/>
        </w:rPr>
        <w:fldChar w:fldCharType="separate"/>
      </w:r>
      <w:r w:rsidR="0081439E">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134,135</w:t>
      </w:r>
      <w:r w:rsidR="0081439E">
        <w:rPr>
          <w:rFonts w:ascii="Times New Roman" w:hAnsi="Times New Roman" w:cs="Times New Roman"/>
          <w:color w:val="000000"/>
          <w:sz w:val="20"/>
          <w:u w:val="dash"/>
          <w:lang w:val="en-US"/>
        </w:rPr>
        <w:t>]</w:t>
      </w:r>
      <w:r w:rsidR="006D1E72">
        <w:rPr>
          <w:rFonts w:ascii="Times New Roman" w:hAnsi="Times New Roman" w:cs="Times New Roman"/>
          <w:color w:val="000000" w:themeColor="text1"/>
          <w:sz w:val="20"/>
          <w:szCs w:val="20"/>
        </w:rPr>
        <w:fldChar w:fldCharType="end"/>
      </w:r>
      <w:r w:rsidR="00DA7691" w:rsidRPr="00003E8D">
        <w:rPr>
          <w:rFonts w:ascii="Times New Roman" w:hAnsi="Times New Roman" w:cs="Times New Roman"/>
          <w:color w:val="000000" w:themeColor="text1"/>
          <w:sz w:val="20"/>
          <w:szCs w:val="20"/>
        </w:rPr>
        <w:t xml:space="preserve">. </w:t>
      </w:r>
      <w:r w:rsidR="006D2894" w:rsidRPr="00003E8D">
        <w:rPr>
          <w:rFonts w:ascii="Times New Roman" w:hAnsi="Times New Roman" w:cs="Times New Roman"/>
          <w:color w:val="000000" w:themeColor="text1"/>
          <w:sz w:val="20"/>
          <w:szCs w:val="20"/>
        </w:rPr>
        <w:t>T</w:t>
      </w:r>
      <w:r w:rsidR="00DA7691" w:rsidRPr="00003E8D">
        <w:rPr>
          <w:rFonts w:ascii="Times New Roman" w:hAnsi="Times New Roman" w:cs="Times New Roman"/>
          <w:color w:val="000000" w:themeColor="text1"/>
          <w:sz w:val="20"/>
          <w:szCs w:val="20"/>
        </w:rPr>
        <w:t>here follows a reliance on paraclinical measures to determine</w:t>
      </w:r>
      <w:r w:rsidR="00CB1B1A" w:rsidRPr="00003E8D">
        <w:rPr>
          <w:rFonts w:ascii="Times New Roman" w:hAnsi="Times New Roman" w:cs="Times New Roman"/>
          <w:color w:val="000000" w:themeColor="text1"/>
          <w:sz w:val="20"/>
          <w:szCs w:val="20"/>
        </w:rPr>
        <w:t xml:space="preserve"> a</w:t>
      </w:r>
      <w:r w:rsidR="00DA7691" w:rsidRPr="00003E8D">
        <w:rPr>
          <w:rFonts w:ascii="Times New Roman" w:hAnsi="Times New Roman" w:cs="Times New Roman"/>
          <w:color w:val="000000" w:themeColor="text1"/>
          <w:sz w:val="20"/>
          <w:szCs w:val="20"/>
        </w:rPr>
        <w:t xml:space="preserve"> trea</w:t>
      </w:r>
      <w:r w:rsidR="00CB1B1A" w:rsidRPr="00003E8D">
        <w:rPr>
          <w:rFonts w:ascii="Times New Roman" w:hAnsi="Times New Roman" w:cs="Times New Roman"/>
          <w:color w:val="000000" w:themeColor="text1"/>
          <w:sz w:val="20"/>
          <w:szCs w:val="20"/>
        </w:rPr>
        <w:t>tment effect;</w:t>
      </w:r>
      <w:r w:rsidR="00DA7691" w:rsidRPr="00003E8D">
        <w:rPr>
          <w:rFonts w:ascii="Times New Roman" w:hAnsi="Times New Roman" w:cs="Times New Roman"/>
          <w:color w:val="000000" w:themeColor="text1"/>
          <w:sz w:val="20"/>
          <w:szCs w:val="20"/>
        </w:rPr>
        <w:t xml:space="preserve"> </w:t>
      </w:r>
      <w:r w:rsidR="00CB1B1A" w:rsidRPr="00003E8D">
        <w:rPr>
          <w:rFonts w:ascii="Times New Roman" w:hAnsi="Times New Roman" w:cs="Times New Roman"/>
          <w:color w:val="000000" w:themeColor="text1"/>
          <w:sz w:val="20"/>
          <w:szCs w:val="20"/>
        </w:rPr>
        <w:t>w</w:t>
      </w:r>
      <w:r w:rsidR="00963D7B" w:rsidRPr="00003E8D">
        <w:rPr>
          <w:rFonts w:ascii="Times New Roman" w:hAnsi="Times New Roman" w:cs="Times New Roman"/>
          <w:color w:val="000000" w:themeColor="text1"/>
          <w:sz w:val="20"/>
          <w:szCs w:val="20"/>
        </w:rPr>
        <w:t>ith no biomarker of myelin regeneration</w:t>
      </w:r>
      <w:r w:rsidR="009C27D1">
        <w:rPr>
          <w:rFonts w:ascii="Times New Roman" w:hAnsi="Times New Roman" w:cs="Times New Roman"/>
          <w:color w:val="000000" w:themeColor="text1"/>
          <w:sz w:val="20"/>
          <w:szCs w:val="20"/>
        </w:rPr>
        <w:t xml:space="preserve"> in biological fluids and the lack of accessible tissue for histological examination</w:t>
      </w:r>
      <w:r w:rsidR="00963D7B" w:rsidRPr="00003E8D">
        <w:rPr>
          <w:rFonts w:ascii="Times New Roman" w:hAnsi="Times New Roman" w:cs="Times New Roman"/>
          <w:color w:val="000000" w:themeColor="text1"/>
          <w:sz w:val="20"/>
          <w:szCs w:val="20"/>
        </w:rPr>
        <w:t>, a combination of neurophysiological and imaging</w:t>
      </w:r>
      <w:r w:rsidR="009C27D1">
        <w:rPr>
          <w:rFonts w:ascii="Times New Roman" w:hAnsi="Times New Roman" w:cs="Times New Roman"/>
          <w:color w:val="000000" w:themeColor="text1"/>
          <w:sz w:val="20"/>
          <w:szCs w:val="20"/>
        </w:rPr>
        <w:t>-based assessments are required</w:t>
      </w:r>
      <w:r w:rsidR="006D1E7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TnMrR0H7","properties":{"formattedCitation":"(136)","plainCitation":"(136)","noteIndex":0},"citationItems":[{"id":332,"uris":["http://zotero.org/users/local/OxFKn8nN/items/TVEXB3WQ"],"uri":["http://zotero.org/users/local/OxFKn8nN/items/TVEXB3WQ"],"itemData":{"id":332,"type":"article-journal","title":"Remyelination therapies: a new direction and challenge in multiple sclerosis","container-title":"Nature Reviews Drug Discovery","page":"617","volume":"16","journalAbbreviation":"Nature Reviews Drug Discovery","author":[{"family":"Plemel","given":"Jason R."},{"family":"Liu","given":"Wei-Qiao"},{"family":"Yong","given":"V. Wee"}],"issued":{"date-parts":[["2017",7,7]]}}}],"schema":"https://github.com/citation-style-language/schema/raw/master/csl-citation.json"} </w:instrText>
      </w:r>
      <w:r w:rsidR="006D1E72">
        <w:rPr>
          <w:rFonts w:ascii="Times New Roman" w:hAnsi="Times New Roman" w:cs="Times New Roman"/>
          <w:color w:val="000000" w:themeColor="text1"/>
          <w:sz w:val="20"/>
          <w:szCs w:val="20"/>
        </w:rPr>
        <w:fldChar w:fldCharType="separate"/>
      </w:r>
      <w:r w:rsidR="0081439E">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136</w:t>
      </w:r>
      <w:r w:rsidR="0081439E">
        <w:rPr>
          <w:rFonts w:ascii="Times New Roman" w:hAnsi="Times New Roman" w:cs="Times New Roman"/>
          <w:color w:val="000000"/>
          <w:sz w:val="20"/>
          <w:u w:val="dash"/>
          <w:lang w:val="en-US"/>
        </w:rPr>
        <w:t>].</w:t>
      </w:r>
      <w:r w:rsidR="006D1E72">
        <w:rPr>
          <w:rFonts w:ascii="Times New Roman" w:hAnsi="Times New Roman" w:cs="Times New Roman"/>
          <w:color w:val="000000" w:themeColor="text1"/>
          <w:sz w:val="20"/>
          <w:szCs w:val="20"/>
        </w:rPr>
        <w:fldChar w:fldCharType="end"/>
      </w:r>
    </w:p>
    <w:p w14:paraId="1590DEA6" w14:textId="11436353" w:rsidR="00456989" w:rsidRDefault="00456989" w:rsidP="00E17010">
      <w:pPr>
        <w:spacing w:line="480" w:lineRule="auto"/>
        <w:rPr>
          <w:rFonts w:ascii="Times New Roman" w:hAnsi="Times New Roman" w:cs="Times New Roman"/>
          <w:color w:val="000000" w:themeColor="text1"/>
          <w:sz w:val="20"/>
          <w:szCs w:val="20"/>
        </w:rPr>
      </w:pPr>
    </w:p>
    <w:p w14:paraId="4948C0F8" w14:textId="397C4F08" w:rsidR="00943093" w:rsidRPr="005C5428" w:rsidRDefault="006215A5" w:rsidP="00E17010">
      <w:pPr>
        <w:spacing w:line="480" w:lineRule="auto"/>
        <w:rPr>
          <w:rFonts w:ascii="Times New Roman" w:hAnsi="Times New Roman" w:cs="Times New Roman"/>
          <w:b/>
          <w:i/>
          <w:color w:val="000000" w:themeColor="text1"/>
          <w:sz w:val="20"/>
          <w:szCs w:val="20"/>
        </w:rPr>
      </w:pPr>
      <w:r w:rsidRPr="0086461F">
        <w:rPr>
          <w:rFonts w:ascii="Times New Roman" w:hAnsi="Times New Roman" w:cs="Times New Roman"/>
          <w:b/>
          <w:i/>
          <w:color w:val="000000" w:themeColor="text1"/>
          <w:sz w:val="20"/>
          <w:szCs w:val="20"/>
        </w:rPr>
        <w:t>Neuroimaging</w:t>
      </w:r>
      <w:r w:rsidR="005C5428">
        <w:rPr>
          <w:rFonts w:ascii="Times New Roman" w:hAnsi="Times New Roman" w:cs="Times New Roman"/>
          <w:b/>
          <w:i/>
          <w:color w:val="000000" w:themeColor="text1"/>
          <w:sz w:val="20"/>
          <w:szCs w:val="20"/>
        </w:rPr>
        <w:t xml:space="preserve">. </w:t>
      </w:r>
      <w:r w:rsidR="00963D7B" w:rsidRPr="00003E8D">
        <w:rPr>
          <w:rFonts w:ascii="Times New Roman" w:hAnsi="Times New Roman" w:cs="Times New Roman"/>
          <w:color w:val="000000" w:themeColor="text1"/>
          <w:sz w:val="20"/>
          <w:szCs w:val="20"/>
        </w:rPr>
        <w:t xml:space="preserve">From the imaging perspective, </w:t>
      </w:r>
      <w:r w:rsidR="00230BE6">
        <w:rPr>
          <w:rFonts w:ascii="Times New Roman" w:hAnsi="Times New Roman" w:cs="Times New Roman"/>
          <w:color w:val="000000" w:themeColor="text1"/>
          <w:sz w:val="20"/>
          <w:szCs w:val="20"/>
        </w:rPr>
        <w:t>s</w:t>
      </w:r>
      <w:r w:rsidR="00943093">
        <w:rPr>
          <w:rFonts w:ascii="Times New Roman" w:hAnsi="Times New Roman" w:cs="Times New Roman"/>
          <w:color w:val="000000" w:themeColor="text1"/>
          <w:sz w:val="20"/>
          <w:szCs w:val="20"/>
        </w:rPr>
        <w:t>tandard MRI measures (such as T2 weighted and Gadolinium-enhanced T1 weighted sequences</w:t>
      </w:r>
      <w:r w:rsidR="00230BE6" w:rsidRPr="00230BE6">
        <w:rPr>
          <w:rFonts w:ascii="Times New Roman" w:hAnsi="Times New Roman" w:cs="Times New Roman"/>
          <w:color w:val="000000" w:themeColor="text1"/>
          <w:sz w:val="20"/>
          <w:szCs w:val="20"/>
        </w:rPr>
        <w:t>) correlate only modestly with disability and lack the ability to differentiate between pathological correlates of MS: namely inflammation, oedema, axonal loss, demyelination, remyelination and gliosis</w:t>
      </w:r>
      <w:r w:rsidR="00B95FCB">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usUfXd4l","properties":{"formattedCitation":"(137)","plainCitation":"(137)","noteIndex":0},"citationItems":[{"id":333,"uris":["http://zotero.org/users/local/OxFKn8nN/items/CLP9KH9C"],"uri":["http://zotero.org/users/local/OxFKn8nN/items/CLP9KH9C"],"itemData":{"id":333,"type":"article-journal","title":"Imaging outcomes for trials of remyelination in multiple sclerosis","container-title":"Journal of Neurology, Neurosurgery &amp;amp; Psychiatry","page":"1396","volume":"85","issue":"12","abstract":"Trials of potential neuroreparative agents are becoming more important in the spectrum of multiple sclerosis research. Appropriate imaging outcomes are required that are feasible from a time and practicality point of view, as well as being sensitive and specific to myelin, while also being reproducible and clinically meaningful. Conventional MRI sequences have limited specificity for myelination. We evaluate the imaging modalities which are potentially more specific to myelin content in vivo, such as magnetisation transfer ratio (MTR), restricted proton fraction f (from quantitative magnetisation transfer measurements), myelin water fraction and diffusion tensor imaging (DTI) metrics, in addition to positron emission tomography (PET) imaging. Although most imaging applications to date have focused on the brain, we also consider measures with the potential to detect remyelination in the spinal cord and in the optic nerve. At present, MTR and DTI measures probably offer the most realistic and feasible outcome measures for such trials, especially in the brain. However, no one measure currently demonstrates sufficiently high sensitivity or specificity to myelin, or correlation with clinical features, and it should be useful to employ more than one outcome to maximise understanding and interpretation of findings with these sequences. PET may be less feasible for current and near-future trials, but is a promising technique because of its specificity. In the optic nerve, visual evoked potentials can indicate demyelination and should be correlated with an imaging outcome (such as optic nerve MTR), as well as clinical measures.","DOI":"10.1136/jnnp-2014-307650","journalAbbreviation":"J Neurol Neurosurg Psychiatry","author":[{"family":"Mallik","given":"Shahrukh"},{"family":"Samson","given":"Rebecca S"},{"family":"Wheeler-Kingshott","given":"Claudia A M"},{"family":"Miller","given":"David H"}],"issued":{"date-parts":[["2014",12,1]]}}}],"schema":"https://github.com/citation-style-language/schema/raw/master/csl-citation.json"} </w:instrText>
      </w:r>
      <w:r w:rsidR="00B95FCB">
        <w:rPr>
          <w:rFonts w:ascii="Times New Roman" w:hAnsi="Times New Roman" w:cs="Times New Roman"/>
          <w:color w:val="000000" w:themeColor="text1"/>
          <w:sz w:val="20"/>
          <w:szCs w:val="20"/>
        </w:rPr>
        <w:fldChar w:fldCharType="separate"/>
      </w:r>
      <w:r w:rsidR="00332560">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137</w:t>
      </w:r>
      <w:r w:rsidR="00332560">
        <w:rPr>
          <w:rFonts w:ascii="Times New Roman" w:hAnsi="Times New Roman" w:cs="Times New Roman"/>
          <w:color w:val="000000"/>
          <w:sz w:val="20"/>
          <w:u w:val="dash"/>
          <w:lang w:val="en-US"/>
        </w:rPr>
        <w:t>]</w:t>
      </w:r>
      <w:r w:rsidR="00B95FCB">
        <w:rPr>
          <w:rFonts w:ascii="Times New Roman" w:hAnsi="Times New Roman" w:cs="Times New Roman"/>
          <w:color w:val="000000" w:themeColor="text1"/>
          <w:sz w:val="20"/>
          <w:szCs w:val="20"/>
        </w:rPr>
        <w:fldChar w:fldCharType="end"/>
      </w:r>
      <w:r w:rsidR="00230BE6" w:rsidRPr="00230BE6">
        <w:rPr>
          <w:rFonts w:ascii="Times New Roman" w:hAnsi="Times New Roman" w:cs="Times New Roman"/>
          <w:color w:val="000000" w:themeColor="text1"/>
          <w:sz w:val="20"/>
          <w:szCs w:val="20"/>
        </w:rPr>
        <w:t xml:space="preserve">. As a result, </w:t>
      </w:r>
      <w:r w:rsidR="00943093">
        <w:rPr>
          <w:rFonts w:ascii="Times New Roman" w:hAnsi="Times New Roman" w:cs="Times New Roman"/>
          <w:color w:val="000000" w:themeColor="text1"/>
          <w:sz w:val="20"/>
          <w:szCs w:val="20"/>
        </w:rPr>
        <w:t>advanced MRI</w:t>
      </w:r>
      <w:r w:rsidR="00230BE6" w:rsidRPr="00230BE6">
        <w:rPr>
          <w:rFonts w:ascii="Times New Roman" w:hAnsi="Times New Roman" w:cs="Times New Roman"/>
          <w:color w:val="000000" w:themeColor="text1"/>
          <w:sz w:val="20"/>
          <w:szCs w:val="20"/>
        </w:rPr>
        <w:t xml:space="preserve"> </w:t>
      </w:r>
      <w:r w:rsidR="00943093">
        <w:rPr>
          <w:rFonts w:ascii="Times New Roman" w:hAnsi="Times New Roman" w:cs="Times New Roman"/>
          <w:color w:val="000000" w:themeColor="text1"/>
          <w:sz w:val="20"/>
          <w:szCs w:val="20"/>
        </w:rPr>
        <w:t>techniques</w:t>
      </w:r>
      <w:r w:rsidR="00230BE6" w:rsidRPr="00230BE6">
        <w:rPr>
          <w:rFonts w:ascii="Times New Roman" w:hAnsi="Times New Roman" w:cs="Times New Roman"/>
          <w:color w:val="000000" w:themeColor="text1"/>
          <w:sz w:val="20"/>
          <w:szCs w:val="20"/>
        </w:rPr>
        <w:t xml:space="preserve"> </w:t>
      </w:r>
      <w:r w:rsidR="00AD75D5" w:rsidRPr="00003E8D">
        <w:rPr>
          <w:rFonts w:ascii="Times New Roman" w:hAnsi="Times New Roman" w:cs="Times New Roman"/>
          <w:color w:val="000000" w:themeColor="text1"/>
          <w:sz w:val="20"/>
          <w:szCs w:val="20"/>
        </w:rPr>
        <w:t xml:space="preserve">including </w:t>
      </w:r>
      <w:r w:rsidR="00057B82" w:rsidRPr="00003E8D">
        <w:rPr>
          <w:rFonts w:ascii="Times New Roman" w:hAnsi="Times New Roman" w:cs="Times New Roman"/>
          <w:color w:val="000000" w:themeColor="text1"/>
          <w:sz w:val="20"/>
          <w:szCs w:val="20"/>
        </w:rPr>
        <w:t>myelin water fraction (MWF)</w:t>
      </w:r>
      <w:r w:rsidR="006E6F10">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M2Hx3CAi","properties":{"formattedCitation":"(138,139)","plainCitation":"(138,139)","noteIndex":0},"citationItems":[{"id":336,"uris":["http://zotero.org/users/local/OxFKn8nN/items/2P69Q37F"],"uri":["http://zotero.org/users/local/OxFKn8nN/items/2P69Q37F"],"itemData":{"id":336,"type":"article-journal","title":"Myelin water imaging of multiple sclerosis at 7 T: Correlations with histopathology","container-title":"NeuroImage","page":"1575-1580","volume":"40","issue":"4","abstract":"Myelin water imaging (MWI) promises to be invaluable in understanding neurological diseases like MS. However, a limitation of MWI is signal to noise ratio. Recently, a number of investigators have performed MWI at field strengths higher than 1.5 T. Our goal was to determine if myelin water imaging at increased SNR, arising from the use of a small bore 7 T MR system with optimized coil geometry, enables the production of superior myelin water maps with increased spatial detail and enables better correlations with histology. Ten formalin-fixed MS brain samples underwent a 32-echo T2 relaxation experiment which measured myelin water fraction (MWF) on a 7-T animal MRI scanner. MWF correlated strongly qualitatively and quantitatively with luxol fast blue staining for myelin [mean (range): R2=0.78 (0.56–0.95), p&lt;0.0001]. The quality and detail of 7 T myelin water maps were far superior to that previously seen at 1.5 T, allowing for visualization of fine structures such as the normal prominent myelination of the deeper cortical layers, the alveus of the hippocampus and rings of preserved myelin in a concentric Balo's lesion. 7 T imaging will allow detailed assessment of myelin pathology to a degree not possible with lower field strengths.","DOI":"10.1016/j.neuroimage.2007.12.008","ISSN":"1053-8119","journalAbbreviation":"NeuroImage","author":[{"family":"Laule","given":"Cornelia"},{"family":"Kozlowski","given":"Piotr"},{"family":"Leung","given":"Esther"},{"family":"Li","given":"David K.B."},{"family":"MacKay","given":"Alex L."},{"family":"Moore","given":"G.R. Wayne"}],"issued":{"date-parts":[["2008",5,1]]}}},{"id":280,"uris":["http://zotero.org/users/local/OxFKn8nN/items/U5GBBAQQ"],"uri":["http://zotero.org/users/local/OxFKn8nN/items/U5GBBAQQ"],"itemData":{"id":280,"type":"article-journal","title":"Quantitative neuroimaging measures of myelin in the healthy brain and in multiple sclerosis","container-title":"Human Brain Mapping","volume":"0","issue":"0","abstract":"Abstract Quantitative magnetic resonance imaging (MRI) techniques have been developed as imaging biomarkers, aiming to improve the specificity of MRI to underlying pathology compared to conventional weighted MRI. For assessing the integrity of white matter (WM), myelin, in particular, several techniques have been proposed and investigated individually. However, comparisons between these methods are lacking. In this study, we compared four established myelin-sensitive MRI techniques in 56 patients with relapsing?remitting multiple sclerosis (MS) and 38 healthy controls. We used T2-relaxation with combined GRadient And Spin Echoes (GRASE) to measure myelin water fraction (MWF-G), multi-component driven equilibrium single pulse observation of T1 and T2 (mcDESPOT) to measure MWF-D, magnetization-transfer imaging to measure magnetization-transfer ratio (MTR), and T1 relaxation to measure quantitative T1 (qT1). Using voxelwise Spearman correlations, we tested the correspondence of methods throughout the brain. All four methods showed associations that varied across tissue types; the highest correlations were found between MWF-D and qT1 (median ? across tissue classes 0.8) and MWF-G and MWF-D (median ??= 0.59). In eight WM tracts, all measures showed differences (p","URL":"https://doi.org/10.1002/hbm.24510","DOI":"10.1002/hbm.24510","ISSN":"1065-9471","journalAbbreviation":"Human Brain Mapping","author":[{"family":"O'Muircheartaigh","given":"Jonathan"},{"family":"Vavasour","given":"Irene"},{"family":"Ljungberg","given":"Emil"},{"family":"Li","given":"David K. B."},{"family":"Rauscher","given":"Alexander"},{"family":"Levesque","given":"Victoria"},{"family":"Garren","given":"Hideki"},{"family":"Clayton","given":"David"},{"family":"Tam","given":"Roger"},{"family":"Traboulsee","given":"Anthony"},{"family":"Kolind","given":"Shannon"}],"issued":{"date-parts":[["2019",1,15]]},"accessed":{"date-parts":[["2019",2,13]]}}}],"schema":"https://github.com/citation-style-language/schema/raw/master/csl-citation.json"} </w:instrText>
      </w:r>
      <w:r w:rsidR="006E6F10">
        <w:rPr>
          <w:rFonts w:ascii="Times New Roman" w:hAnsi="Times New Roman" w:cs="Times New Roman"/>
          <w:color w:val="000000" w:themeColor="text1"/>
          <w:sz w:val="20"/>
          <w:szCs w:val="20"/>
        </w:rPr>
        <w:fldChar w:fldCharType="separate"/>
      </w:r>
      <w:r w:rsidR="00332560">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138,139</w:t>
      </w:r>
      <w:r w:rsidR="00332560">
        <w:rPr>
          <w:rFonts w:ascii="Times New Roman" w:hAnsi="Times New Roman" w:cs="Times New Roman"/>
          <w:color w:val="000000"/>
          <w:sz w:val="20"/>
          <w:u w:val="dash"/>
          <w:lang w:val="en-US"/>
        </w:rPr>
        <w:t>]</w:t>
      </w:r>
      <w:r w:rsidR="006E6F10">
        <w:rPr>
          <w:rFonts w:ascii="Times New Roman" w:hAnsi="Times New Roman" w:cs="Times New Roman"/>
          <w:color w:val="000000" w:themeColor="text1"/>
          <w:sz w:val="20"/>
          <w:szCs w:val="20"/>
        </w:rPr>
        <w:fldChar w:fldCharType="end"/>
      </w:r>
      <w:r w:rsidR="00C33EEF">
        <w:rPr>
          <w:rFonts w:ascii="Times New Roman" w:hAnsi="Times New Roman" w:cs="Times New Roman"/>
          <w:color w:val="000000" w:themeColor="text1"/>
          <w:sz w:val="20"/>
          <w:szCs w:val="20"/>
        </w:rPr>
        <w:t>, diffusion tensor imaging</w:t>
      </w:r>
      <w:r w:rsidR="00FB1A2E">
        <w:rPr>
          <w:rFonts w:ascii="Times New Roman" w:hAnsi="Times New Roman" w:cs="Times New Roman"/>
          <w:color w:val="000000" w:themeColor="text1"/>
          <w:sz w:val="20"/>
          <w:szCs w:val="20"/>
        </w:rPr>
        <w:t xml:space="preserve"> (DTI)</w:t>
      </w:r>
      <w:r w:rsidR="00CE64F9">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z8FMej4D","properties":{"formattedCitation":"(140,141)","plainCitation":"(140,141)","noteIndex":0},"citationItems":[{"id":337,"uris":["http://zotero.org/users/local/OxFKn8nN/items/KZUIF8MU"],"uri":["http://zotero.org/users/local/OxFKn8nN/items/KZUIF8MU"],"itemData":{"id":337,"type":"article-journal","title":"Radial diffusivity predicts demyelination in ex vivo multiple sclerosis spinal cords","container-title":"NeuroImage","page":"1454-1460","volume":"55","issue":"4","abstract":"Objective\nCorrelation of diffusion tensor imaging (DTI) with histochemical staining for demyelination and axonal damage in multiple sclerosis (MS) ex vivo human cervical spinal cords.\nBackground\nIn MS, demyelination, axonal degeneration, and inflammation contribute to disease pathogenesis to variable degrees. Based upon in vivo animal studies with acute injury and histopathologic correlation, we hypothesized that DTI can differentiate between axonal and myelin pathologies within humans.\nMethods\nDTI was performed at 4.7 T on 9 MS and 5 normal control fixed cervical spinal cord blocks following autopsy. Sections were then stained for Luxol fast blue (LFB), Bielschowsky silver, and hematoxylin and eosin (H&amp;E). Regions of interest (ROIs) were graded semi-quantitatively as normal myelination, mild (&lt;50%) demyelination, or moderate–severe (&gt;50%) demyelination. Corresponding axonal counts were manually determined on Bielschowsky silver. ROIs were mapped to co-registered DTI parameter slices. DTI parameters evaluated included standard quantitative assessments of apparent diffusion coefficient (ADC), relative anisotropy (RA), axial diffusivity and radial diffusivity. Statistical correlations were made between histochemical gradings and DTI parameters using linear mixed models.\nResults\nWithin ROIs in MS subjects, increased radial diffusivity distinguished worsening severities of demyelination. Relative anisotropy was decreased in the setting of moderate–severe demyelination compared to normal areas and areas of mild demyelination. Radial diffusivity, ADC, and RA became increasingly altered within quartiles of worsening axonal counts. Axial diffusivity did not correlate with axonal density (p=0.091).\nConclusions\nIncreased radial diffusivity can serve as a surrogate for demyelination. However, radial diffusivity was also altered with axon injury, suggesting that this measure is not pathologically specific within chronic human MS tissue. We propose that radial diffusivity can serve as a marker of overall tissue integrity within chronic MS lesions. This study provides pathologic foundation for on-going in vivo DTI studies in MS.","DOI":"10.1016/j.neuroimage.2011.01.007","ISSN":"1053-8119","journalAbbreviation":"NeuroImage","author":[{"family":"Klawiter","given":"Eric C."},{"family":"Schmidt","given":"Robert E."},{"family":"Trinkaus","given":"Kathryn"},{"family":"Liang","given":"Hsiao-Fang"},{"family":"Budde","given":"Matthew D."},{"family":"Naismith","given":"Robert T."},{"family":"Song","given":"Sheng-Kwei"},{"family":"Cross","given":"Anne H."},{"family":"Benzinger","given":"Tammie L."}],"issued":{"date-parts":[["2011",4,15]]}}},{"id":338,"uris":["http://zotero.org/users/local/OxFKn8nN/items/IMGPKG7R"],"uri":["http://zotero.org/users/local/OxFKn8nN/items/IMGPKG7R"],"itemData":{"id":338,"type":"article-journal","title":"Demyelination increases radial diffusivity in corpus callosum of mouse brain","container-title":"NeuroImage","page":"132-140","volume":"26","issue":"1","abstract":"Myelin damage, as seen in multiple sclerosis (MS) and other demyelinating diseases, impairs axonal conduction and can also be associated with axonal degeneration. Accurate assessments of these conditions may be highly beneficial in evaluating and selecting therapeutic strategies for patient management. Recently, an analytical approach examining diffusion tensor imaging (DTI) derived parameters has been proposed to assess the extent of axonal damage, demyelination, or both. The current study uses the well-characterized cuprizone model of experimental demyelination and remyelination of corpus callosum in mouse brain to evaluate the ability of DTI parameters to detect the progression of myelin degeneration and regeneration. Our results demonstrate that the extent of increased radial diffusivity reflects the severity of demyelination in corpus callosum of mouse brain affected by cuprizone treatment. Subsequently, radial diffusivity decreases with the progression of remyelination. Furthermore, radial diffusivity changes were specific to the time course of changes in myelin integrity as distinct from axonal injury, which was detected by βAPP immunostaining and shown to be most extensive prior to demyelination. Radial diffusivity offers a specific assessment of demyelination and remyelination, as distinct from acute axonal damage.","DOI":"10.1016/j.neuroimage.2005.01.028","ISSN":"1053-8119","journalAbbreviation":"NeuroImage","author":[{"family":"Song","given":"Sheng-Kwei"},{"family":"Yoshino","given":"Jun"},{"family":"Le","given":"Tuan Q."},{"family":"Lin","given":"Shiow-Jiuan"},{"family":"Sun","given":"Shu-Wei"},{"family":"Cross","given":"Anne H."},{"family":"Armstrong","given":"Regina C."}],"issued":{"date-parts":[["2005",5,15]]}}}],"schema":"https://github.com/citation-style-language/schema/raw/master/csl-citation.json"} </w:instrText>
      </w:r>
      <w:r w:rsidR="00CE64F9">
        <w:rPr>
          <w:rFonts w:ascii="Times New Roman" w:hAnsi="Times New Roman" w:cs="Times New Roman"/>
          <w:color w:val="000000" w:themeColor="text1"/>
          <w:sz w:val="20"/>
          <w:szCs w:val="20"/>
        </w:rPr>
        <w:fldChar w:fldCharType="separate"/>
      </w:r>
      <w:r w:rsidR="00332560">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140,141</w:t>
      </w:r>
      <w:r w:rsidR="00332560">
        <w:rPr>
          <w:rFonts w:ascii="Times New Roman" w:hAnsi="Times New Roman" w:cs="Times New Roman"/>
          <w:color w:val="000000"/>
          <w:sz w:val="20"/>
          <w:u w:val="dash"/>
          <w:lang w:val="en-US"/>
        </w:rPr>
        <w:t>]</w:t>
      </w:r>
      <w:r w:rsidR="00CE64F9">
        <w:rPr>
          <w:rFonts w:ascii="Times New Roman" w:hAnsi="Times New Roman" w:cs="Times New Roman"/>
          <w:color w:val="000000" w:themeColor="text1"/>
          <w:sz w:val="20"/>
          <w:szCs w:val="20"/>
        </w:rPr>
        <w:fldChar w:fldCharType="end"/>
      </w:r>
      <w:r w:rsidR="00057B82" w:rsidRPr="00003E8D">
        <w:rPr>
          <w:rFonts w:ascii="Times New Roman" w:hAnsi="Times New Roman" w:cs="Times New Roman"/>
          <w:color w:val="000000" w:themeColor="text1"/>
          <w:sz w:val="20"/>
          <w:szCs w:val="20"/>
        </w:rPr>
        <w:t xml:space="preserve"> a</w:t>
      </w:r>
      <w:r w:rsidR="009E1FAF">
        <w:rPr>
          <w:rFonts w:ascii="Times New Roman" w:hAnsi="Times New Roman" w:cs="Times New Roman"/>
          <w:color w:val="000000" w:themeColor="text1"/>
          <w:sz w:val="20"/>
          <w:szCs w:val="20"/>
        </w:rPr>
        <w:t>nd magnetization transfer ratio</w:t>
      </w:r>
      <w:r w:rsidR="00057B82" w:rsidRPr="00003E8D">
        <w:rPr>
          <w:rFonts w:ascii="Times New Roman" w:hAnsi="Times New Roman" w:cs="Times New Roman"/>
          <w:color w:val="000000" w:themeColor="text1"/>
          <w:sz w:val="20"/>
          <w:szCs w:val="20"/>
        </w:rPr>
        <w:t xml:space="preserve"> (MTR)</w:t>
      </w:r>
      <w:r w:rsidR="00CE64F9">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gMqmDqCP","properties":{"formattedCitation":"(142,143)","plainCitation":"(142,143)","noteIndex":0},"citationItems":[{"id":339,"uris":["http://zotero.org/users/local/OxFKn8nN/items/C3FRLYKL"],"uri":["http://zotero.org/users/local/OxFKn8nN/items/C3FRLYKL"],"itemData":{"id":339,"type":"article-journal","title":"Magnetization transfer in MRI: a review","container-title":"NMR in Biomedicine","page":"57-64","volume":"14","issue":"2","abstract":"Abstract This review describes magnetization transfer (MT) contrast in magnetic resonance imaging. A qualitative description of how MT works is provided along with experimental evidence that leads to a quantitative model for MT in tissues. The implementation of MT saturation in imaging sequences and the interpretation of the MT-induced signal change in terms of exchange processes and direct effects are presented. Finally, highlights of clinical uses of MT are outlined and future directions for investigation proposed. Copyright ? 2001 John Wiley &amp; Sons, Ltd. Abbreviations used: Beff effective magnetic field CRMG Carr?Purcell?Meiboom?Gill CW continuous wave FAIR flow sensitive alternating inversion recovery Gd-DTPA gadolinium diethylenetriminepentaacetic acid MRA magnetic resonance angiography MRI magnetic resonance imaging MS multiple sclerosis MT magnetization transfer MTR magnetization transfer ratio RF radio frequency SAR specific absorption rate.","DOI":"10.1002/nbm.683","ISSN":"0952-3480","journalAbbreviation":"NMR in Biomedicine","author":[{"family":"Henkelman","given":"R. M."},{"family":"Stanisz","given":"G. J."},{"family":"Graham","given":"S. J."}],"issued":{"date-parts":[["2001",4,1]]}}},{"id":55,"uris":["http://zotero.org/users/local/OxFKn8nN/items/JPV95AHY"],"uri":["http://zotero.org/users/local/OxFKn8nN/items/JPV95AHY"],"itemData":{"id":55,"type":"article-journal","title":"Magnetization transfer ratio and myelin in postmortem multiple sclerosis brain","container-title":"Annals of Neurology","page":"407-415","volume":"56","issue":"3","abstract":"Abstract Several quantitative magnetic resonance (MR) measures are used to investigate multiple sclerosis (MS) in vivo. Precise quantitative investigation of the histopathological correlates of such measures has, to date, been limited. This study investigates the relationship of quantitative measures of myelin content, axonal density, and gliosis with quantitative MR measures in postmortem (PM) MS tissue. MR imaging (MRI) was performed on a 1.5T scanner and T1-relaxation time (T1-RT) and magnetization transfer ratio (MTR) maps were acquired in fresh PM brain of 20 MS subjects. Myelin content, axonal counts, and the extent of gliosis all were quantified using morphometric and digital imaging techniques. MRI and pathological data were in most cases coregistered using stereotactic navigation. Using multiple regression analysis, we detected significant correlations between myelin content (Trmyelin) and MTR (r = ?0.84, p &lt; 0.001) and myelin content and axonal count (?0.80, p &lt; 0.001); MTR correlated with T1-RT (r = ?0.79, p &lt; 0.001). No association was detected between the extent of gliosis and either MR measure. MTR was significantly higher in remyelinated than demyelinated lesions (means: 30.0 [standard deviation, 2.9] vs 23.8 [standard deviation, 4.3], p = 0.008). In conclusion, MTR is affected by myelin content in MS white matter. Ann Neurol 2004","DOI":"10.1002/ana.20202","ISSN":"0364-5134","journalAbbreviation":"Annals of Neurology","author":[{"family":"Schmierer","given":"Klaus"},{"family":"Scaravilli","given":"Francesco"},{"family":"Altmann","given":"Daniel R."},{"family":"Barker","given":"Gareth J."},{"family":"Miller","given":"David H."}],"issued":{"date-parts":[["2004",8,31]]}}}],"schema":"https://github.com/citation-style-language/schema/raw/master/csl-citation.json"} </w:instrText>
      </w:r>
      <w:r w:rsidR="00CE64F9">
        <w:rPr>
          <w:rFonts w:ascii="Times New Roman" w:hAnsi="Times New Roman" w:cs="Times New Roman"/>
          <w:color w:val="000000" w:themeColor="text1"/>
          <w:sz w:val="20"/>
          <w:szCs w:val="20"/>
        </w:rPr>
        <w:fldChar w:fldCharType="separate"/>
      </w:r>
      <w:r w:rsidR="00332560">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142,143</w:t>
      </w:r>
      <w:r w:rsidR="00332560">
        <w:rPr>
          <w:rFonts w:ascii="Times New Roman" w:hAnsi="Times New Roman" w:cs="Times New Roman"/>
          <w:color w:val="000000"/>
          <w:sz w:val="20"/>
          <w:u w:val="dash"/>
          <w:lang w:val="en-US"/>
        </w:rPr>
        <w:t>]</w:t>
      </w:r>
      <w:r w:rsidR="00CE64F9">
        <w:rPr>
          <w:rFonts w:ascii="Times New Roman" w:hAnsi="Times New Roman" w:cs="Times New Roman"/>
          <w:color w:val="000000" w:themeColor="text1"/>
          <w:sz w:val="20"/>
          <w:szCs w:val="20"/>
        </w:rPr>
        <w:fldChar w:fldCharType="end"/>
      </w:r>
      <w:r w:rsidR="00057B82" w:rsidRPr="00003E8D">
        <w:rPr>
          <w:rFonts w:ascii="Times New Roman" w:hAnsi="Times New Roman" w:cs="Times New Roman"/>
          <w:color w:val="000000" w:themeColor="text1"/>
          <w:sz w:val="20"/>
          <w:szCs w:val="20"/>
        </w:rPr>
        <w:t>, as well as</w:t>
      </w:r>
      <w:r w:rsidR="00ED585F">
        <w:rPr>
          <w:rFonts w:ascii="Times New Roman" w:hAnsi="Times New Roman" w:cs="Times New Roman"/>
          <w:color w:val="000000" w:themeColor="text1"/>
          <w:sz w:val="20"/>
          <w:szCs w:val="20"/>
        </w:rPr>
        <w:t xml:space="preserve"> positron emission tomography</w:t>
      </w:r>
      <w:r w:rsidR="00057B82" w:rsidRPr="00003E8D">
        <w:rPr>
          <w:rFonts w:ascii="Times New Roman" w:hAnsi="Times New Roman" w:cs="Times New Roman"/>
          <w:color w:val="000000" w:themeColor="text1"/>
          <w:sz w:val="20"/>
          <w:szCs w:val="20"/>
        </w:rPr>
        <w:t xml:space="preserve"> </w:t>
      </w:r>
      <w:r w:rsidR="00ED585F">
        <w:rPr>
          <w:rFonts w:ascii="Times New Roman" w:hAnsi="Times New Roman" w:cs="Times New Roman"/>
          <w:color w:val="000000" w:themeColor="text1"/>
          <w:sz w:val="20"/>
          <w:szCs w:val="20"/>
        </w:rPr>
        <w:t>(</w:t>
      </w:r>
      <w:r w:rsidR="00057B82" w:rsidRPr="00003E8D">
        <w:rPr>
          <w:rFonts w:ascii="Times New Roman" w:hAnsi="Times New Roman" w:cs="Times New Roman"/>
          <w:color w:val="000000" w:themeColor="text1"/>
          <w:sz w:val="20"/>
          <w:szCs w:val="20"/>
        </w:rPr>
        <w:t>PET</w:t>
      </w:r>
      <w:r w:rsidR="00ED585F">
        <w:rPr>
          <w:rFonts w:ascii="Times New Roman" w:hAnsi="Times New Roman" w:cs="Times New Roman"/>
          <w:color w:val="000000" w:themeColor="text1"/>
          <w:sz w:val="20"/>
          <w:szCs w:val="20"/>
        </w:rPr>
        <w:t>)</w:t>
      </w:r>
      <w:r w:rsidR="003F1FE7">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Oglz8sCk","properties":{"formattedCitation":"(43,144)","plainCitation":"(43,144)","noteIndex":0},"citationItems":[{"id":282,"uris":["http://zotero.org/users/local/OxFKn8nN/items/K8T3D43L"],"uri":["http://zotero.org/users/local/OxFKn8nN/items/K8T3D43L"],"itemData":{"id":282,"type":"article-journal","title":"Exploring the heterogeneity of MS lesions using positron emission tomography: a reappraisal of their contribution to disability","container-title":"Brain Pathology","page":"723-734","volume":"28","issue":"5","abstract":"Abstract The biological mechanisms driving disability worsening in multiple sclerosis (MS) are only partly understood. Monitoring changes in lesion load on MRI has a limited predictive value on the progression of clinical disability, and there is an essential need for novel imaging markers specific for the main candidate mechanisms underlying neurodegeneration which include failing myelin repair, innate immune cell activation and gray matter neuronal damage. Positron Emission Tomography (PET) is an imaging technology based on the injection of radiotracers directed against specific molecular targets, which has recently allowed the selective quantification in-vivo of the key biological mechanisms relevant to MS pathophysiology. Pilot PET studies performed in patients with all forms of MS allowed to revisit the contribution of MS lesions to disability worsening and showed that the evolution of lesions toward chronic activation, together with their remyelination profile were relevant predictors of disability worsening. PET offers the opportunity to bridge a critical gap between neuropathology and in-vivo imaging. This technique provides an original approach to disentangle some of the most relevant pathological components driving MS progression, to follow-up their temporal evolution, to investigate their clinical relevance and to evaluate novel therapeutics aimed to prevent disease progression.","DOI":"10.1111/bpa.12641","ISSN":"1015-6305","journalAbbreviation":"Brain Pathology","author":[{"family":"Stankoff","given":"Bruno"},{"family":"Poirion","given":"Emilie"},{"family":"Tonietto","given":"Matteo"},{"family":"Bodini","given":"Benedetta"}],"issued":{"date-parts":[["2018",9,1]]}}},{"id":153,"uris":["http://zotero.org/users/local/OxFKn8nN/items/QQSGATU7"],"uri":["http://zotero.org/users/local/OxFKn8nN/items/QQSGATU7"],"itemData":{"id":153,"type":"article-journal","title":"Dynamic Imaging of Individual Remyelination Profiles in Multiple Sclerosis","container-title":"Annals of neurology","page":"726-738","volume":"79","issue":"5","archive":"PubMed","archive_location":"26891452","abstract":"BACKGROUND: Quantitative in vivo imaging of myelin loss and repair in patients with multiple sclerosis (MS) is essential to understand the pathogenesis of the disease and to evaluate promyelinating therapies. Selectively binding myelin in the central nervous system white matter, Pittsburgh compound B ([(11) C]PiB) can be used as a positron emission tomography (PET) tracer to explore myelin dynamics in MS. METHODS: Patients with active relapsing-remitting MS (n = 20) and healthy controls (n = 8) were included in a longitudinal trial combining PET with [(11) C]PiB and magnetic resonance imaging. Voxel-wise maps of [(11) C]PiB distribution volume ratio, reflecting myelin content, were derived. Three dynamic indices were calculated for each patient: the global index of myelin content change; the index of demyelination; and the index of remyelination. RESULTS: At baseline, there was a progressive reduction in [(11) C]PiB binding from the normal-appearing white matter to MS lesions, reflecting a decline in myelin content. White matter lesions were characterized by a centripetal decrease in the tracer binding at the voxel level. During follow-up, high between-patient variability was found for all indices of myelin content change. Dynamic remyelination was inversely correlated with clinical disability (p = 0.006 and beta-coefficient = -0.67 with the Expanded Disability Status Scale; p = 0.003 and beta-coefficient = -0.68 with the MS Severity Scale), whereas no significant clinical correlation was found for the demyelination index. INTERPRETATION: [(11) C]PiB PET allows quantification of myelin dynamics in MS and enables stratification of patients depending on their individual remyelination potential, which significantly correlates with clinical disability. This technique should be considered to assess novel promyelinating drugs. Ann Neurol 2016;79:726-738.","DOI":"10.1002/ana.24620","ISSN":"1531-8249","author":[{"family":"Bodini","given":"Benedetta"},{"family":"Veronese","given":"Mattia"},{"family":"García-Lorenzo","given":"Daniel"},{"family":"Battaglini","given":"Marco"},{"family":"Poirion","given":"Emilie"},{"family":"Chardain","given":"Audrey"},{"family":"Freeman","given":"Léorah"},{"family":"Louapre","given":"Céline"},{"family":"Tchikviladze","given":"Maya"},{"family":"Papeix","given":"Caroline"},{"family":"Dollé","given":"Frédéric"},{"family":"Zalc","given":"Bernard"},{"family":"Lubetzki","given":"Catherine"},{"family":"Bottlaender","given":"Michel"},{"family":"Turkheimer","given":"Federico"},{"family":"Stankoff","given":"Bruno"}],"issued":{"date-parts":[["2016",5]]}}}],"schema":"https://github.com/citation-style-language/schema/raw/master/csl-citation.json"} </w:instrText>
      </w:r>
      <w:r w:rsidR="003F1FE7">
        <w:rPr>
          <w:rFonts w:ascii="Times New Roman" w:hAnsi="Times New Roman" w:cs="Times New Roman"/>
          <w:color w:val="000000" w:themeColor="text1"/>
          <w:sz w:val="20"/>
          <w:szCs w:val="20"/>
        </w:rPr>
        <w:fldChar w:fldCharType="separate"/>
      </w:r>
      <w:r w:rsidR="00332560">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43,144</w:t>
      </w:r>
      <w:r w:rsidR="00332560">
        <w:rPr>
          <w:rFonts w:ascii="Times New Roman" w:hAnsi="Times New Roman" w:cs="Times New Roman"/>
          <w:color w:val="000000"/>
          <w:sz w:val="20"/>
          <w:u w:val="dash"/>
          <w:lang w:val="en-US"/>
        </w:rPr>
        <w:t>]</w:t>
      </w:r>
      <w:r w:rsidR="003F1FE7">
        <w:rPr>
          <w:rFonts w:ascii="Times New Roman" w:hAnsi="Times New Roman" w:cs="Times New Roman"/>
          <w:color w:val="000000" w:themeColor="text1"/>
          <w:sz w:val="20"/>
          <w:szCs w:val="20"/>
        </w:rPr>
        <w:fldChar w:fldCharType="end"/>
      </w:r>
      <w:r w:rsidR="00057B82" w:rsidRPr="00003E8D">
        <w:rPr>
          <w:rFonts w:ascii="Times New Roman" w:hAnsi="Times New Roman" w:cs="Times New Roman"/>
          <w:color w:val="000000" w:themeColor="text1"/>
          <w:sz w:val="20"/>
          <w:szCs w:val="20"/>
        </w:rPr>
        <w:t xml:space="preserve">, have been </w:t>
      </w:r>
      <w:r w:rsidR="0019109C">
        <w:rPr>
          <w:rFonts w:ascii="Times New Roman" w:hAnsi="Times New Roman" w:cs="Times New Roman"/>
          <w:color w:val="000000" w:themeColor="text1"/>
          <w:sz w:val="20"/>
          <w:szCs w:val="20"/>
        </w:rPr>
        <w:t xml:space="preserve">variably </w:t>
      </w:r>
      <w:r w:rsidR="00057B82" w:rsidRPr="00003E8D">
        <w:rPr>
          <w:rFonts w:ascii="Times New Roman" w:hAnsi="Times New Roman" w:cs="Times New Roman"/>
          <w:color w:val="000000" w:themeColor="text1"/>
          <w:sz w:val="20"/>
          <w:szCs w:val="20"/>
        </w:rPr>
        <w:t xml:space="preserve">used to measure myelin dynamics. </w:t>
      </w:r>
    </w:p>
    <w:p w14:paraId="1CD1D3DE" w14:textId="423579F8" w:rsidR="00A25B2E" w:rsidRDefault="00ED585F" w:rsidP="00E17010">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Magnetization transfer</w:t>
      </w:r>
      <w:r w:rsidR="0019109C">
        <w:rPr>
          <w:rFonts w:ascii="Times New Roman" w:hAnsi="Times New Roman" w:cs="Times New Roman"/>
          <w:color w:val="000000" w:themeColor="text1"/>
          <w:sz w:val="20"/>
          <w:szCs w:val="20"/>
        </w:rPr>
        <w:t xml:space="preserve"> </w:t>
      </w:r>
      <w:r w:rsidR="0019109C" w:rsidRPr="0019109C">
        <w:rPr>
          <w:rFonts w:ascii="Times New Roman" w:hAnsi="Times New Roman" w:cs="Times New Roman"/>
          <w:color w:val="000000" w:themeColor="text1"/>
          <w:sz w:val="20"/>
          <w:szCs w:val="20"/>
        </w:rPr>
        <w:t xml:space="preserve">techniques investigate the exchange of magnetisation between protons in at least two pools: those that are mobile and those associated with macromolecules such as myelin or axonal membranes. </w:t>
      </w:r>
      <w:r>
        <w:rPr>
          <w:rFonts w:ascii="Times New Roman" w:hAnsi="Times New Roman" w:cs="Times New Roman"/>
          <w:color w:val="000000" w:themeColor="text1"/>
          <w:sz w:val="20"/>
          <w:szCs w:val="20"/>
        </w:rPr>
        <w:t>E</w:t>
      </w:r>
      <w:r w:rsidR="0019109C" w:rsidRPr="0019109C">
        <w:rPr>
          <w:rFonts w:ascii="Times New Roman" w:hAnsi="Times New Roman" w:cs="Times New Roman"/>
          <w:color w:val="000000" w:themeColor="text1"/>
          <w:sz w:val="20"/>
          <w:szCs w:val="20"/>
        </w:rPr>
        <w:t xml:space="preserve">xpressed as a ratio (MTR), </w:t>
      </w:r>
      <w:r>
        <w:rPr>
          <w:rFonts w:ascii="Times New Roman" w:hAnsi="Times New Roman" w:cs="Times New Roman"/>
          <w:color w:val="000000" w:themeColor="text1"/>
          <w:sz w:val="20"/>
          <w:szCs w:val="20"/>
        </w:rPr>
        <w:t>it</w:t>
      </w:r>
      <w:r w:rsidR="0019109C" w:rsidRPr="0019109C">
        <w:rPr>
          <w:rFonts w:ascii="Times New Roman" w:hAnsi="Times New Roman" w:cs="Times New Roman"/>
          <w:color w:val="000000" w:themeColor="text1"/>
          <w:sz w:val="20"/>
          <w:szCs w:val="20"/>
        </w:rPr>
        <w:t xml:space="preserve"> provides a quantitative measure of the proportion of protons bound to macro-molecular structures relative to those that are free in water</w:t>
      </w:r>
      <w:r>
        <w:rPr>
          <w:rFonts w:ascii="Times New Roman" w:hAnsi="Times New Roman" w:cs="Times New Roman"/>
          <w:color w:val="000000" w:themeColor="text1"/>
          <w:sz w:val="20"/>
          <w:szCs w:val="20"/>
        </w:rPr>
        <w:t xml:space="preserve"> and has</w:t>
      </w:r>
      <w:r w:rsidR="00963D7B" w:rsidRPr="00003E8D">
        <w:rPr>
          <w:rFonts w:ascii="Times New Roman" w:hAnsi="Times New Roman" w:cs="Times New Roman"/>
          <w:color w:val="000000" w:themeColor="text1"/>
          <w:sz w:val="20"/>
          <w:szCs w:val="20"/>
        </w:rPr>
        <w:t xml:space="preserve"> been demonstrated to correlate with pathological </w:t>
      </w:r>
      <w:r w:rsidR="00057B82" w:rsidRPr="00003E8D">
        <w:rPr>
          <w:rFonts w:ascii="Times New Roman" w:hAnsi="Times New Roman" w:cs="Times New Roman"/>
          <w:color w:val="000000" w:themeColor="text1"/>
          <w:sz w:val="20"/>
          <w:szCs w:val="20"/>
        </w:rPr>
        <w:t>quantification</w:t>
      </w:r>
      <w:r w:rsidR="00963D7B" w:rsidRPr="00003E8D">
        <w:rPr>
          <w:rFonts w:ascii="Times New Roman" w:hAnsi="Times New Roman" w:cs="Times New Roman"/>
          <w:color w:val="000000" w:themeColor="text1"/>
          <w:sz w:val="20"/>
          <w:szCs w:val="20"/>
        </w:rPr>
        <w:t xml:space="preserve"> of myelin: demyelinated lesions have a significantly lower MTR than rem</w:t>
      </w:r>
      <w:r w:rsidR="0019109C">
        <w:rPr>
          <w:rFonts w:ascii="Times New Roman" w:hAnsi="Times New Roman" w:cs="Times New Roman"/>
          <w:color w:val="000000" w:themeColor="text1"/>
          <w:sz w:val="20"/>
          <w:szCs w:val="20"/>
        </w:rPr>
        <w:t>yelinated lesions</w:t>
      </w:r>
      <w:r w:rsidR="00E61B9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dns8SyBk","properties":{"formattedCitation":"(143)","plainCitation":"(143)","noteIndex":0},"citationItems":[{"id":55,"uris":["http://zotero.org/users/local/OxFKn8nN/items/JPV95AHY"],"uri":["http://zotero.org/users/local/OxFKn8nN/items/JPV95AHY"],"itemData":{"id":55,"type":"article-journal","title":"Magnetization transfer ratio and myelin in postmortem multiple sclerosis brain","container-title":"Annals of Neurology","page":"407-415","volume":"56","issue":"3","abstract":"Abstract Several quantitative magnetic resonance (MR) measures are used to investigate multiple sclerosis (MS) in vivo. Precise quantitative investigation of the histopathological correlates of such measures has, to date, been limited. This study investigates the relationship of quantitative measures of myelin content, axonal density, and gliosis with quantitative MR measures in postmortem (PM) MS tissue. MR imaging (MRI) was performed on a 1.5T scanner and T1-relaxation time (T1-RT) and magnetization transfer ratio (MTR) maps were acquired in fresh PM brain of 20 MS subjects. Myelin content, axonal counts, and the extent of gliosis all were quantified using morphometric and digital imaging techniques. MRI and pathological data were in most cases coregistered using stereotactic navigation. Using multiple regression analysis, we detected significant correlations between myelin content (Trmyelin) and MTR (r = ?0.84, p &lt; 0.001) and myelin content and axonal count (?0.80, p &lt; 0.001); MTR correlated with T1-RT (r = ?0.79, p &lt; 0.001). No association was detected between the extent of gliosis and either MR measure. MTR was significantly higher in remyelinated than demyelinated lesions (means: 30.0 [standard deviation, 2.9] vs 23.8 [standard deviation, 4.3], p = 0.008). In conclusion, MTR is affected by myelin content in MS white matter. Ann Neurol 2004","DOI":"10.1002/ana.20202","ISSN":"0364-5134","journalAbbreviation":"Annals of Neurology","author":[{"family":"Schmierer","given":"Klaus"},{"family":"Scaravilli","given":"Francesco"},{"family":"Altmann","given":"Daniel R."},{"family":"Barker","given":"Gareth J."},{"family":"Miller","given":"David H."}],"issued":{"date-parts":[["2004",8,31]]}}}],"schema":"https://github.com/citation-style-language/schema/raw/master/csl-citation.json"} </w:instrText>
      </w:r>
      <w:r w:rsidR="00E61B92">
        <w:rPr>
          <w:rFonts w:ascii="Times New Roman" w:hAnsi="Times New Roman" w:cs="Times New Roman"/>
          <w:color w:val="000000" w:themeColor="text1"/>
          <w:sz w:val="20"/>
          <w:szCs w:val="20"/>
        </w:rPr>
        <w:fldChar w:fldCharType="separate"/>
      </w:r>
      <w:r w:rsidR="00332560">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143</w:t>
      </w:r>
      <w:r w:rsidR="00332560">
        <w:rPr>
          <w:rFonts w:ascii="Times New Roman" w:hAnsi="Times New Roman" w:cs="Times New Roman"/>
          <w:color w:val="000000"/>
          <w:sz w:val="20"/>
          <w:u w:val="dash"/>
          <w:lang w:val="en-US"/>
        </w:rPr>
        <w:t>]</w:t>
      </w:r>
      <w:r w:rsidR="00E61B92">
        <w:rPr>
          <w:rFonts w:ascii="Times New Roman" w:hAnsi="Times New Roman" w:cs="Times New Roman"/>
          <w:color w:val="000000" w:themeColor="text1"/>
          <w:sz w:val="20"/>
          <w:szCs w:val="20"/>
        </w:rPr>
        <w:fldChar w:fldCharType="end"/>
      </w:r>
      <w:r w:rsidR="00963D7B" w:rsidRPr="00003E8D">
        <w:rPr>
          <w:rFonts w:ascii="Times New Roman" w:hAnsi="Times New Roman" w:cs="Times New Roman"/>
          <w:color w:val="000000" w:themeColor="text1"/>
          <w:sz w:val="20"/>
          <w:szCs w:val="20"/>
        </w:rPr>
        <w:t>. MTR can be used to quantify myelin in several ways. One can use serial measures of mea</w:t>
      </w:r>
      <w:r w:rsidR="0019109C">
        <w:rPr>
          <w:rFonts w:ascii="Times New Roman" w:hAnsi="Times New Roman" w:cs="Times New Roman"/>
          <w:color w:val="000000" w:themeColor="text1"/>
          <w:sz w:val="20"/>
          <w:szCs w:val="20"/>
        </w:rPr>
        <w:t>n MTR in white and grey matter</w:t>
      </w:r>
      <w:r w:rsidR="00E61B9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xPjr7ar7","properties":{"formattedCitation":"(145)","plainCitation":"(145)","noteIndex":0},"citationItems":[{"id":57,"uris":["http://zotero.org/users/local/OxFKn8nN/items/NWAQ9AGK"],"uri":["http://zotero.org/users/local/OxFKn8nN/items/NWAQ9AGK"],"itemData":{"id":57,"type":"article-journal","title":"Magnetization transfer imaging in multiple sclerosis treated with alemtuzumab","container-title":"Multiple Sclerosis Journal","page":"241-244","volume":"19","issue":"2","abstract":"The magnetization transfer ratio reflects the integrity of tissue structure, including myelination and axonal density. Mean magnetization transfer ratio fell in 18 untreated patients with multiple sclerosis both in normal appearing grey (?0.25 pu/year, p &lt; 0.001) and white matter (?0.12 pu/year, p = 0.004). Conversely, mean magnetization transfer ratio was stable in 20 alemtuzumab-treated patients (grey matter: ?0.01 pu/year, p = 0.87; white matter: -0.02 pu/year, p = 0.51). The gradient difference in grey matter was 0.25 pu/year (p &lt; 0.001) after age-adjustment. These data suggest that in multiple sclerosis alemtuzumab protects against tissue damage in normal-appearing grey matter, perhaps by preventing new lesion formation.","DOI":"10.1177/1352458512444915","ISSN":"1352-4585","journalAbbreviation":"Mult Scler","author":[{"family":"Button","given":"Tom"},{"family":"Altmann","given":"Dan"},{"family":"Tozer","given":"Dan"},{"family":"Dalton","given":"Catherine"},{"family":"Hunter","given":"Kelvin"},{"family":"Compston","given":"Alastair"},{"family":"Coles","given":"Alasdair"},{"family":"Miller","given":"David"}],"issued":{"date-parts":[["2012",4,5]]}}}],"schema":"https://github.com/citation-style-language/schema/raw/master/csl-citation.json"} </w:instrText>
      </w:r>
      <w:r w:rsidR="00E61B92">
        <w:rPr>
          <w:rFonts w:ascii="Times New Roman" w:hAnsi="Times New Roman" w:cs="Times New Roman"/>
          <w:color w:val="000000" w:themeColor="text1"/>
          <w:sz w:val="20"/>
          <w:szCs w:val="20"/>
        </w:rPr>
        <w:fldChar w:fldCharType="separate"/>
      </w:r>
      <w:r w:rsidR="00332560">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145</w:t>
      </w:r>
      <w:r w:rsidR="00332560">
        <w:rPr>
          <w:rFonts w:ascii="Times New Roman" w:hAnsi="Times New Roman" w:cs="Times New Roman"/>
          <w:color w:val="000000"/>
          <w:sz w:val="20"/>
          <w:u w:val="dash"/>
          <w:lang w:val="en-US"/>
        </w:rPr>
        <w:t>]</w:t>
      </w:r>
      <w:r w:rsidR="00E61B92">
        <w:rPr>
          <w:rFonts w:ascii="Times New Roman" w:hAnsi="Times New Roman" w:cs="Times New Roman"/>
          <w:color w:val="000000" w:themeColor="text1"/>
          <w:sz w:val="20"/>
          <w:szCs w:val="20"/>
        </w:rPr>
        <w:fldChar w:fldCharType="end"/>
      </w:r>
      <w:r w:rsidR="0019109C">
        <w:rPr>
          <w:rFonts w:ascii="Times New Roman" w:hAnsi="Times New Roman" w:cs="Times New Roman"/>
          <w:color w:val="000000" w:themeColor="text1"/>
          <w:sz w:val="20"/>
          <w:szCs w:val="20"/>
        </w:rPr>
        <w:t>, in chronic lesions</w:t>
      </w:r>
      <w:r w:rsidR="00E61B9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lrZwkvVP","properties":{"formattedCitation":"(126)","plainCitation":"(126)","noteIndex":0},"citationItems":[{"id":35,"uris":["http://zotero.org/users/local/OxFKn8nN/items/MBLYXQJC"],"uri":["http://zotero.org/users/local/OxFKn8nN/items/MBLYXQJC"],"itemData":{"id":35,"type":"article-journal","title":"Sample sizes for lesion magnetisation transfer ratio outcomes in remyelination trials for multiple sclerosis","container-title":"Multiple Sclerosis and Related Disorders","page":"237-243","volume":"3","issue":"2","DOI":"10.1016/j.msard.2013.09.007","ISSN":"2211-0348","author":[{"family":"Altmann","given":"D.R."},{"family":"Button","given":"T."},{"family":"Schmierer","given":"K."},{"family":"Hunter","given":"K."},{"family":"Tozer","given":"D.J."},{"family":"Wheeler-Kingshott","given":"C.A."},{"family":"Coles","given":"A."},{"family":"Miller","given":"D.H."}],"issued":{"date-parts":[["2014",3,1]]}}}],"schema":"https://github.com/citation-style-language/schema/raw/master/csl-citation.json"} </w:instrText>
      </w:r>
      <w:r w:rsidR="00E61B92">
        <w:rPr>
          <w:rFonts w:ascii="Times New Roman" w:hAnsi="Times New Roman" w:cs="Times New Roman"/>
          <w:color w:val="000000" w:themeColor="text1"/>
          <w:sz w:val="20"/>
          <w:szCs w:val="20"/>
        </w:rPr>
        <w:fldChar w:fldCharType="separate"/>
      </w:r>
      <w:r w:rsidR="00332560">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126</w:t>
      </w:r>
      <w:r w:rsidR="00332560">
        <w:rPr>
          <w:rFonts w:ascii="Times New Roman" w:hAnsi="Times New Roman" w:cs="Times New Roman"/>
          <w:color w:val="000000"/>
          <w:sz w:val="20"/>
          <w:u w:val="dash"/>
          <w:lang w:val="en-US"/>
        </w:rPr>
        <w:t>]</w:t>
      </w:r>
      <w:r w:rsidR="00E61B92">
        <w:rPr>
          <w:rFonts w:ascii="Times New Roman" w:hAnsi="Times New Roman" w:cs="Times New Roman"/>
          <w:color w:val="000000" w:themeColor="text1"/>
          <w:sz w:val="20"/>
          <w:szCs w:val="20"/>
        </w:rPr>
        <w:fldChar w:fldCharType="end"/>
      </w:r>
      <w:r w:rsidR="00963D7B" w:rsidRPr="00003E8D">
        <w:rPr>
          <w:rFonts w:ascii="Times New Roman" w:hAnsi="Times New Roman" w:cs="Times New Roman"/>
          <w:color w:val="000000" w:themeColor="text1"/>
          <w:sz w:val="20"/>
          <w:szCs w:val="20"/>
        </w:rPr>
        <w:t>, or in acute (</w:t>
      </w:r>
      <w:r w:rsidR="00705960" w:rsidRPr="00003E8D">
        <w:rPr>
          <w:rFonts w:ascii="Times New Roman" w:hAnsi="Times New Roman" w:cs="Times New Roman"/>
          <w:color w:val="000000" w:themeColor="text1"/>
          <w:sz w:val="20"/>
          <w:szCs w:val="20"/>
        </w:rPr>
        <w:t>gadolinium-enhancing</w:t>
      </w:r>
      <w:r w:rsidR="0019109C">
        <w:rPr>
          <w:rFonts w:ascii="Times New Roman" w:hAnsi="Times New Roman" w:cs="Times New Roman"/>
          <w:color w:val="000000" w:themeColor="text1"/>
          <w:sz w:val="20"/>
          <w:szCs w:val="20"/>
        </w:rPr>
        <w:t>) lesions</w:t>
      </w:r>
      <w:r w:rsidR="00E61B9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3x6p9DlB","properties":{"formattedCitation":"(84)","plainCitation":"(84)","noteIndex":0},"citationItems":[{"id":59,"uris":["http://zotero.org/users/local/OxFKn8nN/items/WZJ3PR8V"],"uri":["http://zotero.org/users/local/OxFKn8nN/items/WZJ3PR8V"],"itemData":{"id":59,"type":"article-journal","title":"Segmentation of magnetization transfer ratio lesions for longitudinal analysis of demyelination and remyelination in multiple sclerosis","container-title":"NeuroImage","page":"103-109","volume":"66","abstract":"We demonstrate a new technique to quantify longitudinal changes in magnetization transfer ratio (MTR) magnetic resonance imaging (MRI). These changes are indicative of demyelination and remyelination. This technique comprises a definition of ΔMTR lesions, which are identified directly from the MTR images, and an automatic procedure for segmenting these lesions. We used this technique to analyze MTR changes in lesions of subjects with rapidly progressing multiple sclerosis before and after treatment with immunoablation and autologous stem cell transplant. Subjects who experienced clinical improvement after treatment showed significantly improved MTR recovery in lesions that were recovering during treatment (p&lt;0.0001) while those who were clinically stable after treatment showed significantly poorer MTR recovery (p=0.002). The statistical power of this technique to detect treatment effects on MTR recovery was shown to be considerably better than previous methods. These results suggest that longitudinal measurements of MTR in ΔMTR lesions may be an important technique for the assessment of treatment effects on remyelination in clinical trials.","DOI":"10.1016/j.neuroimage.2012.10.059","ISSN":"1053-8119","journalAbbreviation":"NeuroImage","author":[{"family":"Brown","given":"Robert A."},{"family":"Narayanan","given":"Sridar"},{"family":"Arnold","given":"Douglas L."}],"issued":{"date-parts":[["2013",2,1]]}}}],"schema":"https://github.com/citation-style-language/schema/raw/master/csl-citation.json"} </w:instrText>
      </w:r>
      <w:r w:rsidR="00E61B92">
        <w:rPr>
          <w:rFonts w:ascii="Times New Roman" w:hAnsi="Times New Roman" w:cs="Times New Roman"/>
          <w:color w:val="000000" w:themeColor="text1"/>
          <w:sz w:val="20"/>
          <w:szCs w:val="20"/>
        </w:rPr>
        <w:fldChar w:fldCharType="separate"/>
      </w:r>
      <w:r w:rsidR="00332560">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84</w:t>
      </w:r>
      <w:r w:rsidR="00332560">
        <w:rPr>
          <w:rFonts w:ascii="Times New Roman" w:hAnsi="Times New Roman" w:cs="Times New Roman"/>
          <w:color w:val="000000"/>
          <w:sz w:val="20"/>
          <w:u w:val="dash"/>
          <w:lang w:val="en-US"/>
        </w:rPr>
        <w:t>]</w:t>
      </w:r>
      <w:r w:rsidR="00E61B92">
        <w:rPr>
          <w:rFonts w:ascii="Times New Roman" w:hAnsi="Times New Roman" w:cs="Times New Roman"/>
          <w:color w:val="000000" w:themeColor="text1"/>
          <w:sz w:val="20"/>
          <w:szCs w:val="20"/>
        </w:rPr>
        <w:fldChar w:fldCharType="end"/>
      </w:r>
      <w:r w:rsidR="00963D7B" w:rsidRPr="00003E8D">
        <w:rPr>
          <w:rFonts w:ascii="Times New Roman" w:hAnsi="Times New Roman" w:cs="Times New Roman"/>
          <w:color w:val="000000" w:themeColor="text1"/>
          <w:sz w:val="20"/>
          <w:szCs w:val="20"/>
        </w:rPr>
        <w:t>. Indeed, as not all lesions remyelinate to the same extent, further refinements have been proposed. For example, in the CCMR-one study</w:t>
      </w:r>
      <w:r w:rsidR="0019109C">
        <w:rPr>
          <w:rFonts w:ascii="Times New Roman" w:hAnsi="Times New Roman" w:cs="Times New Roman"/>
          <w:color w:val="000000" w:themeColor="text1"/>
          <w:sz w:val="20"/>
          <w:szCs w:val="20"/>
        </w:rPr>
        <w:t xml:space="preserve"> of bexarotene</w:t>
      </w:r>
      <w:r w:rsidR="00963D7B" w:rsidRPr="00003E8D">
        <w:rPr>
          <w:rFonts w:ascii="Times New Roman" w:hAnsi="Times New Roman" w:cs="Times New Roman"/>
          <w:color w:val="000000" w:themeColor="text1"/>
          <w:sz w:val="20"/>
          <w:szCs w:val="20"/>
        </w:rPr>
        <w:t>, the primary outcome measure is based on the change in mean MTR of established lesions with a low MTR at the baseline scan, thereby maximising sensitivity to an effect on lesions tha</w:t>
      </w:r>
      <w:r w:rsidR="0019109C">
        <w:rPr>
          <w:rFonts w:ascii="Times New Roman" w:hAnsi="Times New Roman" w:cs="Times New Roman"/>
          <w:color w:val="000000" w:themeColor="text1"/>
          <w:sz w:val="20"/>
          <w:szCs w:val="20"/>
        </w:rPr>
        <w:t>t are demyelinated at the outset</w:t>
      </w:r>
      <w:r w:rsidR="00E61B9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jl5LQOsN","properties":{"formattedCitation":"(126)","plainCitation":"(126)","noteIndex":0},"citationItems":[{"id":35,"uris":["http://zotero.org/users/local/OxFKn8nN/items/MBLYXQJC"],"uri":["http://zotero.org/users/local/OxFKn8nN/items/MBLYXQJC"],"itemData":{"id":35,"type":"article-journal","title":"Sample sizes for lesion magnetisation transfer ratio outcomes in remyelination trials for multiple sclerosis","container-title":"Multiple Sclerosis and Related Disorders","page":"237-243","volume":"3","issue":"2","DOI":"10.1016/j.msard.2013.09.007","ISSN":"2211-0348","author":[{"family":"Altmann","given":"D.R."},{"family":"Button","given":"T."},{"family":"Schmierer","given":"K."},{"family":"Hunter","given":"K."},{"family":"Tozer","given":"D.J."},{"family":"Wheeler-Kingshott","given":"C.A."},{"family":"Coles","given":"A."},{"family":"Miller","given":"D.H."}],"issued":{"date-parts":[["2014",3,1]]}}}],"schema":"https://github.com/citation-style-language/schema/raw/master/csl-citation.json"} </w:instrText>
      </w:r>
      <w:r w:rsidR="00E61B92">
        <w:rPr>
          <w:rFonts w:ascii="Times New Roman" w:hAnsi="Times New Roman" w:cs="Times New Roman"/>
          <w:color w:val="000000" w:themeColor="text1"/>
          <w:sz w:val="20"/>
          <w:szCs w:val="20"/>
        </w:rPr>
        <w:fldChar w:fldCharType="separate"/>
      </w:r>
      <w:r w:rsidR="007B0A6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126</w:t>
      </w:r>
      <w:r w:rsidR="007B0A63">
        <w:rPr>
          <w:rFonts w:ascii="Times New Roman" w:hAnsi="Times New Roman" w:cs="Times New Roman"/>
          <w:color w:val="000000"/>
          <w:sz w:val="20"/>
          <w:u w:val="dash"/>
          <w:lang w:val="en-US"/>
        </w:rPr>
        <w:t>]</w:t>
      </w:r>
      <w:r w:rsidR="00E61B92">
        <w:rPr>
          <w:rFonts w:ascii="Times New Roman" w:hAnsi="Times New Roman" w:cs="Times New Roman"/>
          <w:color w:val="000000" w:themeColor="text1"/>
          <w:sz w:val="20"/>
          <w:szCs w:val="20"/>
        </w:rPr>
        <w:fldChar w:fldCharType="end"/>
      </w:r>
      <w:r w:rsidR="00963D7B" w:rsidRPr="00003E8D">
        <w:rPr>
          <w:rFonts w:ascii="Times New Roman" w:hAnsi="Times New Roman" w:cs="Times New Roman"/>
          <w:color w:val="000000" w:themeColor="text1"/>
          <w:sz w:val="20"/>
          <w:szCs w:val="20"/>
        </w:rPr>
        <w:t xml:space="preserve">. These aforementioned techniques have been used to show that mean MTR in white and grey matter remains static over time in people with MS treated with alemtuzumab, but deteriorates if not </w:t>
      </w:r>
      <w:r w:rsidR="0019109C">
        <w:rPr>
          <w:rFonts w:ascii="Times New Roman" w:hAnsi="Times New Roman" w:cs="Times New Roman"/>
          <w:color w:val="000000" w:themeColor="text1"/>
          <w:sz w:val="20"/>
          <w:szCs w:val="20"/>
        </w:rPr>
        <w:t>on disease modifying treatment</w:t>
      </w:r>
      <w:r w:rsidR="00E61B9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Rv1b7w1h","properties":{"formattedCitation":"(145)","plainCitation":"(145)","noteIndex":0},"citationItems":[{"id":57,"uris":["http://zotero.org/users/local/OxFKn8nN/items/NWAQ9AGK"],"uri":["http://zotero.org/users/local/OxFKn8nN/items/NWAQ9AGK"],"itemData":{"id":57,"type":"article-journal","title":"Magnetization transfer imaging in multiple sclerosis treated with alemtuzumab","container-title":"Multiple Sclerosis Journal","page":"241-244","volume":"19","issue":"2","abstract":"The magnetization transfer ratio reflects the integrity of tissue structure, including myelination and axonal density. Mean magnetization transfer ratio fell in 18 untreated patients with multiple sclerosis both in normal appearing grey (?0.25 pu/year, p &lt; 0.001) and white matter (?0.12 pu/year, p = 0.004). Conversely, mean magnetization transfer ratio was stable in 20 alemtuzumab-treated patients (grey matter: ?0.01 pu/year, p = 0.87; white matter: -0.02 pu/year, p = 0.51). The gradient difference in grey matter was 0.25 pu/year (p &lt; 0.001) after age-adjustment. These data suggest that in multiple sclerosis alemtuzumab protects against tissue damage in normal-appearing grey matter, perhaps by preventing new lesion formation.","DOI":"10.1177/1352458512444915","ISSN":"1352-4585","journalAbbreviation":"Mult Scler","author":[{"family":"Button","given":"Tom"},{"family":"Altmann","given":"Dan"},{"family":"Tozer","given":"Dan"},{"family":"Dalton","given":"Catherine"},{"family":"Hunter","given":"Kelvin"},{"family":"Compston","given":"Alastair"},{"family":"Coles","given":"Alasdair"},{"family":"Miller","given":"David"}],"issued":{"date-parts":[["2012",4,5]]}}}],"schema":"https://github.com/citation-style-language/schema/raw/master/csl-citation.json"} </w:instrText>
      </w:r>
      <w:r w:rsidR="00E61B92">
        <w:rPr>
          <w:rFonts w:ascii="Times New Roman" w:hAnsi="Times New Roman" w:cs="Times New Roman"/>
          <w:color w:val="000000" w:themeColor="text1"/>
          <w:sz w:val="20"/>
          <w:szCs w:val="20"/>
        </w:rPr>
        <w:fldChar w:fldCharType="separate"/>
      </w:r>
      <w:r w:rsidR="007B0A6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145</w:t>
      </w:r>
      <w:r w:rsidR="007B0A63">
        <w:rPr>
          <w:rFonts w:ascii="Times New Roman" w:hAnsi="Times New Roman" w:cs="Times New Roman"/>
          <w:color w:val="000000"/>
          <w:sz w:val="20"/>
          <w:u w:val="dash"/>
          <w:lang w:val="en-US"/>
        </w:rPr>
        <w:t>]</w:t>
      </w:r>
      <w:r w:rsidR="00E61B92">
        <w:rPr>
          <w:rFonts w:ascii="Times New Roman" w:hAnsi="Times New Roman" w:cs="Times New Roman"/>
          <w:color w:val="000000" w:themeColor="text1"/>
          <w:sz w:val="20"/>
          <w:szCs w:val="20"/>
        </w:rPr>
        <w:fldChar w:fldCharType="end"/>
      </w:r>
      <w:r w:rsidR="00963D7B" w:rsidRPr="00003E8D">
        <w:rPr>
          <w:rFonts w:ascii="Times New Roman" w:hAnsi="Times New Roman" w:cs="Times New Roman"/>
          <w:color w:val="000000" w:themeColor="text1"/>
          <w:sz w:val="20"/>
          <w:szCs w:val="20"/>
        </w:rPr>
        <w:t>, and that the anti-histamine GSK239512 has a small positive effect on mean MTR i</w:t>
      </w:r>
      <w:r w:rsidR="0019109C">
        <w:rPr>
          <w:rFonts w:ascii="Times New Roman" w:hAnsi="Times New Roman" w:cs="Times New Roman"/>
          <w:color w:val="000000" w:themeColor="text1"/>
          <w:sz w:val="20"/>
          <w:szCs w:val="20"/>
        </w:rPr>
        <w:t>n gadolinium-enhancing lesions</w:t>
      </w:r>
      <w:r w:rsidR="00E61B9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761zQMKK","properties":{"formattedCitation":"(109)","plainCitation":"(109)","noteIndex":0},"citationItems":[{"id":53,"uris":["http://zotero.org/users/local/OxFKn8nN/items/QKSB3LSL"],"uri":["http://zotero.org/users/local/OxFKn8nN/items/QKSB3LSL"],"itemData":{"id":53,"type":"article-journal","title":"Lesion remyelinating activity of GSK239512 versus placebo in patients with relapsing-remitting multiple sclerosis: a randomised, single-blind, phase II study","container-title":"Journal of neurology","page":"304-315","volume":"264","issue":"2","archive":"PubMed","archive_location":"27888416","abstract":"Histamine H(3) receptor blockade may enhance lesion remyelination in multiple sclerosis (MS). The efficacy (using a magnetic resonance imaging marker of myelination, magnetisation transfer ratio [MTR]), safety and pharmacokinetics of GSK239512, a potent and brain penetrant H(3) receptor antagonist/inverse agonist on lesion remyelination in relapsing-remitting MS (RRMS) were assessed. This was a phase II, randomised, parallel-group, placebo-controlled, double-blind (sponsor-unblinded), international, multicentre study (NCT01772199). Patients aged 18-50 with RRMS, receiving intramuscular interferon-β1a or glatiramer acetate, were randomised 1:1 to once-daily oral GSK239512 or placebo, up-titrated over 4-5 weeks to a maximum tolerable dose up to 80 µg and maintained until Week 48. The co-primary endpoints were mean changes in post-lesion MTR in gadolinium-enhanced (GdE) or Delta-MTR defined lesions from pre-lesion values. Adverse events (AE) and withdrawals were monitored. Of the 131 patients randomised, 114 patients completed the study (GSK239512, n = 51; placebo, n = 63) and 27 (GSK239512) and 28 (placebo) patients contributed lesions to the primary analysis. GSK239512 was associated with positive effect sizes of 0.344 [90% confidence interval (CI) 0.018, 0.671] and 0.243 (90% CI -0.112, 0.598) for adjusted mean changes in the normalised MTR for GdE and Delta-MTR lesions, respectively. The overall incidence of AEs was similar between GSK239512 and placebo during the treatment phase although some AEs including insomnia were more common with GSK239512, particularly during the titration period. A small but positive effect of GSK239512 on remyelination was observed. MTR assessment represents a promising method for detecting lesion remyelination in RRMS.","DOI":"10.1007/s00415-016-8341-7","ISSN":"1432-1459","author":[{"family":"Schwartzbach","given":"Caryl J"},{"family":"Grove","given":"Richard A"},{"family":"Brown","given":"Robert"},{"family":"Tompson","given":"Debra"},{"family":"Then Bergh","given":"Florian"},{"family":"Arnold","given":"Douglas L"}],"issued":{"date-parts":[["2017"]]}}}],"schema":"https://github.com/citation-style-language/schema/raw/master/csl-citation.json"} </w:instrText>
      </w:r>
      <w:r w:rsidR="00E61B92">
        <w:rPr>
          <w:rFonts w:ascii="Times New Roman" w:hAnsi="Times New Roman" w:cs="Times New Roman"/>
          <w:color w:val="000000" w:themeColor="text1"/>
          <w:sz w:val="20"/>
          <w:szCs w:val="20"/>
        </w:rPr>
        <w:fldChar w:fldCharType="separate"/>
      </w:r>
      <w:r w:rsidR="007B0A6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109</w:t>
      </w:r>
      <w:r w:rsidR="007B0A63">
        <w:rPr>
          <w:rFonts w:ascii="Times New Roman" w:hAnsi="Times New Roman" w:cs="Times New Roman"/>
          <w:color w:val="000000"/>
          <w:sz w:val="20"/>
          <w:u w:val="dash"/>
          <w:lang w:val="en-US"/>
        </w:rPr>
        <w:t>]</w:t>
      </w:r>
      <w:r w:rsidR="00E61B92">
        <w:rPr>
          <w:rFonts w:ascii="Times New Roman" w:hAnsi="Times New Roman" w:cs="Times New Roman"/>
          <w:color w:val="000000" w:themeColor="text1"/>
          <w:sz w:val="20"/>
          <w:szCs w:val="20"/>
        </w:rPr>
        <w:fldChar w:fldCharType="end"/>
      </w:r>
      <w:r w:rsidR="0019109C">
        <w:rPr>
          <w:rFonts w:ascii="Times New Roman" w:hAnsi="Times New Roman" w:cs="Times New Roman"/>
          <w:color w:val="000000" w:themeColor="text1"/>
          <w:sz w:val="20"/>
          <w:szCs w:val="20"/>
        </w:rPr>
        <w:t>.</w:t>
      </w:r>
    </w:p>
    <w:p w14:paraId="3106A301" w14:textId="14539121" w:rsidR="0019109C" w:rsidRPr="001202ED" w:rsidRDefault="00FD486D" w:rsidP="00E17010">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Alternatively, DTI</w:t>
      </w:r>
      <w:r w:rsidR="00ED585F">
        <w:rPr>
          <w:rFonts w:ascii="Times New Roman" w:hAnsi="Times New Roman" w:cs="Times New Roman"/>
          <w:color w:val="000000" w:themeColor="text1"/>
          <w:sz w:val="20"/>
          <w:szCs w:val="20"/>
        </w:rPr>
        <w:t xml:space="preserve"> </w:t>
      </w:r>
      <w:r w:rsidR="00ED585F" w:rsidRPr="00ED585F">
        <w:rPr>
          <w:rFonts w:ascii="Times New Roman" w:hAnsi="Times New Roman" w:cs="Times New Roman"/>
          <w:color w:val="000000" w:themeColor="text1"/>
          <w:sz w:val="20"/>
          <w:szCs w:val="20"/>
        </w:rPr>
        <w:t>provides information about tissue microstructure by measuring water diffusion in vivo. Parameters derived from this such as radial diffusivity (a marker of water motion perpendicular to the axon)</w:t>
      </w:r>
      <w:r>
        <w:rPr>
          <w:rFonts w:ascii="Times New Roman" w:hAnsi="Times New Roman" w:cs="Times New Roman"/>
          <w:color w:val="000000" w:themeColor="text1"/>
          <w:sz w:val="20"/>
          <w:szCs w:val="20"/>
        </w:rPr>
        <w:t xml:space="preserve"> as well as the overall fractional anisotropy</w:t>
      </w:r>
      <w:r w:rsidR="00ED585F" w:rsidRPr="00ED585F">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can be used as</w:t>
      </w:r>
      <w:r w:rsidR="00ED585F" w:rsidRPr="00ED585F">
        <w:rPr>
          <w:rFonts w:ascii="Times New Roman" w:hAnsi="Times New Roman" w:cs="Times New Roman"/>
          <w:color w:val="000000" w:themeColor="text1"/>
          <w:sz w:val="20"/>
          <w:szCs w:val="20"/>
        </w:rPr>
        <w:t xml:space="preserve"> a </w:t>
      </w:r>
      <w:r>
        <w:rPr>
          <w:rFonts w:ascii="Times New Roman" w:hAnsi="Times New Roman" w:cs="Times New Roman"/>
          <w:color w:val="000000" w:themeColor="text1"/>
          <w:sz w:val="20"/>
          <w:szCs w:val="20"/>
        </w:rPr>
        <w:t>surrogate</w:t>
      </w:r>
      <w:r w:rsidR="00ED585F" w:rsidRPr="00ED585F">
        <w:rPr>
          <w:rFonts w:ascii="Times New Roman" w:hAnsi="Times New Roman" w:cs="Times New Roman"/>
          <w:color w:val="000000" w:themeColor="text1"/>
          <w:sz w:val="20"/>
          <w:szCs w:val="20"/>
        </w:rPr>
        <w:t xml:space="preserve"> of myelin content</w:t>
      </w:r>
      <w:r w:rsidR="00244BA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Kdvssd1U","properties":{"formattedCitation":"(141,146)","plainCitation":"(141,146)","noteIndex":0},"citationItems":[{"id":338,"uris":["http://zotero.org/users/local/OxFKn8nN/items/IMGPKG7R"],"uri":["http://zotero.org/users/local/OxFKn8nN/items/IMGPKG7R"],"itemData":{"id":338,"type":"article-journal","title":"Demyelination increases radial diffusivity in corpus callosum of mouse brain","container-title":"NeuroImage","page":"132-140","volume":"26","issue":"1","abstract":"Myelin damage, as seen in multiple sclerosis (MS) and other demyelinating diseases, impairs axonal conduction and can also be associated with axonal degeneration. Accurate assessments of these conditions may be highly beneficial in evaluating and selecting therapeutic strategies for patient management. Recently, an analytical approach examining diffusion tensor imaging (DTI) derived parameters has been proposed to assess the extent of axonal damage, demyelination, or both. The current study uses the well-characterized cuprizone model of experimental demyelination and remyelination of corpus callosum in mouse brain to evaluate the ability of DTI parameters to detect the progression of myelin degeneration and regeneration. Our results demonstrate that the extent of increased radial diffusivity reflects the severity of demyelination in corpus callosum of mouse brain affected by cuprizone treatment. Subsequently, radial diffusivity decreases with the progression of remyelination. Furthermore, radial diffusivity changes were specific to the time course of changes in myelin integrity as distinct from axonal injury, which was detected by βAPP immunostaining and shown to be most extensive prior to demyelination. Radial diffusivity offers a specific assessment of demyelination and remyelination, as distinct from acute axonal damage.","DOI":"10.1016/j.neuroimage.2005.01.028","ISSN":"1053-8119","journalAbbreviation":"NeuroImage","author":[{"family":"Song","given":"Sheng-Kwei"},{"family":"Yoshino","given":"Jun"},{"family":"Le","given":"Tuan Q."},{"family":"Lin","given":"Shiow-Jiuan"},{"family":"Sun","given":"Shu-Wei"},{"family":"Cross","given":"Anne H."},{"family":"Armstrong","given":"Regina C."}],"issued":{"date-parts":[["2005",5,15]]}}},{"id":341,"uris":["http://zotero.org/users/local/OxFKn8nN/items/X4EFB6F3"],"uri":["http://zotero.org/users/local/OxFKn8nN/items/X4EFB6F3"],"itemData":{"id":341,"type":"article-journal","title":"Diffusion tensor imaging of post mortem multiple sclerosis brain","container-title":"NeuroImage","page":"467-477","volume":"35","issue":"2","abstract":"Magnetic resonance imaging (MRI) is being used to probe the central nervous system (CNS) of patients with multiple sclerosis (MS), a chronic demyelinating disease. Conventional T2-weighted MRI (cMRI) largely fails to predict the degree of patients' disability. This shortcoming may be due to poor specificity of cMRI for clinically relevant pathology. Diffusion tensor imaging (DTI) has shown promise to be more specific for MS pathology. In this study we investigated the association between histological indices of myelin content, axonal count and gliosis, and two measures of DTI (mean diffusivity [MD] and fractional anisotropy [FA]), in unfixed post mortem MS brain using a 1.5-T MR system. Both MD and FA were significantly lower in post mortem MS brain compared to published data acquired in vivo. However, the differences of MD and FA described in vivo between white matter lesions (WMLs) and normal-appearing white matter (NAWM) were retained in this study of post mortem brain: average MD in WMLs was 0.35×10−3 mm2/s (SD, 0.09) versus 0.22 (0.04) in NAWM; FA was 0.22 (0.06) in WMLs versus 0.38 (0.13) in NAWM. Correlations were detected between myelin content (Trmyelin) and (i) FA (r=−0.79, p&lt;0.001), (ii) MD (r=0.68, p&lt;0.001), and (iii) axonal count (r=−0.81, p&lt;0.001). Multiple regression suggested that these correlations largely explain the apparent association of axonal count with (i) FA (r=0.70, p&lt;0.001) and (ii) MD (r=−0.66, p&lt;0.001). In conclusion, this study suggests that FA and MD are affected by myelin content and – to a lesser degree – axonal count in post mortem MS brain.","DOI":"10.1016/j.neuroimage.2006.12.010","ISSN":"1053-8119","journalAbbreviation":"NeuroImage","author":[{"family":"Schmierer","given":"Klaus"},{"family":"Wheeler-Kingshott","given":"Claudia A.M."},{"family":"Boulby","given":"Phil A."},{"family":"Scaravilli","given":"Francesco"},{"family":"Altmann","given":"Daniel R."},{"family":"Barker","given":"Gareth J."},{"family":"Tofts","given":"Paul S."},{"family":"Miller","given":"David H."}],"issued":{"date-parts":[["2007",4,1]]}}}],"schema":"https://github.com/citation-style-language/schema/raw/master/csl-citation.json"} </w:instrText>
      </w:r>
      <w:r w:rsidR="00244BAC">
        <w:rPr>
          <w:rFonts w:ascii="Times New Roman" w:hAnsi="Times New Roman" w:cs="Times New Roman"/>
          <w:color w:val="000000" w:themeColor="text1"/>
          <w:sz w:val="20"/>
          <w:szCs w:val="20"/>
        </w:rPr>
        <w:fldChar w:fldCharType="separate"/>
      </w:r>
      <w:r w:rsidR="007B0A6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141,146</w:t>
      </w:r>
      <w:r w:rsidR="007B0A63">
        <w:rPr>
          <w:rFonts w:ascii="Times New Roman" w:hAnsi="Times New Roman" w:cs="Times New Roman"/>
          <w:color w:val="000000"/>
          <w:sz w:val="20"/>
          <w:u w:val="dash"/>
          <w:lang w:val="en-US"/>
        </w:rPr>
        <w:t>]</w:t>
      </w:r>
      <w:r w:rsidR="00244BAC">
        <w:rPr>
          <w:rFonts w:ascii="Times New Roman" w:hAnsi="Times New Roman" w:cs="Times New Roman"/>
          <w:color w:val="000000" w:themeColor="text1"/>
          <w:sz w:val="20"/>
          <w:szCs w:val="20"/>
        </w:rPr>
        <w:fldChar w:fldCharType="end"/>
      </w:r>
      <w:r w:rsidR="00ED585F" w:rsidRPr="00ED585F">
        <w:rPr>
          <w:rFonts w:ascii="Times New Roman" w:hAnsi="Times New Roman" w:cs="Times New Roman"/>
          <w:color w:val="000000" w:themeColor="text1"/>
          <w:sz w:val="20"/>
          <w:szCs w:val="20"/>
        </w:rPr>
        <w:t>.</w:t>
      </w:r>
      <w:r w:rsidR="00E71372">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Meanwhile, MWF</w:t>
      </w:r>
      <w:r w:rsidR="00E71372">
        <w:rPr>
          <w:rFonts w:ascii="Times New Roman" w:hAnsi="Times New Roman" w:cs="Times New Roman"/>
          <w:color w:val="000000" w:themeColor="text1"/>
          <w:sz w:val="20"/>
          <w:szCs w:val="20"/>
        </w:rPr>
        <w:t xml:space="preserve"> infers the </w:t>
      </w:r>
      <w:r w:rsidR="00E71372">
        <w:rPr>
          <w:rFonts w:ascii="Times New Roman" w:hAnsi="Times New Roman" w:cs="Times New Roman"/>
          <w:color w:val="000000" w:themeColor="text1"/>
          <w:sz w:val="20"/>
          <w:szCs w:val="20"/>
        </w:rPr>
        <w:lastRenderedPageBreak/>
        <w:t xml:space="preserve">proportion </w:t>
      </w:r>
      <w:r w:rsidR="001202ED" w:rsidRPr="001202ED">
        <w:rPr>
          <w:rFonts w:ascii="Times New Roman" w:hAnsi="Times New Roman" w:cs="Times New Roman"/>
          <w:color w:val="000000" w:themeColor="text1"/>
          <w:sz w:val="20"/>
          <w:szCs w:val="20"/>
        </w:rPr>
        <w:t>water trapped between myelin bilayers</w:t>
      </w:r>
      <w:r w:rsidR="001202ED">
        <w:rPr>
          <w:rFonts w:ascii="Times New Roman" w:hAnsi="Times New Roman" w:cs="Times New Roman"/>
          <w:color w:val="000000" w:themeColor="text1"/>
          <w:sz w:val="20"/>
          <w:szCs w:val="20"/>
        </w:rPr>
        <w:t xml:space="preserve"> relative to water inside and outside of axons (which</w:t>
      </w:r>
      <w:r w:rsidR="001202ED" w:rsidRPr="001202ED">
        <w:rPr>
          <w:rFonts w:ascii="Times New Roman" w:hAnsi="Times New Roman" w:cs="Times New Roman"/>
          <w:color w:val="000000" w:themeColor="text1"/>
          <w:sz w:val="20"/>
          <w:szCs w:val="20"/>
        </w:rPr>
        <w:t xml:space="preserve"> have different T1 and T2 relaxation times</w:t>
      </w:r>
      <w:r w:rsidR="001202ED">
        <w:rPr>
          <w:rFonts w:ascii="Times New Roman" w:hAnsi="Times New Roman" w:cs="Times New Roman"/>
          <w:color w:val="000000" w:themeColor="text1"/>
          <w:sz w:val="20"/>
          <w:szCs w:val="20"/>
        </w:rPr>
        <w:t>)</w:t>
      </w:r>
      <w:r w:rsidR="001202ED" w:rsidRPr="001202ED">
        <w:rPr>
          <w:rFonts w:ascii="Times New Roman" w:hAnsi="Times New Roman" w:cs="Times New Roman"/>
          <w:color w:val="000000" w:themeColor="text1"/>
          <w:sz w:val="20"/>
          <w:szCs w:val="20"/>
        </w:rPr>
        <w:t>, and</w:t>
      </w:r>
      <w:r w:rsidR="001202ED">
        <w:rPr>
          <w:rFonts w:ascii="Times New Roman" w:hAnsi="Times New Roman" w:cs="Times New Roman"/>
          <w:color w:val="000000" w:themeColor="text1"/>
          <w:sz w:val="20"/>
          <w:szCs w:val="20"/>
        </w:rPr>
        <w:t xml:space="preserve"> can be used as a proxy for myelin content</w:t>
      </w:r>
      <w:r w:rsidR="00244BAC">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ZbX15n3l","properties":{"formattedCitation":"(138,147)","plainCitation":"(138,147)","noteIndex":0},"citationItems":[{"id":342,"uris":["http://zotero.org/users/local/OxFKn8nN/items/P7SGEF24"],"uri":["http://zotero.org/users/local/OxFKn8nN/items/P7SGEF24"],"itemData":{"id":342,"type":"article-journal","title":"MR Relaxation in Multiple Sclerosis","container-title":"Multiple Sclerosis, Part II: Nonconventional MRI Techniques","page":"1-26","volume":"19","issue":"1","abstract":"This article provides an overview of relaxation times and their application to normal brain and brain and cord affected by multiple sclerosis. The goal is to provide readers with an intuitive understanding of what influences relaxation times, how relaxation times can be accurately measured, and how they provide specific information about the pathology of MS. The article summarizes significant results from relaxation time studies in the normal human brain and cord and from people who have multiple sclerosis. It also reports on studies that have compared relaxation time results with results from other MR techniques.","DOI":"10.1016/j.nic.2008.09.007","ISSN":"1052-5149","journalAbbreviation":"Neuroimaging Clinics of North America","author":[{"family":"MacKay","given":"A.L."},{"family":"Vavasour","given":"I.M."},{"family":"Rauscher","given":"A."},{"family":"Kolind","given":"S.H."},{"family":"Mädler","given":"B."},{"family":"Moore","given":"G.R.W."},{"family":"Traboulsee","given":"A.L."},{"family":"Li","given":"D.K.B."},{"family":"Laule","given":"C."}],"issued":{"date-parts":[["2009",2,1]]}}},{"id":336,"uris":["http://zotero.org/users/local/OxFKn8nN/items/2P69Q37F"],"uri":["http://zotero.org/users/local/OxFKn8nN/items/2P69Q37F"],"itemData":{"id":336,"type":"article-journal","title":"Myelin water imaging of multiple sclerosis at 7 T: Correlations with histopathology","container-title":"NeuroImage","page":"1575-1580","volume":"40","issue":"4","abstract":"Myelin water imaging (MWI) promises to be invaluable in understanding neurological diseases like MS. However, a limitation of MWI is signal to noise ratio. Recently, a number of investigators have performed MWI at field strengths higher than 1.5 T. Our goal was to determine if myelin water imaging at increased SNR, arising from the use of a small bore 7 T MR system with optimized coil geometry, enables the production of superior myelin water maps with increased spatial detail and enables better correlations with histology. Ten formalin-fixed MS brain samples underwent a 32-echo T2 relaxation experiment which measured myelin water fraction (MWF) on a 7-T animal MRI scanner. MWF correlated strongly qualitatively and quantitatively with luxol fast blue staining for myelin [mean (range): R2=0.78 (0.56–0.95), p&lt;0.0001]. The quality and detail of 7 T myelin water maps were far superior to that previously seen at 1.5 T, allowing for visualization of fine structures such as the normal prominent myelination of the deeper cortical layers, the alveus of the hippocampus and rings of preserved myelin in a concentric Balo's lesion. 7 T imaging will allow detailed assessment of myelin pathology to a degree not possible with lower field strengths.","DOI":"10.1016/j.neuroimage.2007.12.008","ISSN":"1053-8119","journalAbbreviation":"NeuroImage","author":[{"family":"Laule","given":"Cornelia"},{"family":"Kozlowski","given":"Piotr"},{"family":"Leung","given":"Esther"},{"family":"Li","given":"David K.B."},{"family":"MacKay","given":"Alex L."},{"family":"Moore","given":"G.R. Wayne"}],"issued":{"date-parts":[["2008",5,1]]}}}],"schema":"https://github.com/citation-style-language/schema/raw/master/csl-citation.json"} </w:instrText>
      </w:r>
      <w:r w:rsidR="00244BAC">
        <w:rPr>
          <w:rFonts w:ascii="Times New Roman" w:hAnsi="Times New Roman" w:cs="Times New Roman"/>
          <w:color w:val="000000" w:themeColor="text1"/>
          <w:sz w:val="20"/>
          <w:szCs w:val="20"/>
        </w:rPr>
        <w:fldChar w:fldCharType="separate"/>
      </w:r>
      <w:r w:rsidR="007B0A6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138,147</w:t>
      </w:r>
      <w:r w:rsidR="007B0A63">
        <w:rPr>
          <w:rFonts w:ascii="Times New Roman" w:hAnsi="Times New Roman" w:cs="Times New Roman"/>
          <w:color w:val="000000"/>
          <w:sz w:val="20"/>
          <w:u w:val="dash"/>
          <w:lang w:val="en-US"/>
        </w:rPr>
        <w:t>]</w:t>
      </w:r>
      <w:r w:rsidR="00244BAC">
        <w:rPr>
          <w:rFonts w:ascii="Times New Roman" w:hAnsi="Times New Roman" w:cs="Times New Roman"/>
          <w:color w:val="000000" w:themeColor="text1"/>
          <w:sz w:val="20"/>
          <w:szCs w:val="20"/>
        </w:rPr>
        <w:fldChar w:fldCharType="end"/>
      </w:r>
      <w:r w:rsidR="001202ED">
        <w:rPr>
          <w:rFonts w:ascii="Times New Roman" w:hAnsi="Times New Roman" w:cs="Times New Roman"/>
          <w:color w:val="000000" w:themeColor="text1"/>
          <w:sz w:val="20"/>
          <w:szCs w:val="20"/>
        </w:rPr>
        <w:t>.</w:t>
      </w:r>
    </w:p>
    <w:p w14:paraId="71428D0C" w14:textId="5F69C0C0" w:rsidR="00531A66" w:rsidRDefault="00531A66" w:rsidP="00E17010">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Finally </w:t>
      </w:r>
      <w:r w:rsidRPr="00531A66">
        <w:rPr>
          <w:rFonts w:ascii="Times New Roman" w:hAnsi="Times New Roman" w:cs="Times New Roman"/>
          <w:color w:val="000000" w:themeColor="text1"/>
          <w:sz w:val="20"/>
          <w:szCs w:val="20"/>
        </w:rPr>
        <w:t xml:space="preserve">PET imaging, alongside a myelin-specific ligand such as </w:t>
      </w:r>
      <w:r w:rsidR="00C06B4E">
        <w:rPr>
          <w:rFonts w:ascii="Times New Roman" w:hAnsi="Times New Roman" w:cs="Times New Roman"/>
          <w:color w:val="000000" w:themeColor="text1"/>
          <w:sz w:val="20"/>
          <w:szCs w:val="20"/>
        </w:rPr>
        <w:t>Pittsburgh compound B (</w:t>
      </w:r>
      <w:proofErr w:type="spellStart"/>
      <w:r w:rsidR="00C06B4E">
        <w:rPr>
          <w:rFonts w:ascii="Times New Roman" w:hAnsi="Times New Roman" w:cs="Times New Roman"/>
          <w:color w:val="000000" w:themeColor="text1"/>
          <w:sz w:val="20"/>
          <w:szCs w:val="20"/>
        </w:rPr>
        <w:t>PiB</w:t>
      </w:r>
      <w:proofErr w:type="spellEnd"/>
      <w:r w:rsidR="00C06B4E">
        <w:rPr>
          <w:rFonts w:ascii="Times New Roman" w:hAnsi="Times New Roman" w:cs="Times New Roman"/>
          <w:color w:val="000000" w:themeColor="text1"/>
          <w:sz w:val="20"/>
          <w:szCs w:val="20"/>
        </w:rPr>
        <w:t>),</w:t>
      </w:r>
      <w:r w:rsidRPr="00531A66">
        <w:rPr>
          <w:rFonts w:ascii="Times New Roman" w:hAnsi="Times New Roman" w:cs="Times New Roman"/>
          <w:color w:val="000000" w:themeColor="text1"/>
          <w:sz w:val="20"/>
          <w:szCs w:val="20"/>
        </w:rPr>
        <w:t xml:space="preserve"> might be especially sensitive to </w:t>
      </w:r>
      <w:r w:rsidR="00C06B4E">
        <w:rPr>
          <w:rFonts w:ascii="Times New Roman" w:hAnsi="Times New Roman" w:cs="Times New Roman"/>
          <w:color w:val="000000" w:themeColor="text1"/>
          <w:sz w:val="20"/>
          <w:szCs w:val="20"/>
        </w:rPr>
        <w:t>changes in myelin</w:t>
      </w:r>
      <w:r w:rsidR="00024301">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{"citationID":"F7W9J4A9","properties":{"formattedCitation":"(148)","plainCitation":"(148)","noteIndex":0},"citationItems":[{"id":343,"uris":["http://zotero.org/users/local/OxFKn8nN/items/7WWPZ952"],"uri":["http://zotero.org</w:instrText>
      </w:r>
      <w:r w:rsidR="00AA2F7B">
        <w:rPr>
          <w:rFonts w:ascii="Times New Roman" w:hAnsi="Times New Roman" w:cs="Times New Roman" w:hint="eastAsia"/>
          <w:color w:val="000000" w:themeColor="text1"/>
          <w:sz w:val="20"/>
          <w:szCs w:val="20"/>
        </w:rPr>
        <w:instrText>/users/local/OxFKn8nN/items/7WWPZ952"],"itemData":{"id":343,"type":"article-journal","title":"Imaging central nervous system myelin by positron emission tomography in multiple sclerosis using [methyl-11C]-2-(4</w:instrText>
      </w:r>
      <w:r w:rsidR="00AA2F7B">
        <w:rPr>
          <w:rFonts w:ascii="Times New Roman" w:hAnsi="Times New Roman" w:cs="Times New Roman" w:hint="eastAsia"/>
          <w:color w:val="000000" w:themeColor="text1"/>
          <w:sz w:val="20"/>
          <w:szCs w:val="20"/>
        </w:rPr>
        <w:instrText>′</w:instrText>
      </w:r>
      <w:r w:rsidR="00AA2F7B">
        <w:rPr>
          <w:rFonts w:ascii="Times New Roman" w:hAnsi="Times New Roman" w:cs="Times New Roman" w:hint="eastAsia"/>
          <w:color w:val="000000" w:themeColor="text1"/>
          <w:sz w:val="20"/>
          <w:szCs w:val="20"/>
        </w:rPr>
        <w:instrText>-methylaminophenyl)- 6-hydroxybenzothiazole",</w:instrText>
      </w:r>
      <w:r w:rsidR="00AA2F7B">
        <w:rPr>
          <w:rFonts w:ascii="Times New Roman" w:hAnsi="Times New Roman" w:cs="Times New Roman"/>
          <w:color w:val="000000" w:themeColor="text1"/>
          <w:sz w:val="20"/>
          <w:szCs w:val="20"/>
        </w:rPr>
        <w:instrText xml:space="preserve">"container-title":"Annals of Neurology","page":"673-680","volume":"69","issue":"4","abstract":"Abstract Objective: Imaging of myelin tracts in vivo would greatly improve the monitoring of demyelinating diseases such as multiple sclerosis (MS). To date, no imaging technique specifically targets demyelination and remyelination. Recently, amyloid markers related to Congo red have been shown to bind to central nervous system (CNS) myelin. Here we questioned whether the thioflavine-T derivative 2-(4?-methylaminophenyl)-6-hydroxybenzothiazole (PIB), which also binds to amyloid plaques, could serve as a myelin marker. Methods: PIB fixation to myelin was studied by fluorescence in the normal and dysmyelinating mouse brain, as well as in the postmortem brain of MS patients. Positron emission tomography (PET) experiments were conducted using [11C]PIB in baboons and in a proof of concept clinical study in 2 MS patients. Results: Applied directly on tissue sections or after intraperitoneal injection, PIB stained CNS myelin, and the decrease in the level of fixation paralleled the amount of myelin loss in a dysmyelinating mutant. In normally myelinated areas of postmortem MS brain, demyelinated and remyelinated lesions were clearly distinguishable by the differential intensity of labeling observed with PIB. PET using intravenously injected radiolabeled [11C]PIB imaged CNS myelin in baboons and humans. In MS patients, the dynamic analysis of PET acquisitions allowed quantitative assessment of demyelination. Interpretation: PIB could be used as an imaging marker to quantify myelin loss and repair in demyelinating diseases. Ann Neurol 2011;","DOI":"10.1002/ana.22320","ISSN":"0364-5134","journalAbbreviation":"Annals of Neurology","author":[{"family":"Stankoff","given":"Bruno"},{"family":"Freeman","given":"Leorah"},{"family":"Aigrot","given":"Marie-Stéphane"},{"family":"Chardain","given":"Audrey"},{"family":"Dollé","given":"Frédéric"},{"family":"Williams","given":"Anna"},{"family":"Galanaud","given":"Damien"},{"family":"Armand","given":"Lucie"},{"family":"Lehericy","given":"Stéphane"},{"family":"Lubetzki","given":"Catherine"},{"family":"Zalc","given":"Bernard"},{"family":"Bottlaender","given":"Michel"}],"issued":{"date-parts":[["2011",4,1]]}}}],"schema":"https://github.com/citation-style-language/schema/raw/master/csl-citation.json"} </w:instrText>
      </w:r>
      <w:r w:rsidR="00024301">
        <w:rPr>
          <w:rFonts w:ascii="Times New Roman" w:hAnsi="Times New Roman" w:cs="Times New Roman"/>
          <w:color w:val="000000" w:themeColor="text1"/>
          <w:sz w:val="20"/>
          <w:szCs w:val="20"/>
        </w:rPr>
        <w:fldChar w:fldCharType="separate"/>
      </w:r>
      <w:r w:rsidR="007B0A6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148</w:t>
      </w:r>
      <w:r w:rsidR="007B0A63">
        <w:rPr>
          <w:rFonts w:ascii="Times New Roman" w:hAnsi="Times New Roman" w:cs="Times New Roman"/>
          <w:color w:val="000000"/>
          <w:sz w:val="20"/>
          <w:u w:val="dash"/>
          <w:lang w:val="en-US"/>
        </w:rPr>
        <w:t>]</w:t>
      </w:r>
      <w:r w:rsidR="00024301">
        <w:rPr>
          <w:rFonts w:ascii="Times New Roman" w:hAnsi="Times New Roman" w:cs="Times New Roman"/>
          <w:color w:val="000000" w:themeColor="text1"/>
          <w:sz w:val="20"/>
          <w:szCs w:val="20"/>
        </w:rPr>
        <w:fldChar w:fldCharType="end"/>
      </w:r>
      <w:r w:rsidR="00C06B4E">
        <w:rPr>
          <w:rFonts w:ascii="Times New Roman" w:hAnsi="Times New Roman" w:cs="Times New Roman"/>
          <w:color w:val="000000" w:themeColor="text1"/>
          <w:sz w:val="20"/>
          <w:szCs w:val="20"/>
        </w:rPr>
        <w:t xml:space="preserve"> and could potentially be used to stratify the patients by their remyelination potential for clinical studies</w:t>
      </w:r>
      <w:r w:rsidR="00024301">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F86nCtjA","properties":{"formattedCitation":"(43)","plainCitation":"(43)","noteIndex":0},"citationItems":[{"id":153,"uris":["http://zotero.org/users/local/OxFKn8nN/items/QQSGATU7"],"uri":["http://zotero.org/users/local/OxFKn8nN/items/QQSGATU7"],"itemData":{"id":153,"type":"article-journal","title":"Dynamic Imaging of Individual Remyelination Profiles in Multiple Sclerosis","container-title":"Annals of neurology","page":"726-738","volume":"79","issue":"5","archive":"PubMed","archive_location":"26891452","abstract":"BACKGROUND: Quantitative in vivo imaging of myelin loss and repair in patients with multiple sclerosis (MS) is essential to understand the pathogenesis of the disease and to evaluate promyelinating therapies. Selectively binding myelin in the central nervous system white matter, Pittsburgh compound B ([(11) C]PiB) can be used as a positron emission tomography (PET) tracer to explore myelin dynamics in MS. METHODS: Patients with active relapsing-remitting MS (n = 20) and healthy controls (n = 8) were included in a longitudinal trial combining PET with [(11) C]PiB and magnetic resonance imaging. Voxel-wise maps of [(11) C]PiB distribution volume ratio, reflecting myelin content, were derived. Three dynamic indices were calculated for each patient: the global index of myelin content change; the index of demyelination; and the index of remyelination. RESULTS: At baseline, there was a progressive reduction in [(11) C]PiB binding from the normal-appearing white matter to MS lesions, reflecting a decline in myelin content. White matter lesions were characterized by a centripetal decrease in the tracer binding at the voxel level. During follow-up, high between-patient variability was found for all indices of myelin content change. Dynamic remyelination was inversely correlated with clinical disability (p = 0.006 and beta-coefficient = -0.67 with the Expanded Disability Status Scale; p = 0.003 and beta-coefficient = -0.68 with the MS Severity Scale), whereas no significant clinical correlation was found for the demyelination index. INTERPRETATION: [(11) C]PiB PET allows quantification of myelin dynamics in MS and enables stratification of patients depending on their individual remyelination potential, which significantly correlates with clinical disability. This technique should be considered to assess novel promyelinating drugs. Ann Neurol 2016;79:726-738.","DOI":"10.1002/ana.24620","ISSN":"1531-8249","author":[{"family":"Bodini","given":"Benedetta"},{"family":"Veronese","given":"Mattia"},{"family":"García-Lorenzo","given":"Daniel"},{"family":"Battaglini","given":"Marco"},{"family":"Poirion","given":"Emilie"},{"family":"Chardain","given":"Audrey"},{"family":"Freeman","given":"Léorah"},{"family":"Louapre","given":"Céline"},{"family":"Tchikviladze","given":"Maya"},{"family":"Papeix","given":"Caroline"},{"family":"Dollé","given":"Frédéric"},{"family":"Zalc","given":"Bernard"},{"family":"Lubetzki","given":"Catherine"},{"family":"Bottlaender","given":"Michel"},{"family":"Turkheimer","given":"Federico"},{"family":"Stankoff","given":"Bruno"}],"issued":{"date-parts":[["2016",5]]}}}],"schema":"https://github.com/citation-style-language/schema/raw/master/csl-citation.json"} </w:instrText>
      </w:r>
      <w:r w:rsidR="00024301">
        <w:rPr>
          <w:rFonts w:ascii="Times New Roman" w:hAnsi="Times New Roman" w:cs="Times New Roman"/>
          <w:color w:val="000000" w:themeColor="text1"/>
          <w:sz w:val="20"/>
          <w:szCs w:val="20"/>
        </w:rPr>
        <w:fldChar w:fldCharType="separate"/>
      </w:r>
      <w:r w:rsidR="007B0A63">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43</w:t>
      </w:r>
      <w:r w:rsidR="007B0A63">
        <w:rPr>
          <w:rFonts w:ascii="Times New Roman" w:hAnsi="Times New Roman" w:cs="Times New Roman"/>
          <w:color w:val="000000"/>
          <w:sz w:val="20"/>
          <w:u w:val="dash"/>
          <w:lang w:val="en-US"/>
        </w:rPr>
        <w:t>]</w:t>
      </w:r>
      <w:r w:rsidR="00024301">
        <w:rPr>
          <w:rFonts w:ascii="Times New Roman" w:hAnsi="Times New Roman" w:cs="Times New Roman"/>
          <w:color w:val="000000" w:themeColor="text1"/>
          <w:sz w:val="20"/>
          <w:szCs w:val="20"/>
        </w:rPr>
        <w:fldChar w:fldCharType="end"/>
      </w:r>
      <w:r w:rsidR="00C06B4E">
        <w:rPr>
          <w:rFonts w:ascii="Times New Roman" w:hAnsi="Times New Roman" w:cs="Times New Roman"/>
          <w:color w:val="000000" w:themeColor="text1"/>
          <w:sz w:val="20"/>
          <w:szCs w:val="20"/>
        </w:rPr>
        <w:t xml:space="preserve">. However, </w:t>
      </w:r>
      <w:r w:rsidRPr="00531A66">
        <w:rPr>
          <w:rFonts w:ascii="Times New Roman" w:hAnsi="Times New Roman" w:cs="Times New Roman"/>
          <w:color w:val="000000" w:themeColor="text1"/>
          <w:sz w:val="20"/>
          <w:szCs w:val="20"/>
        </w:rPr>
        <w:t xml:space="preserve">the issues of availability and radiation exposure are likely to limit </w:t>
      </w:r>
      <w:r w:rsidR="00C06B4E">
        <w:rPr>
          <w:rFonts w:ascii="Times New Roman" w:hAnsi="Times New Roman" w:cs="Times New Roman"/>
          <w:color w:val="000000" w:themeColor="text1"/>
          <w:sz w:val="20"/>
          <w:szCs w:val="20"/>
        </w:rPr>
        <w:t>the role this has to play</w:t>
      </w:r>
      <w:r w:rsidRPr="00531A66">
        <w:rPr>
          <w:rFonts w:ascii="Times New Roman" w:hAnsi="Times New Roman" w:cs="Times New Roman"/>
          <w:color w:val="000000" w:themeColor="text1"/>
          <w:sz w:val="20"/>
          <w:szCs w:val="20"/>
        </w:rPr>
        <w:t>.</w:t>
      </w:r>
    </w:p>
    <w:p w14:paraId="0D9039B0" w14:textId="192F7F5C" w:rsidR="00057B82" w:rsidRDefault="00057B82" w:rsidP="00E17010">
      <w:pPr>
        <w:spacing w:line="480" w:lineRule="auto"/>
        <w:rPr>
          <w:rFonts w:ascii="Times New Roman" w:hAnsi="Times New Roman" w:cs="Times New Roman"/>
          <w:color w:val="000000" w:themeColor="text1"/>
          <w:sz w:val="20"/>
          <w:szCs w:val="20"/>
        </w:rPr>
      </w:pPr>
    </w:p>
    <w:p w14:paraId="05EB6CD8" w14:textId="5D5D13FE" w:rsidR="00262C77" w:rsidRPr="005C5428" w:rsidRDefault="006215A5" w:rsidP="00E17010">
      <w:pPr>
        <w:spacing w:line="480" w:lineRule="auto"/>
        <w:rPr>
          <w:rFonts w:ascii="Times New Roman" w:hAnsi="Times New Roman" w:cs="Times New Roman"/>
          <w:b/>
          <w:i/>
          <w:color w:val="000000" w:themeColor="text1"/>
          <w:sz w:val="20"/>
          <w:szCs w:val="20"/>
        </w:rPr>
      </w:pPr>
      <w:r w:rsidRPr="0086461F">
        <w:rPr>
          <w:rFonts w:ascii="Times New Roman" w:hAnsi="Times New Roman" w:cs="Times New Roman"/>
          <w:b/>
          <w:i/>
          <w:color w:val="000000" w:themeColor="text1"/>
          <w:sz w:val="20"/>
          <w:szCs w:val="20"/>
        </w:rPr>
        <w:t>Neurophysiology</w:t>
      </w:r>
      <w:r w:rsidR="005C5428">
        <w:rPr>
          <w:rFonts w:ascii="Times New Roman" w:hAnsi="Times New Roman" w:cs="Times New Roman"/>
          <w:b/>
          <w:i/>
          <w:color w:val="000000" w:themeColor="text1"/>
          <w:sz w:val="20"/>
          <w:szCs w:val="20"/>
        </w:rPr>
        <w:t xml:space="preserve">. </w:t>
      </w:r>
      <w:r w:rsidR="00262C77">
        <w:rPr>
          <w:rFonts w:ascii="Times New Roman" w:hAnsi="Times New Roman" w:cs="Times New Roman"/>
          <w:color w:val="000000" w:themeColor="text1"/>
          <w:sz w:val="20"/>
          <w:szCs w:val="20"/>
        </w:rPr>
        <w:t>Evoked potentials allow for a</w:t>
      </w:r>
      <w:r w:rsidR="00DA61B2">
        <w:rPr>
          <w:rFonts w:ascii="Times New Roman" w:hAnsi="Times New Roman" w:cs="Times New Roman"/>
          <w:color w:val="000000" w:themeColor="text1"/>
          <w:sz w:val="20"/>
          <w:szCs w:val="20"/>
        </w:rPr>
        <w:t>n</w:t>
      </w:r>
      <w:r w:rsidR="00262C77">
        <w:rPr>
          <w:rFonts w:ascii="Times New Roman" w:hAnsi="Times New Roman" w:cs="Times New Roman"/>
          <w:color w:val="000000" w:themeColor="text1"/>
          <w:sz w:val="20"/>
          <w:szCs w:val="20"/>
        </w:rPr>
        <w:t xml:space="preserve"> assessment of nervous conduction along </w:t>
      </w:r>
      <w:r w:rsidR="00262C77" w:rsidRPr="00262C77">
        <w:rPr>
          <w:rFonts w:ascii="Times New Roman" w:hAnsi="Times New Roman" w:cs="Times New Roman"/>
          <w:color w:val="000000" w:themeColor="text1"/>
          <w:sz w:val="20"/>
          <w:szCs w:val="20"/>
        </w:rPr>
        <w:t>visual, somatosensory,</w:t>
      </w:r>
      <w:r w:rsidR="00E14595">
        <w:rPr>
          <w:rFonts w:ascii="Times New Roman" w:hAnsi="Times New Roman" w:cs="Times New Roman"/>
          <w:color w:val="000000" w:themeColor="text1"/>
          <w:sz w:val="20"/>
          <w:szCs w:val="20"/>
        </w:rPr>
        <w:t xml:space="preserve"> auditory,</w:t>
      </w:r>
      <w:r w:rsidR="00262C77" w:rsidRPr="00262C77">
        <w:rPr>
          <w:rFonts w:ascii="Times New Roman" w:hAnsi="Times New Roman" w:cs="Times New Roman"/>
          <w:color w:val="000000" w:themeColor="text1"/>
          <w:sz w:val="20"/>
          <w:szCs w:val="20"/>
        </w:rPr>
        <w:t xml:space="preserve"> and motor tracts</w:t>
      </w:r>
      <w:r w:rsidR="00262C77">
        <w:rPr>
          <w:rFonts w:ascii="Times New Roman" w:hAnsi="Times New Roman" w:cs="Times New Roman"/>
          <w:color w:val="000000" w:themeColor="text1"/>
          <w:sz w:val="20"/>
          <w:szCs w:val="20"/>
        </w:rPr>
        <w:t xml:space="preserve"> in a way that</w:t>
      </w:r>
      <w:r w:rsidR="00262C77" w:rsidRPr="00262C77">
        <w:rPr>
          <w:rFonts w:ascii="Times New Roman" w:hAnsi="Times New Roman" w:cs="Times New Roman"/>
          <w:color w:val="000000" w:themeColor="text1"/>
          <w:sz w:val="20"/>
          <w:szCs w:val="20"/>
        </w:rPr>
        <w:t xml:space="preserve"> correlate</w:t>
      </w:r>
      <w:r w:rsidR="009A371F">
        <w:rPr>
          <w:rFonts w:ascii="Times New Roman" w:hAnsi="Times New Roman" w:cs="Times New Roman"/>
          <w:color w:val="000000" w:themeColor="text1"/>
          <w:sz w:val="20"/>
          <w:szCs w:val="20"/>
        </w:rPr>
        <w:t>s</w:t>
      </w:r>
      <w:r w:rsidR="00262C77" w:rsidRPr="00262C77">
        <w:rPr>
          <w:rFonts w:ascii="Times New Roman" w:hAnsi="Times New Roman" w:cs="Times New Roman"/>
          <w:color w:val="000000" w:themeColor="text1"/>
          <w:sz w:val="20"/>
          <w:szCs w:val="20"/>
        </w:rPr>
        <w:t xml:space="preserve"> with function</w:t>
      </w:r>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DacayJaG","properties":{"formattedCitation":"(149\\uc0\\u8211{}151)","plainCitation":"(149–151)","noteIndex":0},"citationItems":[{"id":345,"uris":["http://zotero.org/users/local/OxFKn8nN/items/BRJWSWDZ"],"uri":["http://zotero.org/users/local/OxFKn8nN/items/BRJWSWDZ"],"itemData":{"id":345,"type":"article-journal","title":"Somatosensory evoked potentials and sensory involvement in multiple                 sclerosis: comparison with clinical findings and quantitative sensory tests","container-title":"Multiple Sclerosis Journal","page":"275-279","volume":"9","issue":"3","abstract":"Sensory disturbances are one of the most common findings in patients with multiple sclerosis (MS). However, they are usually assessed at the standard neurological examination only. Q uantitative Sensory Tests (Q STs) for temperature and vibratory sense allow a more objective evaluation. In a group of 19 clinically definite MS patients, we compared vibratory and temperatur e thresholds with sensory symptoms or signs at clinical neurological examination and somatosensory evoked potentials (SEPs) at the four limbs. The frequency of abnormalities of clinical symptoms/signs, vibration threshold and median SEPs were 69%, 33% and 55%, respectively. C orrelation between degree of abnormality of SEPs and clinically assessed vibration sense (V) was statistically significant (P B-0.007; Spearmann rank coefficient), as well as between SEPs and vibration perceptio n threshold (P B-0.02). C linical evaluation of thermal sense did not show false positive results compared to quantitative thermal threshold, but false negative findings (35%). This study suggests that the combined use of vibration threshold and SEPs allows a better objectivation of sensory function, allowing the detection of subclinical abnormalities and possibly reducing the number of false positive results introduced by clinical assessment. Moreover, Q STs are to be preferred to clinical evaluation in the assessment of thermal sense, due to their superior sensitivity.","DOI":"10.1191/1352458503ms908oa","ISSN":"1352-4585","journalAbbreviation":"Mult Scler","author":[{"family":"Leocani","given":"Letizia"},{"family":"Martinelli","given":"Vittorio"},{"family":"Natali-Sora","given":"Maria Grazia"},{"family":"Rovaris","given":"Marco"},{"family":"Comi","given":"Giancarlo"}],"issued":{"date-parts":[["2003",6,1]]}}},{"id":349,"uris":["http://zotero.org/users/local/OxFKn8nN/items/827RMWPC"],"uri":["http://zotero.org/users/local/OxFKn8nN/items/827RMWPC"],"itemData":{"id":349,"type":"article-journal","title":"Sensory impairments in spinal multiple sclerosis: A combined clinical, magnetic resonance imaging and somatosensory evoked potential study","container-title":"Clinical Neurology and Neurosurgery","page":"199-204","volume":"100","issue":"3","abstract":"Thirty-one cases (26 patients) of clinically definite multiple sclerosis with predominant spinal cord involvement were studied retrospectively, focusing in particular on the results of sensory testings which were compared with the findings of spinal cord magnetic resonance imaging (MRI) and somatosensory evoked potentials (SEPs). Factor analysis of the sensory impairments showed two factors corresponding to superficial (pain and light-touch) and deep (position and `thumb/big toe localizing') sensations. Vibratory sense depended on both factors, but more on deep sensations. Multiple regression analysis of the SEP abnormalities and sensory deficits showed that impaired deep sensations contributed to abnormal SEPs, but the results of clinical sensory testings and SEPs were dissociated in 31% of the extremities examined. The MRI sagittal images correlated well with the levels of sensory impairments, whereas the axial images showed a poor relationship to the extent of sensory impairments. We concluded that the use of SEPs as well as MRI is not always superior to such clinical sensory tests as the `thumb/big toe localizing tests'.","DOI":"10.1016/S0303-8467(98)00045-6","ISSN":"0303-8467","journalAbbreviation":"Clinical Neurology and Neurosurgery","author":[{"family":"Fukutake","given":"Toshio"},{"family":"Kuwabara","given":"Satoshi"},{"family":"Kaneko","given":"Masaru"},{"family":"Kojima","given":"Shigeyuki"},{"family":"Hattori","given":"Takamichi"}],"issued":{"date-parts":[["1998",9,1]]}}},{"id":350,"uris":["http://zotero.org/users/local/OxFKn8nN/items/3QHYFBKB"],"uri":["http://zotero.org/users/local/OxFKn8nN/items/3QHYFBKB"],"itemData":{"id":350,"type":"article-journal","title":"Pattern reversal visual evoked potentials as a measure of visual pathway                 pathology in multiple sclerosis","container-title":"Multiple Sclerosis Journal","page":"529-534","volume":"9","issue":"5","abstract":"Background: Pattern reversal visual evoked potentials (PRVEPs) have a well-documented role in diagnosis of multiple sclerosis (MS), but their value as a visual function surrogate remains controversial. Methods: We evaluated PRVEP in 37 patients with MS who were participating in a long-term follow-up study following a phase III trial of interferon b-1a (A vonex?). Patients were examined to determine the Kurtzke Extended Disability Status Score (EDSS), multiple sclerosis functional composite (MSFC), contrast letter acuity (CLA), and had cranial MRI scans to determine whole brain atrophy (BPF). PRVEP was evaluated for P100 latency, amplitude, and waveform morphology. Two summary scores were created: for Score A, abnormal latencies, morphologies, and amplitudes of each individual eye were added; for Score B, abnormal latencies, morphologies, and amplitude ratio between eyes was determined. Sixteen patients in this group also had PRVEP at the time they enrolled in the clinical trial, eight years previously. Results: A t the follow-up exam, over 75% of patients had abnormal PVEP parameters while visual acuity (VA) was abnormal only in 59%. Increased PRVEP latency over the eight-year period correlated with deterioration assessed by EDSS (P = 0.006), BPF (P = 0.0001), and MSFC (P = 0.0041). Score A was significantly correlated with EDSS, BPF, C LA, cognitive function, and quality of life assessed with the Sickness Impact profile. No correlation was seen with the MSFC. Conclusions: The results indicate that PRVEP measures MS-related patho logy, and can provide not only diagnostic but also prognostic information during evaluation of MS patients.","DOI":"10.1191/1352458503ms935rr","ISSN":"1352-4585","journalAbbreviation":"Mult Scler","author":[{"family":"Weinstock-Guttman","given":"B"},{"family":"Baier","given":"M"},{"family":"Stockton","given":"R"},{"family":"Weinstock","given":"A"},{"family":"Justinger","given":"T"},{"family":"Munschauer","given":"F"},{"family":"Brownscheidle","given":"C"},{"family":"Williams","given":"J"},{"family":"Fisher","given":"E"},{"family":"Miller","given":"D"},{"family":"Rudick","given":"R"}],"issued":{"date-parts":[["2003",10,1]]}}}],"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DA4CA8">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149–151</w:t>
      </w:r>
      <w:r w:rsidR="00DA4CA8">
        <w:rPr>
          <w:rFonts w:ascii="Times New Roman" w:hAnsi="Times New Roman" w:cs="Times New Roman"/>
          <w:color w:val="000000"/>
          <w:sz w:val="20"/>
          <w:lang w:val="en-US"/>
        </w:rPr>
        <w:t>]</w:t>
      </w:r>
      <w:r w:rsidR="00DA61B2">
        <w:rPr>
          <w:rFonts w:ascii="Times New Roman" w:hAnsi="Times New Roman" w:cs="Times New Roman"/>
          <w:color w:val="000000" w:themeColor="text1"/>
          <w:sz w:val="20"/>
          <w:szCs w:val="20"/>
        </w:rPr>
        <w:fldChar w:fldCharType="end"/>
      </w:r>
      <w:r w:rsidR="00262C77" w:rsidRPr="00262C77">
        <w:rPr>
          <w:rFonts w:ascii="Times New Roman" w:hAnsi="Times New Roman" w:cs="Times New Roman"/>
          <w:color w:val="000000" w:themeColor="text1"/>
          <w:sz w:val="20"/>
          <w:szCs w:val="20"/>
        </w:rPr>
        <w:t xml:space="preserve"> and disability</w:t>
      </w:r>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z2zpbiSY","properties":{"formattedCitation":"(152)","plainCitation":"(152)","noteIndex":0},"citationItems":[{"id":352,"uris":["http://zotero.org/users/local/OxFKn8nN/items/ILSNCUV5"],"uri":["http://zotero.org/users/local/OxFKn8nN/items/ILSNCUV5"],"itemData":{"id":352,"type":"article-journal","title":"Visual and motor evoked potentials in the course of multiple sclerosis","container-title":"Brain","page":"2162-2168","volume":"124","issue":"11","abstract":"While evoked potentials are sensitive tools for diagnosing multiple sclerosis, little is known about their prognostic value and their role in determining the course of the disease. To validate the visual and motor evoked potentials (VEP and MEP) as measures for the course of multiple sclerosis, we examined prospectively 30 patients with relapsing–remitting or secondary progressive multiple sclerosis. The Expanded Disability Status Scale (EDSS), VEP and MEP were measured at entry and after 6, 12 and 24 months. The Spearman rank correlation was used for statistical analysis. Applying multiple regression in 15 randomized patients allowed derivation of a formula for predicting changes in EDSS score based on changes in MEP and VEP. Validation was done by comparing the predicted with the real changes in EDSS in the other 15 patients. The number of pathological VEP and MEP results correlated at all four measurement points with the EDSS (ρ </w:instrText>
      </w:r>
      <w:r w:rsidR="00AA2F7B">
        <w:rPr>
          <w:rFonts w:ascii="Times New Roman" w:hAnsi="Times New Roman" w:cs="Times New Roman" w:hint="eastAsia"/>
          <w:color w:val="000000" w:themeColor="text1"/>
          <w:sz w:val="20"/>
          <w:szCs w:val="20"/>
        </w:rPr>
        <w:instrText>│</w:instrText>
      </w:r>
      <w:r w:rsidR="00AA2F7B">
        <w:rPr>
          <w:rFonts w:ascii="Times New Roman" w:hAnsi="Times New Roman" w:cs="Times New Roman"/>
          <w:color w:val="000000" w:themeColor="text1"/>
          <w:sz w:val="20"/>
          <w:szCs w:val="20"/>
        </w:rPr>
        <w:instrText xml:space="preserve"> 0.6, P≤ 0.01). When the latencies of VEP and MEP were combined using the sum</w:instrText>
      </w:r>
      <w:r w:rsidR="00AA2F7B">
        <w:rPr>
          <w:rFonts w:ascii="Times New Roman" w:hAnsi="Times New Roman" w:cs="Times New Roman" w:hint="eastAsia"/>
          <w:color w:val="000000" w:themeColor="text1"/>
          <w:sz w:val="20"/>
          <w:szCs w:val="20"/>
        </w:rPr>
        <w:instrText xml:space="preserve"> of their Z scores, correlation with the EDSS was even more significant (</w:instrText>
      </w:r>
      <w:r w:rsidR="00AA2F7B">
        <w:rPr>
          <w:rFonts w:ascii="Times New Roman" w:hAnsi="Times New Roman" w:cs="Times New Roman" w:hint="eastAsia"/>
          <w:color w:val="000000" w:themeColor="text1"/>
          <w:sz w:val="20"/>
          <w:szCs w:val="20"/>
        </w:rPr>
        <w:instrText>ρ</w:instrText>
      </w:r>
      <w:r w:rsidR="00AA2F7B">
        <w:rPr>
          <w:rFonts w:ascii="Times New Roman" w:hAnsi="Times New Roman" w:cs="Times New Roman" w:hint="eastAsia"/>
          <w:color w:val="000000" w:themeColor="text1"/>
          <w:sz w:val="20"/>
          <w:szCs w:val="20"/>
        </w:rPr>
        <w:instrText xml:space="preserve"> </w:instrText>
      </w:r>
      <w:r w:rsidR="00AA2F7B">
        <w:rPr>
          <w:rFonts w:ascii="Times New Roman" w:hAnsi="Times New Roman" w:cs="Times New Roman" w:hint="eastAsia"/>
          <w:color w:val="000000" w:themeColor="text1"/>
          <w:sz w:val="20"/>
          <w:szCs w:val="20"/>
        </w:rPr>
        <w:instrText>│</w:instrText>
      </w:r>
      <w:r w:rsidR="00AA2F7B">
        <w:rPr>
          <w:rFonts w:ascii="Times New Roman" w:hAnsi="Times New Roman" w:cs="Times New Roman" w:hint="eastAsia"/>
          <w:color w:val="000000" w:themeColor="text1"/>
          <w:sz w:val="20"/>
          <w:szCs w:val="20"/>
        </w:rPr>
        <w:instrText xml:space="preserve"> 0.6, P &amp;lt; 0.001). Changes over time of electrophysiological data and EDSS were also correlated (</w:instrText>
      </w:r>
      <w:r w:rsidR="00AA2F7B">
        <w:rPr>
          <w:rFonts w:ascii="Times New Roman" w:hAnsi="Times New Roman" w:cs="Times New Roman" w:hint="eastAsia"/>
          <w:color w:val="000000" w:themeColor="text1"/>
          <w:sz w:val="20"/>
          <w:szCs w:val="20"/>
        </w:rPr>
        <w:instrText>ρ</w:instrText>
      </w:r>
      <w:r w:rsidR="00AA2F7B">
        <w:rPr>
          <w:rFonts w:ascii="Times New Roman" w:hAnsi="Times New Roman" w:cs="Times New Roman" w:hint="eastAsia"/>
          <w:color w:val="000000" w:themeColor="text1"/>
          <w:sz w:val="20"/>
          <w:szCs w:val="20"/>
        </w:rPr>
        <w:instrText xml:space="preserve"> = 0.43, P &amp;lt; 0.05). Moreover, VEP and MEP at baseline correlated with the ED</w:instrText>
      </w:r>
      <w:r w:rsidR="00AA2F7B">
        <w:rPr>
          <w:rFonts w:ascii="Times New Roman" w:hAnsi="Times New Roman" w:cs="Times New Roman"/>
          <w:color w:val="000000" w:themeColor="text1"/>
          <w:sz w:val="20"/>
          <w:szCs w:val="20"/>
        </w:rPr>
        <w:instrText xml:space="preserve">SS after 2 years (ρ = 0.43,P= 0.03). Reliable prediction of the course of multiple sclerosis for individual patients is not possible from VEP and MEP data. However, we conclude that, for groups of patients with secondary progressive or relapsing–remitting multiple sclerosis the combined testing of VEP and MEP yields numerical data that allow objective estimation of the course and prognosis of the disease.","DOI":"10.1093/brain/124.11.2162","ISSN":"0006-8950","journalAbbreviation":"Brain","author":[{"family":"Borggrefe-Chappuis","given":"A."},{"family":"Schindler","given":"C."},{"family":"Kappos","given":"L."},{"family":"Fuhr","given":"P."}],"issued":{"date-parts":[["2001",11,1]]}}}],"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DA4CA8">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152</w:t>
      </w:r>
      <w:r w:rsidR="00DA4CA8">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00262C77" w:rsidRPr="00262C77">
        <w:rPr>
          <w:rFonts w:ascii="Times New Roman" w:hAnsi="Times New Roman" w:cs="Times New Roman"/>
          <w:color w:val="000000" w:themeColor="text1"/>
          <w:sz w:val="20"/>
          <w:szCs w:val="20"/>
        </w:rPr>
        <w:t>, but their clinical utility, particularly in diagnostics, has largely been replaced by MRI</w:t>
      </w:r>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lOdPP2En","properties":{"formattedCitation":"(153)","plainCitation":"(153)","noteIndex":0},"citationItems":[{"id":353,"uris":["http://zotero.org/users/local/OxFKn8nN/items/CMF4UAJZ"],"uri":["http://zotero.org/users/local/OxFKn8nN/items/CMF4UAJZ"],"itemData":{"id":353,"type":"article-journal","title":"Evoked potentials are of little use in the diagnosis or monitoring of MS: Commentary","container-title":"Multiple Sclerosis Journal","page":"1824-1825","volume":"19","issue":"14","DOI":"10.1177/1352458513506506","ISSN":"1352-4585","journalAbbreviation":"Mult Scler","author":[{"family":"Hutchinson","given":"Michael"}],"issued":{"date-parts":[["2013",11,25]]}}}],"schema":"https://github.com/citation-style-language/schema/raw/master/csl-citation.json"}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DA4CA8">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153</w:t>
      </w:r>
      <w:r w:rsidR="00DA4CA8">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00262C77">
        <w:rPr>
          <w:rFonts w:ascii="Times New Roman" w:hAnsi="Times New Roman" w:cs="Times New Roman"/>
          <w:color w:val="000000" w:themeColor="text1"/>
          <w:sz w:val="20"/>
          <w:szCs w:val="20"/>
        </w:rPr>
        <w:t>. However, such indices are proving invaluable as biomarkers in assessing remyelination</w:t>
      </w:r>
      <w:r w:rsidR="00993120" w:rsidRPr="00003E8D">
        <w:rPr>
          <w:rFonts w:ascii="Times New Roman" w:hAnsi="Times New Roman" w:cs="Times New Roman"/>
          <w:color w:val="000000" w:themeColor="text1"/>
          <w:sz w:val="20"/>
          <w:szCs w:val="20"/>
        </w:rPr>
        <w:t xml:space="preserve">; in the recent </w:t>
      </w:r>
      <w:r w:rsidR="00262C77">
        <w:rPr>
          <w:rFonts w:ascii="Times New Roman" w:hAnsi="Times New Roman" w:cs="Times New Roman"/>
          <w:color w:val="000000" w:themeColor="text1"/>
          <w:sz w:val="20"/>
          <w:szCs w:val="20"/>
          <w:lang w:val="en-US"/>
        </w:rPr>
        <w:t xml:space="preserve">positive phase </w:t>
      </w:r>
      <w:r w:rsidR="005B759E">
        <w:rPr>
          <w:rFonts w:ascii="Times New Roman" w:hAnsi="Times New Roman" w:cs="Times New Roman"/>
          <w:color w:val="000000" w:themeColor="text1"/>
          <w:sz w:val="20"/>
          <w:szCs w:val="20"/>
          <w:lang w:val="en-US"/>
        </w:rPr>
        <w:t>2</w:t>
      </w:r>
      <w:r w:rsidR="00262C77">
        <w:rPr>
          <w:rFonts w:ascii="Times New Roman" w:hAnsi="Times New Roman" w:cs="Times New Roman"/>
          <w:color w:val="000000" w:themeColor="text1"/>
          <w:sz w:val="20"/>
          <w:szCs w:val="20"/>
          <w:lang w:val="en-US"/>
        </w:rPr>
        <w:t xml:space="preserve"> trial of c</w:t>
      </w:r>
      <w:r w:rsidR="00993120" w:rsidRPr="00003E8D">
        <w:rPr>
          <w:rFonts w:ascii="Times New Roman" w:hAnsi="Times New Roman" w:cs="Times New Roman"/>
          <w:color w:val="000000" w:themeColor="text1"/>
          <w:sz w:val="20"/>
          <w:szCs w:val="20"/>
          <w:lang w:val="en-US"/>
        </w:rPr>
        <w:t xml:space="preserve">lemastine, it was a reduction in </w:t>
      </w:r>
      <w:r w:rsidR="00262C77">
        <w:rPr>
          <w:rFonts w:ascii="Times New Roman" w:hAnsi="Times New Roman" w:cs="Times New Roman"/>
          <w:color w:val="000000" w:themeColor="text1"/>
          <w:sz w:val="20"/>
          <w:szCs w:val="20"/>
          <w:lang w:val="en-US"/>
        </w:rPr>
        <w:t>VEP P100</w:t>
      </w:r>
      <w:r w:rsidR="00993120" w:rsidRPr="00003E8D">
        <w:rPr>
          <w:rFonts w:ascii="Times New Roman" w:hAnsi="Times New Roman" w:cs="Times New Roman"/>
          <w:color w:val="000000" w:themeColor="text1"/>
          <w:sz w:val="20"/>
          <w:szCs w:val="20"/>
          <w:lang w:val="en-US"/>
        </w:rPr>
        <w:t xml:space="preserve"> latency, rather than clinical or imaging markers, that</w:t>
      </w:r>
      <w:r w:rsidR="00262C77">
        <w:rPr>
          <w:rFonts w:ascii="Times New Roman" w:hAnsi="Times New Roman" w:cs="Times New Roman"/>
          <w:color w:val="000000" w:themeColor="text1"/>
          <w:sz w:val="20"/>
          <w:szCs w:val="20"/>
          <w:lang w:val="en-US"/>
        </w:rPr>
        <w:t xml:space="preserve"> confirmed the biological effect</w:t>
      </w:r>
      <w:r w:rsidR="00DA61B2">
        <w:rPr>
          <w:rFonts w:ascii="Times New Roman" w:hAnsi="Times New Roman" w:cs="Times New Roman"/>
          <w:color w:val="000000" w:themeColor="text1"/>
          <w:sz w:val="20"/>
          <w:szCs w:val="20"/>
          <w:lang w:val="en-US"/>
        </w:rPr>
        <w:fldChar w:fldCharType="begin"/>
      </w:r>
      <w:r w:rsidR="00AA2F7B">
        <w:rPr>
          <w:rFonts w:ascii="Times New Roman" w:hAnsi="Times New Roman" w:cs="Times New Roman"/>
          <w:color w:val="000000" w:themeColor="text1"/>
          <w:sz w:val="20"/>
          <w:szCs w:val="20"/>
          <w:lang w:val="en-US"/>
        </w:rPr>
        <w:instrText xml:space="preserve"> ADDIN ZOTERO_ITEM CSL_CITATION {"citationID":"V3Z8rekR","properties":{"formattedCitation":"(104,154)","plainCitation":"(104,154)","noteIndex":0},"citationItems":[{"id":11,"uris":["http://zotero.org/users/local/OxFKn8nN/items/V9EQYZ4F"],"uri":["http://zotero.org/users/local/OxFKn8nN/items/V9EQYZ4F"],"itemData":{"id":11,"type":"article-journal","title":"Clemastine fumarate as a remyelinating therapy for multiple sclerosis (ReBUILD): a randomised, controlled, double-blind, crossover trial","container-title":"The Lancet","page":"2481-2489","volume":"390","issue":"10111","abstract":"Summary\nBackground\nMultiple sclerosis is a degenerative inflammatory disease of the CNS characterised by immune-mediated destruction of myelin and progressive neuroaxonal loss. Myelin in the CNS is a specialised extension of the oligodendrocyte plasma membrane and clemastine fumarate can stimulate differentiation of oligodendrocyte precursor cells in vitro, in animal models, and in human cells. We aimed to analyse the efficacy and safety of clemastine fumarate as a treatment for patients with multiple sclerosis.\nMethods\nWe did this single-centre, 150-day, double-blind, randomised, placebo-controlled, crossover trial (ReBUILD) in patients with relapsing multiple sclerosis with chronic demyelinating optic neuropathy on stable immunomodulatory therapy. Patients who fulfilled international panel criteria for diagnosis with disease duration of less than 15 years were eligible. Patients were randomly assigned (1:1) via block randomisation using a random number generator to receive either clemastine fumarate (5·36 mg orally twice daily) for 90 days followed by placebo for 60 days (group 1), or placebo for 90 days followed by clemastine fumarate (5·36 mg orally twice daily) for 60 days (group 2). The primary outcome was shortening of P100 latency delay on full-field, pattern-reversal, visual-evoked potentials. We analysed by intention to treat. The trial is registered with ClinicalTrials.gov, number NCT02040298.\nFindings\nBetween Jan 1, 2014, and April 11, 2015, we randomly assigned 50 patients to group 1 (n=25) or group 2 (n=25). All patients completed the study. The primary efficacy endpoint was met with clemastine fumarate treatment, which reduced the latency delay by 1·7 ms/eye (95% CI 0·5–2·9; p=0·0048) when analysing the trial as a crossover. Clemastine fumarate treatment was associated with fatigue, but no serious adverse events were reported.\nInterpretation\nTo our knowledge, this is the first randomised controlled trial to document efficacy of a remyelinating drug for the treatment of chronic demyelinating injury in multiple sclerosis. Our findings suggest that myelin repair can be achieved even following prolonged damage.\nFunding\nUniversity of California, San Francisco and the Rachleff Family.","DOI":"10.1016/S0140-6736(17)32346-2","ISSN":"0140-6736","journalAbbreviation":"The Lancet","author":[{"family":"Green","given":"Ari J"},{"family":"Gelfand","given":"Jeffrey M"},{"family":"Cree","given":"Bruce A"},{"family":"Bevan","given":"Carolyn"},{"family":"Boscardin","given":"W John"},{"family":"Mei","given":"Feng"},{"family":"Inman","given":"Justin"},{"family":"Arnow","given":"Sam"},{"family":"Devereux","given":"Michael"},{"family":"Abounasr","given":"Aya"},{"family":"Nobuta","given":"Hiroko"},{"family":"Zhu","given":"Alyssa"},{"family":"Friessen","given":"Matt"},{"family":"Gerona","given":"Roy"},{"family":"Büdingen","given":"Hans Christian","non-dropping-particle":"von"},{"family":"Henry","given":"Roland G"},{"family":"Hauser","given":"Stephen L"},{"family":"Chan","given":"Jonah R"}],"issued":{"date-parts":[["2017",12,2]]}}},{"id":240,"uris":["http://zotero.org/users/local/OxFKn8nN/items/RSVZCE4U"],"uri":["http://zotero.org/users/local/OxFKn8nN/items/RSVZCE4U"],"itemData":{"id":240,"type":"article-journal","title":"Using the Anterior Visual System to Assess Neuroprotection and Remyelination in Multiple Sclerosis Trials","container-title":"Current Neurology and Neuroscience Reports","page":"49","volume":"18","issue":"8","abstract":"Clinical trials using agents directed at neuroprotection and remyelination in multiple sclerosis (MS) are needed. As optic neuritis (ON) is common in people with MS and the pathology of ON is similar to other MS lesions in the brain, measurements of the anterior visual system are frequently utilized in neuroprotection and remyelination trials. Understanding the strengths and weaknesses of the measurements is vital when interpreting the results of this research.","DOI":"10.1007/s11910-018-0858-y","ISSN":"1534-6293","journalAbbreviation":"Current Neurology and Neuroscience Reports","author":[{"family":"Silbermann","given":"Elizabeth"},{"family":"Wooliscroft","given":"Lindsey"},{"family":"Bourdette","given":"Dennis"}],"issued":{"date-parts":[["2018",6,19]]}}}],"schema":"https://github.com/citation-style-language/schema/raw/master/csl-citation.json"} </w:instrText>
      </w:r>
      <w:r w:rsidR="00DA61B2">
        <w:rPr>
          <w:rFonts w:ascii="Times New Roman" w:hAnsi="Times New Roman" w:cs="Times New Roman"/>
          <w:color w:val="000000" w:themeColor="text1"/>
          <w:sz w:val="20"/>
          <w:szCs w:val="20"/>
          <w:lang w:val="en-US"/>
        </w:rPr>
        <w:fldChar w:fldCharType="separate"/>
      </w:r>
      <w:r w:rsidR="006E4A4F">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104,154</w:t>
      </w:r>
      <w:r w:rsidR="006E4A4F">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lang w:val="en-US"/>
        </w:rPr>
        <w:fldChar w:fldCharType="end"/>
      </w:r>
      <w:r w:rsidR="00993120" w:rsidRPr="00003E8D">
        <w:rPr>
          <w:rFonts w:ascii="Times New Roman" w:hAnsi="Times New Roman" w:cs="Times New Roman"/>
          <w:color w:val="000000" w:themeColor="text1"/>
          <w:sz w:val="20"/>
          <w:szCs w:val="20"/>
          <w:lang w:val="en-US"/>
        </w:rPr>
        <w:t xml:space="preserve">. </w:t>
      </w:r>
    </w:p>
    <w:p w14:paraId="1A600A2A" w14:textId="5B75FF35" w:rsidR="00A25B2E" w:rsidRPr="00DA6B73" w:rsidRDefault="00963D7B" w:rsidP="00E17010">
      <w:pPr>
        <w:spacing w:line="480" w:lineRule="auto"/>
        <w:ind w:firstLine="720"/>
        <w:rPr>
          <w:rFonts w:ascii="Times New Roman" w:hAnsi="Times New Roman" w:cs="Times New Roman"/>
          <w:color w:val="000000" w:themeColor="text1"/>
          <w:sz w:val="20"/>
          <w:szCs w:val="20"/>
        </w:rPr>
      </w:pPr>
      <w:r w:rsidRPr="00003E8D">
        <w:rPr>
          <w:rFonts w:ascii="Times New Roman" w:hAnsi="Times New Roman" w:cs="Times New Roman"/>
          <w:color w:val="000000" w:themeColor="text1"/>
          <w:sz w:val="20"/>
          <w:szCs w:val="20"/>
        </w:rPr>
        <w:t>The pattern reversal VEP represents the averaged recordable electric potential in the visual cortex in response to the presentation of an alternating checkerboard-patterned stimulus. The main focus is on the positive deflection in the VEP waveform approximately 100</w:t>
      </w:r>
      <w:r w:rsidR="00681F4B">
        <w:rPr>
          <w:rFonts w:ascii="Times New Roman" w:hAnsi="Times New Roman" w:cs="Times New Roman"/>
          <w:color w:val="000000" w:themeColor="text1"/>
          <w:sz w:val="20"/>
          <w:szCs w:val="20"/>
        </w:rPr>
        <w:t xml:space="preserve"> </w:t>
      </w:r>
      <w:proofErr w:type="spellStart"/>
      <w:r w:rsidRPr="00003E8D">
        <w:rPr>
          <w:rFonts w:ascii="Times New Roman" w:hAnsi="Times New Roman" w:cs="Times New Roman"/>
          <w:color w:val="000000" w:themeColor="text1"/>
          <w:sz w:val="20"/>
          <w:szCs w:val="20"/>
        </w:rPr>
        <w:t>ms</w:t>
      </w:r>
      <w:proofErr w:type="spellEnd"/>
      <w:r w:rsidRPr="00003E8D">
        <w:rPr>
          <w:rFonts w:ascii="Times New Roman" w:hAnsi="Times New Roman" w:cs="Times New Roman"/>
          <w:color w:val="000000" w:themeColor="text1"/>
          <w:sz w:val="20"/>
          <w:szCs w:val="20"/>
        </w:rPr>
        <w:t xml:space="preserve"> after the visual stimulus (the P100), which provides measures in the form of latency (a surrogate of demyelination in the optic pathways</w:t>
      </w:r>
      <w:r w:rsidR="00456989" w:rsidRPr="00003E8D">
        <w:rPr>
          <w:rFonts w:ascii="Times New Roman" w:hAnsi="Times New Roman" w:cs="Times New Roman"/>
          <w:color w:val="000000" w:themeColor="text1"/>
          <w:sz w:val="20"/>
          <w:szCs w:val="20"/>
        </w:rPr>
        <w:t>)</w:t>
      </w:r>
      <w:r w:rsidR="00965DE8" w:rsidRPr="00003E8D">
        <w:rPr>
          <w:rFonts w:ascii="Times New Roman" w:hAnsi="Times New Roman" w:cs="Times New Roman"/>
          <w:color w:val="000000" w:themeColor="text1"/>
          <w:sz w:val="20"/>
          <w:szCs w:val="20"/>
        </w:rPr>
        <w:t xml:space="preserve"> </w:t>
      </w:r>
      <w:r w:rsidRPr="00003E8D">
        <w:rPr>
          <w:rFonts w:ascii="Times New Roman" w:hAnsi="Times New Roman" w:cs="Times New Roman"/>
          <w:color w:val="000000" w:themeColor="text1"/>
          <w:sz w:val="20"/>
          <w:szCs w:val="20"/>
        </w:rPr>
        <w:t>and amplitude (predominantly a function of axonal loss). Following an attack of optic neuritis, VEP latencies are prolonged but a period of recovery follows, most significantly within the first 6 months, but f</w:t>
      </w:r>
      <w:r w:rsidR="00E45A42" w:rsidRPr="00003E8D">
        <w:rPr>
          <w:rFonts w:ascii="Times New Roman" w:hAnsi="Times New Roman" w:cs="Times New Roman"/>
          <w:color w:val="000000" w:themeColor="text1"/>
          <w:sz w:val="20"/>
          <w:szCs w:val="20"/>
        </w:rPr>
        <w:t>or perhaps as long as 3 yea</w:t>
      </w:r>
      <w:r w:rsidR="00262C77">
        <w:rPr>
          <w:rFonts w:ascii="Times New Roman" w:hAnsi="Times New Roman" w:cs="Times New Roman"/>
          <w:color w:val="000000" w:themeColor="text1"/>
          <w:sz w:val="20"/>
          <w:szCs w:val="20"/>
        </w:rPr>
        <w:t>rs</w:t>
      </w:r>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eWx09NwK","properties":{"formattedCitation":"(155,156)","plainCitation":"(155,156)","noteIndex":0},"citationItems":[{"id":245,"uris":["http://zotero.org/users/local/OxFKn8nN/items/JBMWHKZZ"],"uri":["http://zotero.org/users/local/OxFKn8nN/items/JBMWHKZZ"],"itemData":{"id":245,"type":"article-journal","title":"Long-term recovery  and fellow eye deterioration  after optic neuritis, determined  by serial visual evoked potentials","container-title":"Journal of Neurology","page":"776-782","volume":"246","issue":"9","abstract":"Twelve optic neuritis patients (part of a larger group in whom the effects of intravenous methylprednisolone treatment were previously reported), were followed-up 3 years from the onset of symptoms with visual evoked potentials (VEPs), contrast sensitivity and visual field examination. Findings from the previously “unaffected” eyes, none of which had had symptomatic optic neuritis, were also assessed. Between 6 months and 3 years after the onset of symptoms the VEPs of the affected eyes showed a significant shortening of mean latency (whole field, 131–123 ms; central field, 136–125 ms). Conversely, the responses of the previously unaffected eyes showed a contemporaneous latency prolongation (significant for the whole field, 110–113 ms) which exceeded the expected effect of aging. Contrast sensitivity tests showed no significant change in the affected eyes but a mild deterioration in the unaffected eyes, while the visual fields showed no overall pattern of improvement or deterioration. If the strong tendency for VEP latencies to shorten is due to ongoing remyelination, the lack of significant improvement in visual function may be because the visual deficit at 6 months is due to irreversible axonal loss rather than demyelination. The absence of functional deterioration  in the affected eye, while VEPs and contrast sensitivity deteriorated in the unaffected eye, suggests that long-term remyelination may for a while counteract the effects of insidious demyelination and axonal degeneration which affect the visual pathway during clinical remission.","DOI":"10.1007/s004150050454","ISSN":"1432-1459","journalAbbreviation":"Journal of Neurology","author":[{"family":"Brusa","given":"Adriana"},{"family":"Jones","given":"S. J."},{"family":"Kapoor","given":"R."},{"family":"Miller","given":"David H."},{"family":"Plant","given":"Gordon T."}],"issued":{"date-parts":[["1999",9,1]]}}},{"id":241,"uris":["http://zotero.org/users/local/OxFKn8nN/items/YZF7VJ2S"],"uri":["http://zotero.org/users/local/OxFKn8nN/items/YZF7VJ2S"],"itemData":{"id":241,"type":"article-journal","title":"Long-term remyelination after optic neuritisA 2-year visual evoked potential and psychophysical serial study","container-title":"Brain","page":"468-479","volume":"124","issue":"3","abstract":"Thirty-one patients were followed-up, at 3-month intervals for the first year and at 6-month intervals for the second year, after an episode of optic neuritis. The object was to confirm previous evidence for a progressive shortening of visual evoked potential (VEP) latencies and to determine whether this is associated with any change in the clinical ocular examination, visual fields or contrast sensitivity. VEP latencies were found to decrease significantly during both the first and (less strikingly) the second year, the most marked changes occurring between 3 and 6 months. Contrast sensitivity improved during the first 9 months, but subsequently tended (non-significantly) to deteriorate. A similarly transient improvement in central visual field sensitivity was seen in a subgroup of patients with clinically overt multiple sclerosis. In the data from the acutely unaffected fellow eyes, no significant changes in VEP parameters or functional indices were observed. The findings extend those of a previous study which showed significant shortening of VEP latencies between 6 months and 3 years without significant functional improvement. Over this period, a significant prolongation of VEP latencies occurred in the asymptomatic fellow eye, accompanied by contrast sensitivity deterioration. Taken in conjunction, the two studies suggest that recovery processes involving remyelination or, possibly, ion channel reorganization proceed for at least 2 years. The concurrent effects of insidious demyelination and/or axonal degeneration (also occurring in the fellow optic nerve) are initially masked by the recovery process, but gradually become more evident. The functional benefits of the long-term recovery process are relatively minor and are usually reversed within a few years. Nevertheless, it is suggested that long-term remyelination may perform an important role in protecting demyelinated axons from degeneration. Understanding the factors which promote long-term remyelination may have significant implications for therapy in multiple sclerosis.","DOI":"10.1093/brain/124.3.468","ISSN":"0006-8950","journalAbbreviation":"Brain","author":[{"family":"Brusa","given":"Adriana"},{"family":"Jones","given":"Stephen J."},{"family":"Plant","given":"Gordon T."}],"issued":{"date-parts":[["2001",3,1]]}}}],"schema":"https://github.com/citation-style-language/schema/raw/master/csl-citation.json"}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6E4A4F">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155,156</w:t>
      </w:r>
      <w:r w:rsidR="006E4A4F">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Meanwhile, in thos</w:t>
      </w:r>
      <w:r w:rsidR="00E45A42" w:rsidRPr="00003E8D">
        <w:rPr>
          <w:rFonts w:ascii="Times New Roman" w:hAnsi="Times New Roman" w:cs="Times New Roman"/>
          <w:color w:val="000000" w:themeColor="text1"/>
          <w:sz w:val="20"/>
          <w:szCs w:val="20"/>
        </w:rPr>
        <w:t>e</w:t>
      </w:r>
      <w:r w:rsidR="00A25B2E" w:rsidRPr="00003E8D">
        <w:rPr>
          <w:rFonts w:ascii="Times New Roman" w:hAnsi="Times New Roman" w:cs="Times New Roman"/>
          <w:color w:val="000000" w:themeColor="text1"/>
          <w:sz w:val="20"/>
          <w:szCs w:val="20"/>
        </w:rPr>
        <w:t xml:space="preserve"> </w:t>
      </w:r>
      <w:r w:rsidRPr="00003E8D">
        <w:rPr>
          <w:rFonts w:ascii="Times New Roman" w:hAnsi="Times New Roman" w:cs="Times New Roman"/>
          <w:color w:val="000000" w:themeColor="text1"/>
          <w:sz w:val="20"/>
          <w:szCs w:val="20"/>
        </w:rPr>
        <w:t xml:space="preserve">with chronic stable optic neuropathy, a prolonged P100 latency is seen, which has been shown in longitudinal data to remain stable, or </w:t>
      </w:r>
      <w:r w:rsidR="00262C77">
        <w:rPr>
          <w:rFonts w:ascii="Times New Roman" w:hAnsi="Times New Roman" w:cs="Times New Roman"/>
          <w:color w:val="000000" w:themeColor="text1"/>
          <w:sz w:val="20"/>
          <w:szCs w:val="20"/>
        </w:rPr>
        <w:t>gradually lengthen, with time</w:t>
      </w:r>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ZANY5j9D","properties":{"formattedCitation":"(157)","plainCitation":"(157)","noteIndex":0},"citationItems":[{"id":62,"uris":["http://zotero.org/users/local/OxFKn8nN/items/7S635Q2M"],"uri":["http://zotero.org/users/local/OxFKn8nN/items/7S635Q2M"],"itemData":{"id":62,"type":"article-journal","title":"Outcome measures for trials of remyelinating agents in multiple sclerosis: retrospective longitudinal analysis of visual evoked potential latency","container-title":"Multiple Sclerosis Journal","page":"68-74","volume":"15","issue":"1","abstract":"ObjectiveVisual evoked potentials (VEP) may be suitable surrogate outcome measures in multiple sclerosis (MS) remyelination trials. The extent of spontaneous changes of subclinically delayed VEP is unknown, whereas VEP improve after acute optic neuritis (ON).MethodsIn all, 124 patients with three VEP recordings at least 3 months apart: 71 patients with MS who had never suffered clinical ON; 53 patients with ON (isolated ON or ON as an attack of MS at first recording). Latencies of P100 were analyzed by multivariate analysis of variance.ResultsEyes of patients with MS had a mean P100 latency of 110.2 ms, worsening mildly over time (n = 104 eyes, P = 0.022). MS patients' eyes with subclinical demyelination (delayed P100 latency at first recording &gt;116 ms) showed no significant evidence of remyelination (n = 24 eyes, P = 0.27). By contrast, in ON patients' affected eyes, mean P100 latency decreased (P = 0.001), whereas unaffected eyes remained stable (P = 0.26). Clinically non-affected eyes from both diagnostic groups with subclinically prolonged latencies remained stable (n = 32: mean P100 at 124.8 ± 10.7, 123.5 ± 13.6, and 122.8 ± 13.1 ms; P = 0.57), whereas non-affected eyes with normal latency at baseline deteriorated slightly (P = 0.001). A subgroup with more homogeneously defined follow-up periods confirmed this observation. Non-affected eyes selected for stability (difference &lt;5 ms) between first and second recording deteriorated (normal baseline, n = 66 eyes, P = 0.013) or remained stable (prolonged baseline, n = 18 eyes, 95% confidence interval of change ?5.42 to +6.89 ms, P = 0.805).ConclusionProlonged P100 latencies in eyes never affected by clinical ON remain stable and thus can be used as surrogate outcome measure for remyelination trials.","DOI":"10.1177/1352458508095731","ISSN":"1352-4585","journalAbbreviation":"Mult Scler","author":[{"family":"Niklas","given":"A"},{"family":"Sebraoui","given":"H"},{"family":"Heß","given":"E"},{"family":"Wagner","given":"A"},{"family":"Then Bergh","given":"F"}],"issued":{"date-parts":[["2009",1,1]]}}}],"schema":"https://github.com/citation-style-language/schema/raw/master/csl-citation.json"}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6E4A4F">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157</w:t>
      </w:r>
      <w:r w:rsidR="006E4A4F">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As a result, in studies of patients without a recent bout of optic neuritis, improvement</w:t>
      </w:r>
      <w:r w:rsidR="002C0757">
        <w:rPr>
          <w:rFonts w:ascii="Times New Roman" w:hAnsi="Times New Roman" w:cs="Times New Roman"/>
          <w:color w:val="000000" w:themeColor="text1"/>
          <w:sz w:val="20"/>
          <w:szCs w:val="20"/>
        </w:rPr>
        <w:t>s</w:t>
      </w:r>
      <w:r w:rsidRPr="00003E8D">
        <w:rPr>
          <w:rFonts w:ascii="Times New Roman" w:hAnsi="Times New Roman" w:cs="Times New Roman"/>
          <w:color w:val="000000" w:themeColor="text1"/>
          <w:sz w:val="20"/>
          <w:szCs w:val="20"/>
        </w:rPr>
        <w:t xml:space="preserve"> in VEP P100 latency can be used</w:t>
      </w:r>
      <w:r w:rsidR="00D5144A" w:rsidRPr="00003E8D">
        <w:rPr>
          <w:rFonts w:ascii="Times New Roman" w:hAnsi="Times New Roman" w:cs="Times New Roman"/>
          <w:color w:val="000000" w:themeColor="text1"/>
          <w:sz w:val="20"/>
          <w:szCs w:val="20"/>
        </w:rPr>
        <w:t xml:space="preserve"> as a marker of remyelination</w:t>
      </w:r>
      <w:r w:rsidR="00DA6B73">
        <w:rPr>
          <w:rFonts w:ascii="Times New Roman" w:hAnsi="Times New Roman" w:cs="Times New Roman"/>
          <w:color w:val="000000" w:themeColor="text1"/>
          <w:sz w:val="20"/>
          <w:szCs w:val="20"/>
        </w:rPr>
        <w:t xml:space="preserve">; this was the rationale behind the </w:t>
      </w:r>
      <w:proofErr w:type="spellStart"/>
      <w:r w:rsidR="00DA6B73">
        <w:rPr>
          <w:rFonts w:ascii="Times New Roman" w:hAnsi="Times New Roman" w:cs="Times New Roman"/>
          <w:color w:val="000000" w:themeColor="text1"/>
          <w:sz w:val="20"/>
          <w:szCs w:val="20"/>
        </w:rPr>
        <w:t>ReBUILD</w:t>
      </w:r>
      <w:proofErr w:type="spellEnd"/>
      <w:r w:rsidR="00DA6B73">
        <w:rPr>
          <w:rFonts w:ascii="Times New Roman" w:hAnsi="Times New Roman" w:cs="Times New Roman"/>
          <w:color w:val="000000" w:themeColor="text1"/>
          <w:sz w:val="20"/>
          <w:szCs w:val="20"/>
        </w:rPr>
        <w:t xml:space="preserve"> trial</w:t>
      </w:r>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nwc8vgDW","properties":{"formattedCitation":"(104)","plainCitation":"(104)","noteIndex":0},"citationItems":[{"id":11,"uris":["http://zotero.org/users/local/OxFKn8nN/items/V9EQYZ4F"],"uri":["http://zotero.org/users/local/OxFKn8nN/items/V9EQYZ4F"],"itemData":{"id":11,"type":"article-journal","title":"Clemastine fumarate as a remyelinating therapy for multiple sclerosis (ReBUILD): a randomised, controlled, double-blind, crossover trial","container-title":"The Lancet","page":"2481-2489","volume":"390","issue":"10111","abstract":"Summary\nBackground\nMultiple sclerosis is a degenerative inflammatory disease of the CNS characterised by immune-mediated destruction of myelin and progressive neuroaxonal loss. Myelin in the CNS is a specialised extension of the oligodendrocyte plasma membrane and clemastine fumarate can stimulate differentiation of oligodendrocyte precursor cells in vitro, in animal models, and in human cells. We aimed to analyse the efficacy and safety of clemastine fumarate as a treatment for patients with multiple sclerosis.\nMethods\nWe did this single-centre, 150-day, double-blind, randomised, placebo-controlled, crossover trial (ReBUILD) in patients with relapsing multiple sclerosis with chronic demyelinating optic neuropathy on stable immunomodulatory therapy. Patients who fulfilled international panel criteria for diagnosis with disease duration of less than 15 years were eligible. Patients were randomly assigned (1:1) via block randomisation using a random number generator to receive either clemastine fumarate (5·36 mg orally twice daily) for 90 days followed by placebo for 60 days (group 1), or placebo for 90 days followed by clemastine fumarate (5·36 mg orally twice daily) for 60 days (group 2). The primary outcome was shortening of P100 latency delay on full-field, pattern-reversal, visual-evoked potentials. We analysed by intention to treat. The trial is registered with ClinicalTrials.gov, number NCT02040298.\nFindings\nBetween Jan 1, 2014, and April 11, 2015, we randomly assigned 50 patients to group 1 (n=25) or group 2 (n=25). All patients completed the study. The primary efficacy endpoint was met with clemastine fumarate treatment, which reduced the latency delay by 1·7 ms/eye (95% CI 0·5–2·9; p=0·0048) when analysing the trial as a crossover. Clemastine fumarate treatment was associated with fatigue, but no serious adverse events were reported.\nInterpretation\nTo our knowledge, this is the first randomised controlled trial to document efficacy of a remyelinating drug for the treatment of chronic demyelinating injury in multiple sclerosis. Our findings suggest that myelin repair can be achieved even following prolonged damage.\nFunding\nUniversity of California, San Francisco and the Rachleff Family.","DOI":"10.1016/S0140-6736(17)32346-2","ISSN":"0140-6736","journalAbbreviation":"The Lancet","author":[{"family":"Green","given":"Ari J"},{"family":"Gelfand","given":"Jeffrey M"},{"family":"Cree","given":"Bruce A"},{"family":"Bevan","given":"Carolyn"},{"family":"Boscardin","given":"W John"},{"family":"Mei","given":"Feng"},{"family":"Inman","given":"Justin"},{"family":"Arnow","given":"Sam"},{"family":"Devereux","given":"Michael"},{"family":"Abounasr","given":"Aya"},{"family":"Nobuta","given":"Hiroko"},{"family":"Zhu","given":"Alyssa"},{"family":"Friessen","given":"Matt"},{"family":"Gerona","given":"Roy"},{"family":"Büdingen","given":"Hans Christian","non-dropping-particle":"von"},{"family":"Henry","given":"Roland G"},{"family":"Hauser","given":"Stephen L"},{"family":"Chan","given":"Jonah R"}],"issued":{"date-parts":[["2017",12,2]]}}}],"schema":"https://github.com/citation-style-language/schema/raw/master/csl-citation.json"}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6E4A4F">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104</w:t>
      </w:r>
      <w:r w:rsidR="006E4A4F">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Pr="00003E8D">
        <w:rPr>
          <w:rFonts w:ascii="Times New Roman" w:hAnsi="Times New Roman" w:cs="Times New Roman"/>
          <w:color w:val="000000" w:themeColor="text1"/>
          <w:sz w:val="20"/>
          <w:szCs w:val="20"/>
        </w:rPr>
        <w:t xml:space="preserve">. </w:t>
      </w:r>
      <w:r w:rsidR="00DA6B73" w:rsidRPr="00DA6B73">
        <w:rPr>
          <w:rFonts w:ascii="Times New Roman" w:hAnsi="Times New Roman" w:cs="Times New Roman"/>
          <w:color w:val="000000" w:themeColor="text1"/>
          <w:sz w:val="20"/>
          <w:szCs w:val="20"/>
        </w:rPr>
        <w:t>When studies have enrolled patients with acute optic neuritis meanwhile</w:t>
      </w:r>
      <w:r w:rsidR="00DA6B73">
        <w:rPr>
          <w:rFonts w:ascii="Times New Roman" w:hAnsi="Times New Roman" w:cs="Times New Roman"/>
          <w:color w:val="000000" w:themeColor="text1"/>
          <w:sz w:val="20"/>
          <w:szCs w:val="20"/>
        </w:rPr>
        <w:t xml:space="preserve">, such as in the RENEW study of </w:t>
      </w:r>
      <w:proofErr w:type="spellStart"/>
      <w:r w:rsidR="00DA6B73">
        <w:rPr>
          <w:rFonts w:ascii="Times New Roman" w:hAnsi="Times New Roman" w:cs="Times New Roman"/>
          <w:color w:val="000000" w:themeColor="text1"/>
          <w:sz w:val="20"/>
          <w:szCs w:val="20"/>
        </w:rPr>
        <w:t>opicinumab</w:t>
      </w:r>
      <w:proofErr w:type="spellEnd"/>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TwVRSgZM","properties":{"formattedCitation":"(112)","plainCitation":"(112)","noteIndex":0},"citationItems":[{"id":10,"uris":["http://zotero.org/users/local/OxFKn8nN/items/VH83KEI5"],"uri":["http://zotero.org/users/local/OxFKn8nN/items/VH83KEI5"],"itemData":{"id":10,"type":"article-journal","title":"Safety and efficacy of opicinumab in acute optic neuritis (RENEW): a randomised, placebo-controlled, phase 2 trial","container-title":"The Lancet Neurology","page":"189-199","volume":"16","issue":"3","abstract":"Summary\nBackground\nThe human monoclonal antibody opicinumab (BIIB033, anti-LINGO-1) has shown remyelinating activity in preclinical studies. We therefore assessed the safety and tolerability, and efficacy of opicinumab given soon after a first acute optic neuritis episode.\nMethods\nThis randomised, double-blind, placebo-controlled, phase 2 study (RENEW) was done at 33 sites in Australia, Canada, and Europe in participants (aged 18–55 years) with a first unilateral acute optic neuritis episode within 28 days from study baseline. After treatment with high-dose methylprednisolone (1 g/day, intravenously, for 3–5 days), participants were assigned with a computer-generated sequence with permuted block randomisation (1:1) using a centralised interactive voice and web response system to receive 100 mg/kg opicinumab intravenously or placebo once every 4 weeks (six doses) and followed up to week 32. All study participants and all study staff, including the central readers, were masked to treatment assignment apart from the pharmacist responsible for preparing the study treatments and the pharmacy monitor at each site. The primary endpoint was remyelination at 24 weeks, measured as recovery of affected optic nerve conduction latency using full-field visual evoked potential (FF-VEP) versus the unaffected fellow eye at baseline. Analysis was by intention-to-treat (ITT); prespecified per-protocol (PP) analyses were also done. This study is registered with ClinicalTrials.gov, number NCT01721161.\nFindings\nThe study was done between Dec 21, 2012, and Oct 21, 2014. 82 participants were enrolled, and 41 in each group comprised the ITT population; 33 participants received opicinumab and 36 received placebo in the PP population. Adjusted mean treatment difference of opicinumab versus placebo was −3·5 ms (17·3 vs 20·8 [95% CI −10·6 to 3·7]; 17%; p=0·33) in the ITT population, and −7·6 ms in the PP population (14·7 vs 22·2 [−15·1 to 0·0]; 34%; p=0·050) at week 24 and −6·1 ms (15·1 vs 21·2 [−12·7 to 0·5]; 29%; p=0·071) in the ITT population and −9·1 ms (13·2 vs 22·4 [−16·1 to −2·1]; 41%; p=0·011) in the PP population at week 32. The overall incidence (34 [83%] of 41 in each group) and severity of adverse events (two [5%] of 41 severe adverse events with placebo vs three [7%] of 41 with opicinumab) were similar between groups and no significant effects on brain MRI measures were noted in either group (mean T2 lesion volume change, 0·05 mL [SD 0·21] for placebo vs 0·20 mL [0·52] with opicinumab; 27 [77%] of 35 participants with no change in gadolinium-enhancing [Gd+] lesion number with opicinumab vs 27 [79%] of 34 with placebo; mean 0·4 [SD 0·79 for the placebo group and 0·85 for the opicinumab group] new Gd+ lesions per participant in both groups). Treatment-related serious adverse events were reported in three (7%) of 41 participants in the opicinumab group (hypersensitivity [n=2], asymptomatic increase in transaminase concentrations [n=1]) and none of the participants in the placebo group.\nInterpretation\nRemyelination did not differ significantly between the opicinumab and placebo groups in the ITT population at week 24. However, results from the prespecified PP population suggest that enhancing remyelination in the human CNS with opicinumab might be possible and warrant further clinical investigation.\nFunding\nBiogen.","DOI":"10.1016/S1474-4422(16)30377-5","ISSN":"1474-4422","journalAbbreviation":"The Lancet Neurology","author":[{"family":"Cadavid","given":"Diego"},{"family":"Balcer","given":"Laura"},{"family":"Galetta","given":"Steven"},{"family":"Aktas","given":"Orhan"},{"family":"Ziemssen","given":"Tjalf"},{"family":"Vanopdenbosch","given":"Ludo"},{"family":"Frederiksen","given":"Jette"},{"family":"Skeen","given":"Mark"},{"family":"Jaffe","given":"Glenn J"},{"family":"Butzkueven","given":"Helmut"},{"family":"Ziemssen","given":"Focke"},{"family":"Massacesi","given":"Luca"},{"family":"Chai","given":"Yi"},{"family":"Xu","given":"Lei"},{"family":"Freeman","given":"Stefanie"}],"issued":{"date-parts":[["2017",3,1]]}}}],"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6E4A4F">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112</w:t>
      </w:r>
      <w:r w:rsidR="006E4A4F">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00DA6B73" w:rsidRPr="00DA6B73">
        <w:rPr>
          <w:rFonts w:ascii="Times New Roman" w:hAnsi="Times New Roman" w:cs="Times New Roman"/>
          <w:color w:val="000000" w:themeColor="text1"/>
          <w:sz w:val="20"/>
          <w:szCs w:val="20"/>
        </w:rPr>
        <w:t xml:space="preserve">, values for the unaffected contralateral eye have been used as a control, and the outcome measure given as the change in latency difference between the two eyes. </w:t>
      </w:r>
    </w:p>
    <w:p w14:paraId="78675AFF" w14:textId="5BA7F872" w:rsidR="004D2ABD" w:rsidRDefault="00DA6B73" w:rsidP="00E17010">
      <w:pPr>
        <w:spacing w:line="480" w:lineRule="auto"/>
        <w:ind w:firstLine="720"/>
        <w:rPr>
          <w:rFonts w:ascii="Times New Roman" w:hAnsi="Times New Roman" w:cs="Times New Roman"/>
          <w:color w:val="000000" w:themeColor="text1"/>
          <w:sz w:val="20"/>
          <w:szCs w:val="20"/>
        </w:rPr>
      </w:pPr>
      <w:r w:rsidRPr="00DA6B73">
        <w:rPr>
          <w:rFonts w:ascii="Times New Roman" w:hAnsi="Times New Roman" w:cs="Times New Roman"/>
          <w:color w:val="000000" w:themeColor="text1"/>
          <w:sz w:val="20"/>
          <w:szCs w:val="20"/>
        </w:rPr>
        <w:t>The clinical heterogeneity of MS has already been eluded to, which extends beyond a consideration of optic neuritis. Given the emerging importance of neurophysiological measures in such studies, a more robust biomarker in future trials might be a combination of VEPs, motor EPs (MEPs), somatosensory EPs (SEPs), and brainstem auditory EPs (BAEPs)</w:t>
      </w:r>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ELVecxWE","properties":{"formattedCitation":"(158)","plainCitation":"(158)","noteIndex":0},"citationItems":[{"id":40,"uris":["http://zotero.org/users/local/OxFKn8nN/items/KKXRU9PK"],"uri":["http://zotero.org/users/local/OxFKn8nN/items/KKXRU9PK"],"itemData":{"id":40,"type":"article-journal","title":"A new role for evoked potentials in MS? Repurposing evoked potentials as biomarkers for clinical trials in MS","container-title":"Multiple sclerosis (Houndmills, Basingstoke, England)","page":"1309-1319","volume":"23","issue":"10","archive":"PubMed","archive_location":"28480798","abstract":"Evoked potentials (EP) characterize signal conduction in selected tracts of the central nervous system in a quantifiable way. Since alteration of signal conduction is the main mechanism of symptoms and signs in multiple sclerosis (MS), multimodal EP may serve as a representative measure of the functional impairment in MS. Moreover, EP have been shown to be predictive for disease course, and thus might help to select patient groups at high risk of progression for clinical trials. EP can detect deterioration, as well as improvement of impulse propagation, independently from the mechanism causing the change. Therefore, they are candidates for biomarkers with application in clinical phase-II trials. Applicability of EP in multicenter trials has been limited by different standards of registration and assessment.","DOI":"10.1177/1352458517707265","ISSN":"1477-0970","author":[{"family":"Hardmeier","given":"Martin"},{"family":"Leocani","given":"Letizia"},{"family":"Fuhr","given":"Peter"}],"issued":{"date-parts":[["2017",9]]}}}],"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158</w:t>
      </w:r>
      <w:r w:rsidR="002B16B6">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Pr="00DA6B73">
        <w:rPr>
          <w:rFonts w:ascii="Times New Roman" w:hAnsi="Times New Roman" w:cs="Times New Roman"/>
          <w:color w:val="000000" w:themeColor="text1"/>
          <w:sz w:val="20"/>
          <w:szCs w:val="20"/>
        </w:rPr>
        <w:t>. Such “multimodal” evoked potentials can be com</w:t>
      </w:r>
      <w:r w:rsidR="004D2ABD">
        <w:rPr>
          <w:rFonts w:ascii="Times New Roman" w:hAnsi="Times New Roman" w:cs="Times New Roman"/>
          <w:color w:val="000000" w:themeColor="text1"/>
          <w:sz w:val="20"/>
          <w:szCs w:val="20"/>
        </w:rPr>
        <w:t xml:space="preserve">bined to give a “global” </w:t>
      </w:r>
      <w:r w:rsidRPr="00DA6B73">
        <w:rPr>
          <w:rFonts w:ascii="Times New Roman" w:hAnsi="Times New Roman" w:cs="Times New Roman"/>
          <w:color w:val="000000" w:themeColor="text1"/>
          <w:sz w:val="20"/>
          <w:szCs w:val="20"/>
        </w:rPr>
        <w:t>outcome, which has previously been shown to correlate with disability and inform dise</w:t>
      </w:r>
      <w:r w:rsidR="00933357">
        <w:rPr>
          <w:rFonts w:ascii="Times New Roman" w:hAnsi="Times New Roman" w:cs="Times New Roman"/>
          <w:color w:val="000000" w:themeColor="text1"/>
          <w:sz w:val="20"/>
          <w:szCs w:val="20"/>
        </w:rPr>
        <w:t>ase progression</w:t>
      </w:r>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MUAm9yKx","properties":{"formattedCitation":"(159)","plainCitation":"(159)","noteIndex":0},"citationItems":[{"id":347,"uris":["http://zotero.org/users/local/OxFKn8nN/items/27JMJYN2"],"uri":["http://zotero.org/users/local/OxFKn8nN/items/27JMJYN2"],"itemData":{"id":347,"type":"article-journal","title":"Multimodal evoked potentials to assess the evolution of multiple sclerosis: a longitudinal study","container-title":"Journal of neurology, neurosurgery, and psychiatry","page":"1030-1035","volume":"77","issue":"9","archive":"PubMed","archive_location":"16735397","abstract":"BACKGROUND: Evoked potentials are used in the functional assessment of sensory and motor pathways. Their usefulness in monitoring the evolution of multiple sclerosis has not been fully clarified. OBJECTIVE: The aim of this longitudinal study was to examine the usefulness of multimodal evoked potential in predicting paraclinical outcomes of disease severity and as a prognostic marker in multiple sclerosis. METHODS: Eighty four patients with clinically definite multiple sclerosis underwent Expanded Disability Status Scale (EDSS) and functional system scoring at study entry and after a mean (standard deviation) follow-up of 30.5 (11.7) months. Sensory and motor evoked potentials were obtained in all patients at study entry and at follow-up in 64 of them, and quantified according to a conventional score. RESULTS: Cross-sectionally, the severity of each evoked potential score significantly correlated with the corresponding functional system (0.32 &lt; R &lt; 0.60, p &lt; 0.01, for all but follow-up visual evoked potential) and with EDSS (0.34 &lt; R &lt; 0.61; p &lt; 0.001 for all but brain stem evoked potential). EDSS significantly correlated with global evoked potential score severity (baseline R = 0.60, follow-up R = 0.46, p &lt; 0.001). Using longitudinal analysis, only changes in somatosensory evoked potential scores were significantly correlated with changes of sensory functional system (R = 0.34, p = 0.006). However, patients with multiple sclerosis with disability progression at follow-up had more severe baseline evoked potential scores than patients who remained stable. Patients with severe baseline global evoked potential score (higher than the median value) had a risk of 72.5% to progress on disability at follow-up, whereas patients with multiple sclerosis with lower scores had a risk of only 36.3%. CONCLUSIONS: These results suggest that evoked potential is a good marker of the severity of nervous damage in multiple sclerosis and may have a predictive value regarding the evolution of disability.","DOI":"10.1136/jnnp.2005.086280","ISSN":"1468-330X","author":[{"family":"Leocani","given":"L"},{"family":"Rovaris","given":"M"},{"family":"Boneschi","given":"F M"},{"family":"Medaglini","given":"S"},{"family":"Rossi","given":"P"},{"family":"Martinelli","given":"V"},{"family":"Amadio","given":"S"},{"family":"Comi","given":"G"}],"issued":{"date-parts":[["2006",9]]}}}],"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159</w:t>
      </w:r>
      <w:r w:rsidR="002B16B6">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00933357">
        <w:rPr>
          <w:rFonts w:ascii="Times New Roman" w:hAnsi="Times New Roman" w:cs="Times New Roman"/>
          <w:color w:val="000000" w:themeColor="text1"/>
          <w:sz w:val="20"/>
          <w:szCs w:val="20"/>
        </w:rPr>
        <w:t>, and have already been employed in t</w:t>
      </w:r>
      <w:r w:rsidRPr="00DA6B73">
        <w:rPr>
          <w:rFonts w:ascii="Times New Roman" w:hAnsi="Times New Roman" w:cs="Times New Roman"/>
          <w:color w:val="000000" w:themeColor="text1"/>
          <w:sz w:val="20"/>
          <w:szCs w:val="20"/>
        </w:rPr>
        <w:t>he field of bone marrow-derived cell therapy</w:t>
      </w:r>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QvQr20Gd","properties":{"formattedCitation":"(132,160)","plainCitation":"(132,160)","noteIndex":0},"citationItems":[{"id":358,"uris":["http://zotero.org/users/local/OxFKn8nN/items/5H27XMTV"],"uri":["http://zotero.org/users/local/OxFKn8nN/items/5H27XMTV"],"itemData":{"id":358,"type":"article-journal","title":"Safety and Feasibility of Autologous Bone Marrow Cellular Therapy in Relapsing-Progressive Multiple Sclerosis","container-title":"Clinical Pharmacology &amp; Therapeutics","page":"679-685","volume":"87","issue":"6","abstract":"In this phase I study, we assessed the safety and feasibility of intravenous, autologous bone marrow (BM) cell therapy, without immunosuppressive preconditioning, in six patients with clinically definite, relapsing-progressive multiple sclerosis (MS). Assessment of efficacy was a secondary objective and employed clinical disability rating scales, multimodal evoked potential (MMEP) recordings, and magnetic resonance imaging (MRI) scans. Cells were harvested, filtered and infused intravenously in a day-case procedure that was well tolerated by patients and was not associated with any serious adverse events (AEs). Over a period of 12 months after the therapy, clinical disability scores showed either no change (Extended Disability Status Score, EDSS) or improvement (MS impact scale-29, MSIS-29), and MMEPs showed neurophysiological improvement. MRI scans did not show any significant changes over a post-therapy period of 3 months. The lack of serious adverse effects and the suggestion of a beneficial effect in this small sample of patients with progressive disease justify conducting a larger phase II/III study to make a fuller assessment of the efficacy of mobilization of autologous BM in patients with MS. Clinical Pharmacology &amp; Therapeutics (2010) 87 6, 679?685. doi: 10.1038/clpt.2010.44","DOI":"10.1038/clpt.2010.44","ISSN":"0009-9236","journalAbbreviation":"Clinical Pharmacology &amp; Therapeutics","author":[{"family":"Rice","given":"C M"},{"family":"Mallam","given":"E A"},{"family":"Whone","given":"A L"},{"family":"Walsh","given":"P"},{"family":"Brooks","given":"D J"},{"family":"Kane","given":"N"},{"family":"Butler","given":"S R"},{"family":"Marks","given":"D I"},{"family":"Scolding","given":"N J"}],"issued":{"date-parts":[["2010",6,1]]}}},{"id":357,"uris":["http://zotero.org/users/local/OxFKn8nN/items/98C8A8CJ"],"uri":["http://zotero.org/users/local/OxFKn8nN/items/98C8A8CJ"],"itemData":{"id":357,"type":"article-journal","title":"Assessment of bone marrow-derived Cellular Therapy in progressive Multiple Sclerosis (ACTiMuS): study protocol for a randomised controlled trial","container-title":"Trials","page":"463","volume":"16","issue":"1","abstract":"We have recently completed an evaluation of the safety and feasibility of intravenous delivery of autologous bone marrow in patients with progressive multiple sclerosis (MS). The possibility of repair was suggested by improvement in the neurophysiological secondary outcome measure seen in all participants. The current study will examine the efficacy of intravenous delivery of autologous marrow in progressive MS. Laboratory studies performed in parallel with the clinical trial will further investigate the biology of bone marrow-derived stem cell infusion in MS, including mechanisms underlying repair.","DOI":"10.1186/s13063-015-0953-1","ISSN":"1745-6215","journalAbbreviation":"Trials","author":[{"family":"Rice","given":"Claire M."},{"family":"Marks","given":"David I."},{"family":"Ben-Shlomo","given":"Yoav"},{"family":"Evangelou","given":"Nikos"},{"family":"Morgan","given":"Paul S."},{"family":"Metcalfe","given":"Chris"},{"family":"Walsh","given":"Peter"},{"family":"Kane","given":"Nick M."},{"family":"Guttridge","given":"Martin G."},{"family":"Miflin","given":"Gail"},{"family":"Blackmore","given":"Stuart"},{"family":"Sarkar","given":"Pamela"},{"family":"Redondo","given":"Juliana"},{"family":"Owen","given":"Denise"},{"family":"Cottrell","given":"David A."},{"family":"Wilkins","given":"Alastair"},{"family":"Scolding","given":"Neil J."}],"issued":{"date-parts":[["2015",10,14]]}}}],"schema":"https://github.com/citation-style-language/schema/raw/master/csl-citation.json"}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132,160</w:t>
      </w:r>
      <w:r w:rsidR="002B16B6">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00933357">
        <w:rPr>
          <w:rFonts w:ascii="Times New Roman" w:hAnsi="Times New Roman" w:cs="Times New Roman"/>
          <w:color w:val="000000" w:themeColor="text1"/>
          <w:sz w:val="20"/>
          <w:szCs w:val="20"/>
        </w:rPr>
        <w:t xml:space="preserve">. Indeed other, exploratory, neurophysiological techniques have </w:t>
      </w:r>
      <w:r w:rsidR="00933357">
        <w:rPr>
          <w:rFonts w:ascii="Times New Roman" w:hAnsi="Times New Roman" w:cs="Times New Roman"/>
          <w:color w:val="000000" w:themeColor="text1"/>
          <w:sz w:val="20"/>
          <w:szCs w:val="20"/>
        </w:rPr>
        <w:lastRenderedPageBreak/>
        <w:t xml:space="preserve">also been emerging, such as the use of </w:t>
      </w:r>
      <w:proofErr w:type="spellStart"/>
      <w:r w:rsidR="00933357">
        <w:rPr>
          <w:rFonts w:ascii="Times New Roman" w:hAnsi="Times New Roman" w:cs="Times New Roman"/>
          <w:color w:val="000000" w:themeColor="text1"/>
          <w:sz w:val="20"/>
          <w:szCs w:val="20"/>
        </w:rPr>
        <w:t>saccadometry</w:t>
      </w:r>
      <w:proofErr w:type="spellEnd"/>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EcfrBUwM","properties":{"formattedCitation":"(161)","plainCitation":"(161)","noteIndex":0},"citationItems":[{"id":2,"uris":["http://zotero.org/users/local/OxFKn8nN/items/UE2LXUIX"],"uri":["http://zotero.org/users/local/OxFKn8nN/items/UE2LXUIX"],"itemData":{"id":2,"type":"article-journal","title":"Ocular motor signatures of cognitive dysfunction in multiple sclerosis","container-title":"Nature Reviews Neurology","page":"637","volume":"11","journalAbbreviation":"Nature Reviews Neurology","author":[{"family":"Fielding","given":"Joanne"},{"family":"Clough","given":"Meaghan"},{"family":"Beh","given":"Shin"},{"family":"Millist","given":"Lynette"},{"family":"Sears","given":"Derek"},{"family":"Frohman","given":"Ashley N."},{"family":"Lizak","given":"Nathaniel"},{"family":"Lim","given":"Jayne"},{"family":"Kolbe","given":"Scott"},{"family":"Rennaker II","given":"Robert L."},{"family":"Frohman","given":"Teresa C."},{"family":"White","given":"Owen B."},{"family":"Frohman","given":"Elliot M."}],"issued":{"date-parts":[["2015",9,15]]}}}],"schema":"https://github.com/citation-style-language/schema/raw/master/csl-citation.json"}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161</w:t>
      </w:r>
      <w:r w:rsidR="002B16B6">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00933357">
        <w:rPr>
          <w:rFonts w:ascii="Times New Roman" w:hAnsi="Times New Roman" w:cs="Times New Roman"/>
          <w:color w:val="000000" w:themeColor="text1"/>
          <w:sz w:val="20"/>
          <w:szCs w:val="20"/>
        </w:rPr>
        <w:t xml:space="preserve">, most recently showing improved conduction along the medial longitudinal fasciculus in the setting of </w:t>
      </w:r>
      <w:proofErr w:type="spellStart"/>
      <w:r w:rsidR="00933357">
        <w:rPr>
          <w:rFonts w:ascii="Times New Roman" w:hAnsi="Times New Roman" w:cs="Times New Roman"/>
          <w:color w:val="000000" w:themeColor="text1"/>
          <w:sz w:val="20"/>
          <w:szCs w:val="20"/>
        </w:rPr>
        <w:t>internuclear</w:t>
      </w:r>
      <w:proofErr w:type="spellEnd"/>
      <w:r w:rsidR="00933357">
        <w:rPr>
          <w:rFonts w:ascii="Times New Roman" w:hAnsi="Times New Roman" w:cs="Times New Roman"/>
          <w:color w:val="000000" w:themeColor="text1"/>
          <w:sz w:val="20"/>
          <w:szCs w:val="20"/>
        </w:rPr>
        <w:t xml:space="preserve"> </w:t>
      </w:r>
      <w:proofErr w:type="spellStart"/>
      <w:r w:rsidR="00933357">
        <w:rPr>
          <w:rFonts w:ascii="Times New Roman" w:hAnsi="Times New Roman" w:cs="Times New Roman"/>
          <w:color w:val="000000" w:themeColor="text1"/>
          <w:sz w:val="20"/>
          <w:szCs w:val="20"/>
        </w:rPr>
        <w:t>ophthalmoparesis</w:t>
      </w:r>
      <w:proofErr w:type="spellEnd"/>
      <w:r w:rsidR="00933357">
        <w:rPr>
          <w:rFonts w:ascii="Times New Roman" w:hAnsi="Times New Roman" w:cs="Times New Roman"/>
          <w:color w:val="000000" w:themeColor="text1"/>
          <w:sz w:val="20"/>
          <w:szCs w:val="20"/>
        </w:rPr>
        <w:t xml:space="preserve"> treated with </w:t>
      </w:r>
      <w:proofErr w:type="spellStart"/>
      <w:r w:rsidR="00933357">
        <w:rPr>
          <w:rFonts w:ascii="Times New Roman" w:hAnsi="Times New Roman" w:cs="Times New Roman"/>
          <w:color w:val="000000" w:themeColor="text1"/>
          <w:sz w:val="20"/>
          <w:szCs w:val="20"/>
        </w:rPr>
        <w:t>fampridine</w:t>
      </w:r>
      <w:proofErr w:type="spellEnd"/>
      <w:r w:rsidR="00DA61B2">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QZ36gA1E","properties":{"formattedCitation":"(162)","plainCitation":"(162)","noteIndex":0},"citationItems":[{"id":360,"uris":["http://zotero.org/users/local/OxFKn8nN/items/RLKFEKS4"],"uri":["http://zotero.org/users/local/OxFKn8nN/items/RLKFEKS4"],"itemData":{"id":360,"type":"article-journal","title":"Treatment of internuclear ophthalmoparesis in multiple sclerosis with fampridine: A randomized double-blind, placebo-controlled cross-over trial","container-title":"CNS Neuroscience &amp; Therapeutics","volume":"0","issue":"0","abstract":"Summary Aim To examine whether the velocity of saccadic eye movements in internuclear ophthalmoparesis (INO) improves with fampridine treatment in patients with multiple sclerosis (MS). Methods Randomized, double-blind, placebo-controlled, cross-over trial with fampridine in patients with MS and INO. Horizontal saccades were recorded at baseline and at multiple time points post-dose. Main outcome measures were the change of peak velocity versional dysconjugacy index (PV-VDI) and first-pass amplitude VDI (FPA-VDI). Both parameters were compared between fampridine and placebo using a mixed model analysis of variance taking patients as their own control. Pharmacokinetics was determined by serial blood sampling. Results Thirteen patients had a bilateral and 10 had a unilateral INO. One patient had an INO of abduction (posterior INO of Lutz) and was excluded. Fampridine significantly reduced both PV-VDI (?17.4%, 95% CI: ?22.4%, ?12.1%; P &lt; 0.0001) and FPA-VDI (?12.5%, 95% CI: ?18.9%, ?5.5%; P &lt; 0.01). Pharmacokinetics demonstrated that testing coincided with the average tmax at 2.08 hours (SD 45 minutes). The main adverse event reported after administration of fampridine was dizziness (61%). Conclusion Fampridine improves saccadic eye movements due to INO in MS. Treatment response to fampridine may gauge patient selection for inclusion to remyelination strategies in MS using saccadic eye movements as primary outcome measure.","URL":"https://doi.org/10.1111/cns.13096","DOI":"10.1111/cns.13096","ISSN":"1755-5930","journalAbbreviation":"CNS Neuroscience &amp; Therapeutics","author":[{"family":"Kanhai","given":"Kawita M. S."},{"family":"Nij Bijvank","given":"Jenny A."},{"family":"Wagenaar","given":"Yorick L."},{"family":"Klaassen","given":"Erica S."},{"family":"Lim","given":"KyoungSoo"},{"family":"Bergheanu","given":"Sandrin C."},{"family":"Petzold","given":"Axel"},{"family":"Verma","given":"Ajay"},{"family":"Hesterman","given":"Jacob"},{"family":"Wattjes","given":"Mike P."},{"family":"Uitdehaag","given":"Bernard M. J."},{"family":"Rijn","given":"Laurentius J.","non-dropping-particle":"van"},{"family":"Groeneveld","given":"Geert Jan"}],"issued":{"date-parts":[["2019",2,12]]},"accessed":{"date-parts":[["2019",3,9]]}}}],"schema":"https://github.com/citation-style-language/schema/raw/master/csl-citation.json"} </w:instrText>
      </w:r>
      <w:r w:rsidR="00DA61B2">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162</w:t>
      </w:r>
      <w:r w:rsidR="002B16B6">
        <w:rPr>
          <w:rFonts w:ascii="Times New Roman" w:hAnsi="Times New Roman" w:cs="Times New Roman"/>
          <w:color w:val="000000"/>
          <w:sz w:val="20"/>
          <w:u w:val="dash"/>
          <w:lang w:val="en-US"/>
        </w:rPr>
        <w:t>]</w:t>
      </w:r>
      <w:r w:rsidR="00DA61B2">
        <w:rPr>
          <w:rFonts w:ascii="Times New Roman" w:hAnsi="Times New Roman" w:cs="Times New Roman"/>
          <w:color w:val="000000" w:themeColor="text1"/>
          <w:sz w:val="20"/>
          <w:szCs w:val="20"/>
        </w:rPr>
        <w:fldChar w:fldCharType="end"/>
      </w:r>
      <w:r w:rsidR="00933357">
        <w:rPr>
          <w:rFonts w:ascii="Times New Roman" w:hAnsi="Times New Roman" w:cs="Times New Roman"/>
          <w:color w:val="000000" w:themeColor="text1"/>
          <w:sz w:val="20"/>
          <w:szCs w:val="20"/>
        </w:rPr>
        <w:t>.</w:t>
      </w:r>
    </w:p>
    <w:p w14:paraId="22057391" w14:textId="77777777" w:rsidR="00262C77" w:rsidRDefault="00262C77" w:rsidP="00E17010">
      <w:pPr>
        <w:spacing w:line="480" w:lineRule="auto"/>
        <w:rPr>
          <w:rFonts w:ascii="Times New Roman" w:hAnsi="Times New Roman" w:cs="Times New Roman"/>
          <w:color w:val="000000" w:themeColor="text1"/>
          <w:sz w:val="20"/>
          <w:szCs w:val="20"/>
        </w:rPr>
      </w:pPr>
    </w:p>
    <w:p w14:paraId="51C434D7" w14:textId="7EAADE2D" w:rsidR="006215A5" w:rsidRPr="005C5428" w:rsidRDefault="00933357" w:rsidP="00E17010">
      <w:pPr>
        <w:spacing w:line="480" w:lineRule="auto"/>
        <w:rPr>
          <w:rFonts w:ascii="Times New Roman" w:hAnsi="Times New Roman" w:cs="Times New Roman"/>
          <w:b/>
          <w:i/>
          <w:color w:val="000000" w:themeColor="text1"/>
          <w:sz w:val="20"/>
          <w:szCs w:val="20"/>
        </w:rPr>
      </w:pPr>
      <w:r w:rsidRPr="0086461F">
        <w:rPr>
          <w:rFonts w:ascii="Times New Roman" w:hAnsi="Times New Roman" w:cs="Times New Roman"/>
          <w:b/>
          <w:i/>
          <w:color w:val="000000" w:themeColor="text1"/>
          <w:sz w:val="20"/>
          <w:szCs w:val="20"/>
        </w:rPr>
        <w:t>Other techniques</w:t>
      </w:r>
      <w:r w:rsidR="005C5428">
        <w:rPr>
          <w:rFonts w:ascii="Times New Roman" w:hAnsi="Times New Roman" w:cs="Times New Roman"/>
          <w:b/>
          <w:i/>
          <w:color w:val="000000" w:themeColor="text1"/>
          <w:sz w:val="20"/>
          <w:szCs w:val="20"/>
        </w:rPr>
        <w:t xml:space="preserve">. </w:t>
      </w:r>
      <w:r w:rsidR="006215A5" w:rsidRPr="006215A5">
        <w:rPr>
          <w:rFonts w:ascii="Times New Roman" w:hAnsi="Times New Roman" w:cs="Times New Roman"/>
          <w:color w:val="000000" w:themeColor="text1"/>
          <w:sz w:val="20"/>
          <w:szCs w:val="20"/>
        </w:rPr>
        <w:t>Optical coherence tomography (OCT) is another tool being employed to</w:t>
      </w:r>
      <w:r w:rsidR="00896EB3">
        <w:rPr>
          <w:rFonts w:ascii="Times New Roman" w:hAnsi="Times New Roman" w:cs="Times New Roman"/>
          <w:color w:val="000000" w:themeColor="text1"/>
          <w:sz w:val="20"/>
          <w:szCs w:val="20"/>
        </w:rPr>
        <w:t xml:space="preserve"> indirectly</w:t>
      </w:r>
      <w:r w:rsidR="006215A5" w:rsidRPr="006215A5">
        <w:rPr>
          <w:rFonts w:ascii="Times New Roman" w:hAnsi="Times New Roman" w:cs="Times New Roman"/>
          <w:color w:val="000000" w:themeColor="text1"/>
          <w:sz w:val="20"/>
          <w:szCs w:val="20"/>
        </w:rPr>
        <w:t xml:space="preserve"> assess remyelinating therapies. </w:t>
      </w:r>
      <w:r>
        <w:rPr>
          <w:rFonts w:ascii="Times New Roman" w:hAnsi="Times New Roman" w:cs="Times New Roman"/>
          <w:color w:val="000000" w:themeColor="text1"/>
          <w:sz w:val="20"/>
          <w:szCs w:val="20"/>
        </w:rPr>
        <w:t>By generating</w:t>
      </w:r>
      <w:r w:rsidR="006215A5" w:rsidRPr="006215A5">
        <w:rPr>
          <w:rFonts w:ascii="Times New Roman" w:hAnsi="Times New Roman" w:cs="Times New Roman"/>
          <w:color w:val="000000" w:themeColor="text1"/>
          <w:sz w:val="20"/>
          <w:szCs w:val="20"/>
        </w:rPr>
        <w:t xml:space="preserve"> high-resolution images of the retina to gauge axonal loss in the retinal nerve fibre layer (RNFL)</w:t>
      </w:r>
      <w:r w:rsidR="00F5202A">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97BhoVNY","properties":{"formattedCitation":"(163)","plainCitation":"(163)","noteIndex":0},"citationItems":[{"id":363,"uris":["http://zotero.org/users/local/OxFKn8nN/items/TFVMPRZ3"],"uri":["http://zotero.org/users/local/OxFKn8nN/items/TFVMPRZ3"],"itemData":{"id":363,"type":"article-journal","title":"Ocular pathology in multiple sclerosis: retinal atrophy and inflammation irrespective of disease duration","container-title":"Brain","page":"1591-1601","volume":"133","issue":"6","abstract":"There has been growing interest in the use of retinal imaging for tracking disease progression in multiple sclerosis. However, systematic and detailed pathological descriptions of retinal tissue in multiple sclerosis are lacking. Graded, histological evaluations on eyes from 82 patients with multiple sclerosis and 10 subjects with other neurological diseases, with immunohistochemistry on a subset, were performed and correlated with clinical and pathological findings. Multiple sclerosis cases demonstrated evidence of retinal atrophy and inflammation even in late-stage disease. Retinal ganglion cell loss was significant and remaining neurons appeared shrunken and were partially engulfed by human leukocyte antigen-DR positive cells with the phenotype of microglia in samples subjected to immunohistochemistry. Neurofilament staining revealed variable but prominent degrees of axonal loss and injury. Neuronal loss was noted in the inner nuclear layer with focal reduction in cell density. Foamy-appearing human leukocyte antigen-DR positive cells were evident near vessels and periphlebitis was found in a small but significant number of multiple sclerosis cases. Glial fibrillary acidic protein staining showed extensive astrocyte hypertrophy and proliferation with prominent gliosis in multiple sclerosis cases. Frequent but previously unreported abnormalities in the iris were documented in the majority of chronic multiple sclerosis cases. The injury to both iris and retina could be seen at all stages of disease. Severity of retinal atrophy was correlated with overall brain weight at time of autopsy (P = 0.04) and a trend for increased atrophy was seen with longer disease duration (P = 0.13). This study provides the first large-scale pathological description of retinas in multiple sclerosis, including patients with different subtypes of disease at all stages, and with variable clinical severity. Changes were seen not only in the retinal nerve fibre layer and ganglion cell layer, but also in the inner nuclear layer, suggesting that retinal injury is more widespread than previously appreciated. Furthermore, the human retina is devoid of myelin, but inflammation was demonstrated to be prominent in multiple sclerosis and to persist in the retina at late stages of disease. The prominent gliosis and inflammation surrounding vessels of the inner retina could potentially impact optical coherence tomography evaluations in multiple sclerosis—as standard techniques exploit presumed differences in tissue reflectivity and utilize automated edge detection algorithms to judge axon loss in the nerve fibre layer. Deciphering the relationships between the different types of retinal pathology may aid us in understanding the factors that drive both inflammation and tissue atrophy in multiple sclerosis.","DOI":"10.1093/brain/awq080","ISSN":"0006-8950","journalAbbreviation":"Brain","author":[{"family":"Green","given":"Ari J."},{"family":"Hauser","given":"Stephen L."},{"family":"Allen","given":"Ingrid V."},{"family":"Lyness","given":"Roy"},{"family":"McQuaid","given":"Stephen"}],"issued":{"date-parts":[["2010",4,21]]}}}],"schema":"https://github.com/citation-style-language/schema/raw/master/csl-citation.json"} </w:instrText>
      </w:r>
      <w:r w:rsidR="00F5202A">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163</w:t>
      </w:r>
      <w:r w:rsidR="002B16B6">
        <w:rPr>
          <w:rFonts w:ascii="Times New Roman" w:hAnsi="Times New Roman" w:cs="Times New Roman"/>
          <w:color w:val="000000"/>
          <w:sz w:val="20"/>
          <w:u w:val="dash"/>
          <w:lang w:val="en-US"/>
        </w:rPr>
        <w:t>]</w:t>
      </w:r>
      <w:r w:rsidR="00F5202A">
        <w:rPr>
          <w:rFonts w:ascii="Times New Roman" w:hAnsi="Times New Roman" w:cs="Times New Roman"/>
          <w:color w:val="000000" w:themeColor="text1"/>
          <w:sz w:val="20"/>
          <w:szCs w:val="20"/>
        </w:rPr>
        <w:fldChar w:fldCharType="end"/>
      </w:r>
      <w:r w:rsidR="006215A5" w:rsidRPr="006215A5">
        <w:rPr>
          <w:rFonts w:ascii="Times New Roman" w:hAnsi="Times New Roman" w:cs="Times New Roman"/>
          <w:color w:val="000000" w:themeColor="text1"/>
          <w:sz w:val="20"/>
          <w:szCs w:val="20"/>
        </w:rPr>
        <w:t>, which is decreased following optic neuritis</w:t>
      </w:r>
      <w:r w:rsidR="00F5202A">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wRHC0Ukx","properties":{"formattedCitation":"(164)","plainCitation":"(164)","noteIndex":0},"citationItems":[{"id":364,"uris":["http://zotero.org/users/local/OxFKn8nN/items/33VNQYRC"],"uri":["http://zotero.org/users/local/OxFKn8nN/items/33VNQYRC"],"itemData":{"id":364,"type":"article-journal","title":"Longitudinal study of vision and retinal nerve fiber layer thickness in multiple sclerosis","container-title":"Annals of Neurology","page":"749-760","volume":"67","issue":"6","abstract":"Abstract Objective Cross-sectional studies of optical coherence tomography (OCT) show that retinal nerve fiber layer (RNFL) thickness is reduced in multiple sclerosis (MS) and correlates with visual function. We determined how longitudinal changes in RNFL thickness relate to visual loss. We also examined patterns of RNFL thinning over time in MS eyes with and without a prior history of acute optic neuritis (ON). Methods Patients underwent OCT measurement of RNFL thickness at baseline and at 6-month intervals during a mean follow-up of 18 months at 3 centers. Low-contrast letter acuity (2.5%, 1.25% contrast) and visual acuity (VA) were assessed. Results Among 299 patients (593 eyes) with ≥6 months follow-up, eyes with visual loss showed greater RNFL thinning compared to eyes with stable vision (low-contrast acuity, 2.5%: p &lt; 0.001; VA: p = 0.005). RNFL thinning increased over time, with average losses of 2.9?m at 2 to 3 years and 6.1?m at 3 to 4.5 years (p &lt; 0.001 vs 0.5?1-year follow-up interval). These patterns were observed for eyes with or without prior history of ON. Proportions of eyes with RNFL loss greater than test-retest variability (≥6.6?m) increased from 11% at 0 to 1 year to 44% at 3 to 4.5 years (p &lt; 0.001). Interpretation Progressive RNFL thinning occurs as a function of time in some patients with MS, even in the absence of ON, and is associated with clinically significant visual loss. These findings are consistent with subclinical axonal loss in the anterior visual pathway in MS, and support the use of OCT and low-contrast acuity as methods to evaluate the effectiveness of putative neuroprotection protocols. ANN NEUROL 2010;67:749?760","DOI":"10.1002/ana.22005","ISSN":"0364-5134","journalAbbreviation":"Annals of Neurology","author":[{"family":"Talman","given":"Lauren S."},{"family":"Bisker","given":"Esther R."},{"family":"Sackel","given":"David J."},{"family":"Long Jr.","given":"David A."},{"family":"Galetta","given":"Kristin M."},{"family":"Ratchford","given":"John N."},{"family":"Lile","given":"Deacon J."},{"family":"Farrell","given":"Sheena K."},{"family":"Loguidice","given":"Michael J."},{"family":"Remington","given":"Gina"},{"family":"Conger","given":"Amy"},{"family":"Frohman","given":"Teresa C."},{"family":"Jacobs","given":"Dina A."},{"family":"Markowitz","given":"Clyde E."},{"family":"Cutter","given":"Gary R."},{"family":"Ying","given":"Gui-Shuang"},{"family":"Dai","given":"Yang"},{"family":"Maguire","given":"Maureen G."},{"family":"Galetta","given":"Steven L."},{"family":"Frohman","given":"Elliot M."},{"family":"Calabresi","given":"Peter A."},{"family":"Balcer","given":"Laura J."}],"issued":{"date-parts":[["2010",6,1]]}}}],"schema":"https://github.com/citation-style-language/schema/raw/master/csl-citation.json"} </w:instrText>
      </w:r>
      <w:r w:rsidR="00F5202A">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164</w:t>
      </w:r>
      <w:r w:rsidR="002B16B6">
        <w:rPr>
          <w:rFonts w:ascii="Times New Roman" w:hAnsi="Times New Roman" w:cs="Times New Roman"/>
          <w:color w:val="000000"/>
          <w:sz w:val="20"/>
          <w:u w:val="dash"/>
          <w:lang w:val="en-US"/>
        </w:rPr>
        <w:t>]</w:t>
      </w:r>
      <w:r w:rsidR="00F5202A">
        <w:rPr>
          <w:rFonts w:ascii="Times New Roman" w:hAnsi="Times New Roman" w:cs="Times New Roman"/>
          <w:color w:val="000000" w:themeColor="text1"/>
          <w:sz w:val="20"/>
          <w:szCs w:val="20"/>
        </w:rPr>
        <w:fldChar w:fldCharType="end"/>
      </w:r>
      <w:r>
        <w:rPr>
          <w:rFonts w:ascii="Times New Roman" w:hAnsi="Times New Roman" w:cs="Times New Roman"/>
          <w:color w:val="000000" w:themeColor="text1"/>
          <w:sz w:val="20"/>
          <w:szCs w:val="20"/>
        </w:rPr>
        <w:t>, i</w:t>
      </w:r>
      <w:r w:rsidR="006215A5" w:rsidRPr="006215A5">
        <w:rPr>
          <w:rFonts w:ascii="Times New Roman" w:hAnsi="Times New Roman" w:cs="Times New Roman"/>
          <w:color w:val="000000" w:themeColor="text1"/>
          <w:sz w:val="20"/>
          <w:szCs w:val="20"/>
        </w:rPr>
        <w:t>t provides a measure of neurodegeneration rather than specifically remyelination, but can be used to complement the analysis of the VEP</w:t>
      </w:r>
      <w:r w:rsidR="00F5202A">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EUwcIT6q","properties":{"formattedCitation":"(165)","plainCitation":"(165)","noteIndex":0},"citationItems":[{"id":366,"uris":["http://zotero.org/users/local/OxFKn8nN/items/ZQIEWIHW"],"uri":["http://zotero.org/users/local/OxFKn8nN/items/ZQIEWIHW"],"itemData":{"id":366,"type":"article-journal","title":"The visual pathway as a model to understand brain damage in multiple sclerosis","container-title":"Multiple Sclerosis Journal","page":"1678-1685","volume":"20","issue":"13","abstract":"Patients with multiple sclerosis (MS) almost always experience effects in the visual pathway; and thus, visual dysfunction is not only common but also highly relevant. The visual pathway represents a model of acute focal central nervous system (CNS) damage, through acute optic neuritis and retinal periphlebitis, as well as a model of chronic, diffuse CNS damage through chronic retinopathy and optic neuropathy. The optic pathway can be accurately evaluated in detail, due to the availability of highly sensitive imaging techniques (e.g. magnetic resonance imaging or optical coherent tomography) or electrophysiological tests (multifocal visual evoked potentials or electroretinography). These techniques allow the interactions between the different processes at play to be evaluated, such as inflammation, demyelination, axonal damage and neurodegeneration. Moreover, these features mean that the visual pathway can be used as a model to test new neuroprotective or regenerative therapies.","DOI":"10.1177/1352458514542862","ISSN":"1352-4585","journalAbbreviation":"Mult Scler","author":[{"family":"Martínez-Lapiscina","given":"E H"},{"family":"Sanchez-Dalmau","given":"B"},{"family":"Fraga-Pumar","given":"E"},{"family":"Ortiz-Perez","given":"S"},{"family":"Tercero-Uribe","given":"A I"},{"family":"Torres-Torres","given":"R"},{"family":"Villoslada","given":"P"}],"issued":{"date-parts":[["2014",7,10]]}}}],"schema":"https://github.com/citation-style-language/schema/raw/master/csl-citation.json"} </w:instrText>
      </w:r>
      <w:r w:rsidR="00F5202A">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u w:val="dash"/>
          <w:lang w:val="en-US"/>
        </w:rPr>
        <w:t>[</w:t>
      </w:r>
      <w:r w:rsidR="00AA2F7B">
        <w:rPr>
          <w:rFonts w:ascii="Times New Roman" w:hAnsi="Times New Roman" w:cs="Times New Roman"/>
          <w:color w:val="000000"/>
          <w:sz w:val="20"/>
          <w:u w:val="dash"/>
          <w:lang w:val="en-US"/>
        </w:rPr>
        <w:t>165</w:t>
      </w:r>
      <w:r w:rsidR="002B16B6">
        <w:rPr>
          <w:rFonts w:ascii="Times New Roman" w:hAnsi="Times New Roman" w:cs="Times New Roman"/>
          <w:color w:val="000000"/>
          <w:sz w:val="20"/>
          <w:u w:val="dash"/>
          <w:lang w:val="en-US"/>
        </w:rPr>
        <w:t>]</w:t>
      </w:r>
      <w:r w:rsidR="00F5202A">
        <w:rPr>
          <w:rFonts w:ascii="Times New Roman" w:hAnsi="Times New Roman" w:cs="Times New Roman"/>
          <w:color w:val="000000" w:themeColor="text1"/>
          <w:sz w:val="20"/>
          <w:szCs w:val="20"/>
        </w:rPr>
        <w:fldChar w:fldCharType="end"/>
      </w:r>
      <w:r w:rsidR="006215A5" w:rsidRPr="006215A5">
        <w:rPr>
          <w:rFonts w:ascii="Times New Roman" w:hAnsi="Times New Roman" w:cs="Times New Roman"/>
          <w:color w:val="000000" w:themeColor="text1"/>
          <w:sz w:val="20"/>
          <w:szCs w:val="20"/>
        </w:rPr>
        <w:t>.</w:t>
      </w:r>
      <w:r w:rsidR="00807C94">
        <w:rPr>
          <w:rFonts w:ascii="Times New Roman" w:hAnsi="Times New Roman" w:cs="Times New Roman"/>
          <w:color w:val="000000" w:themeColor="text1"/>
          <w:sz w:val="20"/>
          <w:szCs w:val="20"/>
        </w:rPr>
        <w:t xml:space="preserve"> Similarly, serum neurofilament, a marker of axonal damage that correlates with MS disease activity</w:t>
      </w:r>
      <w:r w:rsidR="00CD093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1jutn30t3f","properties":{"formattedCitation":"(166)","plainCitation":"(166)","noteIndex":0},"citationItems":[{"id":384,"uris":["http://zotero.org/users/local/OxFKn8nN/items/BX2UUKS5"],"uri":["http://zotero.org/users/local/OxFKn8nN/items/BX2UUKS5"],"itemData":{"id":384,"type":"article-journal","title":"Blood neurofilament light chain as a biomarker of MS disease activity and treatment response","container-title":"Neurology","page":"e1007","volume":"92","issue":"10","abstract":"Objective To assess the value of blood neurofilament light chain (NfL) as a biomarker of recent, ongoing, and future disease activity and tissue damage and its utility to monitor treatment response in relapsing-remitting multiple sclerosis.Methods We measured NfL in blood samples from 589 patients with relapsing-remitting multiple sclerosis (from phase 3 studies of fingolimod vs placebo, FREEDOMS and interferon [IFN]-β-1a, TRANSFORMS) and 35 healthy controls and compared NfL levels with clinical and MRI-related outcomes.Results At baseline, NfL levels (pg/mL) were higher in patients than in healthy controls (30.5 and 27.0 vs 16.9, p = 0.0001) and correlated with T2 lesion load and number of gadolinium-enhancing T1 lesions (p &amp;lt; 0.0001, both). Baseline NfL levels, treatment, and number of new or enlarging T2 lesions during the studies predicted NfL levels at the end of study (all p &amp;lt; 0.01). High vs low baseline NfL levels were associated (estimate [95% confidence interval]) with an increased number of new or enlarging T2 lesions (ratio of mean: 2.64 [1.51–4.60]; p = 0.0006), relapses (rate ratio: 2.53 [1.67–3.83]; p &amp;lt; 0.0001), brain volume loss (difference in means: −0.78% [−1.02 to −0.54]; p &amp;lt; 0.0001), and risk of confirmed disability worsening (hazard ratio: 1.94 [0.97–3.87]; p = 0.0605). Fingolimod significantly reduced NfL levels already at 6 months (vs placebo 0.73 [0.656–0.813] and IFN 0.789 [0.704–0.884]), which was sustained until the end of the studies (vs placebo 0.628 [0.552–0.714] and IFN 0.794 [0.705–0.894]; p &amp;lt; 0.001, both studies at all assessments).Conclusions Blood NfL levels are associated with clinical and MRI-related measures of disease activity and neuroaxonal damage and have prognostic value. Our results support the utility of blood NfL as an easily accessible biomarker of disease evolution and treatment response.CDW=confirmed disability worsening; CV=coefficient of variation; EDSS=Expanded Disability Status Scale; EOS=end of study; FREEDOMS=Efficacy and Safety of Fingolimod in Patients with Relapsing-Remitting Multiple Sclerosis; Gd=gadolinium; GeoMean=geometric mean; IFN=interferon; ITT=intention-to-treat; MS=multiple sclerosis; NfL=neurofilament light chain; RRMS=relapsing-remitting multiple sclerosis; SIMOA=single molecule array; TRANSFORMS=Efficacy and Safety of Fingolimod in Patients with Relapsing-Remitting Multiple Sclerosis with Optional Extension Phase","DOI":"10.1212/WNL.0000000000007032","journalAbbreviation":"Neurology","author":[{"family":"Kuhle","given":"Jens"},{"family":"Kropshofer","given":"Harald"},{"family":"Haering","given":"Dieter A."},{"family":"Kundu","given":"Uma"},{"family":"Meinert","given":"Rolf"},{"family":"Barro","given":"Christian"},{"family":"Dahlke","given":"Frank"},{"family":"Tomic","given":"Davorka"},{"family":"Leppert","given":"David"},{"family":"Kappos","given":"Ludwig"}],"issued":{"date-parts":[["2019",3,5]]}}}],"schema":"https://github.com/citation-style-language/schema/raw/master/csl-citation.json"} </w:instrText>
      </w:r>
      <w:r w:rsidR="00CD093D">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166</w:t>
      </w:r>
      <w:r w:rsidR="002B16B6">
        <w:rPr>
          <w:rFonts w:ascii="Times New Roman" w:hAnsi="Times New Roman" w:cs="Times New Roman"/>
          <w:color w:val="000000"/>
          <w:sz w:val="20"/>
          <w:lang w:val="en-US"/>
        </w:rPr>
        <w:t>]</w:t>
      </w:r>
      <w:r w:rsidR="00CD093D">
        <w:rPr>
          <w:rFonts w:ascii="Times New Roman" w:hAnsi="Times New Roman" w:cs="Times New Roman"/>
          <w:color w:val="000000" w:themeColor="text1"/>
          <w:sz w:val="20"/>
          <w:szCs w:val="20"/>
        </w:rPr>
        <w:fldChar w:fldCharType="end"/>
      </w:r>
      <w:r w:rsidR="00807C94">
        <w:rPr>
          <w:rFonts w:ascii="Times New Roman" w:hAnsi="Times New Roman" w:cs="Times New Roman"/>
          <w:color w:val="000000" w:themeColor="text1"/>
          <w:sz w:val="20"/>
          <w:szCs w:val="20"/>
        </w:rPr>
        <w:t>, has been postulated to be a valuable outcome measure for remyelination trials</w:t>
      </w:r>
      <w:r w:rsidR="00C104B1">
        <w:rPr>
          <w:rFonts w:ascii="Times New Roman" w:hAnsi="Times New Roman" w:cs="Times New Roman"/>
          <w:color w:val="000000" w:themeColor="text1"/>
          <w:sz w:val="20"/>
          <w:szCs w:val="20"/>
        </w:rPr>
        <w:t>. A</w:t>
      </w:r>
      <w:r w:rsidR="00807C94">
        <w:rPr>
          <w:rFonts w:ascii="Times New Roman" w:hAnsi="Times New Roman" w:cs="Times New Roman"/>
          <w:color w:val="000000" w:themeColor="text1"/>
          <w:sz w:val="20"/>
          <w:szCs w:val="20"/>
        </w:rPr>
        <w:t xml:space="preserve"> subset of participants from the SYNERGY trial</w:t>
      </w:r>
      <w:r w:rsidR="00C104B1">
        <w:rPr>
          <w:rFonts w:ascii="Times New Roman" w:hAnsi="Times New Roman" w:cs="Times New Roman"/>
          <w:color w:val="000000" w:themeColor="text1"/>
          <w:sz w:val="20"/>
          <w:szCs w:val="20"/>
        </w:rPr>
        <w:t xml:space="preserve"> (discussed above) showed a trend toward neurofilament light decline among</w:t>
      </w:r>
      <w:r w:rsidR="00807C94">
        <w:rPr>
          <w:rFonts w:ascii="Times New Roman" w:hAnsi="Times New Roman" w:cs="Times New Roman"/>
          <w:color w:val="000000" w:themeColor="text1"/>
          <w:sz w:val="20"/>
          <w:szCs w:val="20"/>
        </w:rPr>
        <w:t xml:space="preserve"> treatment responders</w:t>
      </w:r>
      <w:r w:rsidR="00CD093D">
        <w:rPr>
          <w:rFonts w:ascii="Times New Roman" w:hAnsi="Times New Roman" w:cs="Times New Roman"/>
          <w:color w:val="000000" w:themeColor="text1"/>
          <w:sz w:val="20"/>
          <w:szCs w:val="20"/>
        </w:rPr>
        <w:fldChar w:fldCharType="begin"/>
      </w:r>
      <w:r w:rsidR="00AA2F7B">
        <w:rPr>
          <w:rFonts w:ascii="Times New Roman" w:hAnsi="Times New Roman" w:cs="Times New Roman"/>
          <w:color w:val="000000" w:themeColor="text1"/>
          <w:sz w:val="20"/>
          <w:szCs w:val="20"/>
        </w:rPr>
        <w:instrText xml:space="preserve"> ADDIN ZOTERO_ITEM CSL_CITATION {"citationID":"a1nv69k64ch","properties":{"formattedCitation":"(167)","plainCitation":"(167)","noteIndex":0},"citationItems":[{"id":385,"uris":["http://zotero.org/users/local/OxFKn8nN/items/J48VRLG4"],"uri":["http://zotero.org/users/local/OxFKn8nN/items/J48VRLG4"],"itemData":{"id":385,"type":"article-journal","title":"ePosters","container-title":"Multiple Sclerosis Journal","page":"738-980","volume":"24","issue":"2_suppl","DOI":"10.1177/1352458518798592","ISSN":"1352-4585","journalAbbreviation":"Mult Scler","issued":{"date-parts":[["2018",10,1]]}}}],"schema":"https://github.com/citation-style-language/schema/raw/master/csl-citation.json"} </w:instrText>
      </w:r>
      <w:r w:rsidR="00CD093D">
        <w:rPr>
          <w:rFonts w:ascii="Times New Roman" w:hAnsi="Times New Roman" w:cs="Times New Roman"/>
          <w:color w:val="000000" w:themeColor="text1"/>
          <w:sz w:val="20"/>
          <w:szCs w:val="20"/>
        </w:rPr>
        <w:fldChar w:fldCharType="separate"/>
      </w:r>
      <w:r w:rsidR="002B16B6">
        <w:rPr>
          <w:rFonts w:ascii="Times New Roman" w:hAnsi="Times New Roman" w:cs="Times New Roman"/>
          <w:color w:val="000000"/>
          <w:sz w:val="20"/>
          <w:lang w:val="en-US"/>
        </w:rPr>
        <w:t>[</w:t>
      </w:r>
      <w:r w:rsidR="00AA2F7B" w:rsidRPr="00DB0E48">
        <w:rPr>
          <w:rFonts w:ascii="Times New Roman" w:hAnsi="Times New Roman" w:cs="Times New Roman"/>
          <w:color w:val="000000"/>
          <w:sz w:val="20"/>
          <w:lang w:val="en-US"/>
        </w:rPr>
        <w:t>167</w:t>
      </w:r>
      <w:r w:rsidR="002B16B6">
        <w:rPr>
          <w:rFonts w:ascii="Times New Roman" w:hAnsi="Times New Roman" w:cs="Times New Roman"/>
          <w:color w:val="000000"/>
          <w:sz w:val="20"/>
          <w:lang w:val="en-US"/>
        </w:rPr>
        <w:t>]</w:t>
      </w:r>
      <w:r w:rsidR="00CD093D">
        <w:rPr>
          <w:rFonts w:ascii="Times New Roman" w:hAnsi="Times New Roman" w:cs="Times New Roman"/>
          <w:color w:val="000000" w:themeColor="text1"/>
          <w:sz w:val="20"/>
          <w:szCs w:val="20"/>
        </w:rPr>
        <w:fldChar w:fldCharType="end"/>
      </w:r>
      <w:r w:rsidR="00807C94">
        <w:rPr>
          <w:rFonts w:ascii="Times New Roman" w:hAnsi="Times New Roman" w:cs="Times New Roman"/>
          <w:color w:val="000000" w:themeColor="text1"/>
          <w:sz w:val="20"/>
          <w:szCs w:val="20"/>
        </w:rPr>
        <w:t xml:space="preserve">, however </w:t>
      </w:r>
      <w:r w:rsidR="00C104B1">
        <w:rPr>
          <w:rFonts w:ascii="Times New Roman" w:hAnsi="Times New Roman" w:cs="Times New Roman"/>
          <w:color w:val="000000" w:themeColor="text1"/>
          <w:sz w:val="20"/>
          <w:szCs w:val="20"/>
        </w:rPr>
        <w:t>such measures remain an indirect marker of remyelination and, in our view, should remain exploratory.</w:t>
      </w:r>
    </w:p>
    <w:p w14:paraId="2FD6438F" w14:textId="77777777" w:rsidR="00031676" w:rsidRDefault="00031676" w:rsidP="00E17010">
      <w:pPr>
        <w:spacing w:line="480" w:lineRule="auto"/>
        <w:rPr>
          <w:rFonts w:ascii="Times New Roman" w:hAnsi="Times New Roman" w:cs="Times New Roman"/>
          <w:b/>
          <w:color w:val="000000" w:themeColor="text1"/>
          <w:sz w:val="20"/>
          <w:szCs w:val="20"/>
        </w:rPr>
      </w:pPr>
    </w:p>
    <w:p w14:paraId="3A5A55EC" w14:textId="71E93D87" w:rsidR="005B759E" w:rsidRPr="005C5428" w:rsidRDefault="00933357" w:rsidP="00E17010">
      <w:pPr>
        <w:spacing w:line="480" w:lineRule="auto"/>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Conclusion</w:t>
      </w:r>
      <w:r w:rsidR="005C5428">
        <w:rPr>
          <w:rFonts w:ascii="Times New Roman" w:hAnsi="Times New Roman" w:cs="Times New Roman"/>
          <w:b/>
          <w:color w:val="000000" w:themeColor="text1"/>
          <w:sz w:val="20"/>
          <w:szCs w:val="20"/>
        </w:rPr>
        <w:t>s</w:t>
      </w:r>
    </w:p>
    <w:p w14:paraId="28ED9AC7" w14:textId="56D4E019" w:rsidR="00BC3492" w:rsidRDefault="00941426" w:rsidP="00E17010">
      <w:pPr>
        <w:spacing w:line="480" w:lineRule="auto"/>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People living with </w:t>
      </w:r>
      <w:r w:rsidR="004E2E12">
        <w:rPr>
          <w:rFonts w:ascii="Times New Roman" w:hAnsi="Times New Roman" w:cs="Times New Roman"/>
          <w:color w:val="000000" w:themeColor="text1"/>
          <w:sz w:val="20"/>
          <w:szCs w:val="20"/>
        </w:rPr>
        <w:t xml:space="preserve">multiple sclerosis </w:t>
      </w:r>
      <w:r>
        <w:rPr>
          <w:rFonts w:ascii="Times New Roman" w:hAnsi="Times New Roman" w:cs="Times New Roman"/>
          <w:color w:val="000000" w:themeColor="text1"/>
          <w:sz w:val="20"/>
          <w:szCs w:val="20"/>
        </w:rPr>
        <w:t xml:space="preserve">in </w:t>
      </w:r>
      <w:r w:rsidR="00896EB3">
        <w:rPr>
          <w:rFonts w:ascii="Times New Roman" w:hAnsi="Times New Roman" w:cs="Times New Roman"/>
          <w:color w:val="000000" w:themeColor="text1"/>
          <w:sz w:val="20"/>
          <w:szCs w:val="20"/>
        </w:rPr>
        <w:t>resource-rich regions</w:t>
      </w:r>
      <w:r>
        <w:rPr>
          <w:rFonts w:ascii="Times New Roman" w:hAnsi="Times New Roman" w:cs="Times New Roman"/>
          <w:color w:val="000000" w:themeColor="text1"/>
          <w:sz w:val="20"/>
          <w:szCs w:val="20"/>
        </w:rPr>
        <w:t xml:space="preserve"> now have </w:t>
      </w:r>
      <w:r w:rsidR="004E2E12">
        <w:rPr>
          <w:rFonts w:ascii="Times New Roman" w:hAnsi="Times New Roman" w:cs="Times New Roman"/>
          <w:color w:val="000000" w:themeColor="text1"/>
          <w:sz w:val="20"/>
          <w:szCs w:val="20"/>
        </w:rPr>
        <w:t xml:space="preserve">access to </w:t>
      </w:r>
      <w:r>
        <w:rPr>
          <w:rFonts w:ascii="Times New Roman" w:hAnsi="Times New Roman" w:cs="Times New Roman"/>
          <w:color w:val="000000" w:themeColor="text1"/>
          <w:sz w:val="20"/>
          <w:szCs w:val="20"/>
        </w:rPr>
        <w:t xml:space="preserve">a </w:t>
      </w:r>
      <w:r w:rsidR="004E2E12">
        <w:rPr>
          <w:rFonts w:ascii="Times New Roman" w:hAnsi="Times New Roman" w:cs="Times New Roman"/>
          <w:color w:val="000000" w:themeColor="text1"/>
          <w:sz w:val="20"/>
          <w:szCs w:val="20"/>
        </w:rPr>
        <w:t xml:space="preserve">range </w:t>
      </w:r>
      <w:r>
        <w:rPr>
          <w:rFonts w:ascii="Times New Roman" w:hAnsi="Times New Roman" w:cs="Times New Roman"/>
          <w:color w:val="000000" w:themeColor="text1"/>
          <w:sz w:val="20"/>
          <w:szCs w:val="20"/>
        </w:rPr>
        <w:t xml:space="preserve">of </w:t>
      </w:r>
      <w:r w:rsidR="004E2E12">
        <w:rPr>
          <w:rFonts w:ascii="Times New Roman" w:hAnsi="Times New Roman" w:cs="Times New Roman"/>
          <w:color w:val="000000" w:themeColor="text1"/>
          <w:sz w:val="20"/>
          <w:szCs w:val="20"/>
        </w:rPr>
        <w:t xml:space="preserve">anti-inflammatory </w:t>
      </w:r>
      <w:r>
        <w:rPr>
          <w:rFonts w:ascii="Times New Roman" w:hAnsi="Times New Roman" w:cs="Times New Roman"/>
          <w:color w:val="000000" w:themeColor="text1"/>
          <w:sz w:val="20"/>
          <w:szCs w:val="20"/>
        </w:rPr>
        <w:t xml:space="preserve">treatments </w:t>
      </w:r>
      <w:r w:rsidR="004E2E12">
        <w:rPr>
          <w:rFonts w:ascii="Times New Roman" w:hAnsi="Times New Roman" w:cs="Times New Roman"/>
          <w:color w:val="000000" w:themeColor="text1"/>
          <w:sz w:val="20"/>
          <w:szCs w:val="20"/>
        </w:rPr>
        <w:t>which promise long-term disease modification if given early in the course of the relapsing-remitting phase of the disease. However, even the most effective of these treatments leaves significant numbers of axons demyelinated and vulnerable to degeneration, which is the substrate of progressive disability.</w:t>
      </w:r>
      <w:r>
        <w:rPr>
          <w:rFonts w:ascii="Times New Roman" w:hAnsi="Times New Roman" w:cs="Times New Roman"/>
          <w:color w:val="000000" w:themeColor="text1"/>
          <w:sz w:val="20"/>
          <w:szCs w:val="20"/>
        </w:rPr>
        <w:t xml:space="preserve"> Finding remyelinating therapies, with the potential to both restore function and prevent axon degeneration, is therefore an urgent clinical need.</w:t>
      </w:r>
    </w:p>
    <w:p w14:paraId="58C597C5" w14:textId="667138DA" w:rsidR="00941426" w:rsidRDefault="00BC3492" w:rsidP="00E17010">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A</w:t>
      </w:r>
      <w:r w:rsidR="00941426">
        <w:rPr>
          <w:rFonts w:ascii="Times New Roman" w:hAnsi="Times New Roman" w:cs="Times New Roman"/>
          <w:color w:val="000000" w:themeColor="text1"/>
          <w:sz w:val="20"/>
          <w:szCs w:val="20"/>
        </w:rPr>
        <w:t xml:space="preserve"> host</w:t>
      </w:r>
      <w:r w:rsidR="007060C8">
        <w:rPr>
          <w:rFonts w:ascii="Times New Roman" w:hAnsi="Times New Roman" w:cs="Times New Roman"/>
          <w:color w:val="000000" w:themeColor="text1"/>
          <w:sz w:val="20"/>
          <w:szCs w:val="20"/>
        </w:rPr>
        <w:t xml:space="preserve"> of strategies</w:t>
      </w:r>
      <w:r>
        <w:rPr>
          <w:rFonts w:ascii="Times New Roman" w:hAnsi="Times New Roman" w:cs="Times New Roman"/>
          <w:color w:val="000000" w:themeColor="text1"/>
          <w:sz w:val="20"/>
          <w:szCs w:val="20"/>
        </w:rPr>
        <w:t xml:space="preserve"> have been identified</w:t>
      </w:r>
      <w:r w:rsidR="0037210C">
        <w:rPr>
          <w:rFonts w:ascii="Times New Roman" w:hAnsi="Times New Roman" w:cs="Times New Roman"/>
          <w:color w:val="000000" w:themeColor="text1"/>
          <w:sz w:val="20"/>
          <w:szCs w:val="20"/>
        </w:rPr>
        <w:t xml:space="preserve"> from</w:t>
      </w:r>
      <w:r w:rsidR="00122845">
        <w:rPr>
          <w:rFonts w:ascii="Times New Roman" w:hAnsi="Times New Roman" w:cs="Times New Roman"/>
          <w:color w:val="000000" w:themeColor="text1"/>
          <w:sz w:val="20"/>
          <w:szCs w:val="20"/>
        </w:rPr>
        <w:t xml:space="preserve"> pre-clinical </w:t>
      </w:r>
      <w:r w:rsidR="000A62F5">
        <w:rPr>
          <w:rFonts w:ascii="Times New Roman" w:hAnsi="Times New Roman" w:cs="Times New Roman"/>
          <w:color w:val="000000" w:themeColor="text1"/>
          <w:sz w:val="20"/>
          <w:szCs w:val="20"/>
        </w:rPr>
        <w:t>research</w:t>
      </w:r>
      <w:r w:rsidR="00122845">
        <w:rPr>
          <w:rFonts w:ascii="Times New Roman" w:hAnsi="Times New Roman" w:cs="Times New Roman"/>
          <w:color w:val="000000" w:themeColor="text1"/>
          <w:sz w:val="20"/>
          <w:szCs w:val="20"/>
        </w:rPr>
        <w:t xml:space="preserve">, and </w:t>
      </w:r>
      <w:r w:rsidR="0037210C">
        <w:rPr>
          <w:rFonts w:ascii="Times New Roman" w:hAnsi="Times New Roman" w:cs="Times New Roman"/>
          <w:color w:val="000000" w:themeColor="text1"/>
          <w:sz w:val="20"/>
          <w:szCs w:val="20"/>
        </w:rPr>
        <w:t xml:space="preserve">some </w:t>
      </w:r>
      <w:r w:rsidR="00122845">
        <w:rPr>
          <w:rFonts w:ascii="Times New Roman" w:hAnsi="Times New Roman" w:cs="Times New Roman"/>
          <w:color w:val="000000" w:themeColor="text1"/>
          <w:sz w:val="20"/>
          <w:szCs w:val="20"/>
        </w:rPr>
        <w:t xml:space="preserve">have now been translated to </w:t>
      </w:r>
      <w:r w:rsidR="0037210C">
        <w:rPr>
          <w:rFonts w:ascii="Times New Roman" w:hAnsi="Times New Roman" w:cs="Times New Roman"/>
          <w:color w:val="000000" w:themeColor="text1"/>
          <w:sz w:val="20"/>
          <w:szCs w:val="20"/>
        </w:rPr>
        <w:t xml:space="preserve">early phase </w:t>
      </w:r>
      <w:r w:rsidR="00122845">
        <w:rPr>
          <w:rFonts w:ascii="Times New Roman" w:hAnsi="Times New Roman" w:cs="Times New Roman"/>
          <w:color w:val="000000" w:themeColor="text1"/>
          <w:sz w:val="20"/>
          <w:szCs w:val="20"/>
        </w:rPr>
        <w:t xml:space="preserve">clinical trials. </w:t>
      </w:r>
      <w:r w:rsidR="0037210C">
        <w:rPr>
          <w:rFonts w:ascii="Times New Roman" w:hAnsi="Times New Roman" w:cs="Times New Roman"/>
          <w:color w:val="000000" w:themeColor="text1"/>
          <w:sz w:val="20"/>
          <w:szCs w:val="20"/>
        </w:rPr>
        <w:t xml:space="preserve">Two of these have yielded positive results on surrogate measures, such as VEP latency or </w:t>
      </w:r>
      <w:proofErr w:type="spellStart"/>
      <w:r w:rsidR="0037210C">
        <w:rPr>
          <w:rFonts w:ascii="Times New Roman" w:hAnsi="Times New Roman" w:cs="Times New Roman"/>
          <w:color w:val="000000" w:themeColor="text1"/>
          <w:sz w:val="20"/>
          <w:szCs w:val="20"/>
        </w:rPr>
        <w:t>lesional</w:t>
      </w:r>
      <w:proofErr w:type="spellEnd"/>
      <w:r w:rsidR="0037210C">
        <w:rPr>
          <w:rFonts w:ascii="Times New Roman" w:hAnsi="Times New Roman" w:cs="Times New Roman"/>
          <w:color w:val="000000" w:themeColor="text1"/>
          <w:sz w:val="20"/>
          <w:szCs w:val="20"/>
        </w:rPr>
        <w:t xml:space="preserve"> MTR, whose clinical validity has yet to be demonstrated. T</w:t>
      </w:r>
      <w:r w:rsidR="00E6697D">
        <w:rPr>
          <w:rFonts w:ascii="Times New Roman" w:hAnsi="Times New Roman" w:cs="Times New Roman"/>
          <w:color w:val="000000" w:themeColor="text1"/>
          <w:sz w:val="20"/>
          <w:szCs w:val="20"/>
        </w:rPr>
        <w:t xml:space="preserve">here have also been setbacks, </w:t>
      </w:r>
      <w:r w:rsidR="00676551">
        <w:rPr>
          <w:rFonts w:ascii="Times New Roman" w:hAnsi="Times New Roman" w:cs="Times New Roman"/>
          <w:color w:val="000000" w:themeColor="text1"/>
          <w:sz w:val="20"/>
          <w:szCs w:val="20"/>
        </w:rPr>
        <w:t xml:space="preserve">such as </w:t>
      </w:r>
      <w:r w:rsidR="00E6697D">
        <w:rPr>
          <w:rFonts w:ascii="Times New Roman" w:hAnsi="Times New Roman" w:cs="Times New Roman"/>
          <w:color w:val="000000" w:themeColor="text1"/>
          <w:sz w:val="20"/>
          <w:szCs w:val="20"/>
        </w:rPr>
        <w:t xml:space="preserve">the failure of anti-Lingo-1 antibodies in phase </w:t>
      </w:r>
      <w:r w:rsidR="00F5445D">
        <w:rPr>
          <w:rFonts w:ascii="Times New Roman" w:hAnsi="Times New Roman" w:cs="Times New Roman"/>
          <w:color w:val="000000" w:themeColor="text1"/>
          <w:sz w:val="20"/>
          <w:szCs w:val="20"/>
        </w:rPr>
        <w:t>2</w:t>
      </w:r>
      <w:r w:rsidR="00E6697D">
        <w:rPr>
          <w:rFonts w:ascii="Times New Roman" w:hAnsi="Times New Roman" w:cs="Times New Roman"/>
          <w:color w:val="000000" w:themeColor="text1"/>
          <w:sz w:val="20"/>
          <w:szCs w:val="20"/>
        </w:rPr>
        <w:t xml:space="preserve"> trials to replicate </w:t>
      </w:r>
      <w:proofErr w:type="spellStart"/>
      <w:r w:rsidR="00E6697D">
        <w:rPr>
          <w:rFonts w:ascii="Times New Roman" w:hAnsi="Times New Roman" w:cs="Times New Roman"/>
          <w:color w:val="000000" w:themeColor="text1"/>
          <w:sz w:val="20"/>
          <w:szCs w:val="20"/>
        </w:rPr>
        <w:t>the</w:t>
      </w:r>
      <w:r w:rsidR="0037210C">
        <w:rPr>
          <w:rFonts w:ascii="Times New Roman" w:hAnsi="Times New Roman" w:cs="Times New Roman"/>
          <w:color w:val="000000" w:themeColor="text1"/>
          <w:sz w:val="20"/>
          <w:szCs w:val="20"/>
        </w:rPr>
        <w:t>ir</w:t>
      </w:r>
      <w:proofErr w:type="spellEnd"/>
      <w:r w:rsidR="0037210C">
        <w:rPr>
          <w:rFonts w:ascii="Times New Roman" w:hAnsi="Times New Roman" w:cs="Times New Roman"/>
          <w:color w:val="000000" w:themeColor="text1"/>
          <w:sz w:val="20"/>
          <w:szCs w:val="20"/>
        </w:rPr>
        <w:t xml:space="preserve"> in vitro</w:t>
      </w:r>
      <w:r w:rsidR="00E6697D">
        <w:rPr>
          <w:rFonts w:ascii="Times New Roman" w:hAnsi="Times New Roman" w:cs="Times New Roman"/>
          <w:color w:val="000000" w:themeColor="text1"/>
          <w:sz w:val="20"/>
          <w:szCs w:val="20"/>
        </w:rPr>
        <w:t xml:space="preserve"> efficacy. </w:t>
      </w:r>
    </w:p>
    <w:p w14:paraId="01CFB0F8" w14:textId="3EB47E6A" w:rsidR="00E6697D" w:rsidRDefault="000A62F5" w:rsidP="00E17010">
      <w:pPr>
        <w:spacing w:line="480" w:lineRule="auto"/>
        <w:ind w:firstLine="720"/>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In this review we have highlighted a number of unresolved questions the scientific community faces. First, to ensure we take the right drugs forward, we</w:t>
      </w:r>
      <w:r w:rsidR="00E6697D">
        <w:rPr>
          <w:rFonts w:ascii="Times New Roman" w:hAnsi="Times New Roman" w:cs="Times New Roman"/>
          <w:color w:val="000000" w:themeColor="text1"/>
          <w:sz w:val="20"/>
          <w:szCs w:val="20"/>
        </w:rPr>
        <w:t xml:space="preserve"> must </w:t>
      </w:r>
      <w:r>
        <w:rPr>
          <w:rFonts w:ascii="Times New Roman" w:hAnsi="Times New Roman" w:cs="Times New Roman"/>
          <w:color w:val="000000" w:themeColor="text1"/>
          <w:sz w:val="20"/>
          <w:szCs w:val="20"/>
        </w:rPr>
        <w:t xml:space="preserve">continue to develop </w:t>
      </w:r>
      <w:r w:rsidR="00E6697D">
        <w:rPr>
          <w:rFonts w:ascii="Times New Roman" w:hAnsi="Times New Roman" w:cs="Times New Roman"/>
          <w:color w:val="000000" w:themeColor="text1"/>
          <w:sz w:val="20"/>
          <w:szCs w:val="20"/>
        </w:rPr>
        <w:t>an</w:t>
      </w:r>
      <w:r>
        <w:rPr>
          <w:rFonts w:ascii="Times New Roman" w:hAnsi="Times New Roman" w:cs="Times New Roman"/>
          <w:color w:val="000000" w:themeColor="text1"/>
          <w:sz w:val="20"/>
          <w:szCs w:val="20"/>
        </w:rPr>
        <w:t xml:space="preserve"> understanding of the barriers to remyelination</w:t>
      </w:r>
      <w:r w:rsidR="00E6697D">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specifically in </w:t>
      </w:r>
      <w:r w:rsidR="00E10FC0">
        <w:rPr>
          <w:rFonts w:ascii="Times New Roman" w:hAnsi="Times New Roman" w:cs="Times New Roman"/>
          <w:color w:val="000000" w:themeColor="text1"/>
          <w:sz w:val="20"/>
          <w:szCs w:val="20"/>
        </w:rPr>
        <w:t>humans</w:t>
      </w:r>
      <w:r w:rsidR="00E6697D">
        <w:rPr>
          <w:rFonts w:ascii="Times New Roman" w:hAnsi="Times New Roman" w:cs="Times New Roman"/>
          <w:color w:val="000000" w:themeColor="text1"/>
          <w:sz w:val="20"/>
          <w:szCs w:val="20"/>
        </w:rPr>
        <w:t>,</w:t>
      </w:r>
      <w:r>
        <w:rPr>
          <w:rFonts w:ascii="Times New Roman" w:hAnsi="Times New Roman" w:cs="Times New Roman"/>
          <w:color w:val="000000" w:themeColor="text1"/>
          <w:sz w:val="20"/>
          <w:szCs w:val="20"/>
        </w:rPr>
        <w:t xml:space="preserve"> and better appreciate how biology observed in animal models of remyelination translates into human disease. Second, we need to identify which is the best, most reliable, measure of remyelination to use in clinical trials. Third, we must clarify when is the best time to initiate a remyelinating treatment in the disease course. And finally, we need to consider which is the m</w:t>
      </w:r>
      <w:r w:rsidR="00E6697D">
        <w:rPr>
          <w:rFonts w:ascii="Times New Roman" w:hAnsi="Times New Roman" w:cs="Times New Roman"/>
          <w:color w:val="000000" w:themeColor="text1"/>
          <w:sz w:val="20"/>
          <w:szCs w:val="20"/>
        </w:rPr>
        <w:t>ost appropriate test population for our trials. Ultimately, more work is required to reach a reality of neurologists prescribing neuroprotective treatments to people with MS, however advances in the last decade have made this look increasingly probable.</w:t>
      </w:r>
    </w:p>
    <w:p w14:paraId="33F291F2" w14:textId="0DC98658" w:rsidR="00AF53FB" w:rsidRDefault="00AF53FB" w:rsidP="00AF53FB">
      <w:pPr>
        <w:spacing w:line="480" w:lineRule="auto"/>
        <w:rPr>
          <w:rFonts w:ascii="Times New Roman" w:hAnsi="Times New Roman" w:cs="Times New Roman"/>
          <w:color w:val="000000" w:themeColor="text1"/>
          <w:sz w:val="20"/>
          <w:szCs w:val="20"/>
        </w:rPr>
      </w:pPr>
    </w:p>
    <w:p w14:paraId="07339A5D" w14:textId="60439CCE" w:rsidR="00AF53FB" w:rsidRPr="00AF53FB" w:rsidRDefault="00AF53FB" w:rsidP="00AF53FB">
      <w:pPr>
        <w:spacing w:line="480" w:lineRule="auto"/>
        <w:rPr>
          <w:rFonts w:ascii="Times New Roman" w:hAnsi="Times New Roman" w:cs="Times New Roman"/>
          <w:b/>
          <w:color w:val="000000" w:themeColor="text1"/>
          <w:sz w:val="20"/>
          <w:szCs w:val="20"/>
        </w:rPr>
      </w:pPr>
      <w:r>
        <w:rPr>
          <w:rFonts w:ascii="Times New Roman" w:hAnsi="Times New Roman" w:cs="Times New Roman"/>
          <w:b/>
          <w:color w:val="000000" w:themeColor="text1"/>
          <w:sz w:val="20"/>
          <w:szCs w:val="20"/>
        </w:rPr>
        <w:t>Conflict of interest statement</w:t>
      </w:r>
    </w:p>
    <w:p w14:paraId="6B939FDA" w14:textId="36D2074C" w:rsidR="00654C6E" w:rsidRDefault="00AF53FB" w:rsidP="00E17010">
      <w:pPr>
        <w:spacing w:line="480" w:lineRule="auto"/>
        <w:rPr>
          <w:rFonts w:ascii="Times New Roman" w:hAnsi="Times New Roman" w:cs="Times New Roman"/>
          <w:color w:val="000000" w:themeColor="text1"/>
          <w:sz w:val="20"/>
          <w:szCs w:val="20"/>
        </w:rPr>
      </w:pPr>
      <w:r w:rsidRPr="00AF53FB">
        <w:rPr>
          <w:rFonts w:ascii="Times New Roman" w:hAnsi="Times New Roman" w:cs="Times New Roman"/>
          <w:color w:val="000000" w:themeColor="text1"/>
          <w:sz w:val="20"/>
          <w:szCs w:val="20"/>
        </w:rPr>
        <w:t>On behalf of all authors, the corresponding author states that there is no conflict of interest.</w:t>
      </w:r>
    </w:p>
    <w:p w14:paraId="326EC42E" w14:textId="3DBC224A" w:rsidR="00670359" w:rsidRDefault="00670359" w:rsidP="00E17010">
      <w:pPr>
        <w:spacing w:line="480" w:lineRule="auto"/>
        <w:rPr>
          <w:rFonts w:ascii="Times New Roman" w:hAnsi="Times New Roman" w:cs="Times New Roman"/>
          <w:color w:val="000000" w:themeColor="text1"/>
          <w:sz w:val="20"/>
          <w:szCs w:val="20"/>
        </w:rPr>
      </w:pPr>
    </w:p>
    <w:p w14:paraId="757C45A0" w14:textId="7679D90A" w:rsidR="00670359" w:rsidRDefault="00670359">
      <w:pPr>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br w:type="page"/>
      </w:r>
    </w:p>
    <w:p w14:paraId="6716C6A1" w14:textId="77777777" w:rsidR="00670359" w:rsidRPr="00166AA1" w:rsidRDefault="00670359" w:rsidP="00670359">
      <w:pPr>
        <w:keepNext/>
        <w:spacing w:after="200"/>
        <w:rPr>
          <w:rFonts w:ascii="Times New Roman" w:eastAsia="MS Mincho" w:hAnsi="Times New Roman" w:cs="Times New Roman"/>
          <w:b/>
          <w:bCs/>
          <w:sz w:val="20"/>
          <w:szCs w:val="20"/>
        </w:rPr>
      </w:pPr>
      <w:r w:rsidRPr="00166AA1">
        <w:rPr>
          <w:rFonts w:ascii="Times New Roman" w:eastAsia="MS Mincho" w:hAnsi="Times New Roman" w:cs="Times New Roman"/>
          <w:b/>
          <w:bCs/>
          <w:sz w:val="20"/>
          <w:szCs w:val="20"/>
        </w:rPr>
        <w:lastRenderedPageBreak/>
        <w:t xml:space="preserve">Table </w:t>
      </w:r>
      <w:r w:rsidRPr="00166AA1">
        <w:rPr>
          <w:rFonts w:ascii="Times New Roman" w:eastAsia="MS Mincho" w:hAnsi="Times New Roman" w:cs="Times New Roman"/>
          <w:b/>
          <w:bCs/>
          <w:sz w:val="20"/>
          <w:szCs w:val="20"/>
        </w:rPr>
        <w:fldChar w:fldCharType="begin"/>
      </w:r>
      <w:r w:rsidRPr="00166AA1">
        <w:rPr>
          <w:rFonts w:ascii="Times New Roman" w:eastAsia="MS Mincho" w:hAnsi="Times New Roman" w:cs="Times New Roman"/>
          <w:b/>
          <w:bCs/>
          <w:sz w:val="20"/>
          <w:szCs w:val="20"/>
        </w:rPr>
        <w:instrText xml:space="preserve"> SEQ Table \* ARABIC </w:instrText>
      </w:r>
      <w:r w:rsidRPr="00166AA1">
        <w:rPr>
          <w:rFonts w:ascii="Times New Roman" w:eastAsia="MS Mincho" w:hAnsi="Times New Roman" w:cs="Times New Roman"/>
          <w:b/>
          <w:bCs/>
          <w:sz w:val="20"/>
          <w:szCs w:val="20"/>
        </w:rPr>
        <w:fldChar w:fldCharType="separate"/>
      </w:r>
      <w:r w:rsidRPr="00166AA1">
        <w:rPr>
          <w:rFonts w:ascii="Times New Roman" w:eastAsia="MS Mincho" w:hAnsi="Times New Roman" w:cs="Times New Roman"/>
          <w:b/>
          <w:bCs/>
          <w:noProof/>
          <w:sz w:val="20"/>
          <w:szCs w:val="20"/>
        </w:rPr>
        <w:t>1</w:t>
      </w:r>
      <w:r w:rsidRPr="00166AA1">
        <w:rPr>
          <w:rFonts w:ascii="Times New Roman" w:eastAsia="MS Mincho" w:hAnsi="Times New Roman" w:cs="Times New Roman"/>
          <w:b/>
          <w:bCs/>
          <w:sz w:val="20"/>
          <w:szCs w:val="20"/>
        </w:rPr>
        <w:fldChar w:fldCharType="end"/>
      </w:r>
      <w:r w:rsidRPr="00166AA1">
        <w:rPr>
          <w:rFonts w:ascii="Times New Roman" w:eastAsia="MS Mincho" w:hAnsi="Times New Roman" w:cs="Times New Roman"/>
          <w:b/>
          <w:bCs/>
          <w:sz w:val="20"/>
          <w:szCs w:val="20"/>
        </w:rPr>
        <w:t>: Clinical trials of remyelination treatments in multiple sclerosis</w:t>
      </w:r>
    </w:p>
    <w:tbl>
      <w:tblPr>
        <w:tblStyle w:val="ListTable1Light-Accent11"/>
        <w:tblW w:w="0" w:type="auto"/>
        <w:tblLook w:val="04A0" w:firstRow="1" w:lastRow="0" w:firstColumn="1" w:lastColumn="0" w:noHBand="0" w:noVBand="1"/>
      </w:tblPr>
      <w:tblGrid>
        <w:gridCol w:w="1760"/>
        <w:gridCol w:w="3491"/>
        <w:gridCol w:w="1786"/>
        <w:gridCol w:w="2255"/>
      </w:tblGrid>
      <w:tr w:rsidR="00670359" w:rsidRPr="00166AA1" w14:paraId="12BDE73F" w14:textId="77777777" w:rsidTr="00B225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6FCEFD01"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Treatment (trial name, NCT ID)</w:t>
            </w:r>
          </w:p>
        </w:tc>
        <w:tc>
          <w:tcPr>
            <w:tcW w:w="3491" w:type="dxa"/>
          </w:tcPr>
          <w:p w14:paraId="72CD0C7E" w14:textId="77777777" w:rsidR="00670359" w:rsidRPr="00166AA1" w:rsidRDefault="00670359" w:rsidP="00B2250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Information</w:t>
            </w:r>
          </w:p>
        </w:tc>
        <w:tc>
          <w:tcPr>
            <w:tcW w:w="1786" w:type="dxa"/>
          </w:tcPr>
          <w:p w14:paraId="3F6524CD" w14:textId="77777777" w:rsidR="00670359" w:rsidRPr="00166AA1" w:rsidRDefault="00670359" w:rsidP="00B2250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Primary outcome</w:t>
            </w:r>
          </w:p>
        </w:tc>
        <w:tc>
          <w:tcPr>
            <w:tcW w:w="2255" w:type="dxa"/>
          </w:tcPr>
          <w:p w14:paraId="26419D06" w14:textId="77777777" w:rsidR="00670359" w:rsidRPr="00166AA1" w:rsidRDefault="00670359" w:rsidP="00B2250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Status/result</w:t>
            </w:r>
          </w:p>
          <w:p w14:paraId="3E31ACC5" w14:textId="77777777" w:rsidR="00670359" w:rsidRPr="00166AA1" w:rsidRDefault="00670359" w:rsidP="00B2250B">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(references)</w:t>
            </w:r>
          </w:p>
        </w:tc>
      </w:tr>
      <w:tr w:rsidR="00670359" w:rsidRPr="00166AA1" w14:paraId="19EB061B"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1A5D2206"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Liothyronine</w:t>
            </w:r>
            <w:proofErr w:type="spellEnd"/>
            <w:r w:rsidRPr="00166AA1">
              <w:rPr>
                <w:rFonts w:ascii="Times New Roman" w:hAnsi="Times New Roman" w:cs="Times New Roman"/>
                <w:color w:val="000000"/>
                <w:sz w:val="16"/>
                <w:szCs w:val="16"/>
              </w:rPr>
              <w:t xml:space="preserve"> (MST3K, NCT02760056)</w:t>
            </w:r>
          </w:p>
        </w:tc>
        <w:tc>
          <w:tcPr>
            <w:tcW w:w="3491" w:type="dxa"/>
          </w:tcPr>
          <w:p w14:paraId="01EEF442"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A phase I, randomised, double-blind, placebo-controlled, dose-finding trial of </w:t>
            </w:r>
            <w:proofErr w:type="spellStart"/>
            <w:r w:rsidRPr="00166AA1">
              <w:rPr>
                <w:rFonts w:ascii="Times New Roman" w:hAnsi="Times New Roman" w:cs="Times New Roman"/>
                <w:color w:val="000000"/>
                <w:sz w:val="16"/>
                <w:szCs w:val="16"/>
              </w:rPr>
              <w:t>liothyronine</w:t>
            </w:r>
            <w:proofErr w:type="spellEnd"/>
            <w:r w:rsidRPr="00166AA1">
              <w:rPr>
                <w:rFonts w:ascii="Times New Roman" w:hAnsi="Times New Roman" w:cs="Times New Roman"/>
                <w:color w:val="000000"/>
                <w:sz w:val="16"/>
                <w:szCs w:val="16"/>
              </w:rPr>
              <w:t xml:space="preserve"> sodium (L-T3) given for one week to people with any type of MS</w:t>
            </w:r>
          </w:p>
        </w:tc>
        <w:tc>
          <w:tcPr>
            <w:tcW w:w="1786" w:type="dxa"/>
          </w:tcPr>
          <w:p w14:paraId="471D44AB"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Maximum tolerated dose of L-T3 as measured by hyperthyroid symptom scale</w:t>
            </w:r>
          </w:p>
        </w:tc>
        <w:tc>
          <w:tcPr>
            <w:tcW w:w="2255" w:type="dxa"/>
          </w:tcPr>
          <w:p w14:paraId="48E032E8"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 Results awaited</w:t>
            </w:r>
          </w:p>
          <w:p w14:paraId="5C0DD681"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p>
        </w:tc>
      </w:tr>
      <w:tr w:rsidR="00670359" w:rsidRPr="00166AA1" w14:paraId="0D03211B"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6855FB38"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Interferon β1a/</w:t>
            </w:r>
          </w:p>
          <w:p w14:paraId="45938323"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Rebif</w:t>
            </w:r>
            <w:proofErr w:type="spellEnd"/>
          </w:p>
          <w:p w14:paraId="471AAFDA"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(NCT01085318)</w:t>
            </w:r>
          </w:p>
        </w:tc>
        <w:tc>
          <w:tcPr>
            <w:tcW w:w="3491" w:type="dxa"/>
          </w:tcPr>
          <w:p w14:paraId="65D92BBD"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A phase IV, open label study of </w:t>
            </w:r>
            <w:proofErr w:type="spellStart"/>
            <w:r w:rsidRPr="00166AA1">
              <w:rPr>
                <w:rFonts w:ascii="Times New Roman" w:hAnsi="Times New Roman" w:cs="Times New Roman"/>
                <w:color w:val="000000"/>
                <w:sz w:val="16"/>
                <w:szCs w:val="16"/>
              </w:rPr>
              <w:t>Rebif</w:t>
            </w:r>
            <w:proofErr w:type="spellEnd"/>
            <w:r w:rsidRPr="00166AA1">
              <w:rPr>
                <w:rFonts w:ascii="Times New Roman" w:hAnsi="Times New Roman" w:cs="Times New Roman"/>
                <w:color w:val="000000"/>
                <w:sz w:val="16"/>
                <w:szCs w:val="16"/>
              </w:rPr>
              <w:t xml:space="preserve"> 44 mcg three times weekly in people with RRMS compared to healthy controls</w:t>
            </w:r>
          </w:p>
        </w:tc>
        <w:tc>
          <w:tcPr>
            <w:tcW w:w="1786" w:type="dxa"/>
          </w:tcPr>
          <w:p w14:paraId="576FE0ED"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Change in volume of normal appearing brain tissue (NABT) showing increasing MTR at 24 weeks</w:t>
            </w:r>
          </w:p>
        </w:tc>
        <w:tc>
          <w:tcPr>
            <w:tcW w:w="2255" w:type="dxa"/>
          </w:tcPr>
          <w:p w14:paraId="7A14DA2E"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 Failed to meet primary endpoint, though NABT volume with increasing MTR was greater in patients at 12 weeks compared to healthy controls</w:t>
            </w:r>
            <w:r w:rsidRPr="00166AA1">
              <w:rPr>
                <w:rFonts w:ascii="Times New Roman" w:hAnsi="Times New Roman" w:cs="Times New Roman"/>
                <w:color w:val="000000"/>
                <w:sz w:val="16"/>
                <w:szCs w:val="16"/>
              </w:rPr>
              <w:fldChar w:fldCharType="begin"/>
            </w:r>
            <w:r w:rsidRPr="00166AA1">
              <w:rPr>
                <w:rFonts w:ascii="Times New Roman" w:hAnsi="Times New Roman" w:cs="Times New Roman"/>
                <w:color w:val="000000"/>
                <w:sz w:val="16"/>
                <w:szCs w:val="16"/>
              </w:rPr>
              <w:instrText xml:space="preserve"> ADDIN ZOTERO_ITEM CSL_CITATION {"citationID":"RT2oO2Qf","properties":{"formattedCitation":"(107)","plainCitation":"(107)","noteIndex":0},"citationItems":[{"id":325,"uris":["http://zotero.org/users/local/OxFKn8nN/items/CCYC7YD7"],"uri":["http://zotero.org/users/local/OxFKn8nN/items/CCYC7YD7"],"itemData":{"id":325,"type":"article-journal","title":"Effect of Treatment with Interferon Beta-1a on Changes in Voxel-Wise Magnetization Transfer Ratio in Normal Appearing Brain Tissue and Lesions of Patients with Relapsing–Remitting Multiple Sclerosis: A 24-Week, Controlled Pilot Study","container-title":"PLOS ONE","page":"e91098","volume":"9","issue":"3","abstract":"Background This pilot study investigated changes in remyelinating and demyelinating activity in normal appearing brain tissue (NABT) and lesions, by using voxel-wise magnetization transfer ratio (VW-MTR), in patients with relapsing–remitting multiple sclerosis (RRMS) receiving interferon beta-1a 44 mcg subcutaneously (IFN β-1a SC) three times weekly versus healthy controls (HCs) (NCT01085318). Methods Increasing (suggestive of remyelination) and decreasing (suggestive of demyelination) VW-MTR changes in NABT and in T2, T1 and gadolinium (Gd)-enhancing lesion volume were measured over 24 weeks in 23 patients treated with IFN β-1a SC and in 15 HCs (where applicable). VW-MTR changes were tested using the Wilcoxon signed–rank or Wilcoxon rank–sum test. Results A trend for greater volume of NABT with increasing VW-MTR at 24 weeks was observed for patients versus HCs (median [range] 1206 [0–15278]; 342 [0–951] mm3; p = 0.061). NABT volume with increasing VW-MTR at 12 weeks was significantly greater in patients than in HCs (852 [6–11577]; 360 [0–1755] mm3; p = 0.028). Similar findings were detected for lesion volumes. Two patients with notably high numbers of Gd-enhancing lesions at baseline had a markedly greater volume of tissue with increasing VW-MTR compared with other patients. Volume of NABT tissue with decreasing VW-MTR was significantly greater in patients versus HCs at 24 weeks (942 [0–6141]; 297 [0–852] mm3; p&lt;0.001). Conclusions The significant change in NABT volume with increasing VW-MTR at 12 weeks suggests that active remyelination in patients with RRMS may occur during treatment with IFN β-1a SC. Findings from two patients with the highest number of Gd-enhancing lesions at baseline suggest that extensive remyelination in NABT may occur in patients with high disease activity. Tissue volume with decreasing VW-MTR was greater in patients than in HCs, despite treatment, validating the sensitivity of this technique for detecting MS disease activity. Trial Registration ClinicalTrials.gov NCT01085318.","DOI":"10.1371/journal.pone.0091098","journalAbbreviation":"PLOS ONE","author":[{"family":"Zivadinov","given":"Robert"},{"family":"Dwyer","given":"Michael G."},{"family":"Markovic-Plese","given":"Silva"},{"family":"Kennedy","given":"Cheryl"},{"family":"Bergsland","given":"Niels"},{"family":"Ramasamy","given":"Deepa P."},{"family":"Durfee","given":"Jacqueline"},{"family":"Hojnacki","given":"David"},{"family":"Hayward","given":"Brooke"},{"family":"Dangond","given":"Fernando"},{"family":"Weinstock-Guttman","given":"Bianca"}],"issued":{"date-parts":[["2014",3,13]]}}}],"schema":"https://github.com/citation-style-language/schema/raw/master/csl-citation.json"} </w:instrText>
            </w:r>
            <w:r w:rsidRPr="00166AA1">
              <w:rPr>
                <w:rFonts w:ascii="Times New Roman" w:hAnsi="Times New Roman" w:cs="Times New Roman"/>
                <w:color w:val="000000"/>
                <w:sz w:val="16"/>
                <w:szCs w:val="16"/>
              </w:rPr>
              <w:fldChar w:fldCharType="separate"/>
            </w:r>
            <w:r w:rsidRPr="00166AA1">
              <w:rPr>
                <w:rFonts w:ascii="Times New Roman" w:hAnsi="Times New Roman" w:cs="Times New Roman"/>
                <w:color w:val="000000"/>
                <w:sz w:val="16"/>
                <w:szCs w:val="16"/>
              </w:rPr>
              <w:t>[107]</w:t>
            </w:r>
            <w:r w:rsidRPr="00166AA1">
              <w:rPr>
                <w:rFonts w:ascii="Times New Roman" w:hAnsi="Times New Roman" w:cs="Times New Roman"/>
                <w:color w:val="000000"/>
                <w:sz w:val="16"/>
                <w:szCs w:val="16"/>
              </w:rPr>
              <w:fldChar w:fldCharType="end"/>
            </w:r>
          </w:p>
        </w:tc>
      </w:tr>
      <w:tr w:rsidR="00670359" w:rsidRPr="00166AA1" w14:paraId="29ABE24D"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4C19CF2A"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Natalizumab/</w:t>
            </w:r>
          </w:p>
          <w:p w14:paraId="152D6D9B"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Tysabri</w:t>
            </w:r>
            <w:proofErr w:type="spellEnd"/>
          </w:p>
          <w:p w14:paraId="0AD283A4"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(NCT00937677)</w:t>
            </w:r>
          </w:p>
        </w:tc>
        <w:tc>
          <w:tcPr>
            <w:tcW w:w="3491" w:type="dxa"/>
          </w:tcPr>
          <w:p w14:paraId="4910E41F"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IV</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open label, observational, single-blinded study of people with relapsing and relapsing progressive MS. 77 treated with natalizumab, 26 treated with intramuscular interferon, 22 healthy controls. </w:t>
            </w:r>
          </w:p>
        </w:tc>
        <w:tc>
          <w:tcPr>
            <w:tcW w:w="1786" w:type="dxa"/>
          </w:tcPr>
          <w:p w14:paraId="280C6649"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Change in volume of NABT with increasing MTR at 2 years</w:t>
            </w:r>
          </w:p>
        </w:tc>
        <w:tc>
          <w:tcPr>
            <w:tcW w:w="2255" w:type="dxa"/>
          </w:tcPr>
          <w:p w14:paraId="7EBCBD02"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Volume of NABT undergoing increases in MTR higher in natalizumab treated group compared to interferon and healthy controls</w:t>
            </w:r>
            <w:r w:rsidRPr="00166AA1">
              <w:rPr>
                <w:rFonts w:ascii="Times New Roman" w:hAnsi="Times New Roman" w:cs="Times New Roman"/>
                <w:color w:val="000000"/>
                <w:sz w:val="16"/>
                <w:szCs w:val="16"/>
              </w:rPr>
              <w:fldChar w:fldCharType="begin"/>
            </w:r>
            <w:r w:rsidRPr="00166AA1">
              <w:rPr>
                <w:rFonts w:ascii="Times New Roman" w:hAnsi="Times New Roman" w:cs="Times New Roman"/>
                <w:color w:val="000000"/>
                <w:sz w:val="16"/>
                <w:szCs w:val="16"/>
              </w:rPr>
              <w:instrText xml:space="preserve"> ADDIN ZOTERO_ITEM CSL_CITATION {"citationID":"VheuX0jk","properties":{"formattedCitation":"(108)","plainCitation":"(108)","noteIndex":0},"citationItems":[{"id":326,"uris":["http://zotero.org/users/local/OxFKn8nN/items/KY3J2JNX"],"uri":["http://zotero.org/users/local/OxFKn8nN/items/KY3J2JNX"],"itemData":{"id":326,"type":"article-journal","title":"Voxel-wise magnetization transfer imaging study of effects of natalizumab and IFNβ-1a in multiple sclerosis","container-title":"Multiple Sclerosis Journal","page":"1125-1134","volume":"18","issue":"8","abstract":"Objective:To determine the effects of intravenous natalizumab and intramuscular interferon beta-1a (IFN?-1a) on the volume of white-matter (WM) lesions and normal appearing brain tissue (NABT) undergoing voxel-wise (VW) increases in magnetization transfer ratio (MTR) suggestive of remyelination in patients with relapsing multiple sclerosis.Methods:This prospective, open-label, single-blinded study enrolled patients with relapsing?remitting multiple sclerosis (RRMS) and relapsing secondary progressive multiple sclerosis (RSPMS) as well as a group of age/sex-matched healthy controls (n=22). Patients with multiple sclerosis were assigned to receive natalizumab monotherapy (n=77; RRMS/RSPMS) or intramuscular IFN?-1a (n=26) as either monotherapy (RRMS) or combined with pulsed i.v. methylprednisolone, as needed (RSPMS). The primary endpoint was the two-year change in volume of NABT VWMTR, by quantifying the number of voxels that increased (suggesting remyelination) or decreased (suggesting demyelination) in their MTR value.Results:The volume of tissue undergoing increases in VWMTR was significantly larger in natalizumab compared with IFN?-1a-treated patients (year 1: p=0.001 in NABT and p&lt;0.006 in WM lesions; year 2: p=0.008 in NABT) and compared with healthy control subjects (year 1: p=0.05 and year 2: p=0.007 in NABT). The larger volume within NABT undergoing decreases in VWMTR was detected in multiple sclerosis patients compared with healthy controls (p&lt;0.001), and in the IFN?-1a group compared with the natalizumab group (year 1: p=0.05; year 2: p=0.002). One patient on natalizumab died from progressive multifocal leukoencephalopathy eight months after completing the study.Conclusion:Natalizumab may promote remyelination and stabilize demyelination in lesions and NABT in relapsing multiple sclerosis, compared with intramuscular IFN?-1a.","DOI":"10.1177/1352458511433304","ISSN":"1352-4585","journalAbbreviation":"Mult Scler","author":[{"family":"Zivadinov","given":"R"},{"family":"Dwyer","given":"MG"},{"family":"Hussein","given":"S"},{"family":"Carl","given":"E"},{"family":"Kennedy","given":"C"},{"family":"Andrews","given":"M"},{"family":"Hojnacki","given":"D"},{"family":"Heininen-Brown","given":"M"},{"family":"Willis","given":"L"},{"family":"Cherneva","given":"M"},{"family":"Bergsland","given":"N"},{"family":"Weinstock-Guttman","given":"B"}],"issued":{"date-parts":[["2011",12,22]]}}}],"schema":"https://github.com/citation-style-language/schema/raw/master/csl-citation.json"} </w:instrText>
            </w:r>
            <w:r w:rsidRPr="00166AA1">
              <w:rPr>
                <w:rFonts w:ascii="Times New Roman" w:hAnsi="Times New Roman" w:cs="Times New Roman"/>
                <w:color w:val="000000"/>
                <w:sz w:val="16"/>
                <w:szCs w:val="16"/>
              </w:rPr>
              <w:fldChar w:fldCharType="separate"/>
            </w:r>
            <w:r w:rsidRPr="00166AA1">
              <w:rPr>
                <w:rFonts w:ascii="Times New Roman" w:hAnsi="Times New Roman" w:cs="Times New Roman"/>
                <w:color w:val="000000"/>
                <w:sz w:val="16"/>
                <w:szCs w:val="16"/>
              </w:rPr>
              <w:t>[108]</w:t>
            </w:r>
            <w:r w:rsidRPr="00166AA1">
              <w:rPr>
                <w:rFonts w:ascii="Times New Roman" w:hAnsi="Times New Roman" w:cs="Times New Roman"/>
                <w:color w:val="000000"/>
                <w:sz w:val="16"/>
                <w:szCs w:val="16"/>
              </w:rPr>
              <w:fldChar w:fldCharType="end"/>
            </w:r>
          </w:p>
        </w:tc>
      </w:tr>
      <w:tr w:rsidR="00670359" w:rsidRPr="00166AA1" w14:paraId="686BBCFE"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42155F17"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CNM-Au8 </w:t>
            </w:r>
          </w:p>
          <w:p w14:paraId="48EDDB42"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Nanocrystalline</w:t>
            </w:r>
            <w:proofErr w:type="spellEnd"/>
            <w:r w:rsidRPr="00166AA1">
              <w:rPr>
                <w:rFonts w:ascii="Times New Roman" w:hAnsi="Times New Roman" w:cs="Times New Roman"/>
                <w:color w:val="000000"/>
                <w:sz w:val="16"/>
                <w:szCs w:val="16"/>
              </w:rPr>
              <w:t xml:space="preserve"> gold</w:t>
            </w:r>
          </w:p>
          <w:p w14:paraId="68014E03"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(NCT03536559)</w:t>
            </w:r>
          </w:p>
        </w:tc>
        <w:tc>
          <w:tcPr>
            <w:tcW w:w="3491" w:type="dxa"/>
          </w:tcPr>
          <w:p w14:paraId="151ABD88"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double-blind, placebo-controlled, parallel group study in 150 people with MS and evidence of chronic optic neuropathy.</w:t>
            </w:r>
          </w:p>
        </w:tc>
        <w:tc>
          <w:tcPr>
            <w:tcW w:w="1786" w:type="dxa"/>
          </w:tcPr>
          <w:p w14:paraId="3DE5C839"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Multifocal visual evoked potential latency at 24 weeks</w:t>
            </w:r>
          </w:p>
        </w:tc>
        <w:tc>
          <w:tcPr>
            <w:tcW w:w="2255" w:type="dxa"/>
          </w:tcPr>
          <w:p w14:paraId="333F06ED"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Recruiting</w:t>
            </w:r>
          </w:p>
          <w:p w14:paraId="13F9923C"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p>
        </w:tc>
      </w:tr>
      <w:tr w:rsidR="00670359" w:rsidRPr="00166AA1" w14:paraId="08C23574"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083E5B21"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Bexarotene</w:t>
            </w:r>
            <w:proofErr w:type="spellEnd"/>
          </w:p>
          <w:p w14:paraId="5B3AC852"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(CCMR One)</w:t>
            </w:r>
          </w:p>
        </w:tc>
        <w:tc>
          <w:tcPr>
            <w:tcW w:w="3491" w:type="dxa"/>
          </w:tcPr>
          <w:p w14:paraId="7923C8A1"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double-blind, placebo-controlled trial of 50 people with RRMS treated with dimethyl fumarate</w:t>
            </w:r>
          </w:p>
        </w:tc>
        <w:tc>
          <w:tcPr>
            <w:tcW w:w="1786" w:type="dxa"/>
          </w:tcPr>
          <w:p w14:paraId="6CD4B655"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Change in mean </w:t>
            </w:r>
            <w:proofErr w:type="spellStart"/>
            <w:r w:rsidRPr="00166AA1">
              <w:rPr>
                <w:rFonts w:ascii="Times New Roman" w:hAnsi="Times New Roman" w:cs="Times New Roman"/>
                <w:color w:val="000000"/>
                <w:sz w:val="16"/>
                <w:szCs w:val="16"/>
              </w:rPr>
              <w:t>lesional</w:t>
            </w:r>
            <w:proofErr w:type="spellEnd"/>
            <w:r w:rsidRPr="00166AA1">
              <w:rPr>
                <w:rFonts w:ascii="Times New Roman" w:hAnsi="Times New Roman" w:cs="Times New Roman"/>
                <w:color w:val="000000"/>
                <w:sz w:val="16"/>
                <w:szCs w:val="16"/>
              </w:rPr>
              <w:t xml:space="preserve"> MTR in chronic lesions with an MTR below the within-patient median</w:t>
            </w:r>
          </w:p>
        </w:tc>
        <w:tc>
          <w:tcPr>
            <w:tcW w:w="2255" w:type="dxa"/>
          </w:tcPr>
          <w:p w14:paraId="3763BFCF"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 Results awaited.</w:t>
            </w:r>
          </w:p>
        </w:tc>
      </w:tr>
      <w:tr w:rsidR="00670359" w:rsidRPr="00166AA1" w14:paraId="5E079846"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1D896109"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Alemtuzumab</w:t>
            </w:r>
          </w:p>
          <w:p w14:paraId="3A5C4B18"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(NCT01395316)</w:t>
            </w:r>
          </w:p>
        </w:tc>
        <w:tc>
          <w:tcPr>
            <w:tcW w:w="3491" w:type="dxa"/>
          </w:tcPr>
          <w:p w14:paraId="01B9B3BC"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IV cohort study, in group of 8 patients with MS treated with two cycles of Alemtuzumab.</w:t>
            </w:r>
          </w:p>
        </w:tc>
        <w:tc>
          <w:tcPr>
            <w:tcW w:w="1786" w:type="dxa"/>
          </w:tcPr>
          <w:p w14:paraId="4C30E8DF"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Diffusion and MWF changes on MRI</w:t>
            </w:r>
          </w:p>
        </w:tc>
        <w:tc>
          <w:tcPr>
            <w:tcW w:w="2255" w:type="dxa"/>
          </w:tcPr>
          <w:p w14:paraId="0B6287FC"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Completed. Results awaited </w:t>
            </w:r>
          </w:p>
        </w:tc>
      </w:tr>
      <w:tr w:rsidR="00670359" w:rsidRPr="00166AA1" w14:paraId="6FE02FEE"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6469AB71"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Adrenocorticotrophin</w:t>
            </w:r>
            <w:proofErr w:type="spellEnd"/>
            <w:r w:rsidRPr="00166AA1">
              <w:rPr>
                <w:rFonts w:ascii="Times New Roman" w:hAnsi="Times New Roman" w:cs="Times New Roman"/>
                <w:color w:val="000000"/>
                <w:sz w:val="16"/>
                <w:szCs w:val="16"/>
              </w:rPr>
              <w:t>, ACTH</w:t>
            </w:r>
          </w:p>
          <w:p w14:paraId="44E2EB1D"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(NCT02446886)</w:t>
            </w:r>
          </w:p>
        </w:tc>
        <w:tc>
          <w:tcPr>
            <w:tcW w:w="3491" w:type="dxa"/>
          </w:tcPr>
          <w:p w14:paraId="506281F0"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IV</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open-label study of ACTH gel on remyelination in patients with RRMS or SPMS and new contrast-enhancing lesions</w:t>
            </w:r>
          </w:p>
        </w:tc>
        <w:tc>
          <w:tcPr>
            <w:tcW w:w="1786" w:type="dxa"/>
          </w:tcPr>
          <w:p w14:paraId="6E1FBC2F"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Change in MWF within new </w:t>
            </w:r>
            <w:proofErr w:type="spellStart"/>
            <w:r w:rsidRPr="00166AA1">
              <w:rPr>
                <w:rFonts w:ascii="Times New Roman" w:hAnsi="Times New Roman" w:cs="Times New Roman"/>
                <w:color w:val="000000"/>
                <w:sz w:val="16"/>
                <w:szCs w:val="16"/>
              </w:rPr>
              <w:t>Gd</w:t>
            </w:r>
            <w:proofErr w:type="spellEnd"/>
            <w:r w:rsidRPr="00166AA1">
              <w:rPr>
                <w:rFonts w:ascii="Times New Roman" w:hAnsi="Times New Roman" w:cs="Times New Roman"/>
                <w:color w:val="000000"/>
                <w:sz w:val="16"/>
                <w:szCs w:val="16"/>
              </w:rPr>
              <w:t>-enhancing lesions over the course of 12 months</w:t>
            </w:r>
          </w:p>
        </w:tc>
        <w:tc>
          <w:tcPr>
            <w:tcW w:w="2255" w:type="dxa"/>
          </w:tcPr>
          <w:p w14:paraId="52835BC5"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Recruiting</w:t>
            </w:r>
          </w:p>
          <w:p w14:paraId="146488C8"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p>
        </w:tc>
      </w:tr>
      <w:tr w:rsidR="00670359" w:rsidRPr="00166AA1" w14:paraId="40ABEF50"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069B9E0C"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GSK239512</w:t>
            </w:r>
          </w:p>
          <w:p w14:paraId="1B0AEB15"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(NCT01772199)</w:t>
            </w:r>
          </w:p>
        </w:tc>
        <w:tc>
          <w:tcPr>
            <w:tcW w:w="3491" w:type="dxa"/>
          </w:tcPr>
          <w:p w14:paraId="0CE94B5D"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placebo-controlled, single-blind study in 131 people with RRMS on interferon or glatiramer acetate</w:t>
            </w:r>
          </w:p>
        </w:tc>
        <w:tc>
          <w:tcPr>
            <w:tcW w:w="1786" w:type="dxa"/>
          </w:tcPr>
          <w:p w14:paraId="6CFCF43E"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Mean change in </w:t>
            </w:r>
            <w:proofErr w:type="spellStart"/>
            <w:r w:rsidRPr="00166AA1">
              <w:rPr>
                <w:rFonts w:ascii="Times New Roman" w:hAnsi="Times New Roman" w:cs="Times New Roman"/>
                <w:color w:val="000000"/>
                <w:sz w:val="16"/>
                <w:szCs w:val="16"/>
              </w:rPr>
              <w:t>Gd</w:t>
            </w:r>
            <w:proofErr w:type="spellEnd"/>
            <w:r w:rsidRPr="00166AA1">
              <w:rPr>
                <w:rFonts w:ascii="Times New Roman" w:hAnsi="Times New Roman" w:cs="Times New Roman"/>
                <w:color w:val="000000"/>
                <w:sz w:val="16"/>
                <w:szCs w:val="16"/>
              </w:rPr>
              <w:t>-enhancing lesion MTR from before enhancement to stable recovery.</w:t>
            </w:r>
          </w:p>
        </w:tc>
        <w:tc>
          <w:tcPr>
            <w:tcW w:w="2255" w:type="dxa"/>
          </w:tcPr>
          <w:p w14:paraId="3F32D6F9"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 Small positive effect observed in treated group</w:t>
            </w:r>
            <w:r w:rsidRPr="00166AA1">
              <w:rPr>
                <w:rFonts w:ascii="Times New Roman" w:hAnsi="Times New Roman" w:cs="Times New Roman"/>
                <w:color w:val="000000"/>
                <w:sz w:val="16"/>
                <w:szCs w:val="16"/>
              </w:rPr>
              <w:fldChar w:fldCharType="begin"/>
            </w:r>
            <w:r w:rsidRPr="00166AA1">
              <w:rPr>
                <w:rFonts w:ascii="Times New Roman" w:hAnsi="Times New Roman" w:cs="Times New Roman"/>
                <w:color w:val="000000"/>
                <w:sz w:val="16"/>
                <w:szCs w:val="16"/>
              </w:rPr>
              <w:instrText xml:space="preserve"> ADDIN ZOTERO_ITEM CSL_CITATION {"citationID":"7lhUp58f","properties":{"formattedCitation":"(109)","plainCitation":"(109)","noteIndex":0},"citationItems":[{"id":53,"uris":["http://zotero.org/users/local/OxFKn8nN/items/QKSB3LSL"],"uri":["http://zotero.org/users/local/OxFKn8nN/items/QKSB3LSL"],"itemData":{"id":53,"type":"article-journal","title":"Lesion remyelinating activity of GSK239512 versus placebo in patients with relapsing-remitting multiple sclerosis: a randomised, single-blind, phase II study","container-title":"Journal of neurology","page":"304-315","volume":"264","issue":"2","archive":"PubMed","archive_location":"27888416","abstract":"Histamine H(3) receptor blockade may enhance lesion remyelination in multiple sclerosis (MS). The efficacy (using a magnetic resonance imaging marker of myelination, magnetisation transfer ratio [MTR]), safety and pharmacokinetics of GSK239512, a potent and brain penetrant H(3) receptor antagonist/inverse agonist on lesion remyelination in relapsing-remitting MS (RRMS) were assessed. This was a phase II, randomised, parallel-group, placebo-controlled, double-blind (sponsor-unblinded), international, multicentre study (NCT01772199). Patients aged 18-50 with RRMS, receiving intramuscular interferon-β1a or glatiramer acetate, were randomised 1:1 to once-daily oral GSK239512 or placebo, up-titrated over 4-5 weeks to a maximum tolerable dose up to 80 µg and maintained until Week 48. The co-primary endpoints were mean changes in post-lesion MTR in gadolinium-enhanced (GdE) or Delta-MTR defined lesions from pre-lesion values. Adverse events (AE) and withdrawals were monitored. Of the 131 patients randomised, 114 patients completed the study (GSK239512, n = 51; placebo, n = 63) and 27 (GSK239512) and 28 (placebo) patients contributed lesions to the primary analysis. GSK239512 was associated with positive effect sizes of 0.344 [90% confidence interval (CI) 0.018, 0.671] and 0.243 (90% CI -0.112, 0.598) for adjusted mean changes in the normalised MTR for GdE and Delta-MTR lesions, respectively. The overall incidence of AEs was similar between GSK239512 and placebo during the treatment phase although some AEs including insomnia were more common with GSK239512, particularly during the titration period. A small but positive effect of GSK239512 on remyelination was observed. MTR assessment represents a promising method for detecting lesion remyelination in RRMS.","DOI":"10.1007/s00415-016-8341-7","ISSN":"1432-1459","author":[{"family":"Schwartzbach","given":"Caryl J"},{"family":"Grove","given":"Richard A"},{"family":"Brown","given":"Robert"},{"family":"Tompson","given":"Debra"},{"family":"Then Bergh","given":"Florian"},{"family":"Arnold","given":"Douglas L"}],"issued":{"date-parts":[["2017"]]}}}],"schema":"https://github.com/citation-style-language/schema/raw/master/csl-citation.json"} </w:instrText>
            </w:r>
            <w:r w:rsidRPr="00166AA1">
              <w:rPr>
                <w:rFonts w:ascii="Times New Roman" w:hAnsi="Times New Roman" w:cs="Times New Roman"/>
                <w:color w:val="000000"/>
                <w:sz w:val="16"/>
                <w:szCs w:val="16"/>
              </w:rPr>
              <w:fldChar w:fldCharType="separate"/>
            </w:r>
            <w:r w:rsidRPr="00166AA1">
              <w:rPr>
                <w:rFonts w:ascii="Times New Roman" w:hAnsi="Times New Roman" w:cs="Times New Roman"/>
                <w:color w:val="000000"/>
                <w:sz w:val="16"/>
                <w:szCs w:val="16"/>
              </w:rPr>
              <w:t>[109]</w:t>
            </w:r>
            <w:r w:rsidRPr="00166AA1">
              <w:rPr>
                <w:rFonts w:ascii="Times New Roman" w:hAnsi="Times New Roman" w:cs="Times New Roman"/>
                <w:color w:val="000000"/>
                <w:sz w:val="16"/>
                <w:szCs w:val="16"/>
              </w:rPr>
              <w:fldChar w:fldCharType="end"/>
            </w:r>
          </w:p>
          <w:p w14:paraId="1C6DF064"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p>
        </w:tc>
      </w:tr>
      <w:tr w:rsidR="00670359" w:rsidRPr="00166AA1" w14:paraId="1640A357"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1F08B8BD"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Biotin/MD1003</w:t>
            </w:r>
          </w:p>
          <w:p w14:paraId="2CA3FAFC"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(MS-SPI, NCT02220933)</w:t>
            </w:r>
          </w:p>
        </w:tc>
        <w:tc>
          <w:tcPr>
            <w:tcW w:w="3491" w:type="dxa"/>
          </w:tcPr>
          <w:p w14:paraId="29E06499"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III</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placebo-controlled, double-blind trial of high-dose biotin in 154 people with SPMS or PPMS</w:t>
            </w:r>
          </w:p>
        </w:tc>
        <w:tc>
          <w:tcPr>
            <w:tcW w:w="1786" w:type="dxa"/>
          </w:tcPr>
          <w:p w14:paraId="20800D43"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Disability reversal with EDSS decrease of &gt;1 or &gt;20% decrease in T25FW</w:t>
            </w:r>
          </w:p>
        </w:tc>
        <w:tc>
          <w:tcPr>
            <w:tcW w:w="2255" w:type="dxa"/>
          </w:tcPr>
          <w:p w14:paraId="6B898859"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 12.6% of treated patients achieved primary endpoint versus none of the untreated patients</w:t>
            </w:r>
            <w:r w:rsidRPr="00166AA1">
              <w:rPr>
                <w:rFonts w:ascii="Times New Roman" w:hAnsi="Times New Roman" w:cs="Times New Roman"/>
                <w:color w:val="000000"/>
                <w:sz w:val="16"/>
                <w:szCs w:val="16"/>
              </w:rPr>
              <w:fldChar w:fldCharType="begin"/>
            </w:r>
            <w:r w:rsidRPr="00166AA1">
              <w:rPr>
                <w:rFonts w:ascii="Times New Roman" w:hAnsi="Times New Roman" w:cs="Times New Roman"/>
                <w:color w:val="000000"/>
                <w:sz w:val="16"/>
                <w:szCs w:val="16"/>
              </w:rPr>
              <w:instrText xml:space="preserve"> ADDIN ZOTERO_ITEM CSL_CITATION {"citationID":"a1q1ipui5a","properties":{"formattedCitation":"(110)","plainCitation":"(110)","noteIndex":0},"citationItems":[{"id":387,"uris":["http://zotero.org/users/local/OxFKn8nN/items/P2IUV9T8"],"uri":["http://zotero.org/users/local/OxFKn8nN/items/P2IUV9T8"],"itemData":{"id":387,"type":"article-journal","title":"MD1003 (high-dose biotin) for the treatment of progressive multiple sclerosis: A randomised, double-blind, placebo-controlled study","container-title":"Multiple Sclerosis Journal","page":"1719-1731","volume":"22","issue":"13","abstract":"Background:Treatment with MD1003 (high-dose biotin) showed promising results in progressive multiple sclerosis (MS) in a pilot open-label study.Objective:To confirm the efficacy and safety of MD1003 in progressive MS in a double-blind, placebo-controlled study.Methods:Patients (n?=?154) with a baseline Expanded Disability Status Scale (EDSS) score of 4.5?7 and evidence of disease worsening within the previous 2?years were randomised to 12-month MD1003 (100?mg biotin) or placebo thrice daily, followed by 12-month MD1003 for all patients. The primary endpoint was the proportion of patients with disability reversal at month 9, confirmed at month 12, defined as an EDSS decrease of ?1 point (?0.5 for EDSS 6?7) or a ?20% decrease in timed 25-foot walk time compared with the best baseline among screening or randomisation visits.Results:A total of 13 (12.6%) MD1003-treated patients achieved the primary endpoint versus none of the placebo-treated patients (p?=?0.005). MD1003 treatment also reduced EDSS progression and improved clinical impression of change compared with placebo. Efficacy was maintained over follow-up, and the safety profile of MD1003 was similar to that of placebo.Conclusion:MD1003 achieves sustained reversal of MS-related disability in a subset of patients with progressive MS and is well tolerated.","DOI":"10.1177/1352458516667568","ISSN":"1352-4585","journalAbbreviation":"Mult Scler","author":[{"family":"Tourbah","given":"Ayman"},{"family":"Lebrun-Frenay","given":"Christine"},{"family":"Edan","given":"Gilles"},{"family":"Clanet","given":"Michel"},{"family":"Papeix","given":"Caroline"},{"family":"Vukusic","given":"Sandra"},{"family":"De Sèze","given":"Jerome"},{"family":"Debouverie","given":"Marc"},{"family":"Gout","given":"Olivier"},{"family":"Clavelou","given":"Pierre"},{"family":"Defer","given":"Gilles"},{"family":"Laplaud","given":"David-Axel"},{"family":"Moreau","given":"Thibault"},{"family":"Labauge","given":"Pierre"},{"family":"Brochet","given":"Bruno"},{"family":"Sedel","given":"Frédéric"},{"family":"Pelletier","given":"Jean"}],"issued":{"date-parts":[["2016",9,1]]}}}],"schema":"https://github.com/citation-style-language/schema/raw/master/csl-citation.json"} </w:instrText>
            </w:r>
            <w:r w:rsidRPr="00166AA1">
              <w:rPr>
                <w:rFonts w:ascii="Times New Roman" w:hAnsi="Times New Roman" w:cs="Times New Roman"/>
                <w:color w:val="000000"/>
                <w:sz w:val="16"/>
                <w:szCs w:val="16"/>
              </w:rPr>
              <w:fldChar w:fldCharType="separate"/>
            </w:r>
            <w:r w:rsidRPr="00166AA1">
              <w:rPr>
                <w:rFonts w:ascii="Times New Roman" w:hAnsi="Times New Roman" w:cs="Times New Roman"/>
                <w:color w:val="000000"/>
                <w:sz w:val="16"/>
              </w:rPr>
              <w:t>[110]</w:t>
            </w:r>
            <w:r w:rsidRPr="00166AA1">
              <w:rPr>
                <w:rFonts w:ascii="Times New Roman" w:hAnsi="Times New Roman" w:cs="Times New Roman"/>
                <w:color w:val="000000"/>
                <w:sz w:val="16"/>
                <w:szCs w:val="16"/>
              </w:rPr>
              <w:fldChar w:fldCharType="end"/>
            </w:r>
          </w:p>
        </w:tc>
      </w:tr>
      <w:tr w:rsidR="00670359" w:rsidRPr="00166AA1" w14:paraId="15B57B8F"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48C6EE63"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Biotin/MD1003</w:t>
            </w:r>
          </w:p>
          <w:p w14:paraId="12B42522"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(MS-SPII, NCT02936037)</w:t>
            </w:r>
          </w:p>
        </w:tc>
        <w:tc>
          <w:tcPr>
            <w:tcW w:w="3491" w:type="dxa"/>
          </w:tcPr>
          <w:p w14:paraId="240142AC"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III</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placebo-controlled, double-blind trial of high-dose biotin in 642 people with SPMS or PPMS</w:t>
            </w:r>
          </w:p>
        </w:tc>
        <w:tc>
          <w:tcPr>
            <w:tcW w:w="1786" w:type="dxa"/>
          </w:tcPr>
          <w:p w14:paraId="5F679899"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As above</w:t>
            </w:r>
          </w:p>
        </w:tc>
        <w:tc>
          <w:tcPr>
            <w:tcW w:w="2255" w:type="dxa"/>
          </w:tcPr>
          <w:p w14:paraId="245616CD"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Ongoing.</w:t>
            </w:r>
          </w:p>
        </w:tc>
      </w:tr>
      <w:tr w:rsidR="00670359" w:rsidRPr="00166AA1" w14:paraId="5BEB3559"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6E51E28E"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Biotin/MD1003</w:t>
            </w:r>
          </w:p>
          <w:p w14:paraId="566D57F9"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(MS-ON,</w:t>
            </w:r>
            <w:r w:rsidRPr="00166AA1">
              <w:rPr>
                <w:rFonts w:ascii="Cambria" w:hAnsi="Cambria" w:cs="Times New Roman"/>
              </w:rPr>
              <w:t xml:space="preserve"> </w:t>
            </w:r>
            <w:r w:rsidRPr="00166AA1">
              <w:rPr>
                <w:rFonts w:ascii="Times New Roman" w:hAnsi="Times New Roman" w:cs="Times New Roman"/>
                <w:color w:val="000000"/>
                <w:sz w:val="16"/>
                <w:szCs w:val="16"/>
              </w:rPr>
              <w:t>NCT02220244)</w:t>
            </w:r>
          </w:p>
        </w:tc>
        <w:tc>
          <w:tcPr>
            <w:tcW w:w="3491" w:type="dxa"/>
          </w:tcPr>
          <w:p w14:paraId="3BD4C4FF"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III, randomised, placebo-controlled, double-blind trial of high-dose biotin in 93 people with SPMS or PPMS</w:t>
            </w:r>
          </w:p>
        </w:tc>
        <w:tc>
          <w:tcPr>
            <w:tcW w:w="1786" w:type="dxa"/>
          </w:tcPr>
          <w:p w14:paraId="6C9646CC"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Change in visual acuity over 6 months</w:t>
            </w:r>
          </w:p>
        </w:tc>
        <w:tc>
          <w:tcPr>
            <w:tcW w:w="2255" w:type="dxa"/>
          </w:tcPr>
          <w:p w14:paraId="5C26E9FB"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 No significant changes in visual acuity</w:t>
            </w:r>
            <w:r w:rsidRPr="00166AA1">
              <w:rPr>
                <w:rFonts w:ascii="Times New Roman" w:hAnsi="Times New Roman" w:cs="Times New Roman"/>
                <w:color w:val="000000"/>
                <w:sz w:val="16"/>
                <w:szCs w:val="16"/>
              </w:rPr>
              <w:fldChar w:fldCharType="begin"/>
            </w:r>
            <w:r w:rsidRPr="00166AA1">
              <w:rPr>
                <w:rFonts w:ascii="Times New Roman" w:hAnsi="Times New Roman" w:cs="Times New Roman"/>
                <w:color w:val="000000"/>
                <w:sz w:val="16"/>
                <w:szCs w:val="16"/>
              </w:rPr>
              <w:instrText xml:space="preserve"> ADDIN ZOTERO_ITEM CSL_CITATION {"citationID":"a1gck5bp6ih","properties":{"formattedCitation":"(111)","plainCitation":"(111)","noteIndex":0},"citationItems":[{"id":401,"uris":["http://zotero.org/users/local/OxFKn8nN/items/2FY2FYD3"],"uri":["http://zotero.org/users/local/OxFKn8nN/items/2FY2FYD3"],"itemData":{"id":401,"type":"article-journal","title":"MD1003 (High-Dose Pharmaceutical-Grade Biotin) for the Treatment of Chronic Visual Loss Related to Optic Neuritis in Multiple Sclerosis: A Randomized, Double-Blind, Placebo-Controlled Study","container-title":"CNS Drugs","page":"661-672","volume":"32","issue":"7","abstract":"Chronic visual loss is a disabling feature in patients with multiple sclerosis (MS). It was recently shown that MD1003 (high-dose pharmaceutical-grade biotin or hdPB) may improve disability in patients with progressive MS.","DOI":"10.1007/s40263-018-0528-2","ISSN":"1179-1934","journalAbbreviation":"CNS Drugs","author":[{"family":"Tourbah","given":"Ayman"},{"family":"Gout","given":"Olivier"},{"family":"Vighetto","given":"Alain"},{"family":"Deburghgraeve","given":"Véronique"},{"family":"Pelletier","given":"Jean"},{"family":"Papeix","given":"Caroline"},{"family":"Lebrun-Frenay","given":"Christine"},{"family":"Labauge","given":"Pierre"},{"family":"Brassat","given":"David"},{"family":"Toosy","given":"Ahmed"},{"family":"Laplaud","given":"David-Axel"},{"family":"Outteryck","given":"Olivier"},{"family":"Moreau","given":"Thibault"},{"family":"Debouverie","given":"Marc"},{"family":"Clavelou","given":"Pierre"},{"family":"Heinzlef","given":"Olivier"},{"family":"De Sèze","given":"Jérôme"},{"family":"Defer","given":"Gilles"},{"family":"Sedel","given":"Frédéric"},{"family":"Arndt","given":"Carl"}],"issued":{"date-parts":[["2018",7,1]]}}}],"schema":"https://github.com/citation-style-language/schema/raw/master/csl-citation.json"} </w:instrText>
            </w:r>
            <w:r w:rsidRPr="00166AA1">
              <w:rPr>
                <w:rFonts w:ascii="Times New Roman" w:hAnsi="Times New Roman" w:cs="Times New Roman"/>
                <w:color w:val="000000"/>
                <w:sz w:val="16"/>
                <w:szCs w:val="16"/>
              </w:rPr>
              <w:fldChar w:fldCharType="separate"/>
            </w:r>
            <w:r w:rsidRPr="00166AA1">
              <w:rPr>
                <w:rFonts w:ascii="Times New Roman" w:hAnsi="Times New Roman" w:cs="Times New Roman"/>
                <w:color w:val="000000"/>
                <w:sz w:val="16"/>
              </w:rPr>
              <w:t>[111]</w:t>
            </w:r>
            <w:r w:rsidRPr="00166AA1">
              <w:rPr>
                <w:rFonts w:ascii="Times New Roman" w:hAnsi="Times New Roman" w:cs="Times New Roman"/>
                <w:color w:val="000000"/>
                <w:sz w:val="16"/>
                <w:szCs w:val="16"/>
              </w:rPr>
              <w:fldChar w:fldCharType="end"/>
            </w:r>
          </w:p>
        </w:tc>
      </w:tr>
      <w:tr w:rsidR="00670359" w:rsidRPr="00166AA1" w14:paraId="0591A3E9"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696A7823"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Olesoxime</w:t>
            </w:r>
            <w:proofErr w:type="spellEnd"/>
          </w:p>
          <w:p w14:paraId="348FCAA1"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(MSREPAIR, NCT01808885)</w:t>
            </w:r>
          </w:p>
        </w:tc>
        <w:tc>
          <w:tcPr>
            <w:tcW w:w="3491" w:type="dxa"/>
          </w:tcPr>
          <w:p w14:paraId="0B5D5C42"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A phase </w:t>
            </w:r>
            <w:proofErr w:type="spellStart"/>
            <w:r w:rsidRPr="00166AA1">
              <w:rPr>
                <w:rFonts w:ascii="Times New Roman" w:hAnsi="Times New Roman" w:cs="Times New Roman"/>
                <w:color w:val="000000"/>
                <w:sz w:val="16"/>
                <w:szCs w:val="16"/>
              </w:rPr>
              <w:t>Ib</w:t>
            </w:r>
            <w:proofErr w:type="spellEnd"/>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placebo-controlled, double-blind trial of </w:t>
            </w:r>
            <w:proofErr w:type="spellStart"/>
            <w:r w:rsidRPr="00166AA1">
              <w:rPr>
                <w:rFonts w:ascii="Times New Roman" w:hAnsi="Times New Roman" w:cs="Times New Roman"/>
                <w:color w:val="000000"/>
                <w:sz w:val="16"/>
                <w:szCs w:val="16"/>
              </w:rPr>
              <w:t>olesoxime</w:t>
            </w:r>
            <w:proofErr w:type="spellEnd"/>
            <w:r w:rsidRPr="00166AA1">
              <w:rPr>
                <w:rFonts w:ascii="Times New Roman" w:hAnsi="Times New Roman" w:cs="Times New Roman"/>
                <w:color w:val="000000"/>
                <w:sz w:val="16"/>
                <w:szCs w:val="16"/>
              </w:rPr>
              <w:t xml:space="preserve"> compared to placebo in people with RRMS</w:t>
            </w:r>
          </w:p>
        </w:tc>
        <w:tc>
          <w:tcPr>
            <w:tcW w:w="1786" w:type="dxa"/>
          </w:tcPr>
          <w:p w14:paraId="17A8F452"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Safety criteria, though MTR included in exploratory outcome measures</w:t>
            </w:r>
          </w:p>
        </w:tc>
        <w:tc>
          <w:tcPr>
            <w:tcW w:w="2255" w:type="dxa"/>
          </w:tcPr>
          <w:p w14:paraId="47B1A4F0"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w:t>
            </w:r>
          </w:p>
          <w:p w14:paraId="0511590B"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p>
        </w:tc>
      </w:tr>
      <w:tr w:rsidR="00670359" w:rsidRPr="00166AA1" w14:paraId="5B444C06"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3F49DBDD"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Clemastine</w:t>
            </w:r>
          </w:p>
          <w:p w14:paraId="0F848C4C"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w:t>
            </w:r>
            <w:proofErr w:type="spellStart"/>
            <w:r w:rsidRPr="00166AA1">
              <w:rPr>
                <w:rFonts w:ascii="Times New Roman" w:hAnsi="Times New Roman" w:cs="Times New Roman"/>
                <w:color w:val="000000"/>
                <w:sz w:val="16"/>
                <w:szCs w:val="16"/>
              </w:rPr>
              <w:t>ReBUILD</w:t>
            </w:r>
            <w:proofErr w:type="spellEnd"/>
            <w:r w:rsidRPr="00166AA1">
              <w:rPr>
                <w:rFonts w:ascii="Times New Roman" w:hAnsi="Times New Roman" w:cs="Times New Roman"/>
                <w:color w:val="000000"/>
                <w:sz w:val="16"/>
                <w:szCs w:val="16"/>
              </w:rPr>
              <w:t>, NCT02040298)</w:t>
            </w:r>
          </w:p>
        </w:tc>
        <w:tc>
          <w:tcPr>
            <w:tcW w:w="3491" w:type="dxa"/>
          </w:tcPr>
          <w:p w14:paraId="6B06FF5F"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placebo-controlled, double-blind, crossover trial in 50 people with RRMS and chronic stable optic neuropathy.</w:t>
            </w:r>
          </w:p>
        </w:tc>
        <w:tc>
          <w:tcPr>
            <w:tcW w:w="1786" w:type="dxa"/>
          </w:tcPr>
          <w:p w14:paraId="067FCF75"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Change in P100 latency of the full-field VEP</w:t>
            </w:r>
          </w:p>
        </w:tc>
        <w:tc>
          <w:tcPr>
            <w:tcW w:w="2255" w:type="dxa"/>
          </w:tcPr>
          <w:p w14:paraId="70467D5D"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Completed. Significant latency reduction of 1.7 </w:t>
            </w:r>
            <w:proofErr w:type="spellStart"/>
            <w:r w:rsidRPr="00166AA1">
              <w:rPr>
                <w:rFonts w:ascii="Times New Roman" w:hAnsi="Times New Roman" w:cs="Times New Roman"/>
                <w:color w:val="000000"/>
                <w:sz w:val="16"/>
                <w:szCs w:val="16"/>
              </w:rPr>
              <w:t>ms</w:t>
            </w:r>
            <w:proofErr w:type="spellEnd"/>
            <w:r w:rsidRPr="00166AA1">
              <w:rPr>
                <w:rFonts w:ascii="Times New Roman" w:hAnsi="Times New Roman" w:cs="Times New Roman"/>
                <w:color w:val="000000"/>
                <w:sz w:val="16"/>
                <w:szCs w:val="16"/>
              </w:rPr>
              <w:t xml:space="preserve"> in the crossover model and 3.2 </w:t>
            </w:r>
            <w:proofErr w:type="spellStart"/>
            <w:r w:rsidRPr="00166AA1">
              <w:rPr>
                <w:rFonts w:ascii="Times New Roman" w:hAnsi="Times New Roman" w:cs="Times New Roman"/>
                <w:color w:val="000000"/>
                <w:sz w:val="16"/>
                <w:szCs w:val="16"/>
              </w:rPr>
              <w:t>ms</w:t>
            </w:r>
            <w:proofErr w:type="spellEnd"/>
            <w:r w:rsidRPr="00166AA1">
              <w:rPr>
                <w:rFonts w:ascii="Times New Roman" w:hAnsi="Times New Roman" w:cs="Times New Roman"/>
                <w:color w:val="000000"/>
                <w:sz w:val="16"/>
                <w:szCs w:val="16"/>
              </w:rPr>
              <w:t xml:space="preserve"> in delayed treatment analysis</w:t>
            </w:r>
            <w:r w:rsidRPr="00166AA1">
              <w:rPr>
                <w:rFonts w:ascii="Times New Roman" w:hAnsi="Times New Roman" w:cs="Times New Roman"/>
                <w:color w:val="000000"/>
                <w:sz w:val="16"/>
                <w:szCs w:val="16"/>
              </w:rPr>
              <w:fldChar w:fldCharType="begin"/>
            </w:r>
            <w:r w:rsidRPr="00166AA1">
              <w:rPr>
                <w:rFonts w:ascii="Times New Roman" w:hAnsi="Times New Roman" w:cs="Times New Roman"/>
                <w:color w:val="000000"/>
                <w:sz w:val="16"/>
                <w:szCs w:val="16"/>
              </w:rPr>
              <w:instrText xml:space="preserve"> ADDIN ZOTERO_ITEM CSL_CITATION {"citationID":"Ut8zUH1P","properties":{"formattedCitation":"(104)","plainCitation":"(104)","noteIndex":0},"citationItems":[{"id":11,"uris":["http://zotero.org/users/local/OxFKn8nN/items/V9EQYZ4F"],"uri":["http://zotero.org/users/local/OxFKn8nN/items/V9EQYZ4F"],"itemData":{"id":11,"type":"article-journal","title":"Clemastine fumarate as a remyelinating therapy for multiple sclerosis (ReBUILD): a randomised, controlled, double-blind, crossover trial","container-title":"The Lancet","page":"2481-2489","volume":"390","issue":"10111","abstract":"Summary\nBackground\nMultiple sclerosis is a degenerative inflammatory disease of the CNS characterised by immune-mediated destruction of myelin and progressive neuroaxonal loss. Myelin in the CNS is a specialised extension of the oligodendrocyte plasma membrane and clemastine fumarate can stimulate differentiation of oligodendrocyte precursor cells in vitro, in animal models, and in human cells. We aimed to analyse the efficacy and safety of clemastine fumarate as a treatment for patients with multiple sclerosis.\nMethods\nWe did this single-centre, 150-day, double-blind, randomised, placebo-controlled, crossover trial (ReBUILD) in patients with relapsing multiple sclerosis with chronic demyelinating optic neuropathy on stable immunomodulatory therapy. Patients who fulfilled international panel criteria for diagnosis with disease duration of less than 15 years were eligible. Patients were randomly assigned (1:1) via block randomisation using a random number generator to receive either clemastine fumarate (5·36 mg orally twice daily) for 90 days followed by placebo for 60 days (group 1), or placebo for 90 days followed by clemastine fumarate (5·36 mg orally twice daily) for 60 days (group 2). The primary outcome was shortening of P100 latency delay on full-field, pattern-reversal, visual-evoked potentials. We analysed by intention to treat. The trial is registered with ClinicalTrials.gov, number NCT02040298.\nFindings\nBetween Jan 1, 2014, and April 11, 2015, we randomly assigned 50 patients to group 1 (n=25) or group 2 (n=25). All patients completed the study. The primary efficacy endpoint was met with clemastine fumarate treatment, which reduced the latency delay by 1·7 ms/eye (95% CI 0·5–2·9; p=0·0048) when analysing the trial as a crossover. Clemastine fumarate treatment was associated with fatigue, but no serious adverse events were reported.\nInterpretation\nTo our knowledge, this is the first randomised controlled trial to document efficacy of a remyelinating drug for the treatment of chronic demyelinating injury in multiple sclerosis. Our findings suggest that myelin repair can be achieved even following prolonged damage.\nFunding\nUniversity of California, San Francisco and the Rachleff Family.","DOI":"10.1016/S0140-6736(17)32346-2","ISSN":"0140-6736","journalAbbreviation":"The Lancet","author":[{"family":"Green","given":"Ari J"},{"family":"Gelfand","given":"Jeffrey M"},{"family":"Cree","given":"Bruce A"},{"family":"Bevan","given":"Carolyn"},{"family":"Boscardin","given":"W John"},{"family":"Mei","given":"Feng"},{"family":"Inman","given":"Justin"},{"family":"Arnow","given":"Sam"},{"family":"Devereux","given":"Michael"},{"family":"Abounasr","given":"Aya"},{"family":"Nobuta","given":"Hiroko"},{"family":"Zhu","given":"Alyssa"},{"family":"Friessen","given":"Matt"},{"family":"Gerona","given":"Roy"},{"family":"Büdingen","given":"Hans Christian","non-dropping-particle":"von"},{"family":"Henry","given":"Roland G"},{"family":"Hauser","given":"Stephen L"},{"family":"Chan","given":"Jonah R"}],"issued":{"date-parts":[["2017",12,2]]}}}],"schema":"https://github.com/citation-style-language/schema/raw/master/csl-citation.json"} </w:instrText>
            </w:r>
            <w:r w:rsidRPr="00166AA1">
              <w:rPr>
                <w:rFonts w:ascii="Times New Roman" w:hAnsi="Times New Roman" w:cs="Times New Roman"/>
                <w:color w:val="000000"/>
                <w:sz w:val="16"/>
                <w:szCs w:val="16"/>
              </w:rPr>
              <w:fldChar w:fldCharType="separate"/>
            </w:r>
            <w:r w:rsidRPr="00166AA1">
              <w:rPr>
                <w:rFonts w:ascii="Times New Roman" w:hAnsi="Times New Roman" w:cs="Times New Roman"/>
                <w:color w:val="000000"/>
                <w:sz w:val="16"/>
                <w:szCs w:val="16"/>
              </w:rPr>
              <w:t>[104]</w:t>
            </w:r>
            <w:r w:rsidRPr="00166AA1">
              <w:rPr>
                <w:rFonts w:ascii="Times New Roman" w:hAnsi="Times New Roman" w:cs="Times New Roman"/>
                <w:color w:val="000000"/>
                <w:sz w:val="16"/>
                <w:szCs w:val="16"/>
              </w:rPr>
              <w:fldChar w:fldCharType="end"/>
            </w:r>
          </w:p>
        </w:tc>
      </w:tr>
      <w:tr w:rsidR="00670359" w:rsidRPr="00166AA1" w14:paraId="2E1331C6"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66256A1A"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Clemastine</w:t>
            </w:r>
          </w:p>
          <w:p w14:paraId="4464652D"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w:t>
            </w:r>
            <w:proofErr w:type="spellStart"/>
            <w:r w:rsidRPr="00166AA1">
              <w:rPr>
                <w:rFonts w:ascii="Times New Roman" w:hAnsi="Times New Roman" w:cs="Times New Roman"/>
                <w:color w:val="000000"/>
                <w:sz w:val="16"/>
                <w:szCs w:val="16"/>
              </w:rPr>
              <w:t>ReCOVER</w:t>
            </w:r>
            <w:proofErr w:type="spellEnd"/>
            <w:r w:rsidRPr="00166AA1">
              <w:rPr>
                <w:rFonts w:ascii="Times New Roman" w:hAnsi="Times New Roman" w:cs="Times New Roman"/>
                <w:color w:val="000000"/>
                <w:sz w:val="16"/>
                <w:szCs w:val="16"/>
              </w:rPr>
              <w:t>, NCT02521311)</w:t>
            </w:r>
          </w:p>
        </w:tc>
        <w:tc>
          <w:tcPr>
            <w:tcW w:w="3491" w:type="dxa"/>
          </w:tcPr>
          <w:p w14:paraId="5A8A413E"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double-blind, placebo-controlled trial in 90 people diagnosed with acute demyelinating optic neuritis</w:t>
            </w:r>
          </w:p>
        </w:tc>
        <w:tc>
          <w:tcPr>
            <w:tcW w:w="1786" w:type="dxa"/>
          </w:tcPr>
          <w:p w14:paraId="04F5D5D2"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Change in P100 latency of the full-field VEP and change in low contrast visual acuity</w:t>
            </w:r>
          </w:p>
        </w:tc>
        <w:tc>
          <w:tcPr>
            <w:tcW w:w="2255" w:type="dxa"/>
          </w:tcPr>
          <w:p w14:paraId="66189B26"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Recruiting</w:t>
            </w:r>
          </w:p>
          <w:p w14:paraId="5904F40B"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p>
        </w:tc>
      </w:tr>
      <w:tr w:rsidR="00670359" w:rsidRPr="00166AA1" w14:paraId="43F4CBA8"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3169425C"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Quetiapine</w:t>
            </w:r>
          </w:p>
          <w:p w14:paraId="2E239D90"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(NCT02087631)</w:t>
            </w:r>
          </w:p>
        </w:tc>
        <w:tc>
          <w:tcPr>
            <w:tcW w:w="3491" w:type="dxa"/>
          </w:tcPr>
          <w:p w14:paraId="2760647F"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I/II open label, dose-ranging study of quetiapine in people with RRMS and PMS</w:t>
            </w:r>
          </w:p>
        </w:tc>
        <w:tc>
          <w:tcPr>
            <w:tcW w:w="1786" w:type="dxa"/>
          </w:tcPr>
          <w:p w14:paraId="37FC250B"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Dose-limiting toxicity, no specific remyelination outcomes</w:t>
            </w:r>
          </w:p>
        </w:tc>
        <w:tc>
          <w:tcPr>
            <w:tcW w:w="2255" w:type="dxa"/>
          </w:tcPr>
          <w:p w14:paraId="5F25E6B8"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Recruiting</w:t>
            </w:r>
          </w:p>
          <w:p w14:paraId="4C1104DF"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p>
        </w:tc>
      </w:tr>
      <w:tr w:rsidR="00670359" w:rsidRPr="00166AA1" w14:paraId="616D28FC"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2135D469"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Opicinumab</w:t>
            </w:r>
            <w:proofErr w:type="spellEnd"/>
          </w:p>
          <w:p w14:paraId="29227499"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(RENEW, NCT01721161)</w:t>
            </w:r>
          </w:p>
        </w:tc>
        <w:tc>
          <w:tcPr>
            <w:tcW w:w="3491" w:type="dxa"/>
          </w:tcPr>
          <w:p w14:paraId="29DFCAC1"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placebo-controlled, double-blind, study of </w:t>
            </w:r>
            <w:proofErr w:type="spellStart"/>
            <w:r w:rsidRPr="00166AA1">
              <w:rPr>
                <w:rFonts w:ascii="Times New Roman" w:hAnsi="Times New Roman" w:cs="Times New Roman"/>
                <w:color w:val="000000"/>
                <w:sz w:val="16"/>
                <w:szCs w:val="16"/>
              </w:rPr>
              <w:t>opicinumab</w:t>
            </w:r>
            <w:proofErr w:type="spellEnd"/>
            <w:r w:rsidRPr="00166AA1">
              <w:rPr>
                <w:rFonts w:ascii="Times New Roman" w:hAnsi="Times New Roman" w:cs="Times New Roman"/>
                <w:color w:val="000000"/>
                <w:sz w:val="16"/>
                <w:szCs w:val="16"/>
              </w:rPr>
              <w:t xml:space="preserve"> in subjects with a first episode of acute optic neuritis</w:t>
            </w:r>
          </w:p>
        </w:tc>
        <w:tc>
          <w:tcPr>
            <w:tcW w:w="1786" w:type="dxa"/>
          </w:tcPr>
          <w:p w14:paraId="0972184C"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Change in VEP P100 latency in affected eye, referenced to the unaffected eye, over 24 weeks of treatment</w:t>
            </w:r>
          </w:p>
        </w:tc>
        <w:tc>
          <w:tcPr>
            <w:tcW w:w="2255" w:type="dxa"/>
          </w:tcPr>
          <w:p w14:paraId="791AC857"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 Significant improvement in latency, but only on per protocol analysis</w:t>
            </w:r>
            <w:r w:rsidRPr="00166AA1">
              <w:rPr>
                <w:rFonts w:ascii="Times New Roman" w:hAnsi="Times New Roman" w:cs="Times New Roman"/>
                <w:color w:val="000000"/>
                <w:sz w:val="16"/>
                <w:szCs w:val="16"/>
              </w:rPr>
              <w:fldChar w:fldCharType="begin"/>
            </w:r>
            <w:r w:rsidRPr="00166AA1">
              <w:rPr>
                <w:rFonts w:ascii="Times New Roman" w:hAnsi="Times New Roman" w:cs="Times New Roman"/>
                <w:color w:val="000000"/>
                <w:sz w:val="16"/>
                <w:szCs w:val="16"/>
              </w:rPr>
              <w:instrText xml:space="preserve"> ADDIN ZOTERO_ITEM CSL_CITATION {"citationID":"CKrb5ukJ","properties":{"formattedCitation":"(112)","plainCitation":"(112)","noteIndex":0},"citationItems":[{"id":10,"uris":["http://zotero.org/users/local/OxFKn8nN/items/VH83KEI5"],"uri":["http://zotero.org/users/local/OxFKn8nN/items/VH83KEI5"],"itemData":{"id":10,"type":"article-journal","title":"Safety and efficacy of opicinumab in acute optic neuritis (RENEW): a randomised, placebo-controlled, phase 2 trial","container-title":"The Lancet Neurology","page":"189-199","volume":"16","issue":"3","abstract":"Summary\nBackground\nThe human monoclonal antibody opicinumab (BIIB033, anti-LINGO-1) has shown remyelinating activity in preclinical studies. We therefore assessed the safety and tolerability, and efficacy of opicinumab given soon after a first acute optic neuritis episode.\nMethods\nThis randomised, double-blind, placebo-controlled, phase 2 study (RENEW) was done at 33 sites in Australia, Canada, and Europe in participants (aged 18–55 years) with a first unilateral acute optic neuritis episode within 28 days from study baseline. After treatment with high-dose methylprednisolone (1 g/day, intravenously, for 3–5 days), participants were assigned with a computer-generated sequence with permuted block randomisation (1:1) using a centralised interactive voice and web response system to receive 100 mg/kg opicinumab intravenously or placebo once every 4 weeks (six doses) and followed up to week 32. All study participants and all study staff, including the central readers, were masked to treatment assignment apart from the pharmacist responsible for preparing the study treatments and the pharmacy monitor at each site. The primary endpoint was remyelination at 24 weeks, measured as recovery of affected optic nerve conduction latency using full-field visual evoked potential (FF-VEP) versus the unaffected fellow eye at baseline. Analysis was by intention-to-treat (ITT); prespecified per-protocol (PP) analyses were also done. This study is registered with ClinicalTrials.gov, number NCT01721161.\nFindings\nThe study was done between Dec 21, 2012, and Oct 21, 2014. 82 participants were enrolled, and 41 in each group comprised the ITT population; 33 participants received opicinumab and 36 received placebo in the PP population. Adjusted mean treatment difference of opicinumab versus placebo was −3·5 ms (17·3 vs 20·8 [95% CI −10·6 to 3·7]; 17%; p=0·33) in the ITT population, and −7·6 ms in the PP population (14·7 vs 22·2 [−15·1 to 0·0]; 34%; p=0·050) at week 24 and −6·1 ms (15·1 vs 21·2 [−12·7 to 0·5]; 29%; p=0·071) in the ITT population and −9·1 ms (13·2 vs 22·4 [−16·1 to −2·1]; 41%; p=0·011) in the PP population at week 32. The overall incidence (34 [83%] of 41 in each group) and severity of adverse events (two [5%] of 41 severe adverse events with placebo vs three [7%] of 41 with opicinumab) were similar between groups and no significant effects on brain MRI measures were noted in either group (mean T2 lesion volume change, 0·05 mL [SD 0·21] for placebo vs 0·20 mL [0·52] with opicinumab; 27 [77%] of 35 participants with no change in gadolinium-enhancing [Gd+] lesion number with opicinumab vs 27 [79%] of 34 with placebo; mean 0·4 [SD 0·79 for the placebo group and 0·85 for the opicinumab group] new Gd+ lesions per participant in both groups). Treatment-related serious adverse events were reported in three (7%) of 41 participants in the opicinumab group (hypersensitivity [n=2], asymptomatic increase in transaminase concentrations [n=1]) and none of the participants in the placebo group.\nInterpretation\nRemyelination did not differ significantly between the opicinumab and placebo groups in the ITT population at week 24. However, results from the prespecified PP population suggest that enhancing remyelination in the human CNS with opicinumab might be possible and warrant further clinical investigation.\nFunding\nBiogen.","DOI":"10.1016/S1474-4422(16)30377-5","ISSN":"1474-4422","journalAbbreviation":"The Lancet Neurology","author":[{"family":"Cadavid","given":"Diego"},{"family":"Balcer","given":"Laura"},{"family":"Galetta","given":"Steven"},{"family":"Aktas","given":"Orhan"},{"family":"Ziemssen","given":"Tjalf"},{"family":"Vanopdenbosch","given":"Ludo"},{"family":"Frederiksen","given":"Jette"},{"family":"Skeen","given":"Mark"},{"family":"Jaffe","given":"Glenn J"},{"family":"Butzkueven","given":"Helmut"},{"family":"Ziemssen","given":"Focke"},{"family":"Massacesi","given":"Luca"},{"family":"Chai","given":"Yi"},{"family":"Xu","given":"Lei"},{"family":"Freeman","given":"Stefanie"}],"issued":{"date-parts":[["2017",3,1]]}}}],"schema":"https://github.com/citation-style-language/schema/raw/master/csl-citation.json"} </w:instrText>
            </w:r>
            <w:r w:rsidRPr="00166AA1">
              <w:rPr>
                <w:rFonts w:ascii="Times New Roman" w:hAnsi="Times New Roman" w:cs="Times New Roman"/>
                <w:color w:val="000000"/>
                <w:sz w:val="16"/>
                <w:szCs w:val="16"/>
              </w:rPr>
              <w:fldChar w:fldCharType="separate"/>
            </w:r>
            <w:r w:rsidRPr="00166AA1">
              <w:rPr>
                <w:rFonts w:ascii="Times New Roman" w:hAnsi="Times New Roman" w:cs="Times New Roman"/>
                <w:color w:val="000000"/>
                <w:sz w:val="16"/>
                <w:szCs w:val="16"/>
              </w:rPr>
              <w:t>[112]</w:t>
            </w:r>
            <w:r w:rsidRPr="00166AA1">
              <w:rPr>
                <w:rFonts w:ascii="Times New Roman" w:hAnsi="Times New Roman" w:cs="Times New Roman"/>
                <w:color w:val="000000"/>
                <w:sz w:val="16"/>
                <w:szCs w:val="16"/>
              </w:rPr>
              <w:fldChar w:fldCharType="end"/>
            </w:r>
          </w:p>
          <w:p w14:paraId="13849C4E"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p>
        </w:tc>
      </w:tr>
      <w:tr w:rsidR="00670359" w:rsidRPr="00166AA1" w14:paraId="4E9EC775"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33CA44C8"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Opicinumab</w:t>
            </w:r>
            <w:proofErr w:type="spellEnd"/>
          </w:p>
          <w:p w14:paraId="71BD8272"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(SYNERGY, NCT01864148)</w:t>
            </w:r>
          </w:p>
        </w:tc>
        <w:tc>
          <w:tcPr>
            <w:tcW w:w="3491" w:type="dxa"/>
          </w:tcPr>
          <w:p w14:paraId="0E424ECC"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II</w:t>
            </w:r>
            <w:r>
              <w:rPr>
                <w:rFonts w:ascii="Times New Roman" w:hAnsi="Times New Roman" w:cs="Times New Roman"/>
                <w:color w:val="000000"/>
                <w:sz w:val="16"/>
                <w:szCs w:val="16"/>
              </w:rPr>
              <w:t>,</w:t>
            </w:r>
            <w:r w:rsidRPr="00166AA1">
              <w:rPr>
                <w:rFonts w:ascii="Times New Roman" w:hAnsi="Times New Roman" w:cs="Times New Roman"/>
                <w:color w:val="000000"/>
                <w:sz w:val="16"/>
                <w:szCs w:val="16"/>
              </w:rPr>
              <w:t xml:space="preserve"> randomised, placebo-controlled, double-blind trial of </w:t>
            </w:r>
            <w:proofErr w:type="spellStart"/>
            <w:r w:rsidRPr="00166AA1">
              <w:rPr>
                <w:rFonts w:ascii="Times New Roman" w:hAnsi="Times New Roman" w:cs="Times New Roman"/>
                <w:color w:val="000000"/>
                <w:sz w:val="16"/>
                <w:szCs w:val="16"/>
              </w:rPr>
              <w:t>opicinumab</w:t>
            </w:r>
            <w:proofErr w:type="spellEnd"/>
            <w:r w:rsidRPr="00166AA1">
              <w:rPr>
                <w:rFonts w:ascii="Times New Roman" w:hAnsi="Times New Roman" w:cs="Times New Roman"/>
                <w:color w:val="000000"/>
                <w:sz w:val="16"/>
                <w:szCs w:val="16"/>
              </w:rPr>
              <w:t xml:space="preserve"> (at 3, 10, 30, or 100 mg/kg) in 418 subjects with RRMS treated with interferon β1a</w:t>
            </w:r>
          </w:p>
        </w:tc>
        <w:tc>
          <w:tcPr>
            <w:tcW w:w="1786" w:type="dxa"/>
          </w:tcPr>
          <w:p w14:paraId="20D5937F"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Change in performance at EDSS, T25FW, 9HPT and 3s-PASAT</w:t>
            </w:r>
          </w:p>
        </w:tc>
        <w:tc>
          <w:tcPr>
            <w:tcW w:w="2255" w:type="dxa"/>
          </w:tcPr>
          <w:p w14:paraId="3C882922"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 Did not meet primary endpoint, but increased percentage of improvement responders at 10 and 30 mg/kg doses</w:t>
            </w:r>
            <w:r w:rsidRPr="00166AA1">
              <w:rPr>
                <w:rFonts w:ascii="Times New Roman" w:hAnsi="Times New Roman" w:cs="Times New Roman"/>
                <w:color w:val="000000"/>
                <w:sz w:val="16"/>
                <w:szCs w:val="16"/>
              </w:rPr>
              <w:fldChar w:fldCharType="begin"/>
            </w:r>
            <w:r w:rsidRPr="00166AA1">
              <w:rPr>
                <w:rFonts w:ascii="Times New Roman" w:hAnsi="Times New Roman" w:cs="Times New Roman"/>
                <w:color w:val="000000"/>
                <w:sz w:val="16"/>
                <w:szCs w:val="16"/>
              </w:rPr>
              <w:instrText xml:space="preserve"> ADDIN ZOTERO_ITEM CSL_CITATION {"citationID":"VYGYcA9G","properties":{"formattedCitation":"(113)","plainCitation":"(113)","noteIndex":0},"citationItems":[{"id":324,"uris":["http://zotero.org/users/local/OxFKn8nN/items/W7BRNIXY"],"uri":["http://zotero.org/users/local/OxFKn8nN/items/W7BRNIXY"],"itemData":{"id":324,"type":"article-journal","title":"Efficacy Results from the Phase 2b SYNERGY Study: Treatment of Disabling Multiple Sclerosis with the Anti-LINGO-1 Monoclonal Antibody Opicinumab (S33.004)","container-title":"Neurology","page":"S33.004","volume":"88","issue":"16 Supplement","abstract":"Objective: To evaluate the efficacy of opicinumab (anti-LINGO-1; BIIB033) in participants with relapsing multiple sclerosis (MS) when used concurrently with intramuscular (IM) interferon (IFN) beta-1a.Background: Opicinumab blocks LINGO-1, a negative regulator of myelination and axonal regeneration, and is a candidate reparative therapy for MS.Design/Methods: SYNERGY (NCT01864148) is a double-blind, dose-ranging proof-of-concept study. Participants aged 18–58 years with a baseline Expanded Disability Status Scale (EDSS) score 2.0–6.0 and active relapsing-remitting or secondary progressive MS were randomized to intravenous opicinumab (3, 10, 30 or 100 mg/kg) or placebo every 4 weeks for 19 doses. All participants received concurrent treatment with IM IFN beta-1a 30 mcg once weekly. The primary endpoint was the percentage of participants with ≥3 month confirmed improvement of neurophysical and/or cognitive function over 72 weeks measured by a multicomponent endpoint comprising the EDSS, Timed 25-Foot Walk, 9-Hole Peg Test and 3-Second Paced Auditory Serial Addition Test. Analysis for the primary endpoint used logistic regression and a linear trend test to assess dose response.Results: A total of 418 participants were randomized and dosed; 334 completed the study. The linear trend test for the primary endpoint was not statistically significant (P=0.8931). Pairwise comparison of each dose arm to placebo showed an inverted U-shaped dose-response: the estimated percentage of improvement responders was 51.6% for placebo, 51.1% for 3 mg/kg opicinumab (odds ratio [OR] 0.98; 95% confidence interval [CI] 0.46–2.07), 65.6% for 10 mg/kg (OR 1.79; 95% CI 0.97–3.31), 68.8% for 30 mg/kg (OR 2.06; 95% CI 1.11–3.84) and 41.2% for 100 mg/kg (OR 0.66; 95% CI 0.36–1.21).Conclusions: The pre-specified primary endpoint was not met. Results revealed an increased percentage of improvement responders in opicinumab-treated arms vs placebo at 10 and 30 mg/kg, with an inverted U-shaped dose-response.Study Supported by: BiogenDisclosure: Dr. Mellion has received personal compensation for activities with Biogen has an employee. Dr. Mellion holds stock and/or stock options with Biogen. Dr. Edwards has received personal compensation for activities with Biogen and Sanofi Genzyme as a speaker and/or consultant. Dr. Edwards has received research support from Biogen, Genentech, Sanofi-Genzyme, and Hoffmann-La Roche. Dr. Hupperts has received personal compensation for activities with Biogen, Merck Serono, Novartis, Sanofi-Aventis as a speaker. Dr. Hupperts has received research support from Biogen and Merck Serono. Dr. Drulovic has received personal compensation for activities with Bayer HealthCare, Genzyme, Medis, Merck, Novartis, and Sanofi-Aventis as a speaker and/or advisor. Dr. Drulovic has received research support from the Ministry of Education and Science, Republic of Serbia. Dr. Montalban has received personal compensation for activities with Almirall, Bayer, Biogen, Celgene, Sanofi Genzyme, Merck, Novartis, Roche, and Teva Pharmaceutical. Dr. Hartung has received personal compensation from Bayer, Biogen, CSL Behring, Grifols, Merck Serono, Novartis, Roche, and Sanofi Genzyme as a speaker and consultant. Dr. Brochet has received personal compensation for activities with for Biogen, Genzyme, Merck-Serono, Novartis and Roche for advisory boards. Dr. Calabresi has received personal compensation for activities with Biogen and Vertex as a consultant. Dr. Calabresi has received research support from Biogen, MedImmune, Novartis and Teva. Dr. Rudick has received personal compensation for activities with Biogen Idec. Dr. Rudick holds stock and/or stock options in Biogen Idec. Dr. Ibrahim has received personal compensation for activities with Biogen Idec. Dr. Ibrahim holds stock and/or stock options in Biogen Idec. Dr. Zhang has received personal compensation for activities with Biogen Idec as an employee. Dr. Zhang holds stock and/or stock options in Biogen Idec. Dr. Xu has received personal compensation for activities with Biogen as an employee. Dr. Xu hold stock and/or stock options in Biogen. Dr. Cadavid has received personal compensation for activities with Biogen as a holder of stock and/or stock options and as an employee. Dr. SYNERGY investigators has nothing to disclose.","journalAbbreviation":"Neurology","author":[{"family":"Mellion","given":"Michelle"},{"family":"Edwards","given":"Keith R."},{"family":"Hupperts","given":"Raymond"},{"family":"Drulović","given":"Jelena"},{"family":"Montalban","given":"Xavier"},{"family":"Hartung","given":"Hans-Peter"},{"family":"Brochet","given":"Bruno"},{"family":"Calabresi","given":"Peter A."},{"family":"Rudick","given":"Richard"},{"family":"Ibrahim","given":"Adama"},{"family":"Zhang","given":"Yiwei"},{"family":"Xu","given":"Lei"},{"family":"Cadavid","given":"Diego"}],"issued":{"date-parts":[["2017",4,18]]}}}],"schema":"https://github.com/citation-style-language/schema/raw/master/csl-citation.json"} </w:instrText>
            </w:r>
            <w:r w:rsidRPr="00166AA1">
              <w:rPr>
                <w:rFonts w:ascii="Times New Roman" w:hAnsi="Times New Roman" w:cs="Times New Roman"/>
                <w:color w:val="000000"/>
                <w:sz w:val="16"/>
                <w:szCs w:val="16"/>
              </w:rPr>
              <w:fldChar w:fldCharType="separate"/>
            </w:r>
            <w:r w:rsidRPr="00166AA1">
              <w:rPr>
                <w:rFonts w:ascii="Times New Roman" w:hAnsi="Times New Roman" w:cs="Times New Roman"/>
                <w:color w:val="000000"/>
                <w:sz w:val="16"/>
                <w:szCs w:val="16"/>
              </w:rPr>
              <w:t>[113]</w:t>
            </w:r>
            <w:r w:rsidRPr="00166AA1">
              <w:rPr>
                <w:rFonts w:ascii="Times New Roman" w:hAnsi="Times New Roman" w:cs="Times New Roman"/>
                <w:color w:val="000000"/>
                <w:sz w:val="16"/>
                <w:szCs w:val="16"/>
              </w:rPr>
              <w:fldChar w:fldCharType="end"/>
            </w:r>
            <w:r w:rsidRPr="00166AA1">
              <w:rPr>
                <w:rFonts w:ascii="Times New Roman" w:hAnsi="Times New Roman" w:cs="Times New Roman"/>
                <w:color w:val="000000"/>
                <w:sz w:val="16"/>
                <w:szCs w:val="16"/>
              </w:rPr>
              <w:t xml:space="preserve"> </w:t>
            </w:r>
          </w:p>
        </w:tc>
      </w:tr>
      <w:tr w:rsidR="00670359" w:rsidRPr="00166AA1" w14:paraId="49A01B77"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3C569FA2"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lastRenderedPageBreak/>
              <w:t>Opicinumab</w:t>
            </w:r>
            <w:proofErr w:type="spellEnd"/>
            <w:r w:rsidRPr="00166AA1">
              <w:rPr>
                <w:rFonts w:ascii="Times New Roman" w:hAnsi="Times New Roman" w:cs="Times New Roman"/>
                <w:color w:val="000000"/>
                <w:sz w:val="16"/>
                <w:szCs w:val="16"/>
              </w:rPr>
              <w:t xml:space="preserve"> (AFFINITY, NCT03222973)</w:t>
            </w:r>
          </w:p>
        </w:tc>
        <w:tc>
          <w:tcPr>
            <w:tcW w:w="3491" w:type="dxa"/>
          </w:tcPr>
          <w:p w14:paraId="6236D24E"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A phase II randomised, double-blind, placebo-controlled study of </w:t>
            </w:r>
            <w:proofErr w:type="spellStart"/>
            <w:r w:rsidRPr="00166AA1">
              <w:rPr>
                <w:rFonts w:ascii="Times New Roman" w:hAnsi="Times New Roman" w:cs="Times New Roman"/>
                <w:color w:val="000000"/>
                <w:sz w:val="16"/>
                <w:szCs w:val="16"/>
              </w:rPr>
              <w:t>opicinumab</w:t>
            </w:r>
            <w:proofErr w:type="spellEnd"/>
            <w:r w:rsidRPr="00166AA1">
              <w:rPr>
                <w:rFonts w:ascii="Times New Roman" w:hAnsi="Times New Roman" w:cs="Times New Roman"/>
                <w:color w:val="000000"/>
                <w:sz w:val="16"/>
                <w:szCs w:val="16"/>
              </w:rPr>
              <w:t xml:space="preserve"> versus placebo in 263 people with RRMS</w:t>
            </w:r>
          </w:p>
        </w:tc>
        <w:tc>
          <w:tcPr>
            <w:tcW w:w="1786" w:type="dxa"/>
          </w:tcPr>
          <w:p w14:paraId="6C2EECF9"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Overall response score composed of EDSS, T25FW and 9HPT from each hand</w:t>
            </w:r>
          </w:p>
        </w:tc>
        <w:tc>
          <w:tcPr>
            <w:tcW w:w="2255" w:type="dxa"/>
          </w:tcPr>
          <w:p w14:paraId="5F460936"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Ongoing</w:t>
            </w:r>
          </w:p>
          <w:p w14:paraId="1CDC4718"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p>
        </w:tc>
      </w:tr>
      <w:tr w:rsidR="00670359" w:rsidRPr="00166AA1" w14:paraId="3BE6B4EF" w14:textId="77777777" w:rsidTr="00B225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0" w:type="dxa"/>
          </w:tcPr>
          <w:p w14:paraId="1E4A8377"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rHIgM22</w:t>
            </w:r>
          </w:p>
          <w:p w14:paraId="2BA240E7"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(NCT02398461)</w:t>
            </w:r>
          </w:p>
        </w:tc>
        <w:tc>
          <w:tcPr>
            <w:tcW w:w="3491" w:type="dxa"/>
          </w:tcPr>
          <w:p w14:paraId="0AA09B23"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A phase I randomised, double-blind, placebo-controlled study of rHIgM22 compared to placebo in 27 people with RRMS following a relapse</w:t>
            </w:r>
          </w:p>
        </w:tc>
        <w:tc>
          <w:tcPr>
            <w:tcW w:w="1786" w:type="dxa"/>
          </w:tcPr>
          <w:p w14:paraId="4E6C508D"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Safety and tolerability endpoints</w:t>
            </w:r>
          </w:p>
        </w:tc>
        <w:tc>
          <w:tcPr>
            <w:tcW w:w="2255" w:type="dxa"/>
          </w:tcPr>
          <w:p w14:paraId="2C5B0BF6" w14:textId="77777777" w:rsidR="00670359" w:rsidRPr="00166AA1" w:rsidRDefault="00670359" w:rsidP="00B2250B">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Completed</w:t>
            </w:r>
            <w:r w:rsidRPr="00166AA1">
              <w:rPr>
                <w:rFonts w:ascii="Times New Roman" w:hAnsi="Times New Roman" w:cs="Times New Roman"/>
                <w:color w:val="000000"/>
                <w:sz w:val="16"/>
                <w:szCs w:val="16"/>
              </w:rPr>
              <w:fldChar w:fldCharType="begin"/>
            </w:r>
            <w:r w:rsidRPr="00166AA1">
              <w:rPr>
                <w:rFonts w:ascii="Times New Roman" w:hAnsi="Times New Roman" w:cs="Times New Roman"/>
                <w:color w:val="000000"/>
                <w:sz w:val="16"/>
                <w:szCs w:val="16"/>
              </w:rPr>
              <w:instrText xml:space="preserve"> ADDIN ZOTERO_ITEM CSL_CITATION {"citationID":"6yo5iEXr","properties":{"formattedCitation":"(114)","plainCitation":"(114)","noteIndex":0},"citationItems":[{"id":328,"uris":["http://zotero.org/users/local/OxFKn8nN/items/U8KU5D53"],"uri":["http://zotero.org/users/local/OxFKn8nN/items/U8KU5D53"],"itemData":{"id":328,"type":"article-journal","title":"A double-blind, placebo-controlled, single ascending-dose study of remyelinating antibody rHIgM22 in people with multiple sclerosis","container-title":"Multiple sclerosis journal - experimental, translational and clinical","page":"2055217317743097-2055217317743097","volume":"3","issue":"4","archive":"PubMed","archive_location":"29348926","abstract":"OBJECTIVE: The objective of this paper is to assess, in individuals with clinically stable multiple sclerosis (MS), the safety, tolerability, pharmacokinetics (PK) and exploratory pharmacodynamics of the monoclonal recombinant human antibody IgM22 (rHIgM22). METHODS: Seventy-two adults with stable MS were enrolled in a double-blind, randomized, placebo-controlled, single ascending-dose, Phase 1 trial examining rHIgM22 from 0.025 to 2.0 mg/kg. Assessments included MRI, MR spectroscopy, plasma PK, and changes in clinical status, laboratory values and adverse events for three months. The final cohort had additional clinical, ophthalmologic, CSF collection and exploratory biomarker evaluations. Participants were monitored for six months. RESULTS: rHIgM22 was well tolerated with no clinically significant safety signals. Noncompartmental PK modeling demonstrated linear dose-proportionality both of C(max) and AUC(0-Last). The steady-state apparent volume of distribution of approximately 58 ml/kg suggested primarily vascular compartmentalization. CSF:plasma rHIgM22 concentration increased from 0.003% on Day 2 for both 1.0 and 2.0 mg/kg to 0.056% and 0.586% for 1.0 and 2.0 mg/kg, respectively, on Day 29. No statistically significant treatment-related changes were observed in exploratory pharmacodynamic outcome measures included for the 21 participants of the extension cohort. CONCLUSIONS: Single doses of rHIgM22 were well tolerated and exhibited linear PK, and antibody was detected in the CSF.","DOI":"10.1177/2055217317743097","ISSN":"2055-2173","author":[{"family":"Eisen","given":"Andrew"},{"family":"Greenberg","given":"Benjamin M"},{"family":"Bowen","given":"James D"},{"family":"Arnold","given":"Douglas L"},{"family":"Caggiano","given":"Anthony O"}],"issued":{"date-parts":[["2017",11,21]]}}}],"schema":"https://github.com/citation-style-language/schema/raw/master/csl-citation.json"} </w:instrText>
            </w:r>
            <w:r w:rsidRPr="00166AA1">
              <w:rPr>
                <w:rFonts w:ascii="Times New Roman" w:hAnsi="Times New Roman" w:cs="Times New Roman"/>
                <w:color w:val="000000"/>
                <w:sz w:val="16"/>
                <w:szCs w:val="16"/>
              </w:rPr>
              <w:fldChar w:fldCharType="separate"/>
            </w:r>
            <w:r w:rsidRPr="00166AA1">
              <w:rPr>
                <w:rFonts w:ascii="Times New Roman" w:hAnsi="Times New Roman" w:cs="Times New Roman"/>
                <w:color w:val="000000"/>
                <w:sz w:val="16"/>
                <w:szCs w:val="16"/>
              </w:rPr>
              <w:t>[114]</w:t>
            </w:r>
            <w:r w:rsidRPr="00166AA1">
              <w:rPr>
                <w:rFonts w:ascii="Times New Roman" w:hAnsi="Times New Roman" w:cs="Times New Roman"/>
                <w:color w:val="000000"/>
                <w:sz w:val="16"/>
                <w:szCs w:val="16"/>
              </w:rPr>
              <w:fldChar w:fldCharType="end"/>
            </w:r>
          </w:p>
        </w:tc>
      </w:tr>
      <w:tr w:rsidR="00670359" w:rsidRPr="00166AA1" w14:paraId="118CFF10" w14:textId="77777777" w:rsidTr="00B2250B">
        <w:tc>
          <w:tcPr>
            <w:cnfStyle w:val="001000000000" w:firstRow="0" w:lastRow="0" w:firstColumn="1" w:lastColumn="0" w:oddVBand="0" w:evenVBand="0" w:oddHBand="0" w:evenHBand="0" w:firstRowFirstColumn="0" w:firstRowLastColumn="0" w:lastRowFirstColumn="0" w:lastRowLastColumn="0"/>
            <w:tcW w:w="1760" w:type="dxa"/>
          </w:tcPr>
          <w:p w14:paraId="1CB80320" w14:textId="77777777" w:rsidR="00670359" w:rsidRPr="00166AA1" w:rsidRDefault="00670359" w:rsidP="00B2250B">
            <w:pPr>
              <w:rPr>
                <w:rFonts w:ascii="Times New Roman" w:hAnsi="Times New Roman" w:cs="Times New Roman"/>
                <w:color w:val="000000"/>
                <w:sz w:val="16"/>
                <w:szCs w:val="16"/>
              </w:rPr>
            </w:pPr>
            <w:proofErr w:type="spellStart"/>
            <w:r w:rsidRPr="00166AA1">
              <w:rPr>
                <w:rFonts w:ascii="Times New Roman" w:hAnsi="Times New Roman" w:cs="Times New Roman"/>
                <w:color w:val="000000"/>
                <w:sz w:val="16"/>
                <w:szCs w:val="16"/>
              </w:rPr>
              <w:t>Domperidone</w:t>
            </w:r>
            <w:proofErr w:type="spellEnd"/>
          </w:p>
          <w:p w14:paraId="5A5CB558" w14:textId="77777777" w:rsidR="00670359" w:rsidRPr="00166AA1" w:rsidRDefault="00670359" w:rsidP="00B2250B">
            <w:pPr>
              <w:rPr>
                <w:rFonts w:ascii="Times New Roman" w:hAnsi="Times New Roman" w:cs="Times New Roman"/>
                <w:color w:val="000000"/>
                <w:sz w:val="16"/>
                <w:szCs w:val="16"/>
              </w:rPr>
            </w:pPr>
            <w:r w:rsidRPr="00166AA1">
              <w:rPr>
                <w:rFonts w:ascii="Times New Roman" w:hAnsi="Times New Roman" w:cs="Times New Roman"/>
                <w:color w:val="000000"/>
                <w:sz w:val="16"/>
                <w:szCs w:val="16"/>
              </w:rPr>
              <w:t>(NCT02493049)</w:t>
            </w:r>
          </w:p>
        </w:tc>
        <w:tc>
          <w:tcPr>
            <w:tcW w:w="3491" w:type="dxa"/>
          </w:tcPr>
          <w:p w14:paraId="31A5DF31"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 xml:space="preserve">A phase II randomised, open-label, single-blind study of </w:t>
            </w:r>
            <w:proofErr w:type="spellStart"/>
            <w:r w:rsidRPr="00166AA1">
              <w:rPr>
                <w:rFonts w:ascii="Times New Roman" w:hAnsi="Times New Roman" w:cs="Times New Roman"/>
                <w:color w:val="000000"/>
                <w:sz w:val="16"/>
                <w:szCs w:val="16"/>
              </w:rPr>
              <w:t>domperidone</w:t>
            </w:r>
            <w:proofErr w:type="spellEnd"/>
            <w:r w:rsidRPr="00166AA1">
              <w:rPr>
                <w:rFonts w:ascii="Times New Roman" w:hAnsi="Times New Roman" w:cs="Times New Roman"/>
                <w:color w:val="000000"/>
                <w:sz w:val="16"/>
                <w:szCs w:val="16"/>
              </w:rPr>
              <w:t xml:space="preserve"> 10mg three times daily in people with RRMS and new </w:t>
            </w:r>
            <w:proofErr w:type="spellStart"/>
            <w:r w:rsidRPr="00166AA1">
              <w:rPr>
                <w:rFonts w:ascii="Times New Roman" w:hAnsi="Times New Roman" w:cs="Times New Roman"/>
                <w:color w:val="000000"/>
                <w:sz w:val="16"/>
                <w:szCs w:val="16"/>
              </w:rPr>
              <w:t>Gd</w:t>
            </w:r>
            <w:proofErr w:type="spellEnd"/>
            <w:r w:rsidRPr="00166AA1">
              <w:rPr>
                <w:rFonts w:ascii="Times New Roman" w:hAnsi="Times New Roman" w:cs="Times New Roman"/>
                <w:color w:val="000000"/>
                <w:sz w:val="16"/>
                <w:szCs w:val="16"/>
              </w:rPr>
              <w:t>-enhancing lesions</w:t>
            </w:r>
          </w:p>
        </w:tc>
        <w:tc>
          <w:tcPr>
            <w:tcW w:w="1786" w:type="dxa"/>
          </w:tcPr>
          <w:p w14:paraId="437015B2"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Texture analysis, DTI and MTR in enhancing lesions over 32 weeks</w:t>
            </w:r>
          </w:p>
        </w:tc>
        <w:tc>
          <w:tcPr>
            <w:tcW w:w="2255" w:type="dxa"/>
          </w:tcPr>
          <w:p w14:paraId="3DFD1EA9" w14:textId="77777777" w:rsidR="00670359" w:rsidRPr="00166AA1" w:rsidRDefault="00670359" w:rsidP="00B2250B">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r w:rsidRPr="00166AA1">
              <w:rPr>
                <w:rFonts w:ascii="Times New Roman" w:hAnsi="Times New Roman" w:cs="Times New Roman"/>
                <w:color w:val="000000"/>
                <w:sz w:val="16"/>
                <w:szCs w:val="16"/>
              </w:rPr>
              <w:t>Ongoing</w:t>
            </w:r>
          </w:p>
          <w:p w14:paraId="328E20CC" w14:textId="77777777" w:rsidR="00670359" w:rsidRPr="00166AA1" w:rsidRDefault="00670359" w:rsidP="00B2250B">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16"/>
                <w:szCs w:val="16"/>
              </w:rPr>
            </w:pPr>
          </w:p>
        </w:tc>
      </w:tr>
    </w:tbl>
    <w:p w14:paraId="6921D131" w14:textId="77777777" w:rsidR="00670359" w:rsidRPr="00166AA1" w:rsidRDefault="00670359" w:rsidP="00670359">
      <w:pPr>
        <w:spacing w:after="200"/>
        <w:rPr>
          <w:rFonts w:ascii="Times New Roman" w:eastAsia="MS Mincho" w:hAnsi="Times New Roman" w:cs="Times New Roman"/>
          <w:bCs/>
          <w:color w:val="000000"/>
          <w:sz w:val="20"/>
          <w:szCs w:val="20"/>
        </w:rPr>
      </w:pPr>
      <w:r w:rsidRPr="00166AA1">
        <w:rPr>
          <w:rFonts w:ascii="Cambria" w:eastAsia="MS Mincho" w:hAnsi="Cambria" w:cs="Times New Roman"/>
          <w:b/>
          <w:bCs/>
          <w:sz w:val="16"/>
          <w:szCs w:val="18"/>
        </w:rPr>
        <w:t xml:space="preserve">NABT, normal appearing brain tissue; MTR, magnetization transfer ratio; </w:t>
      </w:r>
      <w:proofErr w:type="spellStart"/>
      <w:r w:rsidRPr="00166AA1">
        <w:rPr>
          <w:rFonts w:ascii="Cambria" w:eastAsia="MS Mincho" w:hAnsi="Cambria" w:cs="Times New Roman"/>
          <w:b/>
          <w:bCs/>
          <w:sz w:val="16"/>
          <w:szCs w:val="18"/>
        </w:rPr>
        <w:t>Gd</w:t>
      </w:r>
      <w:proofErr w:type="spellEnd"/>
      <w:r w:rsidRPr="00166AA1">
        <w:rPr>
          <w:rFonts w:ascii="Cambria" w:eastAsia="MS Mincho" w:hAnsi="Cambria" w:cs="Times New Roman"/>
          <w:b/>
          <w:bCs/>
          <w:sz w:val="16"/>
          <w:szCs w:val="18"/>
        </w:rPr>
        <w:t>, gadolinium; MWF, myelin water fraction; DTI, diffusion tensor imaging; RRMS, relapsing remitting multiple sclerosis; SPMS, secondary progressive multiple sclerosis; PMS, progressive multiple sclerosis; IFN, interferon; VEP, visual evoked potential; EDSS, expanded disability status scale; T25FW, timed 25-foot walk; 9HPT, 9 hole peg test; PASAT, paced auditory serial addition task.</w:t>
      </w:r>
    </w:p>
    <w:p w14:paraId="51633079" w14:textId="77777777" w:rsidR="00670359" w:rsidRPr="00166AA1" w:rsidRDefault="00670359" w:rsidP="00670359">
      <w:pPr>
        <w:spacing w:line="480" w:lineRule="auto"/>
        <w:rPr>
          <w:rFonts w:ascii="Times New Roman" w:eastAsia="MS Mincho" w:hAnsi="Times New Roman" w:cs="Times New Roman"/>
          <w:b/>
          <w:color w:val="000000"/>
          <w:sz w:val="20"/>
          <w:szCs w:val="20"/>
        </w:rPr>
      </w:pPr>
    </w:p>
    <w:p w14:paraId="65476C78" w14:textId="77777777" w:rsidR="00670359" w:rsidRPr="00166AA1" w:rsidRDefault="00670359" w:rsidP="00670359"/>
    <w:p w14:paraId="3B88488C" w14:textId="77777777" w:rsidR="00670359" w:rsidRDefault="00670359" w:rsidP="00E17010">
      <w:pPr>
        <w:spacing w:line="480" w:lineRule="auto"/>
        <w:rPr>
          <w:rFonts w:ascii="Times New Roman" w:hAnsi="Times New Roman" w:cs="Times New Roman"/>
          <w:color w:val="000000" w:themeColor="text1"/>
          <w:sz w:val="20"/>
          <w:szCs w:val="20"/>
        </w:rPr>
      </w:pPr>
      <w:bookmarkStart w:id="0" w:name="_GoBack"/>
      <w:bookmarkEnd w:id="0"/>
    </w:p>
    <w:p w14:paraId="03AB5A77" w14:textId="647CCFE9" w:rsidR="00991B92" w:rsidRDefault="00991B92" w:rsidP="00E17010">
      <w:pPr>
        <w:spacing w:line="480" w:lineRule="auto"/>
        <w:rPr>
          <w:rFonts w:ascii="Times New Roman" w:hAnsi="Times New Roman" w:cs="Times New Roman"/>
          <w:b/>
          <w:color w:val="000000" w:themeColor="text1"/>
          <w:sz w:val="20"/>
          <w:szCs w:val="20"/>
        </w:rPr>
      </w:pPr>
    </w:p>
    <w:p w14:paraId="2341105D" w14:textId="00EF26F7" w:rsidR="00991B92" w:rsidRDefault="00991B92" w:rsidP="00E17010">
      <w:pPr>
        <w:spacing w:line="480" w:lineRule="auto"/>
        <w:rPr>
          <w:rFonts w:ascii="Times New Roman" w:hAnsi="Times New Roman" w:cs="Times New Roman"/>
          <w:b/>
          <w:color w:val="000000" w:themeColor="text1"/>
          <w:sz w:val="20"/>
          <w:szCs w:val="20"/>
        </w:rPr>
      </w:pPr>
    </w:p>
    <w:p w14:paraId="71B67E76" w14:textId="35DBFAE6" w:rsidR="00991B92" w:rsidRDefault="00991B92" w:rsidP="00003E8D">
      <w:pPr>
        <w:rPr>
          <w:rFonts w:ascii="Times New Roman" w:hAnsi="Times New Roman" w:cs="Times New Roman"/>
          <w:b/>
          <w:color w:val="000000" w:themeColor="text1"/>
          <w:sz w:val="20"/>
          <w:szCs w:val="20"/>
        </w:rPr>
      </w:pPr>
    </w:p>
    <w:p w14:paraId="533518E7" w14:textId="3A69D8D6" w:rsidR="00991B92" w:rsidRDefault="00991B92" w:rsidP="00003E8D">
      <w:pPr>
        <w:rPr>
          <w:rFonts w:ascii="Times New Roman" w:hAnsi="Times New Roman" w:cs="Times New Roman"/>
          <w:b/>
          <w:color w:val="000000" w:themeColor="text1"/>
          <w:sz w:val="20"/>
          <w:szCs w:val="20"/>
        </w:rPr>
      </w:pPr>
    </w:p>
    <w:p w14:paraId="09B05E7D" w14:textId="07EC9C09" w:rsidR="00991B92" w:rsidRDefault="00991B92" w:rsidP="00003E8D">
      <w:pPr>
        <w:rPr>
          <w:rFonts w:ascii="Times New Roman" w:hAnsi="Times New Roman" w:cs="Times New Roman"/>
          <w:b/>
          <w:color w:val="000000" w:themeColor="text1"/>
          <w:sz w:val="20"/>
          <w:szCs w:val="20"/>
        </w:rPr>
      </w:pPr>
    </w:p>
    <w:p w14:paraId="1B2AACD6" w14:textId="7CE3B3B4" w:rsidR="00991B92" w:rsidRDefault="00991B92" w:rsidP="00003E8D">
      <w:pPr>
        <w:rPr>
          <w:rFonts w:ascii="Times New Roman" w:hAnsi="Times New Roman" w:cs="Times New Roman"/>
          <w:b/>
          <w:color w:val="000000" w:themeColor="text1"/>
          <w:sz w:val="20"/>
          <w:szCs w:val="20"/>
        </w:rPr>
      </w:pPr>
    </w:p>
    <w:p w14:paraId="4671EA57" w14:textId="0E2945AD" w:rsidR="00991B92" w:rsidRDefault="00991B92" w:rsidP="00003E8D">
      <w:pPr>
        <w:rPr>
          <w:rFonts w:ascii="Times New Roman" w:hAnsi="Times New Roman" w:cs="Times New Roman"/>
          <w:b/>
          <w:color w:val="000000" w:themeColor="text1"/>
          <w:sz w:val="20"/>
          <w:szCs w:val="20"/>
        </w:rPr>
      </w:pPr>
    </w:p>
    <w:p w14:paraId="6062B153" w14:textId="5B31D087" w:rsidR="00991B92" w:rsidRDefault="00991B92" w:rsidP="00003E8D">
      <w:pPr>
        <w:rPr>
          <w:rFonts w:ascii="Times New Roman" w:hAnsi="Times New Roman" w:cs="Times New Roman"/>
          <w:b/>
          <w:color w:val="000000" w:themeColor="text1"/>
          <w:sz w:val="20"/>
          <w:szCs w:val="20"/>
        </w:rPr>
      </w:pPr>
    </w:p>
    <w:p w14:paraId="2119A5C9" w14:textId="6650DFEF" w:rsidR="00991B92" w:rsidRDefault="00991B92" w:rsidP="00003E8D">
      <w:pPr>
        <w:rPr>
          <w:rFonts w:ascii="Times New Roman" w:hAnsi="Times New Roman" w:cs="Times New Roman"/>
          <w:b/>
          <w:color w:val="000000" w:themeColor="text1"/>
          <w:sz w:val="20"/>
          <w:szCs w:val="20"/>
        </w:rPr>
      </w:pPr>
    </w:p>
    <w:p w14:paraId="47ABB7DA" w14:textId="7479841E" w:rsidR="00991B92" w:rsidRDefault="00991B92" w:rsidP="00003E8D">
      <w:pPr>
        <w:rPr>
          <w:rFonts w:ascii="Times New Roman" w:hAnsi="Times New Roman" w:cs="Times New Roman"/>
          <w:b/>
          <w:color w:val="000000" w:themeColor="text1"/>
          <w:sz w:val="20"/>
          <w:szCs w:val="20"/>
        </w:rPr>
      </w:pPr>
    </w:p>
    <w:p w14:paraId="74CE5BB9" w14:textId="2C3CA7C0" w:rsidR="00991B92" w:rsidRDefault="00991B92" w:rsidP="00003E8D">
      <w:pPr>
        <w:rPr>
          <w:rFonts w:ascii="Times New Roman" w:hAnsi="Times New Roman" w:cs="Times New Roman"/>
          <w:b/>
          <w:color w:val="000000" w:themeColor="text1"/>
          <w:sz w:val="20"/>
          <w:szCs w:val="20"/>
        </w:rPr>
      </w:pPr>
    </w:p>
    <w:p w14:paraId="2DFC493E" w14:textId="081F3FF5" w:rsidR="00991B92" w:rsidRDefault="00991B92" w:rsidP="00003E8D">
      <w:pPr>
        <w:rPr>
          <w:rFonts w:ascii="Times New Roman" w:hAnsi="Times New Roman" w:cs="Times New Roman"/>
          <w:b/>
          <w:color w:val="000000" w:themeColor="text1"/>
          <w:sz w:val="20"/>
          <w:szCs w:val="20"/>
        </w:rPr>
      </w:pPr>
    </w:p>
    <w:p w14:paraId="5C547937" w14:textId="77777777" w:rsidR="0086461F" w:rsidRDefault="0086461F">
      <w:pPr>
        <w:rPr>
          <w:rFonts w:ascii="Times New Roman" w:hAnsi="Times New Roman" w:cs="Times New Roman"/>
          <w:b/>
          <w:sz w:val="20"/>
          <w:szCs w:val="20"/>
          <w:u w:val="single"/>
        </w:rPr>
      </w:pPr>
      <w:r>
        <w:rPr>
          <w:rFonts w:ascii="Times New Roman" w:hAnsi="Times New Roman" w:cs="Times New Roman"/>
          <w:b/>
          <w:sz w:val="20"/>
          <w:szCs w:val="20"/>
          <w:u w:val="single"/>
        </w:rPr>
        <w:br w:type="page"/>
      </w:r>
    </w:p>
    <w:p w14:paraId="3F595B03" w14:textId="5465B16D" w:rsidR="0031752E" w:rsidRPr="00B46A0D" w:rsidRDefault="0031752E" w:rsidP="00EB6646">
      <w:pPr>
        <w:contextualSpacing/>
        <w:rPr>
          <w:rFonts w:ascii="Times New Roman" w:hAnsi="Times New Roman" w:cs="Times New Roman"/>
          <w:b/>
          <w:sz w:val="20"/>
          <w:szCs w:val="20"/>
          <w:u w:val="single"/>
        </w:rPr>
      </w:pPr>
      <w:r w:rsidRPr="00B46A0D">
        <w:rPr>
          <w:rFonts w:ascii="Times New Roman" w:hAnsi="Times New Roman" w:cs="Times New Roman"/>
          <w:b/>
          <w:sz w:val="20"/>
          <w:szCs w:val="20"/>
          <w:u w:val="single"/>
        </w:rPr>
        <w:lastRenderedPageBreak/>
        <w:t>References</w:t>
      </w:r>
    </w:p>
    <w:p w14:paraId="69452958" w14:textId="7C1A6106" w:rsidR="00AA2F7B" w:rsidRPr="00B46A0D" w:rsidRDefault="00354A8D" w:rsidP="00DB0E48">
      <w:pPr>
        <w:pStyle w:val="Bibliography"/>
        <w:rPr>
          <w:rFonts w:ascii="Times New Roman" w:hAnsi="Times New Roman" w:cs="Times New Roman"/>
          <w:sz w:val="20"/>
          <w:szCs w:val="20"/>
          <w:lang w:val="en-US"/>
        </w:rPr>
      </w:pPr>
      <w:r w:rsidRPr="00B46A0D">
        <w:rPr>
          <w:sz w:val="20"/>
          <w:szCs w:val="20"/>
        </w:rPr>
        <w:fldChar w:fldCharType="begin"/>
      </w:r>
      <w:r w:rsidR="00AA2F7B" w:rsidRPr="00B46A0D">
        <w:rPr>
          <w:sz w:val="20"/>
          <w:szCs w:val="20"/>
        </w:rPr>
        <w:instrText xml:space="preserve"> ADDIN ZOTERO_BIBL {"uncited":[],"omitted":[],"custom":[]} CSL_BIBLIOGRAPHY </w:instrText>
      </w:r>
      <w:r w:rsidRPr="00B46A0D">
        <w:rPr>
          <w:sz w:val="20"/>
          <w:szCs w:val="20"/>
        </w:rPr>
        <w:fldChar w:fldCharType="separate"/>
      </w:r>
      <w:r w:rsidR="00AA2F7B" w:rsidRPr="00B46A0D">
        <w:rPr>
          <w:rFonts w:ascii="Times New Roman" w:hAnsi="Times New Roman" w:cs="Times New Roman"/>
          <w:sz w:val="20"/>
          <w:szCs w:val="20"/>
          <w:lang w:val="en-US"/>
        </w:rPr>
        <w:t xml:space="preserve">1. </w:t>
      </w:r>
      <w:r w:rsidR="00AA2F7B" w:rsidRPr="00B46A0D">
        <w:rPr>
          <w:rFonts w:ascii="Times New Roman" w:hAnsi="Times New Roman" w:cs="Times New Roman"/>
          <w:sz w:val="20"/>
          <w:szCs w:val="20"/>
          <w:lang w:val="en-US"/>
        </w:rPr>
        <w:tab/>
        <w:t xml:space="preserve">Compston A, Coles A. Multiple sclerosis. The Lancet. 2008 Oct 25;372(9648):1502–17. </w:t>
      </w:r>
    </w:p>
    <w:p w14:paraId="1D500DE8" w14:textId="77777777" w:rsidR="00AA2F7B" w:rsidRPr="00B46A0D" w:rsidRDefault="00AA2F7B" w:rsidP="00DB0E48">
      <w:pPr>
        <w:pStyle w:val="Bibliography"/>
        <w:rPr>
          <w:rFonts w:ascii="Times New Roman" w:hAnsi="Times New Roman" w:cs="Times New Roman"/>
          <w:sz w:val="20"/>
          <w:szCs w:val="20"/>
          <w:lang w:val="en-US"/>
        </w:rPr>
      </w:pPr>
      <w:r w:rsidRPr="00B46A0D">
        <w:rPr>
          <w:rFonts w:ascii="Times New Roman" w:hAnsi="Times New Roman" w:cs="Times New Roman"/>
          <w:sz w:val="20"/>
          <w:szCs w:val="20"/>
          <w:lang w:val="en-US"/>
        </w:rPr>
        <w:t xml:space="preserve">2. </w:t>
      </w:r>
      <w:r w:rsidRPr="00B46A0D">
        <w:rPr>
          <w:rFonts w:ascii="Times New Roman" w:hAnsi="Times New Roman" w:cs="Times New Roman"/>
          <w:sz w:val="20"/>
          <w:szCs w:val="20"/>
          <w:lang w:val="en-US"/>
        </w:rPr>
        <w:tab/>
        <w:t xml:space="preserve">Reich DS, Lucchinetti CF, Calabresi PA. Multiple Sclerosis. N Engl J Med. 2018 Jan 10;378(2):169–80. </w:t>
      </w:r>
    </w:p>
    <w:p w14:paraId="23323734"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 </w:t>
      </w:r>
      <w:r w:rsidRPr="00DB0E48">
        <w:rPr>
          <w:rFonts w:ascii="Times New Roman" w:hAnsi="Times New Roman" w:cs="Times New Roman"/>
          <w:sz w:val="20"/>
          <w:szCs w:val="20"/>
          <w:lang w:val="en-US"/>
        </w:rPr>
        <w:tab/>
        <w:t xml:space="preserve">Thompson AJ, Baranzini SE, Geurts J, Hemmer B, Ciccarelli O. Multiple sclerosis. The Lancet. 2018 Apr 21;391(10130):1622–36. </w:t>
      </w:r>
    </w:p>
    <w:p w14:paraId="587C8906" w14:textId="14BF8593"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 </w:t>
      </w:r>
      <w:r w:rsidRPr="00DB0E48">
        <w:rPr>
          <w:rFonts w:ascii="Times New Roman" w:hAnsi="Times New Roman" w:cs="Times New Roman"/>
          <w:sz w:val="20"/>
          <w:szCs w:val="20"/>
          <w:lang w:val="en-US"/>
        </w:rPr>
        <w:tab/>
        <w:t xml:space="preserve">O’Connor P. Key issues in the diagnosis and treatment of multiple sclerosis. Neurology. 2002 Sep 24;59(6 suppl 3):S1. </w:t>
      </w:r>
    </w:p>
    <w:p w14:paraId="3CA1A1C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 </w:t>
      </w:r>
      <w:r w:rsidRPr="00DB0E48">
        <w:rPr>
          <w:rFonts w:ascii="Times New Roman" w:hAnsi="Times New Roman" w:cs="Times New Roman"/>
          <w:sz w:val="20"/>
          <w:szCs w:val="20"/>
          <w:lang w:val="en-US"/>
        </w:rPr>
        <w:tab/>
        <w:t xml:space="preserve">University of California SFM-ET, Cree BAC, Gourraud P-A, Oksenberg JR, Bevan C, Crabtree-Hartman E, et al. Long-term evolution of multiple sclerosis disability in the treatment era. Annals of neurology. 2016 Oct;80(4):499–510. </w:t>
      </w:r>
    </w:p>
    <w:p w14:paraId="1FC8B0D4"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 </w:t>
      </w:r>
      <w:r w:rsidRPr="00DB0E48">
        <w:rPr>
          <w:rFonts w:ascii="Times New Roman" w:hAnsi="Times New Roman" w:cs="Times New Roman"/>
          <w:sz w:val="20"/>
          <w:szCs w:val="20"/>
          <w:lang w:val="en-US"/>
        </w:rPr>
        <w:tab/>
        <w:t xml:space="preserve">Lublin FD, Reingold SC, Cohen JA, Cutter GR, Sørensen PS, Thompson AJ, et al. Defining the clinical course of multiple sclerosis: the 2013 revisions. Neurology. 2014 Jul 15;83(3):278–86. </w:t>
      </w:r>
    </w:p>
    <w:p w14:paraId="713484D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 </w:t>
      </w:r>
      <w:r w:rsidRPr="00DB0E48">
        <w:rPr>
          <w:rFonts w:ascii="Times New Roman" w:hAnsi="Times New Roman" w:cs="Times New Roman"/>
          <w:sz w:val="20"/>
          <w:szCs w:val="20"/>
          <w:lang w:val="en-US"/>
        </w:rPr>
        <w:tab/>
        <w:t xml:space="preserve">Miller DH, Leary SM. Primary-progressive multiple sclerosis. The Lancet Neurology. 2007 Oct 1;6(10):903–12. </w:t>
      </w:r>
    </w:p>
    <w:p w14:paraId="06D80A9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 </w:t>
      </w:r>
      <w:r w:rsidRPr="00DB0E48">
        <w:rPr>
          <w:rFonts w:ascii="Times New Roman" w:hAnsi="Times New Roman" w:cs="Times New Roman"/>
          <w:sz w:val="20"/>
          <w:szCs w:val="20"/>
          <w:lang w:val="en-US"/>
        </w:rPr>
        <w:tab/>
        <w:t xml:space="preserve">Confavreux C, Vukusic S. Age at disability milestones in multiple sclerosis. Brain. 2006 Mar 1;129(3):595–605. </w:t>
      </w:r>
    </w:p>
    <w:p w14:paraId="2919F87A"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 </w:t>
      </w:r>
      <w:r w:rsidRPr="00DB0E48">
        <w:rPr>
          <w:rFonts w:ascii="Times New Roman" w:hAnsi="Times New Roman" w:cs="Times New Roman"/>
          <w:sz w:val="20"/>
          <w:szCs w:val="20"/>
          <w:lang w:val="en-US"/>
        </w:rPr>
        <w:tab/>
        <w:t xml:space="preserve">Scolding N, Barnes D, Cader S, Chataway J, Chaudhuri A, Coles A, et al. Association of British Neurologists: revised (2015) guidelines for prescribing disease-modifying treatments in multiple sclerosis. Pract Neurol. 2015 Aug 1;15(4):273. </w:t>
      </w:r>
    </w:p>
    <w:p w14:paraId="645E22B4"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 </w:t>
      </w:r>
      <w:r w:rsidRPr="00DB0E48">
        <w:rPr>
          <w:rFonts w:ascii="Times New Roman" w:hAnsi="Times New Roman" w:cs="Times New Roman"/>
          <w:sz w:val="20"/>
          <w:szCs w:val="20"/>
          <w:lang w:val="en-US"/>
        </w:rPr>
        <w:tab/>
        <w:t xml:space="preserve">Ebers GC. Randomised double-blind placebo-controlled study of interferon β-1a in relapsing/remitting multiple sclerosis. The Lancet. 1998 Nov 7;352(9139):1498–504. </w:t>
      </w:r>
    </w:p>
    <w:p w14:paraId="0A66510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 </w:t>
      </w:r>
      <w:r w:rsidRPr="00DB0E48">
        <w:rPr>
          <w:rFonts w:ascii="Times New Roman" w:hAnsi="Times New Roman" w:cs="Times New Roman"/>
          <w:sz w:val="20"/>
          <w:szCs w:val="20"/>
          <w:lang w:val="en-US"/>
        </w:rPr>
        <w:tab/>
        <w:t>Johnson KP, Brooks BR, Cohen JA, Ford CC, Goldstein J, Lisak</w:t>
      </w:r>
      <w:r w:rsidRPr="00DB0E48">
        <w:rPr>
          <w:rFonts w:ascii="Times New Roman" w:hAnsi="Times New Roman" w:cs="Times New Roman" w:hint="eastAsia"/>
          <w:sz w:val="20"/>
          <w:szCs w:val="20"/>
          <w:lang w:val="en-US"/>
        </w:rPr>
        <w:t xml:space="preserve"> RP, et al. Copolymer 1 reduces relapse rate and improves disability in relapsing</w:t>
      </w:r>
      <w:r w:rsidRPr="00DB0E48">
        <w:rPr>
          <w:rFonts w:ascii="Times New Roman" w:hAnsi="Times New Roman" w:cs="Times New Roman" w:hint="eastAsia"/>
          <w:sz w:val="20"/>
          <w:szCs w:val="20"/>
          <w:lang w:val="en-US"/>
        </w:rPr>
        <w:t>‐</w:t>
      </w:r>
      <w:r w:rsidRPr="00DB0E48">
        <w:rPr>
          <w:rFonts w:ascii="Times New Roman" w:hAnsi="Times New Roman" w:cs="Times New Roman" w:hint="eastAsia"/>
          <w:sz w:val="20"/>
          <w:szCs w:val="20"/>
          <w:lang w:val="en-US"/>
        </w:rPr>
        <w:t xml:space="preserve">remitting multiple sclerosis. Neurology. 1995 Jul 1;45(7):1268. </w:t>
      </w:r>
    </w:p>
    <w:p w14:paraId="1240044A"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 </w:t>
      </w:r>
      <w:r w:rsidRPr="00DB0E48">
        <w:rPr>
          <w:rFonts w:ascii="Times New Roman" w:hAnsi="Times New Roman" w:cs="Times New Roman"/>
          <w:sz w:val="20"/>
          <w:szCs w:val="20"/>
          <w:lang w:val="en-US"/>
        </w:rPr>
        <w:tab/>
        <w:t xml:space="preserve">Confavreux C, O’Connor P, Comi G, Freedman MS, Miller AE, Olsson TP, et al. Oral teriflunomide for patients with relapsing multiple sclerosis (TOWER): a randomised, double-blind, placebo-controlled, phase 3 trial. The Lancet Neurology. 2014 Mar 1;13(3):247–56. </w:t>
      </w:r>
    </w:p>
    <w:p w14:paraId="3CF156EF"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 </w:t>
      </w:r>
      <w:r w:rsidRPr="00DB0E48">
        <w:rPr>
          <w:rFonts w:ascii="Times New Roman" w:hAnsi="Times New Roman" w:cs="Times New Roman"/>
          <w:sz w:val="20"/>
          <w:szCs w:val="20"/>
          <w:lang w:val="en-US"/>
        </w:rPr>
        <w:tab/>
        <w:t xml:space="preserve">Gold R, Kappos L, Arnold DL, Bar-Or A, Giovannoni G, Selmaj K, et al. Placebo-Controlled Phase 3 Study of Oral BG-12 for Relapsing Multiple Sclerosis. N Engl J Med. 2012 Sep 19;367(12):1098–107. </w:t>
      </w:r>
    </w:p>
    <w:p w14:paraId="11A0F6A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 </w:t>
      </w:r>
      <w:r w:rsidRPr="00DB0E48">
        <w:rPr>
          <w:rFonts w:ascii="Times New Roman" w:hAnsi="Times New Roman" w:cs="Times New Roman"/>
          <w:sz w:val="20"/>
          <w:szCs w:val="20"/>
          <w:lang w:val="en-US"/>
        </w:rPr>
        <w:tab/>
        <w:t xml:space="preserve">Calabresi PA, Radue E-W, Goodin D, Jeffery D, Rammohan KW, Reder AT, et al. Safety and efficacy of fingolimod in patients with relapsing-remitting multiple sclerosis (FREEDOMS II): a double-blind, randomised, placebo-controlled, phase 3 trial. The Lancet Neurology. 2014 Jun 1;13(6):545–56. </w:t>
      </w:r>
    </w:p>
    <w:p w14:paraId="67241B3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 </w:t>
      </w:r>
      <w:r w:rsidRPr="00DB0E48">
        <w:rPr>
          <w:rFonts w:ascii="Times New Roman" w:hAnsi="Times New Roman" w:cs="Times New Roman"/>
          <w:sz w:val="20"/>
          <w:szCs w:val="20"/>
          <w:lang w:val="en-US"/>
        </w:rPr>
        <w:tab/>
        <w:t xml:space="preserve">Giovannoni G, Comi G, Cook S, Rammohan K, Rieckmann P, Sørensen PS, et al. A Placebo-Controlled Trial of Oral Cladribine for Relapsing Multiple Sclerosis. N Engl J Med. 2010 Feb 4;362(5):416–26. </w:t>
      </w:r>
    </w:p>
    <w:p w14:paraId="6F3615E7"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16. </w:t>
      </w:r>
      <w:r w:rsidRPr="00DB0E48">
        <w:rPr>
          <w:rFonts w:ascii="Times New Roman" w:hAnsi="Times New Roman" w:cs="Times New Roman"/>
          <w:sz w:val="20"/>
          <w:szCs w:val="20"/>
          <w:lang w:val="en-US"/>
        </w:rPr>
        <w:tab/>
        <w:t xml:space="preserve">Polman CH, O’Connor PW, Havrdova E, Hutchinson M, Kappos L, Miller DH, et al. A Randomized, Placebo-Controlled Trial of Natalizumab for Relapsing Multiple Sclerosis. N Engl J Med. 2006 Mar 2;354(9):899–910. </w:t>
      </w:r>
    </w:p>
    <w:p w14:paraId="08F32CD7"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17. </w:t>
      </w:r>
      <w:r w:rsidRPr="00DB0E48">
        <w:rPr>
          <w:rFonts w:ascii="Times New Roman" w:hAnsi="Times New Roman" w:cs="Times New Roman"/>
          <w:sz w:val="20"/>
          <w:szCs w:val="20"/>
          <w:lang w:val="en-US"/>
        </w:rPr>
        <w:tab/>
        <w:t xml:space="preserve">Coles AJ, Twyman CL, Arnold DL, Cohen JA, Confavreux C, Fox EJ, et al. Alemtuzumab for patients with relapsing multiple sclerosis after disease-modifying therapy: a randomised controlled phase 3 trial. The Lancet. 2012 Nov 24;380(9856):1829–39. </w:t>
      </w:r>
    </w:p>
    <w:p w14:paraId="740BF99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18. </w:t>
      </w:r>
      <w:r w:rsidRPr="00DB0E48">
        <w:rPr>
          <w:rFonts w:ascii="Times New Roman" w:hAnsi="Times New Roman" w:cs="Times New Roman"/>
          <w:sz w:val="20"/>
          <w:szCs w:val="20"/>
          <w:lang w:val="en-US"/>
        </w:rPr>
        <w:tab/>
        <w:t xml:space="preserve">Cohen JA, Coles AJ, Arnold DL, Confavreux C, Fox EJ, Hartung H-P, et al. Alemtuzumab versus interferon beta 1a as first-line treatment for patients with relapsing-remitting multiple sclerosis: a randomised controlled phase 3 trial. The Lancet. 2012 Nov 24;380(9856):1819–28. </w:t>
      </w:r>
    </w:p>
    <w:p w14:paraId="0A71F1C4"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19. </w:t>
      </w:r>
      <w:r w:rsidRPr="00DB0E48">
        <w:rPr>
          <w:rFonts w:ascii="Times New Roman" w:hAnsi="Times New Roman" w:cs="Times New Roman"/>
          <w:sz w:val="20"/>
          <w:szCs w:val="20"/>
          <w:lang w:val="en-US"/>
        </w:rPr>
        <w:tab/>
        <w:t xml:space="preserve">Hauser SL, Bar-Or A, Comi G, Giovannoni G, Hartung H-P, Hemmer B, et al. Ocrelizumab versus Interferon Beta-1a in Relapsing Multiple Sclerosis. N Engl J Med. 2016 Dec 21;376(3):221–34. </w:t>
      </w:r>
    </w:p>
    <w:p w14:paraId="5054A7C5"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lastRenderedPageBreak/>
        <w:t xml:space="preserve">20. </w:t>
      </w:r>
      <w:r w:rsidRPr="00DB0E48">
        <w:rPr>
          <w:rFonts w:ascii="Times New Roman" w:hAnsi="Times New Roman" w:cs="Times New Roman"/>
          <w:sz w:val="20"/>
          <w:szCs w:val="20"/>
          <w:lang w:val="en-US"/>
        </w:rPr>
        <w:tab/>
        <w:t xml:space="preserve">Coles AJ, Cox A, Le Page E, Jones J, Trip SA, Deans J, et al. The window of therapeutic opportunity in multiple sclerosis. Journal of Neurology. 2006 Jan 1;253(1):98–108. </w:t>
      </w:r>
    </w:p>
    <w:p w14:paraId="5AB519EA" w14:textId="2021D0B8"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21. </w:t>
      </w:r>
      <w:r w:rsidRPr="00DB0E48">
        <w:rPr>
          <w:rFonts w:ascii="Times New Roman" w:hAnsi="Times New Roman" w:cs="Times New Roman"/>
          <w:sz w:val="20"/>
          <w:szCs w:val="20"/>
          <w:lang w:val="en-US"/>
        </w:rPr>
        <w:tab/>
        <w:t xml:space="preserve">Brown JWL, Coles A, Horakova D, Havrdova E, Izquierdo G, Prat A, et al. Association of Initial Disease-Modifying Therapy With Later Conversion to Secondary Progressive Multiple Sclerosis. JAMA. 2019 Jan 15;321(2):175–87. </w:t>
      </w:r>
    </w:p>
    <w:p w14:paraId="70B00EA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22. </w:t>
      </w:r>
      <w:r w:rsidRPr="00DB0E48">
        <w:rPr>
          <w:rFonts w:ascii="Times New Roman" w:hAnsi="Times New Roman" w:cs="Times New Roman"/>
          <w:sz w:val="20"/>
          <w:szCs w:val="20"/>
          <w:lang w:val="en-US"/>
        </w:rPr>
        <w:tab/>
        <w:t xml:space="preserve">Montalban X, Hauser SL, Kappos L, Arnold DL, Bar-Or A, Comi G, et al. Ocrelizumab versus Placebo in Primary Progressive Multiple Sclerosis. N Engl J Med. 2016 Dec 21;376(3):209–20. </w:t>
      </w:r>
    </w:p>
    <w:p w14:paraId="2D301FE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23. </w:t>
      </w:r>
      <w:r w:rsidRPr="00DB0E48">
        <w:rPr>
          <w:rFonts w:ascii="Times New Roman" w:hAnsi="Times New Roman" w:cs="Times New Roman"/>
          <w:sz w:val="20"/>
          <w:szCs w:val="20"/>
          <w:lang w:val="en-US"/>
        </w:rPr>
        <w:tab/>
        <w:t xml:space="preserve">Franklin RJM, ffrench-Constant C. Regenerating CNS myelin — from mechanisms to experimental medicines. Nature Reviews Neuroscience. 2017 Nov 16;18:753. </w:t>
      </w:r>
    </w:p>
    <w:p w14:paraId="2A44899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24. </w:t>
      </w:r>
      <w:r w:rsidRPr="00DB0E48">
        <w:rPr>
          <w:rFonts w:ascii="Times New Roman" w:hAnsi="Times New Roman" w:cs="Times New Roman"/>
          <w:sz w:val="20"/>
          <w:szCs w:val="20"/>
          <w:lang w:val="en-US"/>
        </w:rPr>
        <w:tab/>
        <w:t xml:space="preserve">Irvine KA, Blakemore WF. Remyelination protects axons from demyelination-associated axon degeneration. Brain. 2008 Jun 1;131(6):1464–77. </w:t>
      </w:r>
    </w:p>
    <w:p w14:paraId="225FCAF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25. </w:t>
      </w:r>
      <w:r w:rsidRPr="00DB0E48">
        <w:rPr>
          <w:rFonts w:ascii="Times New Roman" w:hAnsi="Times New Roman" w:cs="Times New Roman"/>
          <w:sz w:val="20"/>
          <w:szCs w:val="20"/>
          <w:lang w:val="en-US"/>
        </w:rPr>
        <w:tab/>
        <w:t xml:space="preserve">Fünfschilling U, Supplie LM, Mahad D, Boretius S, Saab AS, Edgar J, et al. Glycolytic oligodendrocytes maintain myelin and long-term axonal integrity. Nature. 2012 Apr 29;485(7399):517–21. </w:t>
      </w:r>
    </w:p>
    <w:p w14:paraId="4FFB10E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26. </w:t>
      </w:r>
      <w:r w:rsidRPr="00DB0E48">
        <w:rPr>
          <w:rFonts w:ascii="Times New Roman" w:hAnsi="Times New Roman" w:cs="Times New Roman"/>
          <w:sz w:val="20"/>
          <w:szCs w:val="20"/>
          <w:lang w:val="en-US"/>
        </w:rPr>
        <w:tab/>
        <w:t xml:space="preserve">Morrison BM, Lee Y, Rothstein JD. Oligodendroglia: metabolic supporters of axons. Trends in cell biology. 2013 Dec;23(12):644–51. </w:t>
      </w:r>
    </w:p>
    <w:p w14:paraId="6DC4EC5F"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27. </w:t>
      </w:r>
      <w:r w:rsidRPr="00DB0E48">
        <w:rPr>
          <w:rFonts w:ascii="Times New Roman" w:hAnsi="Times New Roman" w:cs="Times New Roman"/>
          <w:sz w:val="20"/>
          <w:szCs w:val="20"/>
          <w:lang w:val="en-US"/>
        </w:rPr>
        <w:tab/>
        <w:t xml:space="preserve">Lee Y, Morrison BM, Li Y, Lengacher S, Farah MH, Hoffman PN, et al. Oligodendroglia metabolically support axons and contribute to neurodegeneration. Nature. 2012 Jul 26;487(7408):443–8. </w:t>
      </w:r>
    </w:p>
    <w:p w14:paraId="36ACF305"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28. </w:t>
      </w:r>
      <w:r w:rsidRPr="00DB0E48">
        <w:rPr>
          <w:rFonts w:ascii="Times New Roman" w:hAnsi="Times New Roman" w:cs="Times New Roman"/>
          <w:sz w:val="20"/>
          <w:szCs w:val="20"/>
          <w:lang w:val="en-US"/>
        </w:rPr>
        <w:tab/>
        <w:t xml:space="preserve">Kornek B, Storch MK, Weissert R, Wallstroem E, Stefferl A, Olsson T, et al. Multiple sclerosis and chronic autoimmune encephalomyelitis: a comparative quantitative study of axonal injury in active, inactive, and remyelinated lesions. The American journal of pathology. 2000 Jul;157(1):267–76. </w:t>
      </w:r>
    </w:p>
    <w:p w14:paraId="23F3E00F"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29. </w:t>
      </w:r>
      <w:r w:rsidRPr="00DB0E48">
        <w:rPr>
          <w:rFonts w:ascii="Times New Roman" w:hAnsi="Times New Roman" w:cs="Times New Roman"/>
          <w:sz w:val="20"/>
          <w:szCs w:val="20"/>
          <w:lang w:val="en-US"/>
        </w:rPr>
        <w:tab/>
        <w:t xml:space="preserve">Mei F, Lehmann-Horn K, Shen Y-AA, Rankin KA, Stebbins KJ, Lorrain DS, et al. Accelerated remyelination during inflammatory demyelination prevents axonal loss and improves functional recovery. eLife. 2016 Sep 27;5:e18246. </w:t>
      </w:r>
    </w:p>
    <w:p w14:paraId="5DE75FBC"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30. </w:t>
      </w:r>
      <w:r w:rsidRPr="00DB0E48">
        <w:rPr>
          <w:rFonts w:ascii="Times New Roman" w:hAnsi="Times New Roman" w:cs="Times New Roman"/>
          <w:sz w:val="20"/>
          <w:szCs w:val="20"/>
          <w:lang w:val="en-US"/>
        </w:rPr>
        <w:tab/>
        <w:t xml:space="preserve">Smith K, McDonald W, Blakemore W. Restoration of secure conduction by central demyelination. Transactions of the American Neurological Association. 1979;104:25–9. </w:t>
      </w:r>
    </w:p>
    <w:p w14:paraId="1050A9A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31. </w:t>
      </w:r>
      <w:r w:rsidRPr="00DB0E48">
        <w:rPr>
          <w:rFonts w:ascii="Times New Roman" w:hAnsi="Times New Roman" w:cs="Times New Roman"/>
          <w:sz w:val="20"/>
          <w:szCs w:val="20"/>
          <w:lang w:val="en-US"/>
        </w:rPr>
        <w:tab/>
        <w:t xml:space="preserve">Smith K, Blakemore W, McDonald W. The restoration of conduction by central remyelination. Brain : a journal of neurology. 1981 Jun;104(2):383–404. </w:t>
      </w:r>
    </w:p>
    <w:p w14:paraId="01895D43" w14:textId="46EB2EAD" w:rsidR="00AA2F7B" w:rsidRPr="00B46A0D"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32. </w:t>
      </w:r>
      <w:r w:rsidRPr="00DB0E48">
        <w:rPr>
          <w:rFonts w:ascii="Times New Roman" w:hAnsi="Times New Roman" w:cs="Times New Roman"/>
          <w:sz w:val="20"/>
          <w:szCs w:val="20"/>
          <w:lang w:val="en-US"/>
        </w:rPr>
        <w:tab/>
        <w:t>Smith Kenneth J., McDonald W. I. The pathophysiology of multiple sclerosis</w:t>
      </w:r>
      <w:r w:rsidRPr="00DB0E48">
        <w:rPr>
          <w:rFonts w:ascii="Cambria Math" w:hAnsi="Cambria Math" w:cs="Cambria Math"/>
          <w:sz w:val="20"/>
          <w:szCs w:val="20"/>
          <w:lang w:val="en-US"/>
        </w:rPr>
        <w:t>⋮</w:t>
      </w:r>
      <w:r w:rsidRPr="00B46A0D">
        <w:rPr>
          <w:rFonts w:ascii="Times New Roman" w:hAnsi="Times New Roman" w:cs="Times New Roman"/>
          <w:sz w:val="20"/>
          <w:szCs w:val="20"/>
          <w:lang w:val="en-US"/>
        </w:rPr>
        <w:t xml:space="preserve"> the mechanisms underlying the production of symptoms and the natural history of the disease. Philosophical Transactions of the Royal Society of London Series B: Biological Sciences. 1999 Oct 29;354(1390):1649–73. </w:t>
      </w:r>
    </w:p>
    <w:p w14:paraId="0DCB94E8" w14:textId="5499A1BA"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33. </w:t>
      </w:r>
      <w:r w:rsidRPr="00DB0E48">
        <w:rPr>
          <w:rFonts w:ascii="Times New Roman" w:hAnsi="Times New Roman" w:cs="Times New Roman"/>
          <w:sz w:val="20"/>
          <w:szCs w:val="20"/>
          <w:lang w:val="en-US"/>
        </w:rPr>
        <w:tab/>
        <w:t>S</w:t>
      </w:r>
      <w:r w:rsidR="005525D9">
        <w:rPr>
          <w:rFonts w:ascii="Times New Roman" w:hAnsi="Times New Roman" w:cs="Times New Roman"/>
          <w:sz w:val="20"/>
          <w:szCs w:val="20"/>
          <w:lang w:val="en-US"/>
        </w:rPr>
        <w:t>mith KJ,</w:t>
      </w:r>
      <w:r w:rsidRPr="00DB0E48">
        <w:rPr>
          <w:rFonts w:ascii="Times New Roman" w:hAnsi="Times New Roman" w:cs="Times New Roman"/>
          <w:sz w:val="20"/>
          <w:szCs w:val="20"/>
          <w:lang w:val="en-US"/>
        </w:rPr>
        <w:t xml:space="preserve"> </w:t>
      </w:r>
      <w:r w:rsidR="005525D9">
        <w:rPr>
          <w:rFonts w:ascii="Times New Roman" w:hAnsi="Times New Roman" w:cs="Times New Roman"/>
          <w:sz w:val="20"/>
          <w:szCs w:val="20"/>
          <w:lang w:val="en-US"/>
        </w:rPr>
        <w:t>Blakemore</w:t>
      </w:r>
      <w:r w:rsidRPr="00DB0E48">
        <w:rPr>
          <w:rFonts w:ascii="Times New Roman" w:hAnsi="Times New Roman" w:cs="Times New Roman"/>
          <w:sz w:val="20"/>
          <w:szCs w:val="20"/>
          <w:lang w:val="en-US"/>
        </w:rPr>
        <w:t xml:space="preserve"> WF, </w:t>
      </w:r>
      <w:r w:rsidR="005525D9">
        <w:rPr>
          <w:rFonts w:ascii="Times New Roman" w:hAnsi="Times New Roman" w:cs="Times New Roman"/>
          <w:sz w:val="20"/>
          <w:szCs w:val="20"/>
          <w:lang w:val="en-US"/>
        </w:rPr>
        <w:t>McDonald</w:t>
      </w:r>
      <w:r w:rsidRPr="00DB0E48">
        <w:rPr>
          <w:rFonts w:ascii="Times New Roman" w:hAnsi="Times New Roman" w:cs="Times New Roman"/>
          <w:sz w:val="20"/>
          <w:szCs w:val="20"/>
          <w:lang w:val="en-US"/>
        </w:rPr>
        <w:t xml:space="preserve"> WI. Central remyelination restores secure conduction. Nature. 1979 Aug 1;280(5721):395–6. </w:t>
      </w:r>
    </w:p>
    <w:p w14:paraId="561C3949"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34. </w:t>
      </w:r>
      <w:r w:rsidRPr="00DB0E48">
        <w:rPr>
          <w:rFonts w:ascii="Times New Roman" w:hAnsi="Times New Roman" w:cs="Times New Roman"/>
          <w:sz w:val="20"/>
          <w:szCs w:val="20"/>
          <w:lang w:val="en-US"/>
        </w:rPr>
        <w:tab/>
        <w:t xml:space="preserve">Duncan ID, Brower A, Kondo Y, Curlee JF Jr, Schultz RD. Extensive remyelination of the CNS leads to functional recovery. Proceedings of the National Academy of Sciences of the United States of America. 2009 Apr 21;106(16):6832–6. </w:t>
      </w:r>
    </w:p>
    <w:p w14:paraId="13CE82EC"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35. </w:t>
      </w:r>
      <w:r w:rsidRPr="00DB0E48">
        <w:rPr>
          <w:rFonts w:ascii="Times New Roman" w:hAnsi="Times New Roman" w:cs="Times New Roman"/>
          <w:sz w:val="20"/>
          <w:szCs w:val="20"/>
          <w:lang w:val="en-US"/>
        </w:rPr>
        <w:tab/>
        <w:t xml:space="preserve">Sampaio-Baptista C, Johansen-Berg H. White Matter Plasticity in the Adult Brain. Neuron. 2017 Dec 20;96(6):1239–51. </w:t>
      </w:r>
    </w:p>
    <w:p w14:paraId="748147FC" w14:textId="6CE7EAA9"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36. </w:t>
      </w:r>
      <w:r w:rsidRPr="00DB0E48">
        <w:rPr>
          <w:rFonts w:ascii="Times New Roman" w:hAnsi="Times New Roman" w:cs="Times New Roman"/>
          <w:sz w:val="20"/>
          <w:szCs w:val="20"/>
          <w:lang w:val="en-US"/>
        </w:rPr>
        <w:tab/>
      </w:r>
      <w:r w:rsidR="005525D9">
        <w:rPr>
          <w:rFonts w:ascii="Times New Roman" w:hAnsi="Times New Roman" w:cs="Times New Roman"/>
          <w:sz w:val="20"/>
          <w:szCs w:val="20"/>
          <w:lang w:val="en-US"/>
        </w:rPr>
        <w:t>Bunge</w:t>
      </w:r>
      <w:r w:rsidRPr="00DB0E48">
        <w:rPr>
          <w:rFonts w:ascii="Times New Roman" w:hAnsi="Times New Roman" w:cs="Times New Roman"/>
          <w:sz w:val="20"/>
          <w:szCs w:val="20"/>
          <w:lang w:val="en-US"/>
        </w:rPr>
        <w:t xml:space="preserve"> MB, </w:t>
      </w:r>
      <w:r w:rsidR="005525D9">
        <w:rPr>
          <w:rFonts w:ascii="Times New Roman" w:hAnsi="Times New Roman" w:cs="Times New Roman"/>
          <w:sz w:val="20"/>
          <w:szCs w:val="20"/>
          <w:lang w:val="en-US"/>
        </w:rPr>
        <w:t>Bunge</w:t>
      </w:r>
      <w:r w:rsidRPr="00DB0E48">
        <w:rPr>
          <w:rFonts w:ascii="Times New Roman" w:hAnsi="Times New Roman" w:cs="Times New Roman"/>
          <w:sz w:val="20"/>
          <w:szCs w:val="20"/>
          <w:lang w:val="en-US"/>
        </w:rPr>
        <w:t xml:space="preserve"> RP, </w:t>
      </w:r>
      <w:r w:rsidR="005525D9">
        <w:rPr>
          <w:rFonts w:ascii="Times New Roman" w:hAnsi="Times New Roman" w:cs="Times New Roman"/>
          <w:sz w:val="20"/>
          <w:szCs w:val="20"/>
          <w:lang w:val="en-US"/>
        </w:rPr>
        <w:t>Ris</w:t>
      </w:r>
      <w:r w:rsidRPr="00DB0E48">
        <w:rPr>
          <w:rFonts w:ascii="Times New Roman" w:hAnsi="Times New Roman" w:cs="Times New Roman"/>
          <w:sz w:val="20"/>
          <w:szCs w:val="20"/>
          <w:lang w:val="en-US"/>
        </w:rPr>
        <w:t xml:space="preserve"> H. Ultrastructural study of remyelination in an experimental lesion in adult cat spinal cord. The Journal of biophysical and biochemical cytology. 1961 May 1;10(1):67–94. </w:t>
      </w:r>
    </w:p>
    <w:p w14:paraId="1EB38DDA" w14:textId="3B8978FA"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37. </w:t>
      </w:r>
      <w:r w:rsidRPr="00DB0E48">
        <w:rPr>
          <w:rFonts w:ascii="Times New Roman" w:hAnsi="Times New Roman" w:cs="Times New Roman"/>
          <w:sz w:val="20"/>
          <w:szCs w:val="20"/>
          <w:lang w:val="en-US"/>
        </w:rPr>
        <w:tab/>
        <w:t>P</w:t>
      </w:r>
      <w:r w:rsidR="00CE5673" w:rsidRPr="00CE5673">
        <w:rPr>
          <w:rFonts w:ascii="Times New Roman" w:hAnsi="Times New Roman" w:cs="Times New Roman"/>
          <w:sz w:val="20"/>
          <w:szCs w:val="20"/>
          <w:lang w:val="en-US"/>
        </w:rPr>
        <w:t xml:space="preserve">érier </w:t>
      </w:r>
      <w:r w:rsidR="00CE5673">
        <w:rPr>
          <w:rFonts w:ascii="Times New Roman" w:hAnsi="Times New Roman" w:cs="Times New Roman"/>
          <w:sz w:val="20"/>
          <w:szCs w:val="20"/>
          <w:lang w:val="en-US"/>
        </w:rPr>
        <w:t>O</w:t>
      </w:r>
      <w:r w:rsidR="00CE5673" w:rsidRPr="00CE5673">
        <w:rPr>
          <w:rFonts w:ascii="Times New Roman" w:hAnsi="Times New Roman" w:cs="Times New Roman"/>
          <w:sz w:val="20"/>
          <w:szCs w:val="20"/>
          <w:lang w:val="en-US"/>
        </w:rPr>
        <w:t xml:space="preserve">, </w:t>
      </w:r>
      <w:r w:rsidR="00CE5673">
        <w:rPr>
          <w:rFonts w:ascii="Times New Roman" w:hAnsi="Times New Roman" w:cs="Times New Roman"/>
          <w:sz w:val="20"/>
          <w:szCs w:val="20"/>
          <w:lang w:val="en-US"/>
        </w:rPr>
        <w:t>G</w:t>
      </w:r>
      <w:r w:rsidR="00CE5673" w:rsidRPr="00CE5673">
        <w:rPr>
          <w:rFonts w:ascii="Times New Roman" w:hAnsi="Times New Roman" w:cs="Times New Roman"/>
          <w:sz w:val="20"/>
          <w:szCs w:val="20"/>
          <w:lang w:val="en-US"/>
        </w:rPr>
        <w:t xml:space="preserve">régoire </w:t>
      </w:r>
      <w:r w:rsidR="00CE5673">
        <w:rPr>
          <w:rFonts w:ascii="Times New Roman" w:hAnsi="Times New Roman" w:cs="Times New Roman"/>
          <w:sz w:val="20"/>
          <w:szCs w:val="20"/>
          <w:lang w:val="en-US"/>
        </w:rPr>
        <w:t>A</w:t>
      </w:r>
      <w:r w:rsidR="00CE5673" w:rsidRPr="00CE5673">
        <w:rPr>
          <w:rFonts w:ascii="Times New Roman" w:hAnsi="Times New Roman" w:cs="Times New Roman"/>
          <w:sz w:val="20"/>
          <w:szCs w:val="20"/>
          <w:lang w:val="en-US"/>
        </w:rPr>
        <w:t xml:space="preserve">. </w:t>
      </w:r>
      <w:r w:rsidR="00CE5673">
        <w:rPr>
          <w:rFonts w:ascii="Times New Roman" w:hAnsi="Times New Roman" w:cs="Times New Roman"/>
          <w:sz w:val="20"/>
          <w:szCs w:val="20"/>
          <w:lang w:val="en-US"/>
        </w:rPr>
        <w:t>E</w:t>
      </w:r>
      <w:r w:rsidR="00CE5673" w:rsidRPr="00CE5673">
        <w:rPr>
          <w:rFonts w:ascii="Times New Roman" w:hAnsi="Times New Roman" w:cs="Times New Roman"/>
          <w:sz w:val="20"/>
          <w:szCs w:val="20"/>
          <w:lang w:val="en-US"/>
        </w:rPr>
        <w:t>lectron microscopic features of multiple sclerosis lesions</w:t>
      </w:r>
      <w:r w:rsidRPr="00DB0E48">
        <w:rPr>
          <w:rFonts w:ascii="Times New Roman" w:hAnsi="Times New Roman" w:cs="Times New Roman"/>
          <w:sz w:val="20"/>
          <w:szCs w:val="20"/>
          <w:lang w:val="en-US"/>
        </w:rPr>
        <w:t xml:space="preserve">. Brain. 1965 Dec 1;88(5):937–52. </w:t>
      </w:r>
    </w:p>
    <w:p w14:paraId="6955AF0C"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lastRenderedPageBreak/>
        <w:t xml:space="preserve">38. </w:t>
      </w:r>
      <w:r w:rsidRPr="00DB0E48">
        <w:rPr>
          <w:rFonts w:ascii="Times New Roman" w:hAnsi="Times New Roman" w:cs="Times New Roman"/>
          <w:sz w:val="20"/>
          <w:szCs w:val="20"/>
          <w:lang w:val="en-US"/>
        </w:rPr>
        <w:tab/>
        <w:t xml:space="preserve">Franklin RJM. Why does remyelination fail in multiple sclerosis? Nature Reviews Neuroscience. 2002 Sep 1;3:705. </w:t>
      </w:r>
    </w:p>
    <w:p w14:paraId="17294ACF"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39. </w:t>
      </w:r>
      <w:r w:rsidRPr="00DB0E48">
        <w:rPr>
          <w:rFonts w:ascii="Times New Roman" w:hAnsi="Times New Roman" w:cs="Times New Roman"/>
          <w:sz w:val="20"/>
          <w:szCs w:val="20"/>
          <w:lang w:val="en-US"/>
        </w:rPr>
        <w:tab/>
        <w:t xml:space="preserve">Franklin RJM, ffrench-Constant C, Edgar JM, Smith KJ. Neuroprotection and repair in multiple sclerosis. Nature Reviews Neurology. 2012 Oct 2;8:624. </w:t>
      </w:r>
    </w:p>
    <w:p w14:paraId="2627ACCF"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40. </w:t>
      </w:r>
      <w:r w:rsidRPr="00DB0E48">
        <w:rPr>
          <w:rFonts w:ascii="Times New Roman" w:hAnsi="Times New Roman" w:cs="Times New Roman"/>
          <w:sz w:val="20"/>
          <w:szCs w:val="20"/>
          <w:lang w:val="en-US"/>
        </w:rPr>
        <w:tab/>
        <w:t xml:space="preserve">Patani R, Balaratnam M, Vora A, Reynolds R. Remyelination can be extensive in multiple sclerosis despite a long disease course. Neuropathology and Applied Neurobiology. 2007 Jun 1;33(3):277–87. </w:t>
      </w:r>
    </w:p>
    <w:p w14:paraId="5B1D5139" w14:textId="609FADE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41. </w:t>
      </w:r>
      <w:r w:rsidRPr="00DB0E48">
        <w:rPr>
          <w:rFonts w:ascii="Times New Roman" w:hAnsi="Times New Roman" w:cs="Times New Roman"/>
          <w:sz w:val="20"/>
          <w:szCs w:val="20"/>
          <w:lang w:val="en-US"/>
        </w:rPr>
        <w:tab/>
        <w:t>Prineas JW, Barnard RO, Kwon EE, Sharer LR, Cho E-S. Multiple sclerosis: Remyelination of nascent lesions</w:t>
      </w:r>
      <w:r w:rsidR="00BF685A">
        <w:rPr>
          <w:rFonts w:ascii="Times New Roman" w:hAnsi="Times New Roman" w:cs="Times New Roman"/>
          <w:sz w:val="20"/>
          <w:szCs w:val="20"/>
          <w:lang w:val="en-US"/>
        </w:rPr>
        <w:t xml:space="preserve">. </w:t>
      </w:r>
      <w:r w:rsidRPr="00DB0E48">
        <w:rPr>
          <w:rFonts w:ascii="Times New Roman" w:hAnsi="Times New Roman" w:cs="Times New Roman"/>
          <w:sz w:val="20"/>
          <w:szCs w:val="20"/>
          <w:lang w:val="en-US"/>
        </w:rPr>
        <w:t xml:space="preserve">Annals of Neurology. 1993 Feb 1;33(2):137–51. </w:t>
      </w:r>
    </w:p>
    <w:p w14:paraId="0EC1D14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42. </w:t>
      </w:r>
      <w:r w:rsidRPr="00DB0E48">
        <w:rPr>
          <w:rFonts w:ascii="Times New Roman" w:hAnsi="Times New Roman" w:cs="Times New Roman"/>
          <w:sz w:val="20"/>
          <w:szCs w:val="20"/>
          <w:lang w:val="en-US"/>
        </w:rPr>
        <w:tab/>
        <w:t xml:space="preserve">Patrikios P, Stadelmann C, Kutzelnigg A, Rauschka H, Schmidbauer M, Laursen H, et al. Remyelination is extensive in a subset of multiple sclerosis patients. Brain. 2006 Dec 1;129(12):3165–72. </w:t>
      </w:r>
    </w:p>
    <w:p w14:paraId="3C853A0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43. </w:t>
      </w:r>
      <w:r w:rsidRPr="00DB0E48">
        <w:rPr>
          <w:rFonts w:ascii="Times New Roman" w:hAnsi="Times New Roman" w:cs="Times New Roman"/>
          <w:sz w:val="20"/>
          <w:szCs w:val="20"/>
          <w:lang w:val="en-US"/>
        </w:rPr>
        <w:tab/>
        <w:t xml:space="preserve">Bodini B, Veronese M, García-Lorenzo D, Battaglini M, Poirion E, Chardain A, et al. Dynamic Imaging of Individual Remyelination Profiles in Multiple Sclerosis. Annals of neurology. 2016 May;79(5):726–38. </w:t>
      </w:r>
    </w:p>
    <w:p w14:paraId="5E10C83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44. </w:t>
      </w:r>
      <w:r w:rsidRPr="00DB0E48">
        <w:rPr>
          <w:rFonts w:ascii="Times New Roman" w:hAnsi="Times New Roman" w:cs="Times New Roman"/>
          <w:sz w:val="20"/>
          <w:szCs w:val="20"/>
          <w:lang w:val="en-US"/>
        </w:rPr>
        <w:tab/>
        <w:t xml:space="preserve">Bramow S, Frischer JM, Lassmann H, Koch-Henriksen N, Lucchinetti CF, Sørensen PS, et al. Demyelination versus remyelination in progressive multiple sclerosis. Brain. 2010 Oct 1;133(10):2983–98. </w:t>
      </w:r>
    </w:p>
    <w:p w14:paraId="44DE728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45. </w:t>
      </w:r>
      <w:r w:rsidRPr="00DB0E48">
        <w:rPr>
          <w:rFonts w:ascii="Times New Roman" w:hAnsi="Times New Roman" w:cs="Times New Roman"/>
          <w:sz w:val="20"/>
          <w:szCs w:val="20"/>
          <w:lang w:val="en-US"/>
        </w:rPr>
        <w:tab/>
        <w:t xml:space="preserve">Jeffries MA, Urbanek K, Torres L, Wendell SG, Rubio ME, Fyffe-Maricich SL. ERK1/2 Activation in Preexisting Oligodendrocytes of Adult Mice Drives New Myelin Synthesis and Enhanced CNS Function. The Journal of neuroscience : the official journal of the Society for Neuroscience. 2016 Aug 31;36(35):9186–200. </w:t>
      </w:r>
    </w:p>
    <w:p w14:paraId="24DC5885"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46. </w:t>
      </w:r>
      <w:r w:rsidRPr="00DB0E48">
        <w:rPr>
          <w:rFonts w:ascii="Times New Roman" w:hAnsi="Times New Roman" w:cs="Times New Roman"/>
          <w:sz w:val="20"/>
          <w:szCs w:val="20"/>
          <w:lang w:val="en-US"/>
        </w:rPr>
        <w:tab/>
        <w:t xml:space="preserve">Crawford AH, Tripathi RB, Foerster S, McKenzie I, Kougioumtzidou E, Grist M, et al. Pre-Existing Mature Oligodendrocytes Do Not Contribute to Remyelination following Toxin-Induced Spinal Cord Demyelination. The American journal of pathology. 2016 Mar;186(3):511–6. </w:t>
      </w:r>
    </w:p>
    <w:p w14:paraId="343CB7F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47. </w:t>
      </w:r>
      <w:r w:rsidRPr="00DB0E48">
        <w:rPr>
          <w:rFonts w:ascii="Times New Roman" w:hAnsi="Times New Roman" w:cs="Times New Roman"/>
          <w:sz w:val="20"/>
          <w:szCs w:val="20"/>
          <w:lang w:val="en-US"/>
        </w:rPr>
        <w:tab/>
        <w:t xml:space="preserve">ffrench-Constant C, Raff MC. Proliferating bipotential glial progenitor cells in adult rat optic nerve. Nature. 1986 Feb 6;319:499. </w:t>
      </w:r>
    </w:p>
    <w:p w14:paraId="186B3E4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48. </w:t>
      </w:r>
      <w:r w:rsidRPr="00DB0E48">
        <w:rPr>
          <w:rFonts w:ascii="Times New Roman" w:hAnsi="Times New Roman" w:cs="Times New Roman"/>
          <w:sz w:val="20"/>
          <w:szCs w:val="20"/>
          <w:lang w:val="en-US"/>
        </w:rPr>
        <w:tab/>
        <w:t xml:space="preserve">Zawadzka M, Rivers LE, Fancy SPJ, Zhao C, Tripathi R, Jamen F, et al. CNS-resident glial progenitor/stem cells produce Schwann cells as well as oligodendrocytes during repair of CNS demyelination. Cell stem cell. 2010 Jun 4;6(6):578–90. </w:t>
      </w:r>
    </w:p>
    <w:p w14:paraId="6541DE32"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49. </w:t>
      </w:r>
      <w:r w:rsidRPr="00DB0E48">
        <w:rPr>
          <w:rFonts w:ascii="Times New Roman" w:hAnsi="Times New Roman" w:cs="Times New Roman"/>
          <w:sz w:val="20"/>
          <w:szCs w:val="20"/>
          <w:lang w:val="en-US"/>
        </w:rPr>
        <w:tab/>
        <w:t xml:space="preserve">Tripathi RB, Rivers LE, Young KM, Jamen F, Richardson WD. NG2 glia generate new oligodendrocytes but few astrocytes in a murine experimental autoimmune encephalomyelitis model of demyelinating disease. The Journal of neuroscience : the official journal of the Society for Neuroscience. 2010 Dec 1;30(48):16383–90. </w:t>
      </w:r>
    </w:p>
    <w:p w14:paraId="2AF6164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50. </w:t>
      </w:r>
      <w:r w:rsidRPr="00DB0E48">
        <w:rPr>
          <w:rFonts w:ascii="Times New Roman" w:hAnsi="Times New Roman" w:cs="Times New Roman"/>
          <w:sz w:val="20"/>
          <w:szCs w:val="20"/>
          <w:lang w:val="en-US"/>
        </w:rPr>
        <w:tab/>
        <w:t xml:space="preserve">Psachoulia K, Jamen F, Young KM, Richardson WD. Cell cycle dynamics of NG2 cells in the postnatal and ageing brain. Neuron Glia Biology. 2009;5(3–4):57–67. </w:t>
      </w:r>
    </w:p>
    <w:p w14:paraId="3DC19422"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51. </w:t>
      </w:r>
      <w:r w:rsidRPr="00DB0E48">
        <w:rPr>
          <w:rFonts w:ascii="Times New Roman" w:hAnsi="Times New Roman" w:cs="Times New Roman"/>
          <w:sz w:val="20"/>
          <w:szCs w:val="20"/>
          <w:lang w:val="en-US"/>
        </w:rPr>
        <w:tab/>
        <w:t xml:space="preserve">Menn B, Garcia-Verdugo JM, Yaschine C, Gonzalez-Perez O, Rowitch D, Alvarez-Buylla A. Origin of Oligodendrocytes in the Subventricular Zone of the Adult Brain. J Neurosci. 2006 Jul 26;26(30):7907. </w:t>
      </w:r>
    </w:p>
    <w:p w14:paraId="465CBD3C" w14:textId="41A42C18"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52. </w:t>
      </w:r>
      <w:r w:rsidRPr="00DB0E48">
        <w:rPr>
          <w:rFonts w:ascii="Times New Roman" w:hAnsi="Times New Roman" w:cs="Times New Roman"/>
          <w:sz w:val="20"/>
          <w:szCs w:val="20"/>
          <w:lang w:val="en-US"/>
        </w:rPr>
        <w:tab/>
        <w:t>B</w:t>
      </w:r>
      <w:r w:rsidR="00FE5DD2" w:rsidRPr="00FE5DD2">
        <w:rPr>
          <w:rFonts w:ascii="Times New Roman" w:hAnsi="Times New Roman" w:cs="Times New Roman"/>
          <w:sz w:val="20"/>
          <w:szCs w:val="20"/>
          <w:lang w:val="en-US"/>
        </w:rPr>
        <w:t>lakemore</w:t>
      </w:r>
      <w:r w:rsidRPr="00DB0E48">
        <w:rPr>
          <w:rFonts w:ascii="Times New Roman" w:hAnsi="Times New Roman" w:cs="Times New Roman"/>
          <w:sz w:val="20"/>
          <w:szCs w:val="20"/>
          <w:lang w:val="en-US"/>
        </w:rPr>
        <w:t xml:space="preserve"> WF. Pattern of remyelination in the CNS. Nature. 1974 Jun 1;249(5457):577–8. </w:t>
      </w:r>
    </w:p>
    <w:p w14:paraId="6ED47B5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53. </w:t>
      </w:r>
      <w:r w:rsidRPr="00DB0E48">
        <w:rPr>
          <w:rFonts w:ascii="Times New Roman" w:hAnsi="Times New Roman" w:cs="Times New Roman"/>
          <w:sz w:val="20"/>
          <w:szCs w:val="20"/>
          <w:lang w:val="en-US"/>
        </w:rPr>
        <w:tab/>
        <w:t xml:space="preserve">Wolswijk G. Chronic Stage Multiple Sclerosis Lesions Contain a Relatively Quiescent Population of Oligodendrocyte Precursor Cells. J Neurosci. 1998 Jan 15;18(2):601. </w:t>
      </w:r>
    </w:p>
    <w:p w14:paraId="688BA811"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54. </w:t>
      </w:r>
      <w:r w:rsidRPr="00DB0E48">
        <w:rPr>
          <w:rFonts w:ascii="Times New Roman" w:hAnsi="Times New Roman" w:cs="Times New Roman"/>
          <w:sz w:val="20"/>
          <w:szCs w:val="20"/>
          <w:lang w:val="en-US"/>
        </w:rPr>
        <w:tab/>
        <w:t xml:space="preserve">Moyon S, Huynh JL, Dutta D, Zhang F, Ma D, Yoo S, et al. Functional Characterization of DNA Methylation in the Oligodendrocyte Lineage. Cell Reports. 2016 Apr 26;15(4):748–60. </w:t>
      </w:r>
    </w:p>
    <w:p w14:paraId="50BB85B1"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55. </w:t>
      </w:r>
      <w:r w:rsidRPr="00DB0E48">
        <w:rPr>
          <w:rFonts w:ascii="Times New Roman" w:hAnsi="Times New Roman" w:cs="Times New Roman"/>
          <w:sz w:val="20"/>
          <w:szCs w:val="20"/>
          <w:lang w:val="en-US"/>
        </w:rPr>
        <w:tab/>
        <w:t xml:space="preserve">He D, Wang J, Lu Y, Deng Y, Zhao C, Xu L, et al. lncRNA Functional Networks in Oligodendrocytes Reveal Stage-Specific Myelination Control by an lncOL1/Suz12 Complex in the CNS. Neuron. 2017 Jan 18;93(2):362–78. </w:t>
      </w:r>
    </w:p>
    <w:p w14:paraId="4504B842" w14:textId="75168673"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lastRenderedPageBreak/>
        <w:t xml:space="preserve">56. </w:t>
      </w:r>
      <w:r w:rsidRPr="00DB0E48">
        <w:rPr>
          <w:rFonts w:ascii="Times New Roman" w:hAnsi="Times New Roman" w:cs="Times New Roman"/>
          <w:sz w:val="20"/>
          <w:szCs w:val="20"/>
          <w:lang w:val="en-US"/>
        </w:rPr>
        <w:tab/>
        <w:t>Moyon S, Ma D, Huynh JL, Coutts DJC, Zhao C, Casaccia P, et al. Efficient Remyelination Requires DNA Methylation. eNeuro. 2017 Mar 30;4(2):</w:t>
      </w:r>
      <w:r w:rsidR="00FE5DD2">
        <w:rPr>
          <w:rFonts w:ascii="Times New Roman" w:hAnsi="Times New Roman" w:cs="Times New Roman"/>
          <w:sz w:val="20"/>
          <w:szCs w:val="20"/>
          <w:lang w:val="en-US"/>
        </w:rPr>
        <w:t xml:space="preserve"> E</w:t>
      </w:r>
      <w:r w:rsidR="00FE5DD2" w:rsidRPr="00FE5DD2">
        <w:rPr>
          <w:rFonts w:ascii="Times New Roman" w:hAnsi="Times New Roman" w:cs="Times New Roman"/>
          <w:sz w:val="20"/>
          <w:szCs w:val="20"/>
          <w:lang w:val="en-US"/>
        </w:rPr>
        <w:t>neuro</w:t>
      </w:r>
      <w:r w:rsidRPr="00DB0E48">
        <w:rPr>
          <w:rFonts w:ascii="Times New Roman" w:hAnsi="Times New Roman" w:cs="Times New Roman"/>
          <w:sz w:val="20"/>
          <w:szCs w:val="20"/>
          <w:lang w:val="en-US"/>
        </w:rPr>
        <w:t xml:space="preserve">.0336-16.2017. </w:t>
      </w:r>
    </w:p>
    <w:p w14:paraId="611D977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57. </w:t>
      </w:r>
      <w:r w:rsidRPr="00DB0E48">
        <w:rPr>
          <w:rFonts w:ascii="Times New Roman" w:hAnsi="Times New Roman" w:cs="Times New Roman"/>
          <w:sz w:val="20"/>
          <w:szCs w:val="20"/>
          <w:lang w:val="en-US"/>
        </w:rPr>
        <w:tab/>
        <w:t xml:space="preserve">Emery B, Agalliu D, Cahoy JD, Watkins TA, Dugas JC, Mulinyawe SB, et al. Myelin Gene Regulatory Factor Is a Critical Transcriptional Regulator Required for CNS Myelination. Cell. 2009 Jul 10;138(1):172–85. </w:t>
      </w:r>
    </w:p>
    <w:p w14:paraId="474881C1"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58. </w:t>
      </w:r>
      <w:r w:rsidRPr="00DB0E48">
        <w:rPr>
          <w:rFonts w:ascii="Times New Roman" w:hAnsi="Times New Roman" w:cs="Times New Roman"/>
          <w:sz w:val="20"/>
          <w:szCs w:val="20"/>
          <w:lang w:val="en-US"/>
        </w:rPr>
        <w:tab/>
        <w:t xml:space="preserve">Duncan GJ, Plemel JR, Assinck P, Manesh SB, Muir FGW, Hirata R, et al. Myelin regulatory factor drives remyelination in multiple sclerosis. Acta Neuropathologica. 2017 Sep 1;134(3):403–22. </w:t>
      </w:r>
    </w:p>
    <w:p w14:paraId="43A69491"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59. </w:t>
      </w:r>
      <w:r w:rsidRPr="00DB0E48">
        <w:rPr>
          <w:rFonts w:ascii="Times New Roman" w:hAnsi="Times New Roman" w:cs="Times New Roman"/>
          <w:sz w:val="20"/>
          <w:szCs w:val="20"/>
          <w:lang w:val="en-US"/>
        </w:rPr>
        <w:tab/>
        <w:t xml:space="preserve">Hughes EG, Kang SH, Fukaya M, Bergles DE. Oligodendrocyte progenitors balance growth with self-repulsion to achieve homeostasis in the adult brain. Nature neuroscience. 2013 Jun;16(6):668–76. </w:t>
      </w:r>
    </w:p>
    <w:p w14:paraId="689E5524"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60. </w:t>
      </w:r>
      <w:r w:rsidRPr="00DB0E48">
        <w:rPr>
          <w:rFonts w:ascii="Times New Roman" w:hAnsi="Times New Roman" w:cs="Times New Roman"/>
          <w:sz w:val="20"/>
          <w:szCs w:val="20"/>
          <w:lang w:val="en-US"/>
        </w:rPr>
        <w:tab/>
        <w:t xml:space="preserve">Franklin RJM, Gilson JM, Blakemore WF. Local recruitment of remyelinating cells in the repair of demyelination in the central nervous system. Journal of Neuroscience Research. 1997 Oct 15;50(2):337–44. </w:t>
      </w:r>
    </w:p>
    <w:p w14:paraId="1D353772"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61. </w:t>
      </w:r>
      <w:r w:rsidRPr="00DB0E48">
        <w:rPr>
          <w:rFonts w:ascii="Times New Roman" w:hAnsi="Times New Roman" w:cs="Times New Roman"/>
          <w:sz w:val="20"/>
          <w:szCs w:val="20"/>
          <w:lang w:val="en-US"/>
        </w:rPr>
        <w:tab/>
        <w:t xml:space="preserve">Yeung MSY, Djelloul M, Steiner E, Bernard S, Salehpour M, Possnert G, et al. Dynamics of oligodendrocyte generation in multiple sclerosis. Nature. 2019 Feb 1;566(7745):538–42. </w:t>
      </w:r>
    </w:p>
    <w:p w14:paraId="1D9CE37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62. </w:t>
      </w:r>
      <w:r w:rsidRPr="00DB0E48">
        <w:rPr>
          <w:rFonts w:ascii="Times New Roman" w:hAnsi="Times New Roman" w:cs="Times New Roman"/>
          <w:sz w:val="20"/>
          <w:szCs w:val="20"/>
          <w:lang w:val="en-US"/>
        </w:rPr>
        <w:tab/>
        <w:t xml:space="preserve">Jäkel S, Agirre E, Mendanha Falcão A, van Bruggen D, Lee KW, Knuesel I, et al. Altered human oligodendrocyte heterogeneity in multiple sclerosis. Nature. 2019 Feb 1;566(7745):543–7. </w:t>
      </w:r>
    </w:p>
    <w:p w14:paraId="26CDFD0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63. </w:t>
      </w:r>
      <w:r w:rsidRPr="00DB0E48">
        <w:rPr>
          <w:rFonts w:ascii="Times New Roman" w:hAnsi="Times New Roman" w:cs="Times New Roman"/>
          <w:sz w:val="20"/>
          <w:szCs w:val="20"/>
          <w:lang w:val="en-US"/>
        </w:rPr>
        <w:tab/>
        <w:t xml:space="preserve">Hammond TR, Gadea A, Dupree J, Kerninon C, Nait-Oumesmar B, Aguirre A, et al. Astrocyte-Derived Endothelin-1 Inhibits Remyelination through Notch Activation. Neuron. 2014 Feb 5;81(3):588–602. </w:t>
      </w:r>
    </w:p>
    <w:p w14:paraId="4771D2DC"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64. </w:t>
      </w:r>
      <w:r w:rsidRPr="00DB0E48">
        <w:rPr>
          <w:rFonts w:ascii="Times New Roman" w:hAnsi="Times New Roman" w:cs="Times New Roman"/>
          <w:sz w:val="20"/>
          <w:szCs w:val="20"/>
          <w:lang w:val="en-US"/>
        </w:rPr>
        <w:tab/>
        <w:t xml:space="preserve">Liddelow SA, Guttenplan KA, Clarke LE, Bennett FC, Bohlen CJ, Schirmer L, et al. Neurotoxic reactive astrocytes are induced by activated microglia. Nature. 2017 Jan 18;541:481. </w:t>
      </w:r>
    </w:p>
    <w:p w14:paraId="74B3146A"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65. </w:t>
      </w:r>
      <w:r w:rsidRPr="00DB0E48">
        <w:rPr>
          <w:rFonts w:ascii="Times New Roman" w:hAnsi="Times New Roman" w:cs="Times New Roman"/>
          <w:sz w:val="20"/>
          <w:szCs w:val="20"/>
          <w:lang w:val="en-US"/>
        </w:rPr>
        <w:tab/>
        <w:t xml:space="preserve">Wake H, Lee PR, Fields RD. Control of Local Protein Synthesis and Initial Events in Myelination by Action Potentials. Science. 2011 Sep 16;333(6049):1647. </w:t>
      </w:r>
    </w:p>
    <w:p w14:paraId="1523263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66. </w:t>
      </w:r>
      <w:r w:rsidRPr="00DB0E48">
        <w:rPr>
          <w:rFonts w:ascii="Times New Roman" w:hAnsi="Times New Roman" w:cs="Times New Roman"/>
          <w:sz w:val="20"/>
          <w:szCs w:val="20"/>
          <w:lang w:val="en-US"/>
        </w:rPr>
        <w:tab/>
        <w:t>Birchmeier</w:t>
      </w:r>
      <w:r w:rsidRPr="00DB0E48">
        <w:rPr>
          <w:rFonts w:ascii="Times New Roman" w:hAnsi="Times New Roman" w:cs="Times New Roman" w:hint="eastAsia"/>
          <w:sz w:val="20"/>
          <w:szCs w:val="20"/>
          <w:lang w:val="en-US"/>
        </w:rPr>
        <w:t xml:space="preserve"> C, Nave K. Neuregulin</w:t>
      </w:r>
      <w:r w:rsidRPr="00DB0E48">
        <w:rPr>
          <w:rFonts w:ascii="Times New Roman" w:hAnsi="Times New Roman" w:cs="Times New Roman" w:hint="eastAsia"/>
          <w:sz w:val="20"/>
          <w:szCs w:val="20"/>
          <w:lang w:val="en-US"/>
        </w:rPr>
        <w:t>‐</w:t>
      </w:r>
      <w:r w:rsidRPr="00DB0E48">
        <w:rPr>
          <w:rFonts w:ascii="Times New Roman" w:hAnsi="Times New Roman" w:cs="Times New Roman" w:hint="eastAsia"/>
          <w:sz w:val="20"/>
          <w:szCs w:val="20"/>
          <w:lang w:val="en-US"/>
        </w:rPr>
        <w:t>1, a key axonal signal that drives Schwann cell growth and differentiation. Glia. 2008;56(14):1491</w:t>
      </w:r>
      <w:r w:rsidRPr="00DB0E48">
        <w:rPr>
          <w:rFonts w:ascii="Times New Roman" w:hAnsi="Times New Roman" w:cs="Times New Roman" w:hint="eastAsia"/>
          <w:sz w:val="20"/>
          <w:szCs w:val="20"/>
          <w:lang w:val="en-US"/>
        </w:rPr>
        <w:t>–</w:t>
      </w:r>
      <w:r w:rsidRPr="00DB0E48">
        <w:rPr>
          <w:rFonts w:ascii="Times New Roman" w:hAnsi="Times New Roman" w:cs="Times New Roman" w:hint="eastAsia"/>
          <w:sz w:val="20"/>
          <w:szCs w:val="20"/>
          <w:lang w:val="en-US"/>
        </w:rPr>
        <w:t xml:space="preserve">7. </w:t>
      </w:r>
    </w:p>
    <w:p w14:paraId="007CC6B3"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67. </w:t>
      </w:r>
      <w:r w:rsidRPr="00DB0E48">
        <w:rPr>
          <w:rFonts w:ascii="Times New Roman" w:hAnsi="Times New Roman" w:cs="Times New Roman"/>
          <w:sz w:val="20"/>
          <w:szCs w:val="20"/>
          <w:lang w:val="en-US"/>
        </w:rPr>
        <w:tab/>
        <w:t xml:space="preserve">Ueda H, Levine JM, Miller RH, Trapp BD. Rat Optic Nerve Oligodendrocytes Develop in the Absence of Viable Retinal Ganglion Cell Axons. J Cell Biol. 1999 Sep 20;146(6):1365. </w:t>
      </w:r>
    </w:p>
    <w:p w14:paraId="4DDF6A89"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68. </w:t>
      </w:r>
      <w:r w:rsidRPr="00DB0E48">
        <w:rPr>
          <w:rFonts w:ascii="Times New Roman" w:hAnsi="Times New Roman" w:cs="Times New Roman"/>
          <w:sz w:val="20"/>
          <w:szCs w:val="20"/>
          <w:lang w:val="en-US"/>
        </w:rPr>
        <w:tab/>
        <w:t xml:space="preserve">Almeida R, Lyons D. Oligodendrocyte Development in the Absence of Their Target Axons In Vivo. PLOS ONE. 2016 Oct 7;11(10):e0164432. </w:t>
      </w:r>
    </w:p>
    <w:p w14:paraId="0F06FBB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69. </w:t>
      </w:r>
      <w:r w:rsidRPr="00DB0E48">
        <w:rPr>
          <w:rFonts w:ascii="Times New Roman" w:hAnsi="Times New Roman" w:cs="Times New Roman"/>
          <w:sz w:val="20"/>
          <w:szCs w:val="20"/>
          <w:lang w:val="en-US"/>
        </w:rPr>
        <w:tab/>
        <w:t xml:space="preserve">Mei F, Fancy SPJ, Shen Y-AA, Niu J, Zhao C, Presley B, et al. Micropillar arrays as a high-throughput screening platform for therapeutics in multiple sclerosis. Nature medicine. 2014 Aug;20(8):954–60. </w:t>
      </w:r>
    </w:p>
    <w:p w14:paraId="19F44B2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70. </w:t>
      </w:r>
      <w:r w:rsidRPr="00DB0E48">
        <w:rPr>
          <w:rFonts w:ascii="Times New Roman" w:hAnsi="Times New Roman" w:cs="Times New Roman"/>
          <w:sz w:val="20"/>
          <w:szCs w:val="20"/>
          <w:lang w:val="en-US"/>
        </w:rPr>
        <w:tab/>
        <w:t xml:space="preserve">Lee S, Leach MK, Redmond SA, Chong SYC, Mellon SH, Tuck SJ, et al. A culture system to study oligodendrocyte myelination processes using engineered nanofibers. Nature Methods. 2012 Jul 15;9:917. </w:t>
      </w:r>
    </w:p>
    <w:p w14:paraId="4BF46B5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71. </w:t>
      </w:r>
      <w:r w:rsidRPr="00DB0E48">
        <w:rPr>
          <w:rFonts w:ascii="Times New Roman" w:hAnsi="Times New Roman" w:cs="Times New Roman"/>
          <w:sz w:val="20"/>
          <w:szCs w:val="20"/>
          <w:lang w:val="en-US"/>
        </w:rPr>
        <w:tab/>
        <w:t xml:space="preserve">Klingseisen A, Lyons DA. Axonal Regulation of Central Nervous System Myelination: Structure and Function. Neuroscientist. 2017 Apr 11;24(1):7–21. </w:t>
      </w:r>
    </w:p>
    <w:p w14:paraId="7AC7B835"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72. </w:t>
      </w:r>
      <w:r w:rsidRPr="00DB0E48">
        <w:rPr>
          <w:rFonts w:ascii="Times New Roman" w:hAnsi="Times New Roman" w:cs="Times New Roman"/>
          <w:sz w:val="20"/>
          <w:szCs w:val="20"/>
          <w:lang w:val="en-US"/>
        </w:rPr>
        <w:tab/>
        <w:t>Blakemore WF, Franklin RJM. Remyelination in Experimental Models of Toxin-Induced Demyelination. In: Rodriguez M, editor. Advances in multiple Sclerosis and Experimental Demyelinating Diseases [Internet]. Berlin, Heidelberg: Springer Berlin Heidelberg; 2008. p. 193–212. Available from: https://doi.org/10.1007/978-3-540-73677-6_8</w:t>
      </w:r>
    </w:p>
    <w:p w14:paraId="5AF2B8E5"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73. </w:t>
      </w:r>
      <w:r w:rsidRPr="00DB0E48">
        <w:rPr>
          <w:rFonts w:ascii="Times New Roman" w:hAnsi="Times New Roman" w:cs="Times New Roman"/>
          <w:sz w:val="20"/>
          <w:szCs w:val="20"/>
          <w:lang w:val="en-US"/>
        </w:rPr>
        <w:tab/>
        <w:t xml:space="preserve">Matsushima GK, Morell P. The Neurotoxicant, Cuprizone, as a Model to Study Demyelination and Remyelination in the Central Nervous System. Brain Pathology. 2001 Jan 1;11(1):107–16. </w:t>
      </w:r>
    </w:p>
    <w:p w14:paraId="2CAC1BE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74. </w:t>
      </w:r>
      <w:r w:rsidRPr="00DB0E48">
        <w:rPr>
          <w:rFonts w:ascii="Times New Roman" w:hAnsi="Times New Roman" w:cs="Times New Roman"/>
          <w:sz w:val="20"/>
          <w:szCs w:val="20"/>
          <w:lang w:val="en-US"/>
        </w:rPr>
        <w:tab/>
        <w:t xml:space="preserve">Kipp M, Nyamoya S, Hochstrasser T, Amor S. Multiple sclerosis animal models: a clinical and histopathological perspective. Brain Pathology. 2017 Mar 1;27(2):123–37. </w:t>
      </w:r>
    </w:p>
    <w:p w14:paraId="61B770A4"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lastRenderedPageBreak/>
        <w:t xml:space="preserve">75. </w:t>
      </w:r>
      <w:r w:rsidRPr="00DB0E48">
        <w:rPr>
          <w:rFonts w:ascii="Times New Roman" w:hAnsi="Times New Roman" w:cs="Times New Roman"/>
          <w:sz w:val="20"/>
          <w:szCs w:val="20"/>
          <w:lang w:val="en-US"/>
        </w:rPr>
        <w:tab/>
        <w:t xml:space="preserve">Rawji KS, Yong VW. The benefits and detriments of macrophages/microglia in models of multiple sclerosis. Clinical &amp; developmental immunology. 2013;2013:948976–948976. </w:t>
      </w:r>
    </w:p>
    <w:p w14:paraId="556929D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76. </w:t>
      </w:r>
      <w:r w:rsidRPr="00DB0E48">
        <w:rPr>
          <w:rFonts w:ascii="Times New Roman" w:hAnsi="Times New Roman" w:cs="Times New Roman"/>
          <w:sz w:val="20"/>
          <w:szCs w:val="20"/>
          <w:lang w:val="en-US"/>
        </w:rPr>
        <w:tab/>
        <w:t xml:space="preserve">Döring A, Sloka S, Lau L, Mishra M, van Minnen J, Zhang X, et al. Stimulation of Monocytes, Macrophages, and Microglia by Amphotericin B and Macrophage Colony-Stimulating Factor Promotes Remyelination. J Neurosci. 2015 Jan 21;35(3):1136. </w:t>
      </w:r>
    </w:p>
    <w:p w14:paraId="3E778E13"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77. </w:t>
      </w:r>
      <w:r w:rsidRPr="00DB0E48">
        <w:rPr>
          <w:rFonts w:ascii="Times New Roman" w:hAnsi="Times New Roman" w:cs="Times New Roman"/>
          <w:sz w:val="20"/>
          <w:szCs w:val="20"/>
          <w:lang w:val="en-US"/>
        </w:rPr>
        <w:tab/>
        <w:t xml:space="preserve">Robinson S, Miller RH. Contact with Central Nervous System Myelin Inhibits Oligodendrocyte Progenitor Maturation. Developmental Biology. 1999 Dec 1;216(1):359–68. </w:t>
      </w:r>
    </w:p>
    <w:p w14:paraId="0B924EB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78. </w:t>
      </w:r>
      <w:r w:rsidRPr="00DB0E48">
        <w:rPr>
          <w:rFonts w:ascii="Times New Roman" w:hAnsi="Times New Roman" w:cs="Times New Roman"/>
          <w:sz w:val="20"/>
          <w:szCs w:val="20"/>
          <w:lang w:val="en-US"/>
        </w:rPr>
        <w:tab/>
        <w:t xml:space="preserve">Plemel JR, Manesh SB, Sparling JS, Tetzlaff W. Myelin inhibits oligodendroglial maturation and regulates oligodendrocytic transcription factor expression. Glia. 2013 Sep 1;61(9):1471–87. </w:t>
      </w:r>
    </w:p>
    <w:p w14:paraId="06E3685A"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79. </w:t>
      </w:r>
      <w:r w:rsidRPr="00DB0E48">
        <w:rPr>
          <w:rFonts w:ascii="Times New Roman" w:hAnsi="Times New Roman" w:cs="Times New Roman"/>
          <w:sz w:val="20"/>
          <w:szCs w:val="20"/>
          <w:lang w:val="en-US"/>
        </w:rPr>
        <w:tab/>
        <w:t xml:space="preserve">Kotter MR, Li W-W, Zhao C, Franklin RJM. Myelin Impairs CNS Remyelination by Inhibiting Oligodendrocyte Precursor Cell Differentiation. J Neurosci. 2006 Jan 4;26(1):328. </w:t>
      </w:r>
    </w:p>
    <w:p w14:paraId="5D27074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80. </w:t>
      </w:r>
      <w:r w:rsidRPr="00DB0E48">
        <w:rPr>
          <w:rFonts w:ascii="Times New Roman" w:hAnsi="Times New Roman" w:cs="Times New Roman"/>
          <w:sz w:val="20"/>
          <w:szCs w:val="20"/>
          <w:lang w:val="en-US"/>
        </w:rPr>
        <w:tab/>
        <w:t xml:space="preserve">Yong VW, Rivest S. Taking Advantage of the Systemic Immune System to Cure Brain Diseases. Neuron. 2009 Oct 15;64(1):55–60. </w:t>
      </w:r>
    </w:p>
    <w:p w14:paraId="3D50278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81. </w:t>
      </w:r>
      <w:r w:rsidRPr="00DB0E48">
        <w:rPr>
          <w:rFonts w:ascii="Times New Roman" w:hAnsi="Times New Roman" w:cs="Times New Roman"/>
          <w:sz w:val="20"/>
          <w:szCs w:val="20"/>
          <w:lang w:val="en-US"/>
        </w:rPr>
        <w:tab/>
        <w:t xml:space="preserve">Miron VE, Boyd A, Zhao J-W, Yuen TJ, Ruckh JM, Shadrach JL, et al. M2 microglia and macrophages drive oligodendrocyte differentiation during CNS remyelination. Nature neuroscience. 2013 Sep;16(9):1211–8. </w:t>
      </w:r>
    </w:p>
    <w:p w14:paraId="4709715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82. </w:t>
      </w:r>
      <w:r w:rsidRPr="00DB0E48">
        <w:rPr>
          <w:rFonts w:ascii="Times New Roman" w:hAnsi="Times New Roman" w:cs="Times New Roman"/>
          <w:sz w:val="20"/>
          <w:szCs w:val="20"/>
          <w:lang w:val="en-US"/>
        </w:rPr>
        <w:tab/>
        <w:t xml:space="preserve">Frischer JM, Weigand SD, Guo Y, Kale N, Parisi JE, Pirko I, et al. Clinical and pathological insights into the dynamic nature of the white matter multiple sclerosis plaque. Annals of neurology. 2015 Nov;78(5):710–21. </w:t>
      </w:r>
    </w:p>
    <w:p w14:paraId="504DBD6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83. </w:t>
      </w:r>
      <w:r w:rsidRPr="00DB0E48">
        <w:rPr>
          <w:rFonts w:ascii="Times New Roman" w:hAnsi="Times New Roman" w:cs="Times New Roman"/>
          <w:sz w:val="20"/>
          <w:szCs w:val="20"/>
          <w:lang w:val="en-US"/>
        </w:rPr>
        <w:tab/>
        <w:t xml:space="preserve">Goldschmidt T, Antel J, König FB, Brück W, Kuhlmann T. Remyelination capacity of the MS brain decreases with disease chronicity. Neurology. 2009 Jun 2;72(22):1914. </w:t>
      </w:r>
    </w:p>
    <w:p w14:paraId="51688F2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84. </w:t>
      </w:r>
      <w:r w:rsidRPr="00DB0E48">
        <w:rPr>
          <w:rFonts w:ascii="Times New Roman" w:hAnsi="Times New Roman" w:cs="Times New Roman"/>
          <w:sz w:val="20"/>
          <w:szCs w:val="20"/>
          <w:lang w:val="en-US"/>
        </w:rPr>
        <w:tab/>
        <w:t xml:space="preserve">Brown RA, Narayanan S, Arnold DL. Segmentation of magnetization transfer ratio lesions for longitudinal analysis of demyelination and remyelination in multiple sclerosis. NeuroImage. 2013 Feb 1;66:103–9. </w:t>
      </w:r>
    </w:p>
    <w:p w14:paraId="3348D0D7"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85. </w:t>
      </w:r>
      <w:r w:rsidRPr="00DB0E48">
        <w:rPr>
          <w:rFonts w:ascii="Times New Roman" w:hAnsi="Times New Roman" w:cs="Times New Roman"/>
          <w:sz w:val="20"/>
          <w:szCs w:val="20"/>
          <w:lang w:val="en-US"/>
        </w:rPr>
        <w:tab/>
        <w:t xml:space="preserve">Oh J, Lee YD, Wagers AJ. Stem cell aging: mechanisms, regulators and therapeutic opportunities. Nature medicine. 2014 Aug 6;20(8):870–80. </w:t>
      </w:r>
    </w:p>
    <w:p w14:paraId="0B80A3BF"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86. </w:t>
      </w:r>
      <w:r w:rsidRPr="00DB0E48">
        <w:rPr>
          <w:rFonts w:ascii="Times New Roman" w:hAnsi="Times New Roman" w:cs="Times New Roman"/>
          <w:sz w:val="20"/>
          <w:szCs w:val="20"/>
          <w:lang w:val="en-US"/>
        </w:rPr>
        <w:tab/>
        <w:t xml:space="preserve">Shields SA, Gilson JM, Blakemore WF, Franklin RJM. Remyelination occurs as extensively but more slowly in old rats compared to young rats following gliotoxin-induced CNS demyelination. Glia. 1999 Oct 1;28(1):77–83. </w:t>
      </w:r>
    </w:p>
    <w:p w14:paraId="61168F7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87. </w:t>
      </w:r>
      <w:r w:rsidRPr="00DB0E48">
        <w:rPr>
          <w:rFonts w:ascii="Times New Roman" w:hAnsi="Times New Roman" w:cs="Times New Roman"/>
          <w:sz w:val="20"/>
          <w:szCs w:val="20"/>
          <w:lang w:val="en-US"/>
        </w:rPr>
        <w:tab/>
        <w:t xml:space="preserve">Hampton DW, Innes N, Merkler D, Zhao C, Franklin RJM, Chandran S. Focal Immune-Mediated White Matter Demyelination Reveals an Age-Associated Increase in Axonal Vulnerability and Decreased Remyelination Efficiency. The American Journal of Pathology. 2012 May 1;180(5):1897–905. </w:t>
      </w:r>
    </w:p>
    <w:p w14:paraId="398B4B42"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88. </w:t>
      </w:r>
      <w:r w:rsidRPr="00DB0E48">
        <w:rPr>
          <w:rFonts w:ascii="Times New Roman" w:hAnsi="Times New Roman" w:cs="Times New Roman"/>
          <w:sz w:val="20"/>
          <w:szCs w:val="20"/>
          <w:lang w:val="en-US"/>
        </w:rPr>
        <w:tab/>
        <w:t xml:space="preserve">Sim FJ, Zhao C, Penderis J, Franklin RJM. The Age-Related Decrease in CNS Remyelination Efficiency Is Attributable to an Impairment of Both Oligodendrocyte Progenitor Recruitment and Differentiation. J Neurosci. 2002 Apr 1;22(7):2451. </w:t>
      </w:r>
    </w:p>
    <w:p w14:paraId="2FD2FA32"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89. </w:t>
      </w:r>
      <w:r w:rsidRPr="00DB0E48">
        <w:rPr>
          <w:rFonts w:ascii="Times New Roman" w:hAnsi="Times New Roman" w:cs="Times New Roman"/>
          <w:sz w:val="20"/>
          <w:szCs w:val="20"/>
          <w:lang w:val="en-US"/>
        </w:rPr>
        <w:tab/>
        <w:t xml:space="preserve">van Wijngaarden P, Franklin RJM. Ageing stem and progenitor cells: implications for rejuvenation of the central nervous system. Development. 2013 Jun 15;140(12):2562. </w:t>
      </w:r>
    </w:p>
    <w:p w14:paraId="4BD5142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90. </w:t>
      </w:r>
      <w:r w:rsidRPr="00DB0E48">
        <w:rPr>
          <w:rFonts w:ascii="Times New Roman" w:hAnsi="Times New Roman" w:cs="Times New Roman"/>
          <w:sz w:val="20"/>
          <w:szCs w:val="20"/>
          <w:lang w:val="en-US"/>
        </w:rPr>
        <w:tab/>
        <w:t xml:space="preserve">Rist JM, Franklin RJM. Taking ageing into account in remyelination-based therapies for multiple sclerosis. Journal of the Neurological Sciences. 2008 Nov 15;274(1):64–7. </w:t>
      </w:r>
    </w:p>
    <w:p w14:paraId="4871DFCC"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91. </w:t>
      </w:r>
      <w:r w:rsidRPr="00DB0E48">
        <w:rPr>
          <w:rFonts w:ascii="Times New Roman" w:hAnsi="Times New Roman" w:cs="Times New Roman"/>
          <w:sz w:val="20"/>
          <w:szCs w:val="20"/>
          <w:lang w:val="en-US"/>
        </w:rPr>
        <w:tab/>
        <w:t xml:space="preserve">Woodruff RH, Fruttiger M, Richardson WD, Franklin RJM. Platelet-derived growth factor regulates oligodendrocyte progenitor numbers in adult CNS and their response following CNS demyelination. Molecular and Cellular Neuroscience. 2004 Feb 1;25(2):252–62. </w:t>
      </w:r>
    </w:p>
    <w:p w14:paraId="53A37C9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92. </w:t>
      </w:r>
      <w:r w:rsidRPr="00DB0E48">
        <w:rPr>
          <w:rFonts w:ascii="Times New Roman" w:hAnsi="Times New Roman" w:cs="Times New Roman"/>
          <w:sz w:val="20"/>
          <w:szCs w:val="20"/>
          <w:lang w:val="en-US"/>
        </w:rPr>
        <w:tab/>
        <w:t xml:space="preserve">Zhao C, Li W-W, Franklin RJM. Differences in the early inflammatory responses to toxin-induced demyelination are associated with the age-related decline in CNS remyelination. Neurobiology of Aging. 2006 Sep 1;27(9):1298–307. </w:t>
      </w:r>
    </w:p>
    <w:p w14:paraId="41EF5A69"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lastRenderedPageBreak/>
        <w:t xml:space="preserve">93. </w:t>
      </w:r>
      <w:r w:rsidRPr="00DB0E48">
        <w:rPr>
          <w:rFonts w:ascii="Times New Roman" w:hAnsi="Times New Roman" w:cs="Times New Roman"/>
          <w:sz w:val="20"/>
          <w:szCs w:val="20"/>
          <w:lang w:val="en-US"/>
        </w:rPr>
        <w:tab/>
        <w:t xml:space="preserve">Hinks GL, Franklin RJM. Distinctive Patterns of PDGF-A, FGF-2, IGF-I, and TGF-β1 Gene Expression during Remyelination of Experimentally-Induced Spinal Cord Demyelination. Molecular and Cellular Neuroscience. 1999 Aug 1;14(2):153–68. </w:t>
      </w:r>
    </w:p>
    <w:p w14:paraId="166C58C5"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94. </w:t>
      </w:r>
      <w:r w:rsidRPr="00DB0E48">
        <w:rPr>
          <w:rFonts w:ascii="Times New Roman" w:hAnsi="Times New Roman" w:cs="Times New Roman"/>
          <w:sz w:val="20"/>
          <w:szCs w:val="20"/>
          <w:lang w:val="en-US"/>
        </w:rPr>
        <w:tab/>
        <w:t xml:space="preserve">Kotter MR, Setzu A, Sim FJ, Van Rooijen N, Franklin RJM. Macrophage depletion impairs oligodendrocyte remyelination following lysolecithin-induced demyelination. Glia. 2001 Sep 1;35(3):204–12. </w:t>
      </w:r>
    </w:p>
    <w:p w14:paraId="5596434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95. </w:t>
      </w:r>
      <w:r w:rsidRPr="00DB0E48">
        <w:rPr>
          <w:rFonts w:ascii="Times New Roman" w:hAnsi="Times New Roman" w:cs="Times New Roman"/>
          <w:sz w:val="20"/>
          <w:szCs w:val="20"/>
          <w:lang w:val="en-US"/>
        </w:rPr>
        <w:tab/>
        <w:t xml:space="preserve">Ruckh JM, Zhao J-W, Shadrach JL, van Wijngaarden P, Rao TN, Wagers AJ, et al. Rejuvenation of regeneration in the aging central nervous system. Cell stem cell. 2012 Jan 6;10(1):96–103. </w:t>
      </w:r>
    </w:p>
    <w:p w14:paraId="009EC53F" w14:textId="6385F444"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96. </w:t>
      </w:r>
      <w:r w:rsidRPr="00DB0E48">
        <w:rPr>
          <w:rFonts w:ascii="Times New Roman" w:hAnsi="Times New Roman" w:cs="Times New Roman"/>
          <w:sz w:val="20"/>
          <w:szCs w:val="20"/>
          <w:lang w:val="en-US"/>
        </w:rPr>
        <w:tab/>
        <w:t>Neumann B, Baror R, van Wijngaarden P, Franklin RJ. Remyelination of regenerating axons. Acta Ophthalmologica [Internet]. 2017 Sep 1</w:t>
      </w:r>
      <w:r w:rsidR="00BF685A">
        <w:rPr>
          <w:rFonts w:ascii="Times New Roman" w:hAnsi="Times New Roman" w:cs="Times New Roman"/>
          <w:sz w:val="20"/>
          <w:szCs w:val="20"/>
          <w:lang w:val="en-US"/>
        </w:rPr>
        <w:t>;95(S259)</w:t>
      </w:r>
      <w:r w:rsidRPr="00DB0E48">
        <w:rPr>
          <w:rFonts w:ascii="Times New Roman" w:hAnsi="Times New Roman" w:cs="Times New Roman"/>
          <w:sz w:val="20"/>
          <w:szCs w:val="20"/>
          <w:lang w:val="en-US"/>
        </w:rPr>
        <w:t>. Available from: https://doi.org/10.1111/j.1755-3768.2017.03525</w:t>
      </w:r>
    </w:p>
    <w:p w14:paraId="6601B0F1"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97. </w:t>
      </w:r>
      <w:r w:rsidRPr="00DB0E48">
        <w:rPr>
          <w:rFonts w:ascii="Times New Roman" w:hAnsi="Times New Roman" w:cs="Times New Roman"/>
          <w:sz w:val="20"/>
          <w:szCs w:val="20"/>
          <w:lang w:val="en-US"/>
        </w:rPr>
        <w:tab/>
        <w:t xml:space="preserve">Kuhlmann T, Miron V, Cuo Q, Wegner C, Antel J, Brück W. Differentiation block of oligodendroglial progenitor cells as a cause for remyelination failure in chronic multiple sclerosis. Brain. 2008 Jul 1;131(7):1749–58. </w:t>
      </w:r>
    </w:p>
    <w:p w14:paraId="69EDEA1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98. </w:t>
      </w:r>
      <w:r w:rsidRPr="00DB0E48">
        <w:rPr>
          <w:rFonts w:ascii="Times New Roman" w:hAnsi="Times New Roman" w:cs="Times New Roman"/>
          <w:sz w:val="20"/>
          <w:szCs w:val="20"/>
          <w:lang w:val="en-US"/>
        </w:rPr>
        <w:tab/>
        <w:t xml:space="preserve">Kitada M, Rowitch DH. Transcription factor co-expression patterns indicate heterogeneity of oligodendroglial subpopulations in adult spinal cord. Glia. 2006 Jul 1;54(1):35–46. </w:t>
      </w:r>
    </w:p>
    <w:p w14:paraId="673A3FC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99. </w:t>
      </w:r>
      <w:r w:rsidRPr="00DB0E48">
        <w:rPr>
          <w:rFonts w:ascii="Times New Roman" w:hAnsi="Times New Roman" w:cs="Times New Roman"/>
          <w:sz w:val="20"/>
          <w:szCs w:val="20"/>
          <w:lang w:val="en-US"/>
        </w:rPr>
        <w:tab/>
        <w:t xml:space="preserve">Chang A, Staugaitis SM, Dutta R, Batt CE, Easley KE, Chomyk AM, et al. Cortical remyelination: A new target for repair therapies in multiple sclerosis. Annals of Neurology. 2012 Dec 1;72(6):918–26. </w:t>
      </w:r>
    </w:p>
    <w:p w14:paraId="40AEBEA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100. </w:t>
      </w:r>
      <w:r w:rsidRPr="00DB0E48">
        <w:rPr>
          <w:rFonts w:ascii="Times New Roman" w:hAnsi="Times New Roman" w:cs="Times New Roman"/>
          <w:sz w:val="20"/>
          <w:szCs w:val="20"/>
          <w:lang w:val="en-US"/>
        </w:rPr>
        <w:tab/>
        <w:t xml:space="preserve">Mi S, Blake Pepinsky R, Cadavid D. Blocking LINGO-1 as a Therapy to Promote CNS Repair: From Concept to the Clinic. CNS Drugs. 2013 Jul 1;27(7):493–503. </w:t>
      </w:r>
    </w:p>
    <w:p w14:paraId="0AD57121"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101. </w:t>
      </w:r>
      <w:r w:rsidRPr="00DB0E48">
        <w:rPr>
          <w:rFonts w:ascii="Times New Roman" w:hAnsi="Times New Roman" w:cs="Times New Roman"/>
          <w:sz w:val="20"/>
          <w:szCs w:val="20"/>
          <w:lang w:val="en-US"/>
        </w:rPr>
        <w:tab/>
        <w:t xml:space="preserve">Bove RM, Green AJ. Remyelinating Pharmacotherapies in Multiple Sclerosis. Neurotherapeutics : the journal of the American Society for Experimental NeuroTherapeutics. 2017 Oct;14(4):894–904. </w:t>
      </w:r>
    </w:p>
    <w:p w14:paraId="3961ABA5"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102. </w:t>
      </w:r>
      <w:r w:rsidRPr="00DB0E48">
        <w:rPr>
          <w:rFonts w:ascii="Times New Roman" w:hAnsi="Times New Roman" w:cs="Times New Roman"/>
          <w:sz w:val="20"/>
          <w:szCs w:val="20"/>
          <w:lang w:val="en-US"/>
        </w:rPr>
        <w:tab/>
        <w:t xml:space="preserve">Deshmukh VA, Tardif V, Lyssiotis CA, Green CC, Kerman B, Kim HJ, et al. A regenerative approach to the treatment of multiple sclerosis. Nature. 2013 Oct 17;502(7471):327–32. </w:t>
      </w:r>
    </w:p>
    <w:p w14:paraId="7302BCA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103. </w:t>
      </w:r>
      <w:r w:rsidRPr="00DB0E48">
        <w:rPr>
          <w:rFonts w:ascii="Times New Roman" w:hAnsi="Times New Roman" w:cs="Times New Roman"/>
          <w:sz w:val="20"/>
          <w:szCs w:val="20"/>
          <w:lang w:val="en-US"/>
        </w:rPr>
        <w:tab/>
        <w:t xml:space="preserve">Najm FJ, Madhavan M, Zaremba A, Shick E, Karl RT, Factor DC, et al. Drug-based modulation of endogenous stem cells promotes functional remyelination in vivo. Nature. 2015 Jun 11;522(7555):216–20. </w:t>
      </w:r>
    </w:p>
    <w:p w14:paraId="4B0CE342"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104. </w:t>
      </w:r>
      <w:r w:rsidRPr="00DB0E48">
        <w:rPr>
          <w:rFonts w:ascii="Times New Roman" w:hAnsi="Times New Roman" w:cs="Times New Roman"/>
          <w:sz w:val="20"/>
          <w:szCs w:val="20"/>
          <w:lang w:val="en-US"/>
        </w:rPr>
        <w:tab/>
        <w:t xml:space="preserve">Green AJ, Gelfand JM, Cree BA, Bevan C, Boscardin WJ, Mei F, et al. Clemastine fumarate as a remyelinating therapy for multiple sclerosis (ReBUILD): a randomised, controlled, double-blind, crossover trial. The Lancet. 2017 Dec 2;390(10111):2481–9. </w:t>
      </w:r>
    </w:p>
    <w:p w14:paraId="48772D9F"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105. </w:t>
      </w:r>
      <w:r w:rsidRPr="00DB0E48">
        <w:rPr>
          <w:rFonts w:ascii="Times New Roman" w:hAnsi="Times New Roman" w:cs="Times New Roman"/>
          <w:sz w:val="20"/>
          <w:szCs w:val="20"/>
          <w:lang w:val="en-US"/>
        </w:rPr>
        <w:tab/>
        <w:t xml:space="preserve">Hubler Z, Allimuthu D, Bederman I, Elitt MS, Madhavan M, Allan KC, et al. Accumulation of 8,9-unsaturated sterols drives oligodendrocyte formation and remyelination. Nature. 2018 Aug 1;560(7718):372–6. </w:t>
      </w:r>
    </w:p>
    <w:p w14:paraId="1F1E1404"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106. </w:t>
      </w:r>
      <w:r w:rsidRPr="00DB0E48">
        <w:rPr>
          <w:rFonts w:ascii="Times New Roman" w:hAnsi="Times New Roman" w:cs="Times New Roman"/>
          <w:sz w:val="20"/>
          <w:szCs w:val="20"/>
          <w:lang w:val="en-US"/>
        </w:rPr>
        <w:tab/>
        <w:t xml:space="preserve">Boyd A, Zhang H, Williams A. Insufficient OPC migration into demyelinated lesions is a cause of poor remyelination in MS and mouse models. Acta neuropathologica. 2013 Jun;125(6):841–59. </w:t>
      </w:r>
    </w:p>
    <w:p w14:paraId="5FF29C77"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107. </w:t>
      </w:r>
      <w:r w:rsidRPr="00DB0E48">
        <w:rPr>
          <w:rFonts w:ascii="Times New Roman" w:hAnsi="Times New Roman" w:cs="Times New Roman"/>
          <w:sz w:val="20"/>
          <w:szCs w:val="20"/>
          <w:lang w:val="en-US"/>
        </w:rPr>
        <w:tab/>
        <w:t xml:space="preserve">Zivadinov R, Dwyer MG, Markovic-Plese S, Kennedy C, Bergsland N, Ramasamy DP, et al. Effect of Treatment with Interferon Beta-1a on Changes in Voxel-Wise Magnetization Transfer Ratio in Normal Appearing Brain Tissue and Lesions of Patients with Relapsing–Remitting Multiple Sclerosis: A 24-Week, Controlled Pilot Study. PLOS ONE. 2014 Mar 13;9(3):e91098. </w:t>
      </w:r>
    </w:p>
    <w:p w14:paraId="79697837"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108. </w:t>
      </w:r>
      <w:r w:rsidRPr="00DB0E48">
        <w:rPr>
          <w:rFonts w:ascii="Times New Roman" w:hAnsi="Times New Roman" w:cs="Times New Roman"/>
          <w:sz w:val="20"/>
          <w:szCs w:val="20"/>
          <w:lang w:val="en-US"/>
        </w:rPr>
        <w:tab/>
        <w:t xml:space="preserve">Zivadinov R, Dwyer M, Hussein S, Carl E, Kennedy C, Andrews M, et al. Voxel-wise magnetization transfer imaging study of effects of natalizumab and IFNβ-1a in multiple sclerosis. Mult Scler. 2011 Dec 22;18(8):1125–34. </w:t>
      </w:r>
    </w:p>
    <w:p w14:paraId="5E35C0E7"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109. </w:t>
      </w:r>
      <w:r w:rsidRPr="00DB0E48">
        <w:rPr>
          <w:rFonts w:ascii="Times New Roman" w:hAnsi="Times New Roman" w:cs="Times New Roman"/>
          <w:sz w:val="20"/>
          <w:szCs w:val="20"/>
          <w:lang w:val="en-US"/>
        </w:rPr>
        <w:tab/>
        <w:t xml:space="preserve">Schwartzbach CJ, Grove RA, Brown R, Tompson D, Then Bergh F, Arnold DL. Lesion remyelinating activity of GSK239512 versus placebo in patients with relapsing-remitting multiple sclerosis: a randomised, single-blind, phase II study. Journal of neurology. 2017;264(2):304–15. </w:t>
      </w:r>
    </w:p>
    <w:p w14:paraId="4F363F8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lastRenderedPageBreak/>
        <w:t xml:space="preserve">110. </w:t>
      </w:r>
      <w:r w:rsidRPr="00DB0E48">
        <w:rPr>
          <w:rFonts w:ascii="Times New Roman" w:hAnsi="Times New Roman" w:cs="Times New Roman"/>
          <w:sz w:val="20"/>
          <w:szCs w:val="20"/>
          <w:lang w:val="en-US"/>
        </w:rPr>
        <w:tab/>
        <w:t xml:space="preserve">Tourbah A, Lebrun-Frenay C, Edan G, Clanet M, Papeix C, Vukusic S, et al. MD1003 (high-dose biotin) for the treatment of progressive multiple sclerosis: A randomised, double-blind, placebo-controlled study. Mult Scler. 2016 Sep 1;22(13):1719–31. </w:t>
      </w:r>
    </w:p>
    <w:p w14:paraId="6F30D1B2"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111. </w:t>
      </w:r>
      <w:r w:rsidRPr="00DB0E48">
        <w:rPr>
          <w:rFonts w:ascii="Times New Roman" w:hAnsi="Times New Roman" w:cs="Times New Roman"/>
          <w:sz w:val="20"/>
          <w:szCs w:val="20"/>
          <w:lang w:val="en-US"/>
        </w:rPr>
        <w:tab/>
        <w:t xml:space="preserve">Tourbah A, Gout O, Vighetto A, Deburghgraeve V, Pelletier J, Papeix C, et al. MD1003 (High-Dose Pharmaceutical-Grade Biotin) for the Treatment of Chronic Visual Loss Related to Optic Neuritis in Multiple Sclerosis: A Randomized, Double-Blind, Placebo-Controlled Study. CNS Drugs. 2018 Jul 1;32(7):661–72. </w:t>
      </w:r>
    </w:p>
    <w:p w14:paraId="3EE992D3"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112. </w:t>
      </w:r>
      <w:r w:rsidRPr="00DB0E48">
        <w:rPr>
          <w:rFonts w:ascii="Times New Roman" w:hAnsi="Times New Roman" w:cs="Times New Roman"/>
          <w:sz w:val="20"/>
          <w:szCs w:val="20"/>
          <w:lang w:val="en-US"/>
        </w:rPr>
        <w:tab/>
        <w:t xml:space="preserve">Cadavid D, Balcer L, Galetta S, Aktas O, Ziemssen T, Vanopdenbosch L, et al. Safety and efficacy of opicinumab in acute optic neuritis (RENEW): a randomised, placebo-controlled, phase 2 trial. The Lancet Neurology. 2017 Mar 1;16(3):189–99. </w:t>
      </w:r>
    </w:p>
    <w:p w14:paraId="21B2778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113. </w:t>
      </w:r>
      <w:r w:rsidRPr="00DB0E48">
        <w:rPr>
          <w:rFonts w:ascii="Times New Roman" w:hAnsi="Times New Roman" w:cs="Times New Roman"/>
          <w:sz w:val="20"/>
          <w:szCs w:val="20"/>
          <w:lang w:val="en-US"/>
        </w:rPr>
        <w:tab/>
        <w:t xml:space="preserve">Mellion M, Edwards KR, Hupperts R, Drulović J, Montalban X, Hartung H-P, et al. Efficacy Results from the Phase 2b SYNERGY Study: Treatment of Disabling Multiple Sclerosis with the Anti-LINGO-1 Monoclonal Antibody Opicinumab (S33.004). Neurology. 2017 Apr 18;88(16 Supplement):S33.004. </w:t>
      </w:r>
    </w:p>
    <w:p w14:paraId="56A14053"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114. </w:t>
      </w:r>
      <w:r w:rsidRPr="00DB0E48">
        <w:rPr>
          <w:rFonts w:ascii="Times New Roman" w:hAnsi="Times New Roman" w:cs="Times New Roman"/>
          <w:sz w:val="20"/>
          <w:szCs w:val="20"/>
          <w:lang w:val="en-US"/>
        </w:rPr>
        <w:tab/>
        <w:t xml:space="preserve">Eisen A, Greenberg BM, Bowen JD, Arnold DL, Caggiano AO. A double-blind, placebo-controlled, single ascending-dose study of remyelinating antibody rHIgM22 in people with multiple sclerosis. Multiple sclerosis journal - experimental, translational and clinical. 2017 Nov 21;3(4):2055217317743097–2055217317743097. </w:t>
      </w:r>
    </w:p>
    <w:p w14:paraId="032DA3C5"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115. </w:t>
      </w:r>
      <w:r w:rsidRPr="00DB0E48">
        <w:rPr>
          <w:rFonts w:ascii="Times New Roman" w:hAnsi="Times New Roman" w:cs="Times New Roman"/>
          <w:sz w:val="20"/>
          <w:szCs w:val="20"/>
          <w:lang w:val="en-US"/>
        </w:rPr>
        <w:tab/>
        <w:t xml:space="preserve">Liu J, Dupree JL, Gacias M, Frawley R, Sikder T, Naik P, et al. Clemastine Enhances Myelination in the Prefrontal Cortex and Rescues Behavioral Changes in Socially Isolated Mice. The Journal of neuroscience : the official journal of the Society for Neuroscience. 2016 Jan 20;36(3):957–62. </w:t>
      </w:r>
    </w:p>
    <w:p w14:paraId="08F07A7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116. </w:t>
      </w:r>
      <w:r w:rsidRPr="00DB0E48">
        <w:rPr>
          <w:rFonts w:ascii="Times New Roman" w:hAnsi="Times New Roman" w:cs="Times New Roman"/>
          <w:sz w:val="20"/>
          <w:szCs w:val="20"/>
          <w:lang w:val="en-US"/>
        </w:rPr>
        <w:tab/>
        <w:t xml:space="preserve">Li Z, He Y, Fan S, Sun B. Clemastine rescues behavioral changes and enhances remyelination in the cuprizone mouse model of demyelination. Neuroscience bulletin. 2015 Aug 6;31(5):617–25. </w:t>
      </w:r>
    </w:p>
    <w:p w14:paraId="0C96B5B3"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117. </w:t>
      </w:r>
      <w:r w:rsidRPr="00DB0E48">
        <w:rPr>
          <w:rFonts w:ascii="Times New Roman" w:hAnsi="Times New Roman" w:cs="Times New Roman"/>
          <w:sz w:val="20"/>
          <w:szCs w:val="20"/>
          <w:lang w:val="en-US"/>
        </w:rPr>
        <w:tab/>
        <w:t xml:space="preserve">Mi S, Miller RH, Lee X, Scott ML, Shulag-Morskaya S, Shao Z, et al. LINGO-1 negatively regulates myelination by oligodendrocytes. Nature Neuroscience. 2005 May 15;8:745. </w:t>
      </w:r>
    </w:p>
    <w:p w14:paraId="0CC53A4F"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118. </w:t>
      </w:r>
      <w:r w:rsidRPr="00DB0E48">
        <w:rPr>
          <w:rFonts w:ascii="Times New Roman" w:hAnsi="Times New Roman" w:cs="Times New Roman"/>
          <w:sz w:val="20"/>
          <w:szCs w:val="20"/>
          <w:lang w:val="en-US"/>
        </w:rPr>
        <w:tab/>
        <w:t xml:space="preserve">Zhang Y, Zhang YP, Pepinsky B, Huang G, Shields LBE, Shields CB, et al. Inhibition of LINGO-1 promotes functional recovery after experimental spinal cord demyelination. Experimental Neurology. 2015 Apr 1;266:68–73. </w:t>
      </w:r>
    </w:p>
    <w:p w14:paraId="055AAC51"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119. </w:t>
      </w:r>
      <w:r w:rsidRPr="00DB0E48">
        <w:rPr>
          <w:rFonts w:ascii="Times New Roman" w:hAnsi="Times New Roman" w:cs="Times New Roman"/>
          <w:sz w:val="20"/>
          <w:szCs w:val="20"/>
          <w:lang w:val="en-US"/>
        </w:rPr>
        <w:tab/>
        <w:t xml:space="preserve">Tran JQ, Rana J, Barkhof F, Melamed I, Gevorkyan H, Wattjes MP, et al. Randomized phase I trials of the safety/tolerability of anti-LINGO-1 monoclonal antibody BIIB033. Neurology(R) neuroimmunology &amp; neuroinflammation. 2014 Aug 21;1(2):e18–e18. </w:t>
      </w:r>
    </w:p>
    <w:p w14:paraId="0291542C"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120. </w:t>
      </w:r>
      <w:r w:rsidRPr="00DB0E48">
        <w:rPr>
          <w:rFonts w:ascii="Times New Roman" w:hAnsi="Times New Roman" w:cs="Times New Roman"/>
          <w:sz w:val="20"/>
          <w:szCs w:val="20"/>
          <w:lang w:val="en-US"/>
        </w:rPr>
        <w:tab/>
        <w:t xml:space="preserve">Richard A. Grove, Conn M. Harrington, Andreas  Mahler, Isabel  Beresford, Paul  Maruff, Martin T. Lowy, et al. A Randomized, Double-Blind, Placebo-Controlled, 16-Week Study of the H3 Receptor Antagonist, GSK239512 as a Monotherapy in Subjects with Mild-to-Moderate Alzheimer’s Disease. Current Alzheimer Research. 2014;11(1):47–58. </w:t>
      </w:r>
    </w:p>
    <w:p w14:paraId="1C56BB69"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121. </w:t>
      </w:r>
      <w:r w:rsidRPr="00DB0E48">
        <w:rPr>
          <w:rFonts w:ascii="Times New Roman" w:hAnsi="Times New Roman" w:cs="Times New Roman"/>
          <w:sz w:val="20"/>
          <w:szCs w:val="20"/>
          <w:lang w:val="en-US"/>
        </w:rPr>
        <w:tab/>
        <w:t xml:space="preserve">Pradeep  J. Nathan, Rebecca  Boardley, Nicola  Scott, Alienor  Berges, Paul  Maruff, Tharani  Sivananthan, et al. The Safety, Tolerability, Pharmacokinetics and Cognitive Effects of GSK239512, a Selective Histamine H3 Receptor Antagonist in Patients with Mild to Moderate Alzheimer’s Disease: A Preliminary Investigation. Current Alzheimer Research. 2013;10(3):240–51. </w:t>
      </w:r>
    </w:p>
    <w:p w14:paraId="46606A27"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122. </w:t>
      </w:r>
      <w:r w:rsidRPr="00DB0E48">
        <w:rPr>
          <w:rFonts w:ascii="Times New Roman" w:hAnsi="Times New Roman" w:cs="Times New Roman"/>
          <w:sz w:val="20"/>
          <w:szCs w:val="20"/>
          <w:lang w:val="en-US"/>
        </w:rPr>
        <w:tab/>
        <w:t xml:space="preserve">Chen Y, Zhen W, Guo T, Zhao Y, Liu A, Rubio JP, et al. Histamine Receptor 3 negatively regulates oligodendrocyte differentiation and remyelination. PloS one. 2017 Dec 18;12(12):e0189380–e0189380. </w:t>
      </w:r>
    </w:p>
    <w:p w14:paraId="7BD5328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123. </w:t>
      </w:r>
      <w:r w:rsidRPr="00DB0E48">
        <w:rPr>
          <w:rFonts w:ascii="Times New Roman" w:hAnsi="Times New Roman" w:cs="Times New Roman"/>
          <w:sz w:val="20"/>
          <w:szCs w:val="20"/>
          <w:lang w:val="en-US"/>
        </w:rPr>
        <w:tab/>
        <w:t xml:space="preserve">Huang JK, Jarjour AA, Nait Oumesmar B, Kerninon C, Williams A, Krezel W, et al. Retinoid X receptor gamma signaling accelerates CNS remyelination. Nature neuroscience. 2011 Jan;14(1):45–53. </w:t>
      </w:r>
    </w:p>
    <w:p w14:paraId="3D00F4E2"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124. </w:t>
      </w:r>
      <w:r w:rsidRPr="00DB0E48">
        <w:rPr>
          <w:rFonts w:ascii="Times New Roman" w:hAnsi="Times New Roman" w:cs="Times New Roman"/>
          <w:sz w:val="20"/>
          <w:szCs w:val="20"/>
          <w:lang w:val="en-US"/>
        </w:rPr>
        <w:tab/>
        <w:t xml:space="preserve">Heck MC, Wagner CE, Shahani PH, MacNeill M, Grozic A, Darwaiz T, et al. Modeling, Synthesis, and Biological Evaluation of Potential Retinoid X Receptor (RXR)-Selective Agonists: Analogues of 4-[1-(3,5,5,8,8-Pentamethyl-5,6,7,8-tetrahydro-2-naphthyl)ethynyl]benzoic Acid (Bexarotene) and 6-(Ethyl(5,5,8,8-tetrahydronaphthalen-2-yl)amino)nicotinic Acid (NEt-TMN). J Med Chem. 2016 Oct 13;59(19):8924–40. </w:t>
      </w:r>
    </w:p>
    <w:p w14:paraId="68BF5BA4"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lastRenderedPageBreak/>
        <w:t xml:space="preserve">125. </w:t>
      </w:r>
      <w:r w:rsidRPr="00DB0E48">
        <w:rPr>
          <w:rFonts w:ascii="Times New Roman" w:hAnsi="Times New Roman" w:cs="Times New Roman"/>
          <w:sz w:val="20"/>
          <w:szCs w:val="20"/>
          <w:lang w:val="en-US"/>
        </w:rPr>
        <w:tab/>
        <w:t xml:space="preserve">Natrajan MS, de la Fuente AG, Crawford AH, Linehan E, Nuñez V, Johnson KR, et al. Retinoid X receptor activation reverses age-related deficiencies in myelin debris phagocytosis and remyelination. Brain : a journal of neurology. 2015 Dec;138(Pt 12):3581–97. </w:t>
      </w:r>
    </w:p>
    <w:p w14:paraId="102B7EB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126. </w:t>
      </w:r>
      <w:r w:rsidRPr="00DB0E48">
        <w:rPr>
          <w:rFonts w:ascii="Times New Roman" w:hAnsi="Times New Roman" w:cs="Times New Roman"/>
          <w:sz w:val="20"/>
          <w:szCs w:val="20"/>
          <w:lang w:val="en-US"/>
        </w:rPr>
        <w:tab/>
        <w:t xml:space="preserve">Altmann DR, Button T, Schmierer K, Hunter K, Tozer DJ, Wheeler-Kingshott CA, et al. Sample sizes for lesion magnetisation transfer ratio outcomes in remyelination trials for multiple sclerosis. Multiple Sclerosis and Related Disorders. 2014 Mar 1;3(2):237–43. </w:t>
      </w:r>
    </w:p>
    <w:p w14:paraId="6FAA028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127. </w:t>
      </w:r>
      <w:r w:rsidRPr="00DB0E48">
        <w:rPr>
          <w:rFonts w:ascii="Times New Roman" w:hAnsi="Times New Roman" w:cs="Times New Roman"/>
          <w:sz w:val="20"/>
          <w:szCs w:val="20"/>
          <w:lang w:val="en-US"/>
        </w:rPr>
        <w:tab/>
        <w:t xml:space="preserve">Sedel F, Bernard D, Mock DM, Tourbah A. Targeting demyelination and virtual hypoxia with high-dose biotin as a treatment for progressive multiple sclerosis. Neuropharmacology. 2016 Nov 1;110:644–53. </w:t>
      </w:r>
    </w:p>
    <w:p w14:paraId="68300E7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128. </w:t>
      </w:r>
      <w:r w:rsidRPr="00DB0E48">
        <w:rPr>
          <w:rFonts w:ascii="Times New Roman" w:hAnsi="Times New Roman" w:cs="Times New Roman"/>
          <w:sz w:val="20"/>
          <w:szCs w:val="20"/>
          <w:lang w:val="en-US"/>
        </w:rPr>
        <w:tab/>
        <w:t xml:space="preserve">Scolding NJ, Pasquini M, Reingold SC, Cohen JA, International Conference on Cell-Based Therapies for Multiple Sclerosis: Cell-based therapeutic strategies for multiple sclerosis. Brain. 2017 Jul 21;140(11):2776–96. </w:t>
      </w:r>
    </w:p>
    <w:p w14:paraId="16A8F7F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129. </w:t>
      </w:r>
      <w:r w:rsidRPr="00DB0E48">
        <w:rPr>
          <w:rFonts w:ascii="Times New Roman" w:hAnsi="Times New Roman" w:cs="Times New Roman"/>
          <w:sz w:val="20"/>
          <w:szCs w:val="20"/>
          <w:lang w:val="en-US"/>
        </w:rPr>
        <w:tab/>
        <w:t xml:space="preserve">Goldman SA, Nedergaard M, Windrem MS. Glial Progenitor Cell–Based Treatment and Modeling of Neurological Disease. Science. 2012 Oct 26;338(6106):491. </w:t>
      </w:r>
    </w:p>
    <w:p w14:paraId="6B3E037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130. </w:t>
      </w:r>
      <w:r w:rsidRPr="00DB0E48">
        <w:rPr>
          <w:rFonts w:ascii="Times New Roman" w:hAnsi="Times New Roman" w:cs="Times New Roman"/>
          <w:sz w:val="20"/>
          <w:szCs w:val="20"/>
          <w:lang w:val="en-US"/>
        </w:rPr>
        <w:tab/>
        <w:t>Franklin RJM, Goldman SA. Glia Disease and Repair—Remyelination. Cold Spring Harbor Perspectives in Biology [Internet]. 2015 Jul 1;7(7). Available from: http://cshperspectives.cshlp.org/content/7/7/a020594.abstract</w:t>
      </w:r>
    </w:p>
    <w:p w14:paraId="4518D22A"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131. </w:t>
      </w:r>
      <w:r w:rsidRPr="00DB0E48">
        <w:rPr>
          <w:rFonts w:ascii="Times New Roman" w:hAnsi="Times New Roman" w:cs="Times New Roman"/>
          <w:sz w:val="20"/>
          <w:szCs w:val="20"/>
          <w:lang w:val="en-US"/>
        </w:rPr>
        <w:tab/>
        <w:t xml:space="preserve">Connick P, Kolappan M, Crawley C, Webber DJ, Patani R, Michell AW, et al. Autologous mesenchymal stem cells for the treatment of secondary progressive multiple sclerosis: an open-label phase 2a proof-of-concept study. The Lancet Neurology. 2012 Feb 1;11(2):150–6. </w:t>
      </w:r>
    </w:p>
    <w:p w14:paraId="6443638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132. </w:t>
      </w:r>
      <w:r w:rsidRPr="00DB0E48">
        <w:rPr>
          <w:rFonts w:ascii="Times New Roman" w:hAnsi="Times New Roman" w:cs="Times New Roman"/>
          <w:sz w:val="20"/>
          <w:szCs w:val="20"/>
          <w:lang w:val="en-US"/>
        </w:rPr>
        <w:tab/>
        <w:t xml:space="preserve">Rice CM, Marks DI, Ben-Shlomo Y, Evangelou N, Morgan PS, Metcalfe C, et al. Assessment of bone marrow-derived Cellular Therapy in progressive Multiple Sclerosis (ACTiMuS): study protocol for a randomised controlled trial. Trials. 2015 Oct 14;16(1):463. </w:t>
      </w:r>
    </w:p>
    <w:p w14:paraId="084F37AC"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133. </w:t>
      </w:r>
      <w:r w:rsidRPr="00DB0E48">
        <w:rPr>
          <w:rFonts w:ascii="Times New Roman" w:hAnsi="Times New Roman" w:cs="Times New Roman"/>
          <w:sz w:val="20"/>
          <w:szCs w:val="20"/>
          <w:lang w:val="en-US"/>
        </w:rPr>
        <w:tab/>
        <w:t xml:space="preserve">Kurtzke JF. Rating neurologic impairment in multiple sclerosis. Neurology. 1983 Nov 1;33(11):1444. </w:t>
      </w:r>
    </w:p>
    <w:p w14:paraId="62178957"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134. </w:t>
      </w:r>
      <w:r w:rsidRPr="00DB0E48">
        <w:rPr>
          <w:rFonts w:ascii="Times New Roman" w:hAnsi="Times New Roman" w:cs="Times New Roman"/>
          <w:sz w:val="20"/>
          <w:szCs w:val="20"/>
          <w:lang w:val="en-US"/>
        </w:rPr>
        <w:tab/>
        <w:t xml:space="preserve">Waxman SG. Axonal conduction and injury in multiple sclerosis: the role of sodium channels. Nature Reviews Neuroscience. 2006 Dec 1;7:932. </w:t>
      </w:r>
    </w:p>
    <w:p w14:paraId="3BFCAFD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135. </w:t>
      </w:r>
      <w:r w:rsidRPr="00DB0E48">
        <w:rPr>
          <w:rFonts w:ascii="Times New Roman" w:hAnsi="Times New Roman" w:cs="Times New Roman"/>
          <w:sz w:val="20"/>
          <w:szCs w:val="20"/>
          <w:lang w:val="en-US"/>
        </w:rPr>
        <w:tab/>
        <w:t xml:space="preserve">Tomassini V, Matthews PM, Thompson AJ, Fuglø D, Geurts JJ, Johansen-Berg H, et al. Neuroplasticity and functional recovery in multiple sclerosis. Nature Reviews Neurology. 2012 Sep 18;8:635. </w:t>
      </w:r>
    </w:p>
    <w:p w14:paraId="67F3824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136. </w:t>
      </w:r>
      <w:r w:rsidRPr="00DB0E48">
        <w:rPr>
          <w:rFonts w:ascii="Times New Roman" w:hAnsi="Times New Roman" w:cs="Times New Roman"/>
          <w:sz w:val="20"/>
          <w:szCs w:val="20"/>
          <w:lang w:val="en-US"/>
        </w:rPr>
        <w:tab/>
        <w:t xml:space="preserve">Plemel JR, Liu W-Q, Yong VW. Remyelination therapies: a new direction and challenge in multiple sclerosis. Nature Reviews Drug Discovery. 2017 Jul 7;16:617. </w:t>
      </w:r>
    </w:p>
    <w:p w14:paraId="03D9EB90"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137. </w:t>
      </w:r>
      <w:r w:rsidRPr="00DB0E48">
        <w:rPr>
          <w:rFonts w:ascii="Times New Roman" w:hAnsi="Times New Roman" w:cs="Times New Roman"/>
          <w:sz w:val="20"/>
          <w:szCs w:val="20"/>
          <w:lang w:val="en-US"/>
        </w:rPr>
        <w:tab/>
        <w:t xml:space="preserve">Mallik S, Samson RS, Wheeler-Kingshott CAM, Miller DH. Imaging outcomes for trials of remyelination in multiple sclerosis. J Neurol Neurosurg Psychiatry. 2014 Dec 1;85(12):1396. </w:t>
      </w:r>
    </w:p>
    <w:p w14:paraId="5A2E99E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138. </w:t>
      </w:r>
      <w:r w:rsidRPr="00DB0E48">
        <w:rPr>
          <w:rFonts w:ascii="Times New Roman" w:hAnsi="Times New Roman" w:cs="Times New Roman"/>
          <w:sz w:val="20"/>
          <w:szCs w:val="20"/>
          <w:lang w:val="en-US"/>
        </w:rPr>
        <w:tab/>
        <w:t xml:space="preserve">Laule C, Kozlowski P, Leung E, Li DKB, MacKay AL, Moore GRW. Myelin water imaging of multiple sclerosis at 7 T: Correlations with histopathology. NeuroImage. 2008 May 1;40(4):1575–80. </w:t>
      </w:r>
    </w:p>
    <w:p w14:paraId="48D2FB4C" w14:textId="720B3073"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139. </w:t>
      </w:r>
      <w:r w:rsidRPr="00DB0E48">
        <w:rPr>
          <w:rFonts w:ascii="Times New Roman" w:hAnsi="Times New Roman" w:cs="Times New Roman"/>
          <w:sz w:val="20"/>
          <w:szCs w:val="20"/>
          <w:lang w:val="en-US"/>
        </w:rPr>
        <w:tab/>
        <w:t>O’Muircheartaigh J, Vavasour I, Ljungberg E, Li DKB, Rauscher A, Levesque V, et al. Quantitative neuroimaging measures of myelin in the healthy brain and in multiple sclerosis. Human Brain Mapping [Internet]. 2019 Jan 15. Available from: https://doi.org/10.1002/hbm.24510</w:t>
      </w:r>
    </w:p>
    <w:p w14:paraId="60FF7E4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140. </w:t>
      </w:r>
      <w:r w:rsidRPr="00DB0E48">
        <w:rPr>
          <w:rFonts w:ascii="Times New Roman" w:hAnsi="Times New Roman" w:cs="Times New Roman"/>
          <w:sz w:val="20"/>
          <w:szCs w:val="20"/>
          <w:lang w:val="en-US"/>
        </w:rPr>
        <w:tab/>
        <w:t xml:space="preserve">Klawiter EC, Schmidt RE, Trinkaus K, Liang H-F, Budde MD, Naismith RT, et al. Radial diffusivity predicts demyelination in ex vivo multiple sclerosis spinal cords. NeuroImage. 2011 Apr 15;55(4):1454–60. </w:t>
      </w:r>
    </w:p>
    <w:p w14:paraId="449C6AA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141. </w:t>
      </w:r>
      <w:r w:rsidRPr="00DB0E48">
        <w:rPr>
          <w:rFonts w:ascii="Times New Roman" w:hAnsi="Times New Roman" w:cs="Times New Roman"/>
          <w:sz w:val="20"/>
          <w:szCs w:val="20"/>
          <w:lang w:val="en-US"/>
        </w:rPr>
        <w:tab/>
        <w:t xml:space="preserve">Song S-K, Yoshino J, Le TQ, Lin S-J, Sun S-W, Cross AH, et al. Demyelination increases radial diffusivity in corpus callosum of mouse brain. NeuroImage. 2005 May 15;26(1):132–40. </w:t>
      </w:r>
    </w:p>
    <w:p w14:paraId="3FB50C25"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142. </w:t>
      </w:r>
      <w:r w:rsidRPr="00DB0E48">
        <w:rPr>
          <w:rFonts w:ascii="Times New Roman" w:hAnsi="Times New Roman" w:cs="Times New Roman"/>
          <w:sz w:val="20"/>
          <w:szCs w:val="20"/>
          <w:lang w:val="en-US"/>
        </w:rPr>
        <w:tab/>
        <w:t xml:space="preserve">Henkelman RM, Stanisz GJ, Graham SJ. Magnetization transfer in MRI: a review. NMR in Biomedicine. 2001 Apr 1;14(2):57–64. </w:t>
      </w:r>
    </w:p>
    <w:p w14:paraId="1F9FC21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lastRenderedPageBreak/>
        <w:t xml:space="preserve">143. </w:t>
      </w:r>
      <w:r w:rsidRPr="00DB0E48">
        <w:rPr>
          <w:rFonts w:ascii="Times New Roman" w:hAnsi="Times New Roman" w:cs="Times New Roman"/>
          <w:sz w:val="20"/>
          <w:szCs w:val="20"/>
          <w:lang w:val="en-US"/>
        </w:rPr>
        <w:tab/>
        <w:t xml:space="preserve">Schmierer K, Scaravilli F, Altmann DR, Barker GJ, Miller DH. Magnetization transfer ratio and myelin in postmortem multiple sclerosis brain. Annals of Neurology. 2004 Aug 31;56(3):407–15. </w:t>
      </w:r>
    </w:p>
    <w:p w14:paraId="4EE6576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144. </w:t>
      </w:r>
      <w:r w:rsidRPr="00DB0E48">
        <w:rPr>
          <w:rFonts w:ascii="Times New Roman" w:hAnsi="Times New Roman" w:cs="Times New Roman"/>
          <w:sz w:val="20"/>
          <w:szCs w:val="20"/>
          <w:lang w:val="en-US"/>
        </w:rPr>
        <w:tab/>
        <w:t xml:space="preserve">Stankoff B, Poirion E, Tonietto M, Bodini B. Exploring the heterogeneity of MS lesions using positron emission tomography: a reappraisal of their contribution to disability. Brain Pathology. 2018 Sep 1;28(5):723–34. </w:t>
      </w:r>
    </w:p>
    <w:p w14:paraId="75B40333"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145. </w:t>
      </w:r>
      <w:r w:rsidRPr="00DB0E48">
        <w:rPr>
          <w:rFonts w:ascii="Times New Roman" w:hAnsi="Times New Roman" w:cs="Times New Roman"/>
          <w:sz w:val="20"/>
          <w:szCs w:val="20"/>
          <w:lang w:val="en-US"/>
        </w:rPr>
        <w:tab/>
        <w:t xml:space="preserve">Button T, Altmann D, Tozer D, Dalton C, Hunter K, Compston A, et al. Magnetization transfer imaging in multiple sclerosis treated with alemtuzumab. Mult Scler. 2012 Apr 5;19(2):241–4. </w:t>
      </w:r>
    </w:p>
    <w:p w14:paraId="15EBB43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146. </w:t>
      </w:r>
      <w:r w:rsidRPr="00DB0E48">
        <w:rPr>
          <w:rFonts w:ascii="Times New Roman" w:hAnsi="Times New Roman" w:cs="Times New Roman"/>
          <w:sz w:val="20"/>
          <w:szCs w:val="20"/>
          <w:lang w:val="en-US"/>
        </w:rPr>
        <w:tab/>
        <w:t xml:space="preserve">Schmierer K, Wheeler-Kingshott CAM, Boulby PA, Scaravilli F, Altmann DR, Barker GJ, et al. Diffusion tensor imaging of post mortem multiple sclerosis brain. NeuroImage. 2007 Apr 1;35(2):467–77. </w:t>
      </w:r>
    </w:p>
    <w:p w14:paraId="0E6E539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147. </w:t>
      </w:r>
      <w:r w:rsidRPr="00DB0E48">
        <w:rPr>
          <w:rFonts w:ascii="Times New Roman" w:hAnsi="Times New Roman" w:cs="Times New Roman"/>
          <w:sz w:val="20"/>
          <w:szCs w:val="20"/>
          <w:lang w:val="en-US"/>
        </w:rPr>
        <w:tab/>
        <w:t xml:space="preserve">MacKay AL, Vavasour IM, Rauscher A, Kolind SH, Mädler B, Moore GRW, et al. MR Relaxation in Multiple Sclerosis. Neuroimaging Clinics of North America. 2009 Feb 1;19(1):1–26. </w:t>
      </w:r>
    </w:p>
    <w:p w14:paraId="398A8481" w14:textId="324EA623"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148. </w:t>
      </w:r>
      <w:r w:rsidRPr="00DB0E48">
        <w:rPr>
          <w:rFonts w:ascii="Times New Roman" w:hAnsi="Times New Roman" w:cs="Times New Roman"/>
          <w:sz w:val="20"/>
          <w:szCs w:val="20"/>
          <w:lang w:val="en-US"/>
        </w:rPr>
        <w:tab/>
        <w:t>Stankoff B, Freeman L, Aigrot M-S, Chardain A, Dollé</w:t>
      </w:r>
      <w:r w:rsidRPr="00DB0E48">
        <w:rPr>
          <w:rFonts w:ascii="Times New Roman" w:hAnsi="Times New Roman" w:cs="Times New Roman" w:hint="eastAsia"/>
          <w:sz w:val="20"/>
          <w:szCs w:val="20"/>
          <w:lang w:val="en-US"/>
        </w:rPr>
        <w:t xml:space="preserve"> F, Williams A, et al. Imaging central nervous system myelin by positron emission tomography in multiple sclerosis using [methyl-11C]-2-(4-methylaminophenyl)- 6-hydroxybenzothiazole. Annals of Neurology. 2011 Apr 1;69(4):673</w:t>
      </w:r>
      <w:r w:rsidRPr="00DB0E48">
        <w:rPr>
          <w:rFonts w:ascii="Times New Roman" w:hAnsi="Times New Roman" w:cs="Times New Roman" w:hint="eastAsia"/>
          <w:sz w:val="20"/>
          <w:szCs w:val="20"/>
          <w:lang w:val="en-US"/>
        </w:rPr>
        <w:t>–</w:t>
      </w:r>
      <w:r w:rsidRPr="00DB0E48">
        <w:rPr>
          <w:rFonts w:ascii="Times New Roman" w:hAnsi="Times New Roman" w:cs="Times New Roman" w:hint="eastAsia"/>
          <w:sz w:val="20"/>
          <w:szCs w:val="20"/>
          <w:lang w:val="en-US"/>
        </w:rPr>
        <w:t xml:space="preserve">80. </w:t>
      </w:r>
    </w:p>
    <w:p w14:paraId="120A13DF" w14:textId="71EBF52E"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149. </w:t>
      </w:r>
      <w:r w:rsidRPr="00DB0E48">
        <w:rPr>
          <w:rFonts w:ascii="Times New Roman" w:hAnsi="Times New Roman" w:cs="Times New Roman"/>
          <w:sz w:val="20"/>
          <w:szCs w:val="20"/>
          <w:lang w:val="en-US"/>
        </w:rPr>
        <w:tab/>
        <w:t>Leocani L, Martinelli V, Natali-Sora MG, Rovaris M, Comi G. Somatosensory evoked potentials and sensory involvement in multiple</w:t>
      </w:r>
      <w:r w:rsidR="00981B3F">
        <w:rPr>
          <w:rFonts w:ascii="Times New Roman" w:hAnsi="Times New Roman" w:cs="Times New Roman"/>
          <w:sz w:val="20"/>
          <w:szCs w:val="20"/>
          <w:lang w:val="en-US"/>
        </w:rPr>
        <w:t xml:space="preserve"> </w:t>
      </w:r>
      <w:r w:rsidRPr="00DB0E48">
        <w:rPr>
          <w:rFonts w:ascii="Times New Roman" w:hAnsi="Times New Roman" w:cs="Times New Roman"/>
          <w:sz w:val="20"/>
          <w:szCs w:val="20"/>
          <w:lang w:val="en-US"/>
        </w:rPr>
        <w:t xml:space="preserve">sclerosis: comparison with clinical findings and quantitative sensory tests. Mult Scler. 2003 Jun 1;9(3):275–9. </w:t>
      </w:r>
    </w:p>
    <w:p w14:paraId="27A8FEAC"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150. </w:t>
      </w:r>
      <w:r w:rsidRPr="00DB0E48">
        <w:rPr>
          <w:rFonts w:ascii="Times New Roman" w:hAnsi="Times New Roman" w:cs="Times New Roman"/>
          <w:sz w:val="20"/>
          <w:szCs w:val="20"/>
          <w:lang w:val="en-US"/>
        </w:rPr>
        <w:tab/>
        <w:t xml:space="preserve">Fukutake T, Kuwabara S, Kaneko M, Kojima S, Hattori T. Sensory impairments in spinal multiple sclerosis: A combined clinical, magnetic resonance imaging and somatosensory evoked potential study. Clinical Neurology and Neurosurgery. 1998 Sep 1;100(3):199–204. </w:t>
      </w:r>
    </w:p>
    <w:p w14:paraId="193EC9DA" w14:textId="7A7AA579"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151. </w:t>
      </w:r>
      <w:r w:rsidRPr="00DB0E48">
        <w:rPr>
          <w:rFonts w:ascii="Times New Roman" w:hAnsi="Times New Roman" w:cs="Times New Roman"/>
          <w:sz w:val="20"/>
          <w:szCs w:val="20"/>
          <w:lang w:val="en-US"/>
        </w:rPr>
        <w:tab/>
        <w:t>Weinstock-Guttman B, Baier M, Stockton R, Weinstock A, Justinger T, Munschauer F, et al. Pattern reversal visual evoked potentials as a measure of visual pathwa</w:t>
      </w:r>
      <w:r w:rsidR="00981B3F">
        <w:rPr>
          <w:rFonts w:ascii="Times New Roman" w:hAnsi="Times New Roman" w:cs="Times New Roman"/>
          <w:sz w:val="20"/>
          <w:szCs w:val="20"/>
          <w:lang w:val="en-US"/>
        </w:rPr>
        <w:t xml:space="preserve">y </w:t>
      </w:r>
      <w:r w:rsidRPr="00DB0E48">
        <w:rPr>
          <w:rFonts w:ascii="Times New Roman" w:hAnsi="Times New Roman" w:cs="Times New Roman"/>
          <w:sz w:val="20"/>
          <w:szCs w:val="20"/>
          <w:lang w:val="en-US"/>
        </w:rPr>
        <w:t xml:space="preserve">pathology in multiple sclerosis. Mult Scler. 2003 Oct 1;9(5):529–34. </w:t>
      </w:r>
    </w:p>
    <w:p w14:paraId="18D280F9"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152. </w:t>
      </w:r>
      <w:r w:rsidRPr="00DB0E48">
        <w:rPr>
          <w:rFonts w:ascii="Times New Roman" w:hAnsi="Times New Roman" w:cs="Times New Roman"/>
          <w:sz w:val="20"/>
          <w:szCs w:val="20"/>
          <w:lang w:val="en-US"/>
        </w:rPr>
        <w:tab/>
        <w:t xml:space="preserve">Borggrefe-Chappuis A, Schindler C, Kappos L, Fuhr P. Visual and motor evoked potentials in the course of multiple sclerosis. Brain. 2001 Nov 1;124(11):2162–8. </w:t>
      </w:r>
    </w:p>
    <w:p w14:paraId="5EAA7C97"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153. </w:t>
      </w:r>
      <w:r w:rsidRPr="00DB0E48">
        <w:rPr>
          <w:rFonts w:ascii="Times New Roman" w:hAnsi="Times New Roman" w:cs="Times New Roman"/>
          <w:sz w:val="20"/>
          <w:szCs w:val="20"/>
          <w:lang w:val="en-US"/>
        </w:rPr>
        <w:tab/>
        <w:t xml:space="preserve">Hutchinson M. Evoked potentials are of little use in the diagnosis or monitoring of MS: Commentary. Mult Scler. 2013 Nov 25;19(14):1824–5. </w:t>
      </w:r>
    </w:p>
    <w:p w14:paraId="4D7A862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154. </w:t>
      </w:r>
      <w:r w:rsidRPr="00DB0E48">
        <w:rPr>
          <w:rFonts w:ascii="Times New Roman" w:hAnsi="Times New Roman" w:cs="Times New Roman"/>
          <w:sz w:val="20"/>
          <w:szCs w:val="20"/>
          <w:lang w:val="en-US"/>
        </w:rPr>
        <w:tab/>
        <w:t xml:space="preserve">Silbermann E, Wooliscroft L, Bourdette D. Using the Anterior Visual System to Assess Neuroprotection and Remyelination in Multiple Sclerosis Trials. Current Neurology and Neuroscience Reports. 2018 Jun 19;18(8):49. </w:t>
      </w:r>
    </w:p>
    <w:p w14:paraId="707A0D3D"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155. </w:t>
      </w:r>
      <w:r w:rsidRPr="00DB0E48">
        <w:rPr>
          <w:rFonts w:ascii="Times New Roman" w:hAnsi="Times New Roman" w:cs="Times New Roman"/>
          <w:sz w:val="20"/>
          <w:szCs w:val="20"/>
          <w:lang w:val="en-US"/>
        </w:rPr>
        <w:tab/>
        <w:t xml:space="preserve">Brusa A, Jones SJ, Kapoor R, Miller DH, Plant GT. Long-term recovery  and fellow eye deterioration  after optic neuritis, determined  by serial visual evoked potentials. Journal of Neurology. 1999 Sep 1;246(9):776–82. </w:t>
      </w:r>
    </w:p>
    <w:p w14:paraId="155AD36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156. </w:t>
      </w:r>
      <w:r w:rsidRPr="00DB0E48">
        <w:rPr>
          <w:rFonts w:ascii="Times New Roman" w:hAnsi="Times New Roman" w:cs="Times New Roman"/>
          <w:sz w:val="20"/>
          <w:szCs w:val="20"/>
          <w:lang w:val="en-US"/>
        </w:rPr>
        <w:tab/>
        <w:t xml:space="preserve">Brusa A, Jones SJ, Plant GT. Long-term remyelination after optic neuritisA 2-year visual evoked potential and psychophysical serial study. Brain. 2001 Mar 1;124(3):468–79. </w:t>
      </w:r>
    </w:p>
    <w:p w14:paraId="586CBBC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157. </w:t>
      </w:r>
      <w:r w:rsidRPr="00DB0E48">
        <w:rPr>
          <w:rFonts w:ascii="Times New Roman" w:hAnsi="Times New Roman" w:cs="Times New Roman"/>
          <w:sz w:val="20"/>
          <w:szCs w:val="20"/>
          <w:lang w:val="en-US"/>
        </w:rPr>
        <w:tab/>
        <w:t xml:space="preserve">Niklas A, Sebraoui H, Heß E, Wagner A, Then Bergh F. Outcome measures for trials of remyelinating agents in multiple sclerosis: retrospective longitudinal analysis of visual evoked potential latency. Mult Scler. 2009 Jan 1;15(1):68–74. </w:t>
      </w:r>
    </w:p>
    <w:p w14:paraId="5E6DC02D" w14:textId="4E2B1DE0"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158. </w:t>
      </w:r>
      <w:r w:rsidRPr="00DB0E48">
        <w:rPr>
          <w:rFonts w:ascii="Times New Roman" w:hAnsi="Times New Roman" w:cs="Times New Roman"/>
          <w:sz w:val="20"/>
          <w:szCs w:val="20"/>
          <w:lang w:val="en-US"/>
        </w:rPr>
        <w:tab/>
        <w:t xml:space="preserve">Hardmeier M, Leocani L, Fuhr P. A new role for evoked potentials in MS? Repurposing evoked potentials as biomarkers for clinical trials in MS. Multiple sclerosis. 2017 Sep;23(10):1309–19. </w:t>
      </w:r>
    </w:p>
    <w:p w14:paraId="33725F3B"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159. </w:t>
      </w:r>
      <w:r w:rsidRPr="00DB0E48">
        <w:rPr>
          <w:rFonts w:ascii="Times New Roman" w:hAnsi="Times New Roman" w:cs="Times New Roman"/>
          <w:sz w:val="20"/>
          <w:szCs w:val="20"/>
          <w:lang w:val="en-US"/>
        </w:rPr>
        <w:tab/>
        <w:t xml:space="preserve">Leocani L, Rovaris M, Boneschi FM, Medaglini S, Rossi P, Martinelli V, et al. Multimodal evoked potentials to assess the evolution of multiple sclerosis: a longitudinal study. Journal of neurology, neurosurgery, and psychiatry. 2006 Sep;77(9):1030–5. </w:t>
      </w:r>
    </w:p>
    <w:p w14:paraId="45BC2EF4"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lastRenderedPageBreak/>
        <w:t xml:space="preserve">160. </w:t>
      </w:r>
      <w:r w:rsidRPr="00DB0E48">
        <w:rPr>
          <w:rFonts w:ascii="Times New Roman" w:hAnsi="Times New Roman" w:cs="Times New Roman"/>
          <w:sz w:val="20"/>
          <w:szCs w:val="20"/>
          <w:lang w:val="en-US"/>
        </w:rPr>
        <w:tab/>
        <w:t xml:space="preserve">Rice CM, Mallam EA, Whone AL, Walsh P, Brooks DJ, Kane N, et al. Safety and Feasibility of Autologous Bone Marrow Cellular Therapy in Relapsing-Progressive Multiple Sclerosis. Clinical Pharmacology &amp; Therapeutics. 2010 Jun 1;87(6):679–85. </w:t>
      </w:r>
    </w:p>
    <w:p w14:paraId="5F621C48"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161. </w:t>
      </w:r>
      <w:r w:rsidRPr="00DB0E48">
        <w:rPr>
          <w:rFonts w:ascii="Times New Roman" w:hAnsi="Times New Roman" w:cs="Times New Roman"/>
          <w:sz w:val="20"/>
          <w:szCs w:val="20"/>
          <w:lang w:val="en-US"/>
        </w:rPr>
        <w:tab/>
        <w:t xml:space="preserve">Fielding J, Clough M, Beh S, Millist L, Sears D, Frohman AN, et al. Ocular motor signatures of cognitive dysfunction in multiple sclerosis. Nature Reviews Neurology. 2015 Sep 15;11:637. </w:t>
      </w:r>
    </w:p>
    <w:p w14:paraId="51E3E799" w14:textId="17CD7F16"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162. </w:t>
      </w:r>
      <w:r w:rsidRPr="00DB0E48">
        <w:rPr>
          <w:rFonts w:ascii="Times New Roman" w:hAnsi="Times New Roman" w:cs="Times New Roman"/>
          <w:sz w:val="20"/>
          <w:szCs w:val="20"/>
          <w:lang w:val="en-US"/>
        </w:rPr>
        <w:tab/>
        <w:t>Kanhai KMS, Nij Bijvank JA, Wagenaar YL, Klaassen ES, Lim K, Bergheanu SC, et al. Treatment of internuclear ophthalmoparesis in multiple sclerosis with fampridine: A randomized double-blind, placebo-controlled cross-over trial. CNS Neuroscience &amp; Therapeutics [Internet]. 2019 Feb 12. Available from: https://doi.org/10.1111/cns.13096</w:t>
      </w:r>
    </w:p>
    <w:p w14:paraId="2F38B292"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163. </w:t>
      </w:r>
      <w:r w:rsidRPr="00DB0E48">
        <w:rPr>
          <w:rFonts w:ascii="Times New Roman" w:hAnsi="Times New Roman" w:cs="Times New Roman"/>
          <w:sz w:val="20"/>
          <w:szCs w:val="20"/>
          <w:lang w:val="en-US"/>
        </w:rPr>
        <w:tab/>
        <w:t xml:space="preserve">Green AJ, Hauser SL, Allen IV, Lyness R, McQuaid S. Ocular pathology in multiple sclerosis: retinal atrophy and inflammation irrespective of disease duration. Brain. 2010 Apr 21;133(6):1591–601. </w:t>
      </w:r>
    </w:p>
    <w:p w14:paraId="2D276AA6"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164. </w:t>
      </w:r>
      <w:r w:rsidRPr="00DB0E48">
        <w:rPr>
          <w:rFonts w:ascii="Times New Roman" w:hAnsi="Times New Roman" w:cs="Times New Roman"/>
          <w:sz w:val="20"/>
          <w:szCs w:val="20"/>
          <w:lang w:val="en-US"/>
        </w:rPr>
        <w:tab/>
        <w:t xml:space="preserve">Talman LS, Bisker ER, Sackel DJ, Long Jr. DA, Galetta KM, Ratchford JN, et al. Longitudinal study of vision and retinal nerve fiber layer thickness in multiple sclerosis. Annals of Neurology. 2010 Jun 1;67(6):749–60. </w:t>
      </w:r>
    </w:p>
    <w:p w14:paraId="5C333373"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165. </w:t>
      </w:r>
      <w:r w:rsidRPr="00DB0E48">
        <w:rPr>
          <w:rFonts w:ascii="Times New Roman" w:hAnsi="Times New Roman" w:cs="Times New Roman"/>
          <w:sz w:val="20"/>
          <w:szCs w:val="20"/>
          <w:lang w:val="en-US"/>
        </w:rPr>
        <w:tab/>
        <w:t xml:space="preserve">Martínez-Lapiscina EH, Sanchez-Dalmau B, Fraga-Pumar E, Ortiz-Perez S, Tercero-Uribe AI, Torres-Torres R, et al. The visual pathway as a model to understand brain damage in multiple sclerosis. Mult Scler. 2014 Jul 10;20(13):1678–85. </w:t>
      </w:r>
    </w:p>
    <w:p w14:paraId="3349B81E" w14:textId="77777777"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166. </w:t>
      </w:r>
      <w:r w:rsidRPr="00DB0E48">
        <w:rPr>
          <w:rFonts w:ascii="Times New Roman" w:hAnsi="Times New Roman" w:cs="Times New Roman"/>
          <w:sz w:val="20"/>
          <w:szCs w:val="20"/>
          <w:lang w:val="en-US"/>
        </w:rPr>
        <w:tab/>
        <w:t xml:space="preserve">Kuhle J, Kropshofer H, Haering DA, Kundu U, Meinert R, Barro C, et al. Blood neurofilament light chain as a biomarker of MS disease activity and treatment response. Neurology. 2019 Mar 5;92(10):e1007. </w:t>
      </w:r>
    </w:p>
    <w:p w14:paraId="2E291B9C" w14:textId="0574A9DF" w:rsidR="00AA2F7B" w:rsidRPr="00DB0E48" w:rsidRDefault="00AA2F7B" w:rsidP="00DB0E48">
      <w:pPr>
        <w:pStyle w:val="Bibliography"/>
        <w:rPr>
          <w:rFonts w:ascii="Times New Roman" w:hAnsi="Times New Roman" w:cs="Times New Roman"/>
          <w:sz w:val="20"/>
          <w:szCs w:val="20"/>
          <w:lang w:val="en-US"/>
        </w:rPr>
      </w:pPr>
      <w:r w:rsidRPr="00DB0E48">
        <w:rPr>
          <w:rFonts w:ascii="Times New Roman" w:hAnsi="Times New Roman" w:cs="Times New Roman"/>
          <w:sz w:val="20"/>
          <w:szCs w:val="20"/>
          <w:lang w:val="en-US"/>
        </w:rPr>
        <w:t xml:space="preserve">167. </w:t>
      </w:r>
      <w:r w:rsidRPr="00DB0E48">
        <w:rPr>
          <w:rFonts w:ascii="Times New Roman" w:hAnsi="Times New Roman" w:cs="Times New Roman"/>
          <w:sz w:val="20"/>
          <w:szCs w:val="20"/>
          <w:lang w:val="en-US"/>
        </w:rPr>
        <w:tab/>
      </w:r>
      <w:r w:rsidR="00B46A0D">
        <w:rPr>
          <w:rFonts w:ascii="Times New Roman" w:hAnsi="Times New Roman" w:cs="Times New Roman"/>
          <w:sz w:val="20"/>
          <w:szCs w:val="20"/>
          <w:lang w:val="en-US"/>
        </w:rPr>
        <w:t xml:space="preserve">Sharma A, et al. </w:t>
      </w:r>
      <w:r w:rsidR="00B46A0D" w:rsidRPr="00B46A0D">
        <w:rPr>
          <w:rFonts w:ascii="Times New Roman" w:hAnsi="Times New Roman" w:cs="Times New Roman"/>
          <w:sz w:val="20"/>
          <w:szCs w:val="20"/>
          <w:lang w:val="en-US"/>
        </w:rPr>
        <w:t>Characterization of serum neurofilament, a biomarker for axonal damage, in the SYNERGY study as a complement to opicinumab zreatment effect in MS</w:t>
      </w:r>
      <w:r w:rsidR="00B46A0D">
        <w:rPr>
          <w:rFonts w:ascii="Times New Roman" w:hAnsi="Times New Roman" w:cs="Times New Roman"/>
          <w:sz w:val="20"/>
          <w:szCs w:val="20"/>
          <w:lang w:val="en-US"/>
        </w:rPr>
        <w:t xml:space="preserve">. </w:t>
      </w:r>
      <w:r w:rsidRPr="00DB0E48">
        <w:rPr>
          <w:rFonts w:ascii="Times New Roman" w:hAnsi="Times New Roman" w:cs="Times New Roman"/>
          <w:sz w:val="20"/>
          <w:szCs w:val="20"/>
          <w:lang w:val="en-US"/>
        </w:rPr>
        <w:t>ePosters.</w:t>
      </w:r>
      <w:r w:rsidR="00B46A0D">
        <w:rPr>
          <w:rFonts w:ascii="Times New Roman" w:hAnsi="Times New Roman" w:cs="Times New Roman"/>
          <w:sz w:val="20"/>
          <w:szCs w:val="20"/>
          <w:lang w:val="en-US"/>
        </w:rPr>
        <w:t xml:space="preserve"> Abstract EP1571.</w:t>
      </w:r>
      <w:r w:rsidRPr="00DB0E48">
        <w:rPr>
          <w:rFonts w:ascii="Times New Roman" w:hAnsi="Times New Roman" w:cs="Times New Roman"/>
          <w:sz w:val="20"/>
          <w:szCs w:val="20"/>
          <w:lang w:val="en-US"/>
        </w:rPr>
        <w:t xml:space="preserve"> Mult Scler. 2018 Oct 1;24(2_suppl):738–980. </w:t>
      </w:r>
    </w:p>
    <w:p w14:paraId="7438CBB3" w14:textId="5411D6AF" w:rsidR="00CA4B3B" w:rsidRPr="00B46A0D" w:rsidRDefault="00354A8D" w:rsidP="00AA2F7B">
      <w:pPr>
        <w:pStyle w:val="Bibliography"/>
        <w:rPr>
          <w:sz w:val="20"/>
          <w:szCs w:val="20"/>
        </w:rPr>
      </w:pPr>
      <w:r w:rsidRPr="00B46A0D">
        <w:rPr>
          <w:sz w:val="20"/>
          <w:szCs w:val="20"/>
        </w:rPr>
        <w:fldChar w:fldCharType="end"/>
      </w:r>
    </w:p>
    <w:sectPr w:rsidR="00CA4B3B" w:rsidRPr="00B46A0D" w:rsidSect="00401127">
      <w:footerReference w:type="even" r:id="rId9"/>
      <w:footerReference w:type="default" r:id="rId10"/>
      <w:pgSz w:w="11900" w:h="16840"/>
      <w:pgMar w:top="1440" w:right="1080" w:bottom="1440" w:left="108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E57C8E" w14:textId="77777777" w:rsidR="00CF7F01" w:rsidRDefault="00CF7F01" w:rsidP="00341586">
      <w:r>
        <w:separator/>
      </w:r>
    </w:p>
  </w:endnote>
  <w:endnote w:type="continuationSeparator" w:id="0">
    <w:p w14:paraId="5CF63061" w14:textId="77777777" w:rsidR="00CF7F01" w:rsidRDefault="00CF7F01" w:rsidP="003415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sz w:val="16"/>
      </w:rPr>
      <w:id w:val="1478947523"/>
      <w:docPartObj>
        <w:docPartGallery w:val="Page Numbers (Bottom of Page)"/>
        <w:docPartUnique/>
      </w:docPartObj>
    </w:sdtPr>
    <w:sdtEndPr>
      <w:rPr>
        <w:rStyle w:val="PageNumber"/>
        <w:sz w:val="6"/>
      </w:rPr>
    </w:sdtEndPr>
    <w:sdtContent>
      <w:p w14:paraId="726153C0" w14:textId="354AB05F" w:rsidR="00022287" w:rsidRPr="005746FA" w:rsidRDefault="00022287" w:rsidP="00B15FE1">
        <w:pPr>
          <w:pStyle w:val="Footer"/>
          <w:framePr w:wrap="none" w:vAnchor="text" w:hAnchor="margin" w:xAlign="outside" w:y="1"/>
          <w:rPr>
            <w:rStyle w:val="PageNumber"/>
            <w:sz w:val="16"/>
          </w:rPr>
        </w:pPr>
        <w:r w:rsidRPr="005746FA">
          <w:rPr>
            <w:rStyle w:val="PageNumber"/>
            <w:sz w:val="16"/>
          </w:rPr>
          <w:fldChar w:fldCharType="begin"/>
        </w:r>
        <w:r w:rsidRPr="005746FA">
          <w:rPr>
            <w:rStyle w:val="PageNumber"/>
            <w:sz w:val="16"/>
          </w:rPr>
          <w:instrText xml:space="preserve"> PAGE </w:instrText>
        </w:r>
        <w:r w:rsidRPr="005746FA">
          <w:rPr>
            <w:rStyle w:val="PageNumber"/>
            <w:sz w:val="16"/>
          </w:rPr>
          <w:fldChar w:fldCharType="separate"/>
        </w:r>
        <w:r w:rsidR="00670359">
          <w:rPr>
            <w:rStyle w:val="PageNumber"/>
            <w:noProof/>
            <w:sz w:val="16"/>
          </w:rPr>
          <w:t>16</w:t>
        </w:r>
        <w:r w:rsidRPr="005746FA">
          <w:rPr>
            <w:rStyle w:val="PageNumber"/>
            <w:sz w:val="16"/>
          </w:rPr>
          <w:fldChar w:fldCharType="end"/>
        </w:r>
      </w:p>
    </w:sdtContent>
  </w:sdt>
  <w:p w14:paraId="657C7354" w14:textId="77777777" w:rsidR="00022287" w:rsidRDefault="00022287" w:rsidP="005746FA">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55661467"/>
      <w:docPartObj>
        <w:docPartGallery w:val="Page Numbers (Bottom of Page)"/>
        <w:docPartUnique/>
      </w:docPartObj>
    </w:sdtPr>
    <w:sdtEndPr>
      <w:rPr>
        <w:rStyle w:val="PageNumber"/>
      </w:rPr>
    </w:sdtEndPr>
    <w:sdtContent>
      <w:p w14:paraId="58A0C597" w14:textId="44174463" w:rsidR="00022287" w:rsidRDefault="00022287" w:rsidP="00B15FE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sidR="00670359">
          <w:rPr>
            <w:rStyle w:val="PageNumber"/>
            <w:noProof/>
          </w:rPr>
          <w:t>17</w:t>
        </w:r>
        <w:r>
          <w:rPr>
            <w:rStyle w:val="PageNumber"/>
          </w:rPr>
          <w:fldChar w:fldCharType="end"/>
        </w:r>
      </w:p>
    </w:sdtContent>
  </w:sdt>
  <w:p w14:paraId="4164F1E5" w14:textId="77777777" w:rsidR="00022287" w:rsidRDefault="00022287" w:rsidP="005746FA">
    <w:pPr>
      <w:pStyle w:val="Footer"/>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FE5BC4" w14:textId="77777777" w:rsidR="00CF7F01" w:rsidRDefault="00CF7F01" w:rsidP="00341586">
      <w:r>
        <w:separator/>
      </w:r>
    </w:p>
  </w:footnote>
  <w:footnote w:type="continuationSeparator" w:id="0">
    <w:p w14:paraId="0A3EC805" w14:textId="77777777" w:rsidR="00CF7F01" w:rsidRDefault="00CF7F01" w:rsidP="003415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numFmt w:val="bullet"/>
      <w:lvlText w:val="."/>
      <w:lvlJc w:val="left"/>
      <w:pPr>
        <w:ind w:left="720" w:hanging="360"/>
      </w:pPr>
    </w:lvl>
    <w:lvl w:ilvl="1" w:tplc="0000000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0E235E"/>
    <w:multiLevelType w:val="multilevel"/>
    <w:tmpl w:val="2BB4D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2C25EF"/>
    <w:multiLevelType w:val="multilevel"/>
    <w:tmpl w:val="0802B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976E65"/>
    <w:multiLevelType w:val="hybridMultilevel"/>
    <w:tmpl w:val="EA8EE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C32B8C"/>
    <w:multiLevelType w:val="hybridMultilevel"/>
    <w:tmpl w:val="E746F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0E0AF3"/>
    <w:multiLevelType w:val="hybridMultilevel"/>
    <w:tmpl w:val="7EC02A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C3579B6"/>
    <w:multiLevelType w:val="hybridMultilevel"/>
    <w:tmpl w:val="A3F46B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A75A25"/>
    <w:multiLevelType w:val="hybridMultilevel"/>
    <w:tmpl w:val="ED66F8F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2B2773F"/>
    <w:multiLevelType w:val="hybridMultilevel"/>
    <w:tmpl w:val="EE7CBA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284B82"/>
    <w:multiLevelType w:val="hybridMultilevel"/>
    <w:tmpl w:val="DF5089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1C11902"/>
    <w:multiLevelType w:val="hybridMultilevel"/>
    <w:tmpl w:val="886E84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AD275E"/>
    <w:multiLevelType w:val="hybridMultilevel"/>
    <w:tmpl w:val="E4202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A51F9A"/>
    <w:multiLevelType w:val="hybridMultilevel"/>
    <w:tmpl w:val="D22EC4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83387A"/>
    <w:multiLevelType w:val="hybridMultilevel"/>
    <w:tmpl w:val="E0502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E42946"/>
    <w:multiLevelType w:val="multilevel"/>
    <w:tmpl w:val="36FE2B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9A92F5A"/>
    <w:multiLevelType w:val="hybridMultilevel"/>
    <w:tmpl w:val="AD04F7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F233A74"/>
    <w:multiLevelType w:val="hybridMultilevel"/>
    <w:tmpl w:val="61406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652DE2"/>
    <w:multiLevelType w:val="hybridMultilevel"/>
    <w:tmpl w:val="0BEA93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1347C52"/>
    <w:multiLevelType w:val="hybridMultilevel"/>
    <w:tmpl w:val="3CCE3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2A40E3"/>
    <w:multiLevelType w:val="hybridMultilevel"/>
    <w:tmpl w:val="FC40D7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B953CC8"/>
    <w:multiLevelType w:val="hybridMultilevel"/>
    <w:tmpl w:val="ECF41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10541EF"/>
    <w:multiLevelType w:val="hybridMultilevel"/>
    <w:tmpl w:val="555AC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82E733E"/>
    <w:multiLevelType w:val="hybridMultilevel"/>
    <w:tmpl w:val="2586FE5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2E79BF"/>
    <w:multiLevelType w:val="hybridMultilevel"/>
    <w:tmpl w:val="D70C79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4286112"/>
    <w:multiLevelType w:val="hybridMultilevel"/>
    <w:tmpl w:val="8E5039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4DE2E23"/>
    <w:multiLevelType w:val="hybridMultilevel"/>
    <w:tmpl w:val="E746F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7972700"/>
    <w:multiLevelType w:val="hybridMultilevel"/>
    <w:tmpl w:val="C8366D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1C70F2"/>
    <w:multiLevelType w:val="multilevel"/>
    <w:tmpl w:val="87D8E9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F5C2FAA"/>
    <w:multiLevelType w:val="hybridMultilevel"/>
    <w:tmpl w:val="AC42F6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27"/>
  </w:num>
  <w:num w:numId="3">
    <w:abstractNumId w:val="14"/>
  </w:num>
  <w:num w:numId="4">
    <w:abstractNumId w:val="2"/>
  </w:num>
  <w:num w:numId="5">
    <w:abstractNumId w:val="1"/>
  </w:num>
  <w:num w:numId="6">
    <w:abstractNumId w:val="15"/>
  </w:num>
  <w:num w:numId="7">
    <w:abstractNumId w:val="19"/>
  </w:num>
  <w:num w:numId="8">
    <w:abstractNumId w:val="17"/>
  </w:num>
  <w:num w:numId="9">
    <w:abstractNumId w:val="20"/>
  </w:num>
  <w:num w:numId="10">
    <w:abstractNumId w:val="0"/>
  </w:num>
  <w:num w:numId="11">
    <w:abstractNumId w:val="9"/>
  </w:num>
  <w:num w:numId="12">
    <w:abstractNumId w:val="23"/>
  </w:num>
  <w:num w:numId="13">
    <w:abstractNumId w:val="21"/>
  </w:num>
  <w:num w:numId="14">
    <w:abstractNumId w:val="5"/>
  </w:num>
  <w:num w:numId="15">
    <w:abstractNumId w:val="8"/>
  </w:num>
  <w:num w:numId="16">
    <w:abstractNumId w:val="26"/>
  </w:num>
  <w:num w:numId="17">
    <w:abstractNumId w:val="6"/>
  </w:num>
  <w:num w:numId="18">
    <w:abstractNumId w:val="18"/>
  </w:num>
  <w:num w:numId="19">
    <w:abstractNumId w:val="3"/>
  </w:num>
  <w:num w:numId="20">
    <w:abstractNumId w:val="22"/>
  </w:num>
  <w:num w:numId="21">
    <w:abstractNumId w:val="12"/>
  </w:num>
  <w:num w:numId="22">
    <w:abstractNumId w:val="25"/>
  </w:num>
  <w:num w:numId="23">
    <w:abstractNumId w:val="4"/>
  </w:num>
  <w:num w:numId="24">
    <w:abstractNumId w:val="13"/>
  </w:num>
  <w:num w:numId="25">
    <w:abstractNumId w:val="7"/>
  </w:num>
  <w:num w:numId="26">
    <w:abstractNumId w:val="24"/>
  </w:num>
  <w:num w:numId="27">
    <w:abstractNumId w:val="16"/>
  </w:num>
  <w:num w:numId="28">
    <w:abstractNumId w:val="11"/>
  </w:num>
  <w:num w:numId="2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D02"/>
    <w:rsid w:val="00001C60"/>
    <w:rsid w:val="00003E8D"/>
    <w:rsid w:val="00005E10"/>
    <w:rsid w:val="00006050"/>
    <w:rsid w:val="00006EF7"/>
    <w:rsid w:val="000132B2"/>
    <w:rsid w:val="00013725"/>
    <w:rsid w:val="00013A9E"/>
    <w:rsid w:val="00022287"/>
    <w:rsid w:val="00023FAB"/>
    <w:rsid w:val="00024301"/>
    <w:rsid w:val="000243C0"/>
    <w:rsid w:val="00025E73"/>
    <w:rsid w:val="00031676"/>
    <w:rsid w:val="00032CA8"/>
    <w:rsid w:val="000351BB"/>
    <w:rsid w:val="00036701"/>
    <w:rsid w:val="00036DC4"/>
    <w:rsid w:val="00036E50"/>
    <w:rsid w:val="00037926"/>
    <w:rsid w:val="0004060B"/>
    <w:rsid w:val="00040D0B"/>
    <w:rsid w:val="0004432F"/>
    <w:rsid w:val="000463DA"/>
    <w:rsid w:val="000467DB"/>
    <w:rsid w:val="000529B9"/>
    <w:rsid w:val="00052EA9"/>
    <w:rsid w:val="0005482B"/>
    <w:rsid w:val="000566BC"/>
    <w:rsid w:val="00057AEA"/>
    <w:rsid w:val="00057B82"/>
    <w:rsid w:val="00061BD8"/>
    <w:rsid w:val="00062E53"/>
    <w:rsid w:val="00064FE4"/>
    <w:rsid w:val="00065239"/>
    <w:rsid w:val="000655A0"/>
    <w:rsid w:val="00066CD8"/>
    <w:rsid w:val="00067149"/>
    <w:rsid w:val="000707ED"/>
    <w:rsid w:val="00071C23"/>
    <w:rsid w:val="00073083"/>
    <w:rsid w:val="000734B7"/>
    <w:rsid w:val="0007353C"/>
    <w:rsid w:val="00075772"/>
    <w:rsid w:val="000806C4"/>
    <w:rsid w:val="00080D5D"/>
    <w:rsid w:val="000816FE"/>
    <w:rsid w:val="000819C3"/>
    <w:rsid w:val="00081F0D"/>
    <w:rsid w:val="00083243"/>
    <w:rsid w:val="0008353D"/>
    <w:rsid w:val="00090AFA"/>
    <w:rsid w:val="00090DF5"/>
    <w:rsid w:val="00096490"/>
    <w:rsid w:val="000A62F5"/>
    <w:rsid w:val="000B0438"/>
    <w:rsid w:val="000B07D0"/>
    <w:rsid w:val="000B15D1"/>
    <w:rsid w:val="000B1BE4"/>
    <w:rsid w:val="000B236C"/>
    <w:rsid w:val="000B2871"/>
    <w:rsid w:val="000B42BB"/>
    <w:rsid w:val="000C17AF"/>
    <w:rsid w:val="000C2F29"/>
    <w:rsid w:val="000C3CC7"/>
    <w:rsid w:val="000C70F0"/>
    <w:rsid w:val="000D129F"/>
    <w:rsid w:val="000D177F"/>
    <w:rsid w:val="000D344A"/>
    <w:rsid w:val="000D5EDC"/>
    <w:rsid w:val="000D6029"/>
    <w:rsid w:val="000D6047"/>
    <w:rsid w:val="000E0156"/>
    <w:rsid w:val="000E1E1E"/>
    <w:rsid w:val="000E3C47"/>
    <w:rsid w:val="000E4841"/>
    <w:rsid w:val="000E4D56"/>
    <w:rsid w:val="000E7810"/>
    <w:rsid w:val="000E7A3B"/>
    <w:rsid w:val="0010015D"/>
    <w:rsid w:val="00111562"/>
    <w:rsid w:val="001124EA"/>
    <w:rsid w:val="001128F7"/>
    <w:rsid w:val="00112A17"/>
    <w:rsid w:val="0011686E"/>
    <w:rsid w:val="001202ED"/>
    <w:rsid w:val="00121042"/>
    <w:rsid w:val="00122845"/>
    <w:rsid w:val="00122F14"/>
    <w:rsid w:val="00123398"/>
    <w:rsid w:val="00126B09"/>
    <w:rsid w:val="001313B7"/>
    <w:rsid w:val="00133ED2"/>
    <w:rsid w:val="001348AC"/>
    <w:rsid w:val="00135DD3"/>
    <w:rsid w:val="00135F36"/>
    <w:rsid w:val="00137510"/>
    <w:rsid w:val="001410A3"/>
    <w:rsid w:val="00142E5A"/>
    <w:rsid w:val="00143BA5"/>
    <w:rsid w:val="001467E6"/>
    <w:rsid w:val="001504B4"/>
    <w:rsid w:val="00151AE2"/>
    <w:rsid w:val="00151C1F"/>
    <w:rsid w:val="001539DB"/>
    <w:rsid w:val="001708FF"/>
    <w:rsid w:val="00172CEC"/>
    <w:rsid w:val="001748CE"/>
    <w:rsid w:val="00180990"/>
    <w:rsid w:val="00183BAC"/>
    <w:rsid w:val="00183E97"/>
    <w:rsid w:val="00184B7D"/>
    <w:rsid w:val="0018618E"/>
    <w:rsid w:val="0018730D"/>
    <w:rsid w:val="0019109C"/>
    <w:rsid w:val="00194B5F"/>
    <w:rsid w:val="00197471"/>
    <w:rsid w:val="001A0FC2"/>
    <w:rsid w:val="001A3FCA"/>
    <w:rsid w:val="001A5799"/>
    <w:rsid w:val="001A65DE"/>
    <w:rsid w:val="001A7F42"/>
    <w:rsid w:val="001B1E77"/>
    <w:rsid w:val="001B211D"/>
    <w:rsid w:val="001B495A"/>
    <w:rsid w:val="001B56FA"/>
    <w:rsid w:val="001B6BAB"/>
    <w:rsid w:val="001C04EF"/>
    <w:rsid w:val="001C1598"/>
    <w:rsid w:val="001C20E6"/>
    <w:rsid w:val="001C4880"/>
    <w:rsid w:val="001C5208"/>
    <w:rsid w:val="001C6F60"/>
    <w:rsid w:val="001D0BD7"/>
    <w:rsid w:val="001D5567"/>
    <w:rsid w:val="001D6235"/>
    <w:rsid w:val="001D69A6"/>
    <w:rsid w:val="001E1B99"/>
    <w:rsid w:val="001E2D28"/>
    <w:rsid w:val="001E3FF0"/>
    <w:rsid w:val="001E40A1"/>
    <w:rsid w:val="001E46FB"/>
    <w:rsid w:val="001E75BD"/>
    <w:rsid w:val="001E7DB2"/>
    <w:rsid w:val="001F0B0F"/>
    <w:rsid w:val="001F1DB9"/>
    <w:rsid w:val="001F3E16"/>
    <w:rsid w:val="001F3EF0"/>
    <w:rsid w:val="001F433A"/>
    <w:rsid w:val="001F469F"/>
    <w:rsid w:val="001F471F"/>
    <w:rsid w:val="001F6A0C"/>
    <w:rsid w:val="001F6ED7"/>
    <w:rsid w:val="00201743"/>
    <w:rsid w:val="002017FC"/>
    <w:rsid w:val="002020A6"/>
    <w:rsid w:val="00202A95"/>
    <w:rsid w:val="00202B1C"/>
    <w:rsid w:val="00206E8A"/>
    <w:rsid w:val="00207FD9"/>
    <w:rsid w:val="00213DFB"/>
    <w:rsid w:val="002161A5"/>
    <w:rsid w:val="00216482"/>
    <w:rsid w:val="00216D77"/>
    <w:rsid w:val="00221AA0"/>
    <w:rsid w:val="00223727"/>
    <w:rsid w:val="00223E8F"/>
    <w:rsid w:val="00224FC7"/>
    <w:rsid w:val="00225749"/>
    <w:rsid w:val="00230BE6"/>
    <w:rsid w:val="00231AE8"/>
    <w:rsid w:val="00234049"/>
    <w:rsid w:val="00234B55"/>
    <w:rsid w:val="002356D4"/>
    <w:rsid w:val="00236157"/>
    <w:rsid w:val="002366D3"/>
    <w:rsid w:val="002377EA"/>
    <w:rsid w:val="00244BAC"/>
    <w:rsid w:val="00244C7B"/>
    <w:rsid w:val="00247E22"/>
    <w:rsid w:val="00250C84"/>
    <w:rsid w:val="002511F9"/>
    <w:rsid w:val="00252DD5"/>
    <w:rsid w:val="00252F82"/>
    <w:rsid w:val="00253EF5"/>
    <w:rsid w:val="002546AC"/>
    <w:rsid w:val="00261B40"/>
    <w:rsid w:val="00262C77"/>
    <w:rsid w:val="0026353D"/>
    <w:rsid w:val="00266A4A"/>
    <w:rsid w:val="00271D0D"/>
    <w:rsid w:val="00272F2F"/>
    <w:rsid w:val="00273A46"/>
    <w:rsid w:val="00275128"/>
    <w:rsid w:val="00275A2B"/>
    <w:rsid w:val="00277362"/>
    <w:rsid w:val="00283D55"/>
    <w:rsid w:val="00285E1A"/>
    <w:rsid w:val="00286465"/>
    <w:rsid w:val="00286FEB"/>
    <w:rsid w:val="002873D4"/>
    <w:rsid w:val="002904DA"/>
    <w:rsid w:val="00290AFE"/>
    <w:rsid w:val="00290DC9"/>
    <w:rsid w:val="00291E8A"/>
    <w:rsid w:val="0029340F"/>
    <w:rsid w:val="002A2A72"/>
    <w:rsid w:val="002A62CC"/>
    <w:rsid w:val="002A7301"/>
    <w:rsid w:val="002A74D5"/>
    <w:rsid w:val="002B16B6"/>
    <w:rsid w:val="002B25F3"/>
    <w:rsid w:val="002B31D7"/>
    <w:rsid w:val="002C0757"/>
    <w:rsid w:val="002C0D19"/>
    <w:rsid w:val="002C7A8A"/>
    <w:rsid w:val="002C7F2E"/>
    <w:rsid w:val="002D2D7A"/>
    <w:rsid w:val="002D6265"/>
    <w:rsid w:val="002E1511"/>
    <w:rsid w:val="002E2F61"/>
    <w:rsid w:val="002E48D1"/>
    <w:rsid w:val="002E5EED"/>
    <w:rsid w:val="002E5FEB"/>
    <w:rsid w:val="002F0827"/>
    <w:rsid w:val="002F0FD5"/>
    <w:rsid w:val="002F2DD9"/>
    <w:rsid w:val="002F352D"/>
    <w:rsid w:val="002F4900"/>
    <w:rsid w:val="002F522D"/>
    <w:rsid w:val="002F5BCB"/>
    <w:rsid w:val="002F773F"/>
    <w:rsid w:val="002F7D61"/>
    <w:rsid w:val="00300074"/>
    <w:rsid w:val="003018F0"/>
    <w:rsid w:val="003021A5"/>
    <w:rsid w:val="003122F0"/>
    <w:rsid w:val="003124C3"/>
    <w:rsid w:val="0031424A"/>
    <w:rsid w:val="003165AB"/>
    <w:rsid w:val="0031752E"/>
    <w:rsid w:val="00320478"/>
    <w:rsid w:val="003209C7"/>
    <w:rsid w:val="003213EC"/>
    <w:rsid w:val="003219EC"/>
    <w:rsid w:val="0032203C"/>
    <w:rsid w:val="00322145"/>
    <w:rsid w:val="00323FCC"/>
    <w:rsid w:val="00326E8E"/>
    <w:rsid w:val="00330290"/>
    <w:rsid w:val="003322FF"/>
    <w:rsid w:val="00332560"/>
    <w:rsid w:val="0033472D"/>
    <w:rsid w:val="003351F7"/>
    <w:rsid w:val="00336BC0"/>
    <w:rsid w:val="00336F77"/>
    <w:rsid w:val="003379A1"/>
    <w:rsid w:val="00340D41"/>
    <w:rsid w:val="00341286"/>
    <w:rsid w:val="00341586"/>
    <w:rsid w:val="00341986"/>
    <w:rsid w:val="00341DE0"/>
    <w:rsid w:val="0034544B"/>
    <w:rsid w:val="003475BA"/>
    <w:rsid w:val="00354A8D"/>
    <w:rsid w:val="0035511F"/>
    <w:rsid w:val="0036250D"/>
    <w:rsid w:val="00362761"/>
    <w:rsid w:val="00364F70"/>
    <w:rsid w:val="00365A3B"/>
    <w:rsid w:val="0037210C"/>
    <w:rsid w:val="00373931"/>
    <w:rsid w:val="003770F7"/>
    <w:rsid w:val="00377959"/>
    <w:rsid w:val="00380A1A"/>
    <w:rsid w:val="00382507"/>
    <w:rsid w:val="003825E2"/>
    <w:rsid w:val="00382724"/>
    <w:rsid w:val="003837B6"/>
    <w:rsid w:val="003841E6"/>
    <w:rsid w:val="00385E70"/>
    <w:rsid w:val="00387033"/>
    <w:rsid w:val="00390B60"/>
    <w:rsid w:val="00390E6E"/>
    <w:rsid w:val="00393387"/>
    <w:rsid w:val="003934E1"/>
    <w:rsid w:val="00394485"/>
    <w:rsid w:val="00397C1A"/>
    <w:rsid w:val="003A12D9"/>
    <w:rsid w:val="003A196B"/>
    <w:rsid w:val="003A2B6D"/>
    <w:rsid w:val="003A4C3D"/>
    <w:rsid w:val="003A5653"/>
    <w:rsid w:val="003B23C3"/>
    <w:rsid w:val="003B5BFC"/>
    <w:rsid w:val="003B6158"/>
    <w:rsid w:val="003B7C32"/>
    <w:rsid w:val="003C004C"/>
    <w:rsid w:val="003C3C26"/>
    <w:rsid w:val="003C5C9E"/>
    <w:rsid w:val="003C6608"/>
    <w:rsid w:val="003C7C72"/>
    <w:rsid w:val="003D1974"/>
    <w:rsid w:val="003D67A2"/>
    <w:rsid w:val="003D7699"/>
    <w:rsid w:val="003D7A0C"/>
    <w:rsid w:val="003E03D4"/>
    <w:rsid w:val="003E1E46"/>
    <w:rsid w:val="003E6829"/>
    <w:rsid w:val="003E7E85"/>
    <w:rsid w:val="003F0B3F"/>
    <w:rsid w:val="003F1FE7"/>
    <w:rsid w:val="003F3B3F"/>
    <w:rsid w:val="003F44E0"/>
    <w:rsid w:val="003F4C3E"/>
    <w:rsid w:val="003F71F8"/>
    <w:rsid w:val="00401127"/>
    <w:rsid w:val="004049C7"/>
    <w:rsid w:val="00405F5B"/>
    <w:rsid w:val="004062E7"/>
    <w:rsid w:val="00407C07"/>
    <w:rsid w:val="00414AF0"/>
    <w:rsid w:val="00415327"/>
    <w:rsid w:val="0041629A"/>
    <w:rsid w:val="00420414"/>
    <w:rsid w:val="00422176"/>
    <w:rsid w:val="00422F1F"/>
    <w:rsid w:val="004261E7"/>
    <w:rsid w:val="00427989"/>
    <w:rsid w:val="00433E7F"/>
    <w:rsid w:val="0043713F"/>
    <w:rsid w:val="00441624"/>
    <w:rsid w:val="00446074"/>
    <w:rsid w:val="004516C8"/>
    <w:rsid w:val="004535C8"/>
    <w:rsid w:val="00456989"/>
    <w:rsid w:val="00456CC4"/>
    <w:rsid w:val="0047211A"/>
    <w:rsid w:val="0047590F"/>
    <w:rsid w:val="00477094"/>
    <w:rsid w:val="004773EF"/>
    <w:rsid w:val="00480B9F"/>
    <w:rsid w:val="004844AE"/>
    <w:rsid w:val="00484A15"/>
    <w:rsid w:val="004855C4"/>
    <w:rsid w:val="004860BE"/>
    <w:rsid w:val="00486F22"/>
    <w:rsid w:val="00487A44"/>
    <w:rsid w:val="00490005"/>
    <w:rsid w:val="004944A7"/>
    <w:rsid w:val="00496127"/>
    <w:rsid w:val="00496309"/>
    <w:rsid w:val="004A0DAB"/>
    <w:rsid w:val="004A194B"/>
    <w:rsid w:val="004A30F8"/>
    <w:rsid w:val="004A3917"/>
    <w:rsid w:val="004A3A54"/>
    <w:rsid w:val="004A4E88"/>
    <w:rsid w:val="004A531B"/>
    <w:rsid w:val="004A5D44"/>
    <w:rsid w:val="004A702A"/>
    <w:rsid w:val="004A75DB"/>
    <w:rsid w:val="004A7663"/>
    <w:rsid w:val="004A76F8"/>
    <w:rsid w:val="004A7BEF"/>
    <w:rsid w:val="004B4AB0"/>
    <w:rsid w:val="004B5C4C"/>
    <w:rsid w:val="004B5D90"/>
    <w:rsid w:val="004B661F"/>
    <w:rsid w:val="004B6A03"/>
    <w:rsid w:val="004B7560"/>
    <w:rsid w:val="004B7AE3"/>
    <w:rsid w:val="004C0655"/>
    <w:rsid w:val="004D2ABD"/>
    <w:rsid w:val="004D6429"/>
    <w:rsid w:val="004D796E"/>
    <w:rsid w:val="004E12EE"/>
    <w:rsid w:val="004E174F"/>
    <w:rsid w:val="004E2E12"/>
    <w:rsid w:val="004E3916"/>
    <w:rsid w:val="004E3DA7"/>
    <w:rsid w:val="004E41ED"/>
    <w:rsid w:val="004E7263"/>
    <w:rsid w:val="004F23E9"/>
    <w:rsid w:val="004F2A36"/>
    <w:rsid w:val="004F5D70"/>
    <w:rsid w:val="004F650A"/>
    <w:rsid w:val="00503F69"/>
    <w:rsid w:val="005057AA"/>
    <w:rsid w:val="00506DF4"/>
    <w:rsid w:val="00512081"/>
    <w:rsid w:val="0051460E"/>
    <w:rsid w:val="005148AF"/>
    <w:rsid w:val="00514FF7"/>
    <w:rsid w:val="005155BB"/>
    <w:rsid w:val="00515C80"/>
    <w:rsid w:val="00515CCE"/>
    <w:rsid w:val="00521328"/>
    <w:rsid w:val="00522336"/>
    <w:rsid w:val="00523A51"/>
    <w:rsid w:val="00531A66"/>
    <w:rsid w:val="00532606"/>
    <w:rsid w:val="005327E8"/>
    <w:rsid w:val="00532A2C"/>
    <w:rsid w:val="00532EF7"/>
    <w:rsid w:val="00534BB9"/>
    <w:rsid w:val="00535595"/>
    <w:rsid w:val="00535DB5"/>
    <w:rsid w:val="00537081"/>
    <w:rsid w:val="005373AD"/>
    <w:rsid w:val="005374BB"/>
    <w:rsid w:val="00540B21"/>
    <w:rsid w:val="00540DD3"/>
    <w:rsid w:val="00540FB1"/>
    <w:rsid w:val="00542745"/>
    <w:rsid w:val="005432DA"/>
    <w:rsid w:val="00543382"/>
    <w:rsid w:val="00543964"/>
    <w:rsid w:val="005445ED"/>
    <w:rsid w:val="005449AC"/>
    <w:rsid w:val="00544DB8"/>
    <w:rsid w:val="005525D9"/>
    <w:rsid w:val="00552924"/>
    <w:rsid w:val="0055336D"/>
    <w:rsid w:val="005538D2"/>
    <w:rsid w:val="005550FB"/>
    <w:rsid w:val="005551C8"/>
    <w:rsid w:val="005615F7"/>
    <w:rsid w:val="00562751"/>
    <w:rsid w:val="00567D7E"/>
    <w:rsid w:val="00570784"/>
    <w:rsid w:val="00572741"/>
    <w:rsid w:val="00572E25"/>
    <w:rsid w:val="005746FA"/>
    <w:rsid w:val="00580D72"/>
    <w:rsid w:val="00584983"/>
    <w:rsid w:val="00587E4C"/>
    <w:rsid w:val="005947FF"/>
    <w:rsid w:val="00594FBC"/>
    <w:rsid w:val="00595F33"/>
    <w:rsid w:val="00597C0D"/>
    <w:rsid w:val="005A2940"/>
    <w:rsid w:val="005A2A7A"/>
    <w:rsid w:val="005A2E50"/>
    <w:rsid w:val="005A450C"/>
    <w:rsid w:val="005A6002"/>
    <w:rsid w:val="005A71AB"/>
    <w:rsid w:val="005B1A0B"/>
    <w:rsid w:val="005B26E4"/>
    <w:rsid w:val="005B2B53"/>
    <w:rsid w:val="005B759E"/>
    <w:rsid w:val="005C165A"/>
    <w:rsid w:val="005C2162"/>
    <w:rsid w:val="005C269D"/>
    <w:rsid w:val="005C3B79"/>
    <w:rsid w:val="005C5428"/>
    <w:rsid w:val="005C6F2C"/>
    <w:rsid w:val="005C7CAB"/>
    <w:rsid w:val="005D057E"/>
    <w:rsid w:val="005D4AD5"/>
    <w:rsid w:val="005D4E7D"/>
    <w:rsid w:val="005D55A6"/>
    <w:rsid w:val="005D55AD"/>
    <w:rsid w:val="005D5CC7"/>
    <w:rsid w:val="005D6422"/>
    <w:rsid w:val="005D64E7"/>
    <w:rsid w:val="005D71F1"/>
    <w:rsid w:val="005E06DF"/>
    <w:rsid w:val="005E0EC7"/>
    <w:rsid w:val="005E3CC2"/>
    <w:rsid w:val="005E7851"/>
    <w:rsid w:val="005E7D79"/>
    <w:rsid w:val="005F653D"/>
    <w:rsid w:val="005F6D46"/>
    <w:rsid w:val="00600A39"/>
    <w:rsid w:val="00600ABD"/>
    <w:rsid w:val="0060503E"/>
    <w:rsid w:val="0060505D"/>
    <w:rsid w:val="00605339"/>
    <w:rsid w:val="00606648"/>
    <w:rsid w:val="00606C07"/>
    <w:rsid w:val="00606CDE"/>
    <w:rsid w:val="00607995"/>
    <w:rsid w:val="006079F1"/>
    <w:rsid w:val="0061007A"/>
    <w:rsid w:val="00612A2A"/>
    <w:rsid w:val="00614CE4"/>
    <w:rsid w:val="00615731"/>
    <w:rsid w:val="00615937"/>
    <w:rsid w:val="00616147"/>
    <w:rsid w:val="00620905"/>
    <w:rsid w:val="006215A5"/>
    <w:rsid w:val="006223D4"/>
    <w:rsid w:val="00624DCA"/>
    <w:rsid w:val="00631C8D"/>
    <w:rsid w:val="00633785"/>
    <w:rsid w:val="00635654"/>
    <w:rsid w:val="00641CF1"/>
    <w:rsid w:val="0064245B"/>
    <w:rsid w:val="00644B77"/>
    <w:rsid w:val="00645549"/>
    <w:rsid w:val="00646B1A"/>
    <w:rsid w:val="006475A8"/>
    <w:rsid w:val="00652871"/>
    <w:rsid w:val="0065457E"/>
    <w:rsid w:val="00654C6E"/>
    <w:rsid w:val="00656CC5"/>
    <w:rsid w:val="00664665"/>
    <w:rsid w:val="00664E67"/>
    <w:rsid w:val="00667EE3"/>
    <w:rsid w:val="00670359"/>
    <w:rsid w:val="00676551"/>
    <w:rsid w:val="006766E1"/>
    <w:rsid w:val="006777FA"/>
    <w:rsid w:val="00681406"/>
    <w:rsid w:val="00681F4B"/>
    <w:rsid w:val="00682E0E"/>
    <w:rsid w:val="00686B5B"/>
    <w:rsid w:val="00687F42"/>
    <w:rsid w:val="00690727"/>
    <w:rsid w:val="00690771"/>
    <w:rsid w:val="0069273C"/>
    <w:rsid w:val="0069354C"/>
    <w:rsid w:val="00693ACB"/>
    <w:rsid w:val="0069429E"/>
    <w:rsid w:val="00694AF5"/>
    <w:rsid w:val="00696A99"/>
    <w:rsid w:val="00696B4A"/>
    <w:rsid w:val="00696C75"/>
    <w:rsid w:val="006A1BBC"/>
    <w:rsid w:val="006A2008"/>
    <w:rsid w:val="006A51D5"/>
    <w:rsid w:val="006A6378"/>
    <w:rsid w:val="006A769F"/>
    <w:rsid w:val="006B0312"/>
    <w:rsid w:val="006B1920"/>
    <w:rsid w:val="006B2FA9"/>
    <w:rsid w:val="006B6044"/>
    <w:rsid w:val="006B6168"/>
    <w:rsid w:val="006B617B"/>
    <w:rsid w:val="006C0DA6"/>
    <w:rsid w:val="006C1DE8"/>
    <w:rsid w:val="006C2F1E"/>
    <w:rsid w:val="006C3E84"/>
    <w:rsid w:val="006C4F7C"/>
    <w:rsid w:val="006C5DC3"/>
    <w:rsid w:val="006C683C"/>
    <w:rsid w:val="006D02E7"/>
    <w:rsid w:val="006D1E72"/>
    <w:rsid w:val="006D24FD"/>
    <w:rsid w:val="006D2894"/>
    <w:rsid w:val="006D47D1"/>
    <w:rsid w:val="006D5C7E"/>
    <w:rsid w:val="006D695E"/>
    <w:rsid w:val="006D6965"/>
    <w:rsid w:val="006D6ABC"/>
    <w:rsid w:val="006D7319"/>
    <w:rsid w:val="006E0D31"/>
    <w:rsid w:val="006E1F30"/>
    <w:rsid w:val="006E2684"/>
    <w:rsid w:val="006E4A4F"/>
    <w:rsid w:val="006E5C40"/>
    <w:rsid w:val="006E6A86"/>
    <w:rsid w:val="006E6A8D"/>
    <w:rsid w:val="006E6F10"/>
    <w:rsid w:val="006F03CD"/>
    <w:rsid w:val="006F27D7"/>
    <w:rsid w:val="006F2CEC"/>
    <w:rsid w:val="006F6E68"/>
    <w:rsid w:val="006F7506"/>
    <w:rsid w:val="00705960"/>
    <w:rsid w:val="007060C8"/>
    <w:rsid w:val="007106E8"/>
    <w:rsid w:val="007114FB"/>
    <w:rsid w:val="00712C18"/>
    <w:rsid w:val="0071302D"/>
    <w:rsid w:val="00713346"/>
    <w:rsid w:val="007137A2"/>
    <w:rsid w:val="00714530"/>
    <w:rsid w:val="00714CCE"/>
    <w:rsid w:val="00716823"/>
    <w:rsid w:val="00717C04"/>
    <w:rsid w:val="00723362"/>
    <w:rsid w:val="0072389C"/>
    <w:rsid w:val="00724C92"/>
    <w:rsid w:val="00727E39"/>
    <w:rsid w:val="00730063"/>
    <w:rsid w:val="007312B4"/>
    <w:rsid w:val="0074283A"/>
    <w:rsid w:val="007451A5"/>
    <w:rsid w:val="0074543F"/>
    <w:rsid w:val="0074632C"/>
    <w:rsid w:val="00746457"/>
    <w:rsid w:val="00755EC1"/>
    <w:rsid w:val="0075649D"/>
    <w:rsid w:val="007564FD"/>
    <w:rsid w:val="00761127"/>
    <w:rsid w:val="0076113E"/>
    <w:rsid w:val="00761446"/>
    <w:rsid w:val="0076329D"/>
    <w:rsid w:val="0076366D"/>
    <w:rsid w:val="00763E6E"/>
    <w:rsid w:val="007652D8"/>
    <w:rsid w:val="0077060F"/>
    <w:rsid w:val="007731E9"/>
    <w:rsid w:val="007737B4"/>
    <w:rsid w:val="0077398F"/>
    <w:rsid w:val="00776A83"/>
    <w:rsid w:val="00777155"/>
    <w:rsid w:val="007778C0"/>
    <w:rsid w:val="00777D30"/>
    <w:rsid w:val="00780E1C"/>
    <w:rsid w:val="00783836"/>
    <w:rsid w:val="00784AA9"/>
    <w:rsid w:val="0078570B"/>
    <w:rsid w:val="00790418"/>
    <w:rsid w:val="00790BBC"/>
    <w:rsid w:val="00791443"/>
    <w:rsid w:val="00793BF6"/>
    <w:rsid w:val="0079468F"/>
    <w:rsid w:val="00794FC6"/>
    <w:rsid w:val="007A3C8C"/>
    <w:rsid w:val="007A4327"/>
    <w:rsid w:val="007A46D2"/>
    <w:rsid w:val="007B0819"/>
    <w:rsid w:val="007B0A63"/>
    <w:rsid w:val="007B69DC"/>
    <w:rsid w:val="007B7DCE"/>
    <w:rsid w:val="007C0680"/>
    <w:rsid w:val="007C2BC7"/>
    <w:rsid w:val="007C44BE"/>
    <w:rsid w:val="007D47FD"/>
    <w:rsid w:val="007D657C"/>
    <w:rsid w:val="007D7A86"/>
    <w:rsid w:val="007D7C36"/>
    <w:rsid w:val="007D7DF9"/>
    <w:rsid w:val="007E1E1E"/>
    <w:rsid w:val="007E2996"/>
    <w:rsid w:val="007E3B6C"/>
    <w:rsid w:val="007E4C81"/>
    <w:rsid w:val="007E51FA"/>
    <w:rsid w:val="007E6CB3"/>
    <w:rsid w:val="007E76B3"/>
    <w:rsid w:val="007E7D33"/>
    <w:rsid w:val="007F0172"/>
    <w:rsid w:val="007F421E"/>
    <w:rsid w:val="007F4820"/>
    <w:rsid w:val="007F56FC"/>
    <w:rsid w:val="007F6AAC"/>
    <w:rsid w:val="0080010F"/>
    <w:rsid w:val="008049C6"/>
    <w:rsid w:val="0080626C"/>
    <w:rsid w:val="008065D0"/>
    <w:rsid w:val="00806EDC"/>
    <w:rsid w:val="0080722E"/>
    <w:rsid w:val="00807826"/>
    <w:rsid w:val="00807C94"/>
    <w:rsid w:val="00810F5D"/>
    <w:rsid w:val="008135DD"/>
    <w:rsid w:val="0081439E"/>
    <w:rsid w:val="00814406"/>
    <w:rsid w:val="0082044D"/>
    <w:rsid w:val="00820862"/>
    <w:rsid w:val="00822A91"/>
    <w:rsid w:val="00823508"/>
    <w:rsid w:val="0082398F"/>
    <w:rsid w:val="00826A55"/>
    <w:rsid w:val="008317DE"/>
    <w:rsid w:val="00836F1F"/>
    <w:rsid w:val="0084316B"/>
    <w:rsid w:val="00843289"/>
    <w:rsid w:val="00844037"/>
    <w:rsid w:val="00845243"/>
    <w:rsid w:val="00846707"/>
    <w:rsid w:val="00846D1E"/>
    <w:rsid w:val="008506E6"/>
    <w:rsid w:val="00850C55"/>
    <w:rsid w:val="00853F68"/>
    <w:rsid w:val="008548D8"/>
    <w:rsid w:val="00855E61"/>
    <w:rsid w:val="00857EBD"/>
    <w:rsid w:val="00860E42"/>
    <w:rsid w:val="00862024"/>
    <w:rsid w:val="008628BF"/>
    <w:rsid w:val="00862F0F"/>
    <w:rsid w:val="00863D40"/>
    <w:rsid w:val="0086461F"/>
    <w:rsid w:val="008648A7"/>
    <w:rsid w:val="00866120"/>
    <w:rsid w:val="00867F43"/>
    <w:rsid w:val="00870B42"/>
    <w:rsid w:val="008725EA"/>
    <w:rsid w:val="00872D89"/>
    <w:rsid w:val="008736C7"/>
    <w:rsid w:val="008748E9"/>
    <w:rsid w:val="00874A40"/>
    <w:rsid w:val="00875865"/>
    <w:rsid w:val="00875E3D"/>
    <w:rsid w:val="0087776C"/>
    <w:rsid w:val="008833AE"/>
    <w:rsid w:val="008838BA"/>
    <w:rsid w:val="00887E07"/>
    <w:rsid w:val="00891292"/>
    <w:rsid w:val="008935D9"/>
    <w:rsid w:val="00896638"/>
    <w:rsid w:val="00896EB3"/>
    <w:rsid w:val="00897AE5"/>
    <w:rsid w:val="008A0365"/>
    <w:rsid w:val="008A11B2"/>
    <w:rsid w:val="008A7FA7"/>
    <w:rsid w:val="008B1868"/>
    <w:rsid w:val="008B4EE4"/>
    <w:rsid w:val="008B6BB8"/>
    <w:rsid w:val="008B72FE"/>
    <w:rsid w:val="008B7963"/>
    <w:rsid w:val="008C11B5"/>
    <w:rsid w:val="008C4413"/>
    <w:rsid w:val="008C6A7C"/>
    <w:rsid w:val="008C6C65"/>
    <w:rsid w:val="008C7271"/>
    <w:rsid w:val="008C7B62"/>
    <w:rsid w:val="008D0EEF"/>
    <w:rsid w:val="008D1024"/>
    <w:rsid w:val="008D4AE7"/>
    <w:rsid w:val="008E07A8"/>
    <w:rsid w:val="008E39FE"/>
    <w:rsid w:val="008E4A9A"/>
    <w:rsid w:val="008E6C0D"/>
    <w:rsid w:val="008F0DCD"/>
    <w:rsid w:val="008F1992"/>
    <w:rsid w:val="008F2B2B"/>
    <w:rsid w:val="008F3953"/>
    <w:rsid w:val="008F58A4"/>
    <w:rsid w:val="008F5D84"/>
    <w:rsid w:val="008F624A"/>
    <w:rsid w:val="008F64AB"/>
    <w:rsid w:val="008F67B4"/>
    <w:rsid w:val="008F74A9"/>
    <w:rsid w:val="00905B80"/>
    <w:rsid w:val="00907DF3"/>
    <w:rsid w:val="009140C1"/>
    <w:rsid w:val="00914DC6"/>
    <w:rsid w:val="00914FE2"/>
    <w:rsid w:val="00915A3D"/>
    <w:rsid w:val="009176CD"/>
    <w:rsid w:val="00922905"/>
    <w:rsid w:val="00923B1C"/>
    <w:rsid w:val="009267A7"/>
    <w:rsid w:val="00933357"/>
    <w:rsid w:val="00933831"/>
    <w:rsid w:val="00934835"/>
    <w:rsid w:val="00934CAA"/>
    <w:rsid w:val="009366E4"/>
    <w:rsid w:val="0093712A"/>
    <w:rsid w:val="00941426"/>
    <w:rsid w:val="00943093"/>
    <w:rsid w:val="00944DE1"/>
    <w:rsid w:val="00946204"/>
    <w:rsid w:val="00946208"/>
    <w:rsid w:val="00950514"/>
    <w:rsid w:val="00955B71"/>
    <w:rsid w:val="009568D6"/>
    <w:rsid w:val="0095789B"/>
    <w:rsid w:val="00960730"/>
    <w:rsid w:val="00961EC7"/>
    <w:rsid w:val="009630D9"/>
    <w:rsid w:val="00963D7B"/>
    <w:rsid w:val="009641A3"/>
    <w:rsid w:val="00965983"/>
    <w:rsid w:val="00965DE8"/>
    <w:rsid w:val="0096688D"/>
    <w:rsid w:val="00973BCD"/>
    <w:rsid w:val="00976471"/>
    <w:rsid w:val="00977117"/>
    <w:rsid w:val="00981B09"/>
    <w:rsid w:val="00981B3F"/>
    <w:rsid w:val="00981EE3"/>
    <w:rsid w:val="0099118E"/>
    <w:rsid w:val="009914DE"/>
    <w:rsid w:val="00991B92"/>
    <w:rsid w:val="00993120"/>
    <w:rsid w:val="009931D8"/>
    <w:rsid w:val="00993520"/>
    <w:rsid w:val="0099396A"/>
    <w:rsid w:val="00996DE9"/>
    <w:rsid w:val="009A0B01"/>
    <w:rsid w:val="009A2B45"/>
    <w:rsid w:val="009A371F"/>
    <w:rsid w:val="009A4F32"/>
    <w:rsid w:val="009A63C2"/>
    <w:rsid w:val="009B1ED2"/>
    <w:rsid w:val="009B38C6"/>
    <w:rsid w:val="009B4593"/>
    <w:rsid w:val="009B4C9B"/>
    <w:rsid w:val="009B5671"/>
    <w:rsid w:val="009B5B3C"/>
    <w:rsid w:val="009C0FC5"/>
    <w:rsid w:val="009C139E"/>
    <w:rsid w:val="009C13E2"/>
    <w:rsid w:val="009C27D1"/>
    <w:rsid w:val="009C55E8"/>
    <w:rsid w:val="009C65A1"/>
    <w:rsid w:val="009C6F11"/>
    <w:rsid w:val="009D0112"/>
    <w:rsid w:val="009E1FAF"/>
    <w:rsid w:val="009E27D0"/>
    <w:rsid w:val="009E2818"/>
    <w:rsid w:val="009E3BB4"/>
    <w:rsid w:val="009E5CEC"/>
    <w:rsid w:val="009E6679"/>
    <w:rsid w:val="009E6A7F"/>
    <w:rsid w:val="009F0234"/>
    <w:rsid w:val="009F1388"/>
    <w:rsid w:val="009F19CA"/>
    <w:rsid w:val="009F2504"/>
    <w:rsid w:val="009F2751"/>
    <w:rsid w:val="009F463F"/>
    <w:rsid w:val="009F62AF"/>
    <w:rsid w:val="009F64E2"/>
    <w:rsid w:val="00A00207"/>
    <w:rsid w:val="00A00418"/>
    <w:rsid w:val="00A004E1"/>
    <w:rsid w:val="00A031DE"/>
    <w:rsid w:val="00A03D47"/>
    <w:rsid w:val="00A049BB"/>
    <w:rsid w:val="00A132D7"/>
    <w:rsid w:val="00A13F81"/>
    <w:rsid w:val="00A14E39"/>
    <w:rsid w:val="00A159FD"/>
    <w:rsid w:val="00A17F65"/>
    <w:rsid w:val="00A2027A"/>
    <w:rsid w:val="00A22475"/>
    <w:rsid w:val="00A25B2E"/>
    <w:rsid w:val="00A31100"/>
    <w:rsid w:val="00A32B9B"/>
    <w:rsid w:val="00A36035"/>
    <w:rsid w:val="00A40930"/>
    <w:rsid w:val="00A43866"/>
    <w:rsid w:val="00A45E63"/>
    <w:rsid w:val="00A50233"/>
    <w:rsid w:val="00A50979"/>
    <w:rsid w:val="00A538F3"/>
    <w:rsid w:val="00A53D27"/>
    <w:rsid w:val="00A54D46"/>
    <w:rsid w:val="00A55FA3"/>
    <w:rsid w:val="00A572FA"/>
    <w:rsid w:val="00A57EB0"/>
    <w:rsid w:val="00A57FAD"/>
    <w:rsid w:val="00A612ED"/>
    <w:rsid w:val="00A62071"/>
    <w:rsid w:val="00A627B0"/>
    <w:rsid w:val="00A62DCC"/>
    <w:rsid w:val="00A63D50"/>
    <w:rsid w:val="00A65228"/>
    <w:rsid w:val="00A66D36"/>
    <w:rsid w:val="00A67B77"/>
    <w:rsid w:val="00A70DF0"/>
    <w:rsid w:val="00A71BC5"/>
    <w:rsid w:val="00A71EFA"/>
    <w:rsid w:val="00A7212F"/>
    <w:rsid w:val="00A734C6"/>
    <w:rsid w:val="00A82766"/>
    <w:rsid w:val="00A82A58"/>
    <w:rsid w:val="00A834DD"/>
    <w:rsid w:val="00A8435C"/>
    <w:rsid w:val="00A90425"/>
    <w:rsid w:val="00A95F90"/>
    <w:rsid w:val="00A96223"/>
    <w:rsid w:val="00A97ED4"/>
    <w:rsid w:val="00AA233F"/>
    <w:rsid w:val="00AA26DE"/>
    <w:rsid w:val="00AA276A"/>
    <w:rsid w:val="00AA2EBB"/>
    <w:rsid w:val="00AA2F7B"/>
    <w:rsid w:val="00AA33AD"/>
    <w:rsid w:val="00AA360E"/>
    <w:rsid w:val="00AA63D3"/>
    <w:rsid w:val="00AB004F"/>
    <w:rsid w:val="00AB031F"/>
    <w:rsid w:val="00AB3A7D"/>
    <w:rsid w:val="00AB58A9"/>
    <w:rsid w:val="00AB5B6A"/>
    <w:rsid w:val="00AB6D8B"/>
    <w:rsid w:val="00AC3F33"/>
    <w:rsid w:val="00AC4F0E"/>
    <w:rsid w:val="00AC72C5"/>
    <w:rsid w:val="00AD366D"/>
    <w:rsid w:val="00AD41D9"/>
    <w:rsid w:val="00AD63A9"/>
    <w:rsid w:val="00AD756B"/>
    <w:rsid w:val="00AD75D5"/>
    <w:rsid w:val="00AE38B0"/>
    <w:rsid w:val="00AE40C3"/>
    <w:rsid w:val="00AE5463"/>
    <w:rsid w:val="00AE6037"/>
    <w:rsid w:val="00AE7F96"/>
    <w:rsid w:val="00AF03C4"/>
    <w:rsid w:val="00AF0453"/>
    <w:rsid w:val="00AF37A0"/>
    <w:rsid w:val="00AF53FB"/>
    <w:rsid w:val="00AF76AF"/>
    <w:rsid w:val="00AF7C59"/>
    <w:rsid w:val="00B00A7B"/>
    <w:rsid w:val="00B0151F"/>
    <w:rsid w:val="00B026E0"/>
    <w:rsid w:val="00B06025"/>
    <w:rsid w:val="00B06E5A"/>
    <w:rsid w:val="00B078B9"/>
    <w:rsid w:val="00B13B98"/>
    <w:rsid w:val="00B15628"/>
    <w:rsid w:val="00B1591D"/>
    <w:rsid w:val="00B15FE1"/>
    <w:rsid w:val="00B16105"/>
    <w:rsid w:val="00B16169"/>
    <w:rsid w:val="00B16885"/>
    <w:rsid w:val="00B207DF"/>
    <w:rsid w:val="00B24B74"/>
    <w:rsid w:val="00B24B77"/>
    <w:rsid w:val="00B2503D"/>
    <w:rsid w:val="00B2725F"/>
    <w:rsid w:val="00B3305B"/>
    <w:rsid w:val="00B347C3"/>
    <w:rsid w:val="00B37250"/>
    <w:rsid w:val="00B41386"/>
    <w:rsid w:val="00B42C15"/>
    <w:rsid w:val="00B4564C"/>
    <w:rsid w:val="00B46A0D"/>
    <w:rsid w:val="00B47FF8"/>
    <w:rsid w:val="00B51E31"/>
    <w:rsid w:val="00B54634"/>
    <w:rsid w:val="00B54D54"/>
    <w:rsid w:val="00B567CB"/>
    <w:rsid w:val="00B569E1"/>
    <w:rsid w:val="00B576F1"/>
    <w:rsid w:val="00B606D4"/>
    <w:rsid w:val="00B60B19"/>
    <w:rsid w:val="00B61D84"/>
    <w:rsid w:val="00B621D0"/>
    <w:rsid w:val="00B635E3"/>
    <w:rsid w:val="00B67DDB"/>
    <w:rsid w:val="00B700C8"/>
    <w:rsid w:val="00B7059C"/>
    <w:rsid w:val="00B72BA1"/>
    <w:rsid w:val="00B74079"/>
    <w:rsid w:val="00B74CC0"/>
    <w:rsid w:val="00B76B68"/>
    <w:rsid w:val="00B8049F"/>
    <w:rsid w:val="00B80AF4"/>
    <w:rsid w:val="00B80F3A"/>
    <w:rsid w:val="00B830FC"/>
    <w:rsid w:val="00B838C0"/>
    <w:rsid w:val="00B83E3E"/>
    <w:rsid w:val="00B856C7"/>
    <w:rsid w:val="00B8681D"/>
    <w:rsid w:val="00B92ECE"/>
    <w:rsid w:val="00B930F8"/>
    <w:rsid w:val="00B94143"/>
    <w:rsid w:val="00B95FCB"/>
    <w:rsid w:val="00B96094"/>
    <w:rsid w:val="00B97C80"/>
    <w:rsid w:val="00BA1AF2"/>
    <w:rsid w:val="00BA2B91"/>
    <w:rsid w:val="00BA56C1"/>
    <w:rsid w:val="00BB07A0"/>
    <w:rsid w:val="00BB148E"/>
    <w:rsid w:val="00BB14C1"/>
    <w:rsid w:val="00BB1845"/>
    <w:rsid w:val="00BB24C7"/>
    <w:rsid w:val="00BB3CD2"/>
    <w:rsid w:val="00BB6CFC"/>
    <w:rsid w:val="00BC14F3"/>
    <w:rsid w:val="00BC3492"/>
    <w:rsid w:val="00BC51FA"/>
    <w:rsid w:val="00BC7E16"/>
    <w:rsid w:val="00BD291F"/>
    <w:rsid w:val="00BD6D32"/>
    <w:rsid w:val="00BD7751"/>
    <w:rsid w:val="00BE1F4F"/>
    <w:rsid w:val="00BE2487"/>
    <w:rsid w:val="00BE682E"/>
    <w:rsid w:val="00BF003D"/>
    <w:rsid w:val="00BF2081"/>
    <w:rsid w:val="00BF4526"/>
    <w:rsid w:val="00BF54DC"/>
    <w:rsid w:val="00BF685A"/>
    <w:rsid w:val="00C008EF"/>
    <w:rsid w:val="00C0152C"/>
    <w:rsid w:val="00C01BB0"/>
    <w:rsid w:val="00C03317"/>
    <w:rsid w:val="00C04002"/>
    <w:rsid w:val="00C043B5"/>
    <w:rsid w:val="00C06395"/>
    <w:rsid w:val="00C06B4E"/>
    <w:rsid w:val="00C104B1"/>
    <w:rsid w:val="00C1391D"/>
    <w:rsid w:val="00C13C0C"/>
    <w:rsid w:val="00C1533E"/>
    <w:rsid w:val="00C2154C"/>
    <w:rsid w:val="00C223F9"/>
    <w:rsid w:val="00C225D0"/>
    <w:rsid w:val="00C22EDE"/>
    <w:rsid w:val="00C249D9"/>
    <w:rsid w:val="00C27178"/>
    <w:rsid w:val="00C33EEF"/>
    <w:rsid w:val="00C35036"/>
    <w:rsid w:val="00C35406"/>
    <w:rsid w:val="00C42326"/>
    <w:rsid w:val="00C43319"/>
    <w:rsid w:val="00C4434E"/>
    <w:rsid w:val="00C51AD3"/>
    <w:rsid w:val="00C54C96"/>
    <w:rsid w:val="00C564EC"/>
    <w:rsid w:val="00C56C5D"/>
    <w:rsid w:val="00C574B9"/>
    <w:rsid w:val="00C600BD"/>
    <w:rsid w:val="00C60E6B"/>
    <w:rsid w:val="00C61945"/>
    <w:rsid w:val="00C62773"/>
    <w:rsid w:val="00C63FC2"/>
    <w:rsid w:val="00C649BB"/>
    <w:rsid w:val="00C66658"/>
    <w:rsid w:val="00C66C34"/>
    <w:rsid w:val="00C679A8"/>
    <w:rsid w:val="00C67B8F"/>
    <w:rsid w:val="00C708F6"/>
    <w:rsid w:val="00C71ABE"/>
    <w:rsid w:val="00C72147"/>
    <w:rsid w:val="00C724DA"/>
    <w:rsid w:val="00C7264C"/>
    <w:rsid w:val="00C73361"/>
    <w:rsid w:val="00C73F25"/>
    <w:rsid w:val="00C7455B"/>
    <w:rsid w:val="00C7503E"/>
    <w:rsid w:val="00C7788D"/>
    <w:rsid w:val="00C8153A"/>
    <w:rsid w:val="00C823FB"/>
    <w:rsid w:val="00C90961"/>
    <w:rsid w:val="00C9205C"/>
    <w:rsid w:val="00C9287E"/>
    <w:rsid w:val="00C94616"/>
    <w:rsid w:val="00C9473C"/>
    <w:rsid w:val="00C978AF"/>
    <w:rsid w:val="00CA067F"/>
    <w:rsid w:val="00CA292E"/>
    <w:rsid w:val="00CA4B3B"/>
    <w:rsid w:val="00CA5144"/>
    <w:rsid w:val="00CA7202"/>
    <w:rsid w:val="00CB136A"/>
    <w:rsid w:val="00CB1B1A"/>
    <w:rsid w:val="00CB213C"/>
    <w:rsid w:val="00CB25E6"/>
    <w:rsid w:val="00CB3434"/>
    <w:rsid w:val="00CB5111"/>
    <w:rsid w:val="00CB563F"/>
    <w:rsid w:val="00CB6CDA"/>
    <w:rsid w:val="00CB7C49"/>
    <w:rsid w:val="00CB7FD7"/>
    <w:rsid w:val="00CC0A19"/>
    <w:rsid w:val="00CC58D0"/>
    <w:rsid w:val="00CD093D"/>
    <w:rsid w:val="00CD131F"/>
    <w:rsid w:val="00CD564A"/>
    <w:rsid w:val="00CD76F2"/>
    <w:rsid w:val="00CE5673"/>
    <w:rsid w:val="00CE64F9"/>
    <w:rsid w:val="00CF73E1"/>
    <w:rsid w:val="00CF7F01"/>
    <w:rsid w:val="00D002AB"/>
    <w:rsid w:val="00D05F03"/>
    <w:rsid w:val="00D060C5"/>
    <w:rsid w:val="00D06221"/>
    <w:rsid w:val="00D11DA5"/>
    <w:rsid w:val="00D1210C"/>
    <w:rsid w:val="00D17095"/>
    <w:rsid w:val="00D2118C"/>
    <w:rsid w:val="00D21A01"/>
    <w:rsid w:val="00D21B3D"/>
    <w:rsid w:val="00D23198"/>
    <w:rsid w:val="00D235BE"/>
    <w:rsid w:val="00D25020"/>
    <w:rsid w:val="00D258FF"/>
    <w:rsid w:val="00D26AF5"/>
    <w:rsid w:val="00D308B7"/>
    <w:rsid w:val="00D31C94"/>
    <w:rsid w:val="00D4111E"/>
    <w:rsid w:val="00D42A9E"/>
    <w:rsid w:val="00D43E7B"/>
    <w:rsid w:val="00D4588D"/>
    <w:rsid w:val="00D46937"/>
    <w:rsid w:val="00D469F5"/>
    <w:rsid w:val="00D508D7"/>
    <w:rsid w:val="00D50D1F"/>
    <w:rsid w:val="00D5144A"/>
    <w:rsid w:val="00D517E3"/>
    <w:rsid w:val="00D55DD1"/>
    <w:rsid w:val="00D5618C"/>
    <w:rsid w:val="00D562E6"/>
    <w:rsid w:val="00D574AC"/>
    <w:rsid w:val="00D5789E"/>
    <w:rsid w:val="00D608C9"/>
    <w:rsid w:val="00D706DB"/>
    <w:rsid w:val="00D7071D"/>
    <w:rsid w:val="00D707E6"/>
    <w:rsid w:val="00D712D9"/>
    <w:rsid w:val="00D75497"/>
    <w:rsid w:val="00D77E9F"/>
    <w:rsid w:val="00D81D5C"/>
    <w:rsid w:val="00D83753"/>
    <w:rsid w:val="00D91A74"/>
    <w:rsid w:val="00D931D1"/>
    <w:rsid w:val="00D9352D"/>
    <w:rsid w:val="00D936C1"/>
    <w:rsid w:val="00D9552B"/>
    <w:rsid w:val="00D95BBC"/>
    <w:rsid w:val="00D960E6"/>
    <w:rsid w:val="00D97561"/>
    <w:rsid w:val="00DA2CA6"/>
    <w:rsid w:val="00DA4CA8"/>
    <w:rsid w:val="00DA4FEE"/>
    <w:rsid w:val="00DA5835"/>
    <w:rsid w:val="00DA61B2"/>
    <w:rsid w:val="00DA6B73"/>
    <w:rsid w:val="00DA735C"/>
    <w:rsid w:val="00DA7669"/>
    <w:rsid w:val="00DA7691"/>
    <w:rsid w:val="00DB0E48"/>
    <w:rsid w:val="00DB20F1"/>
    <w:rsid w:val="00DB37B6"/>
    <w:rsid w:val="00DB3D3A"/>
    <w:rsid w:val="00DC5396"/>
    <w:rsid w:val="00DC62B1"/>
    <w:rsid w:val="00DC7E7E"/>
    <w:rsid w:val="00DD2665"/>
    <w:rsid w:val="00DD2A76"/>
    <w:rsid w:val="00DD5374"/>
    <w:rsid w:val="00DD6205"/>
    <w:rsid w:val="00DD6246"/>
    <w:rsid w:val="00DD7162"/>
    <w:rsid w:val="00DE0A22"/>
    <w:rsid w:val="00DE0E63"/>
    <w:rsid w:val="00DE1718"/>
    <w:rsid w:val="00DE3771"/>
    <w:rsid w:val="00DE38F6"/>
    <w:rsid w:val="00DE628D"/>
    <w:rsid w:val="00DF0393"/>
    <w:rsid w:val="00DF06F9"/>
    <w:rsid w:val="00DF16C5"/>
    <w:rsid w:val="00DF195E"/>
    <w:rsid w:val="00DF4934"/>
    <w:rsid w:val="00DF6550"/>
    <w:rsid w:val="00DF6E22"/>
    <w:rsid w:val="00DF7189"/>
    <w:rsid w:val="00E02E06"/>
    <w:rsid w:val="00E033AC"/>
    <w:rsid w:val="00E106EE"/>
    <w:rsid w:val="00E10E0D"/>
    <w:rsid w:val="00E10FC0"/>
    <w:rsid w:val="00E126B6"/>
    <w:rsid w:val="00E12BFD"/>
    <w:rsid w:val="00E14363"/>
    <w:rsid w:val="00E14595"/>
    <w:rsid w:val="00E14CD4"/>
    <w:rsid w:val="00E16E71"/>
    <w:rsid w:val="00E17010"/>
    <w:rsid w:val="00E21705"/>
    <w:rsid w:val="00E21740"/>
    <w:rsid w:val="00E2348E"/>
    <w:rsid w:val="00E247CF"/>
    <w:rsid w:val="00E25710"/>
    <w:rsid w:val="00E27584"/>
    <w:rsid w:val="00E27C86"/>
    <w:rsid w:val="00E30E4E"/>
    <w:rsid w:val="00E31975"/>
    <w:rsid w:val="00E33CB4"/>
    <w:rsid w:val="00E33E0C"/>
    <w:rsid w:val="00E3411D"/>
    <w:rsid w:val="00E35E1E"/>
    <w:rsid w:val="00E36623"/>
    <w:rsid w:val="00E41B44"/>
    <w:rsid w:val="00E43C12"/>
    <w:rsid w:val="00E43E0F"/>
    <w:rsid w:val="00E44A41"/>
    <w:rsid w:val="00E45839"/>
    <w:rsid w:val="00E45A42"/>
    <w:rsid w:val="00E46D91"/>
    <w:rsid w:val="00E46E78"/>
    <w:rsid w:val="00E5599E"/>
    <w:rsid w:val="00E56B64"/>
    <w:rsid w:val="00E5792E"/>
    <w:rsid w:val="00E61491"/>
    <w:rsid w:val="00E61B92"/>
    <w:rsid w:val="00E62350"/>
    <w:rsid w:val="00E63126"/>
    <w:rsid w:val="00E642B2"/>
    <w:rsid w:val="00E660F4"/>
    <w:rsid w:val="00E6697D"/>
    <w:rsid w:val="00E67CC4"/>
    <w:rsid w:val="00E71372"/>
    <w:rsid w:val="00E72342"/>
    <w:rsid w:val="00E7476E"/>
    <w:rsid w:val="00E74996"/>
    <w:rsid w:val="00E83998"/>
    <w:rsid w:val="00E84CF9"/>
    <w:rsid w:val="00E85F06"/>
    <w:rsid w:val="00E86D9D"/>
    <w:rsid w:val="00E92854"/>
    <w:rsid w:val="00E94CF4"/>
    <w:rsid w:val="00E975BD"/>
    <w:rsid w:val="00EA07AC"/>
    <w:rsid w:val="00EA6866"/>
    <w:rsid w:val="00EA6C72"/>
    <w:rsid w:val="00EB0876"/>
    <w:rsid w:val="00EB1580"/>
    <w:rsid w:val="00EB2FDB"/>
    <w:rsid w:val="00EB30D1"/>
    <w:rsid w:val="00EB6646"/>
    <w:rsid w:val="00EC05EA"/>
    <w:rsid w:val="00EC2BBA"/>
    <w:rsid w:val="00EC335B"/>
    <w:rsid w:val="00EC36BF"/>
    <w:rsid w:val="00EC5F62"/>
    <w:rsid w:val="00EC6461"/>
    <w:rsid w:val="00EC7EFC"/>
    <w:rsid w:val="00ED0456"/>
    <w:rsid w:val="00ED0D5C"/>
    <w:rsid w:val="00ED2C3A"/>
    <w:rsid w:val="00ED2CE2"/>
    <w:rsid w:val="00ED5433"/>
    <w:rsid w:val="00ED585F"/>
    <w:rsid w:val="00ED5E6E"/>
    <w:rsid w:val="00EE00E1"/>
    <w:rsid w:val="00EE0355"/>
    <w:rsid w:val="00EE3CD0"/>
    <w:rsid w:val="00EE4376"/>
    <w:rsid w:val="00EE4E3E"/>
    <w:rsid w:val="00EE6D98"/>
    <w:rsid w:val="00EE7219"/>
    <w:rsid w:val="00EF0B51"/>
    <w:rsid w:val="00EF1637"/>
    <w:rsid w:val="00EF33E9"/>
    <w:rsid w:val="00EF3531"/>
    <w:rsid w:val="00EF4E9A"/>
    <w:rsid w:val="00EF5A38"/>
    <w:rsid w:val="00EF5F52"/>
    <w:rsid w:val="00EF665E"/>
    <w:rsid w:val="00F019C5"/>
    <w:rsid w:val="00F05035"/>
    <w:rsid w:val="00F07B59"/>
    <w:rsid w:val="00F101BF"/>
    <w:rsid w:val="00F10967"/>
    <w:rsid w:val="00F1275F"/>
    <w:rsid w:val="00F12F57"/>
    <w:rsid w:val="00F13617"/>
    <w:rsid w:val="00F163BE"/>
    <w:rsid w:val="00F1740A"/>
    <w:rsid w:val="00F220EB"/>
    <w:rsid w:val="00F226BA"/>
    <w:rsid w:val="00F2347A"/>
    <w:rsid w:val="00F26C64"/>
    <w:rsid w:val="00F26D59"/>
    <w:rsid w:val="00F326F0"/>
    <w:rsid w:val="00F36E1C"/>
    <w:rsid w:val="00F3794A"/>
    <w:rsid w:val="00F40511"/>
    <w:rsid w:val="00F4097D"/>
    <w:rsid w:val="00F4501C"/>
    <w:rsid w:val="00F50907"/>
    <w:rsid w:val="00F5202A"/>
    <w:rsid w:val="00F52836"/>
    <w:rsid w:val="00F5337F"/>
    <w:rsid w:val="00F53427"/>
    <w:rsid w:val="00F53511"/>
    <w:rsid w:val="00F5445D"/>
    <w:rsid w:val="00F56CE2"/>
    <w:rsid w:val="00F57E6D"/>
    <w:rsid w:val="00F60BEA"/>
    <w:rsid w:val="00F61A53"/>
    <w:rsid w:val="00F61C40"/>
    <w:rsid w:val="00F61EF4"/>
    <w:rsid w:val="00F66B7E"/>
    <w:rsid w:val="00F72897"/>
    <w:rsid w:val="00F73F1E"/>
    <w:rsid w:val="00F741BE"/>
    <w:rsid w:val="00F75A97"/>
    <w:rsid w:val="00F76727"/>
    <w:rsid w:val="00F80361"/>
    <w:rsid w:val="00F82133"/>
    <w:rsid w:val="00F82D86"/>
    <w:rsid w:val="00F87E49"/>
    <w:rsid w:val="00F91D02"/>
    <w:rsid w:val="00F925D0"/>
    <w:rsid w:val="00F96CE3"/>
    <w:rsid w:val="00F97F49"/>
    <w:rsid w:val="00FA0545"/>
    <w:rsid w:val="00FA0878"/>
    <w:rsid w:val="00FA7CD2"/>
    <w:rsid w:val="00FB1A2E"/>
    <w:rsid w:val="00FB271A"/>
    <w:rsid w:val="00FB52A8"/>
    <w:rsid w:val="00FC5C0F"/>
    <w:rsid w:val="00FC5FEB"/>
    <w:rsid w:val="00FD19E2"/>
    <w:rsid w:val="00FD2A1C"/>
    <w:rsid w:val="00FD486D"/>
    <w:rsid w:val="00FE08E5"/>
    <w:rsid w:val="00FE100C"/>
    <w:rsid w:val="00FE2F18"/>
    <w:rsid w:val="00FE3091"/>
    <w:rsid w:val="00FE311B"/>
    <w:rsid w:val="00FE3A28"/>
    <w:rsid w:val="00FE4816"/>
    <w:rsid w:val="00FE4FA4"/>
    <w:rsid w:val="00FE53CD"/>
    <w:rsid w:val="00FE5DD2"/>
    <w:rsid w:val="00FE795D"/>
    <w:rsid w:val="00FF190D"/>
    <w:rsid w:val="00FF37A3"/>
    <w:rsid w:val="00FF4323"/>
    <w:rsid w:val="00FF463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4B7103"/>
  <w14:defaultImageDpi w14:val="300"/>
  <w15:docId w15:val="{C9E30641-9924-B64E-B886-A40E07811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8B6BB8"/>
    <w:rPr>
      <w:sz w:val="16"/>
      <w:szCs w:val="16"/>
    </w:rPr>
  </w:style>
  <w:style w:type="paragraph" w:styleId="CommentText">
    <w:name w:val="annotation text"/>
    <w:basedOn w:val="Normal"/>
    <w:link w:val="CommentTextChar"/>
    <w:uiPriority w:val="99"/>
    <w:unhideWhenUsed/>
    <w:rsid w:val="008B6BB8"/>
    <w:rPr>
      <w:sz w:val="20"/>
      <w:szCs w:val="20"/>
    </w:rPr>
  </w:style>
  <w:style w:type="character" w:customStyle="1" w:styleId="CommentTextChar">
    <w:name w:val="Comment Text Char"/>
    <w:basedOn w:val="DefaultParagraphFont"/>
    <w:link w:val="CommentText"/>
    <w:uiPriority w:val="99"/>
    <w:rsid w:val="008B6BB8"/>
    <w:rPr>
      <w:sz w:val="20"/>
      <w:szCs w:val="20"/>
      <w:lang w:val="en-GB"/>
    </w:rPr>
  </w:style>
  <w:style w:type="paragraph" w:styleId="BalloonText">
    <w:name w:val="Balloon Text"/>
    <w:basedOn w:val="Normal"/>
    <w:link w:val="BalloonTextChar"/>
    <w:uiPriority w:val="99"/>
    <w:semiHidden/>
    <w:unhideWhenUsed/>
    <w:rsid w:val="008B6BB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B6BB8"/>
    <w:rPr>
      <w:rFonts w:ascii="Lucida Grande" w:hAnsi="Lucida Grande" w:cs="Lucida Grande"/>
      <w:sz w:val="18"/>
      <w:szCs w:val="18"/>
      <w:lang w:val="en-GB"/>
    </w:rPr>
  </w:style>
  <w:style w:type="paragraph" w:styleId="ListParagraph">
    <w:name w:val="List Paragraph"/>
    <w:basedOn w:val="Normal"/>
    <w:uiPriority w:val="34"/>
    <w:qFormat/>
    <w:rsid w:val="00955B71"/>
    <w:pPr>
      <w:ind w:left="720"/>
      <w:contextualSpacing/>
    </w:pPr>
  </w:style>
  <w:style w:type="character" w:styleId="Hyperlink">
    <w:name w:val="Hyperlink"/>
    <w:basedOn w:val="DefaultParagraphFont"/>
    <w:uiPriority w:val="99"/>
    <w:unhideWhenUsed/>
    <w:rsid w:val="003E7E85"/>
    <w:rPr>
      <w:color w:val="0000FF" w:themeColor="hyperlink"/>
      <w:u w:val="single"/>
    </w:rPr>
  </w:style>
  <w:style w:type="paragraph" w:styleId="Header">
    <w:name w:val="header"/>
    <w:basedOn w:val="Normal"/>
    <w:link w:val="HeaderChar"/>
    <w:uiPriority w:val="99"/>
    <w:unhideWhenUsed/>
    <w:rsid w:val="00341586"/>
    <w:pPr>
      <w:tabs>
        <w:tab w:val="center" w:pos="4320"/>
        <w:tab w:val="right" w:pos="8640"/>
      </w:tabs>
    </w:pPr>
  </w:style>
  <w:style w:type="character" w:customStyle="1" w:styleId="HeaderChar">
    <w:name w:val="Header Char"/>
    <w:basedOn w:val="DefaultParagraphFont"/>
    <w:link w:val="Header"/>
    <w:uiPriority w:val="99"/>
    <w:rsid w:val="00341586"/>
    <w:rPr>
      <w:lang w:val="en-GB"/>
    </w:rPr>
  </w:style>
  <w:style w:type="paragraph" w:styleId="Footer">
    <w:name w:val="footer"/>
    <w:basedOn w:val="Normal"/>
    <w:link w:val="FooterChar"/>
    <w:uiPriority w:val="99"/>
    <w:unhideWhenUsed/>
    <w:rsid w:val="00341586"/>
    <w:pPr>
      <w:tabs>
        <w:tab w:val="center" w:pos="4320"/>
        <w:tab w:val="right" w:pos="8640"/>
      </w:tabs>
    </w:pPr>
  </w:style>
  <w:style w:type="character" w:customStyle="1" w:styleId="FooterChar">
    <w:name w:val="Footer Char"/>
    <w:basedOn w:val="DefaultParagraphFont"/>
    <w:link w:val="Footer"/>
    <w:uiPriority w:val="99"/>
    <w:rsid w:val="00341586"/>
    <w:rPr>
      <w:lang w:val="en-GB"/>
    </w:rPr>
  </w:style>
  <w:style w:type="character" w:styleId="PageNumber">
    <w:name w:val="page number"/>
    <w:basedOn w:val="DefaultParagraphFont"/>
    <w:uiPriority w:val="99"/>
    <w:semiHidden/>
    <w:unhideWhenUsed/>
    <w:rsid w:val="005D71F1"/>
  </w:style>
  <w:style w:type="paragraph" w:styleId="Caption">
    <w:name w:val="caption"/>
    <w:basedOn w:val="Normal"/>
    <w:next w:val="Normal"/>
    <w:uiPriority w:val="35"/>
    <w:unhideWhenUsed/>
    <w:qFormat/>
    <w:rsid w:val="00C27178"/>
    <w:pPr>
      <w:spacing w:after="200"/>
    </w:pPr>
    <w:rPr>
      <w:b/>
      <w:bCs/>
      <w:color w:val="4F81BD" w:themeColor="accent1"/>
      <w:sz w:val="18"/>
      <w:szCs w:val="18"/>
    </w:rPr>
  </w:style>
  <w:style w:type="paragraph" w:styleId="Bibliography">
    <w:name w:val="Bibliography"/>
    <w:basedOn w:val="Normal"/>
    <w:next w:val="Normal"/>
    <w:uiPriority w:val="37"/>
    <w:unhideWhenUsed/>
    <w:rsid w:val="00D060C5"/>
    <w:pPr>
      <w:tabs>
        <w:tab w:val="left" w:pos="620"/>
      </w:tabs>
      <w:spacing w:after="240"/>
      <w:ind w:left="624" w:hanging="624"/>
    </w:pPr>
  </w:style>
  <w:style w:type="table" w:styleId="TableGrid">
    <w:name w:val="Table Grid"/>
    <w:basedOn w:val="TableNormal"/>
    <w:uiPriority w:val="59"/>
    <w:rsid w:val="00532A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99"/>
    <w:rsid w:val="00532A2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ommentSubject">
    <w:name w:val="annotation subject"/>
    <w:basedOn w:val="CommentText"/>
    <w:next w:val="CommentText"/>
    <w:link w:val="CommentSubjectChar"/>
    <w:uiPriority w:val="99"/>
    <w:semiHidden/>
    <w:unhideWhenUsed/>
    <w:rsid w:val="00DB3D3A"/>
    <w:rPr>
      <w:b/>
      <w:bCs/>
    </w:rPr>
  </w:style>
  <w:style w:type="character" w:customStyle="1" w:styleId="CommentSubjectChar">
    <w:name w:val="Comment Subject Char"/>
    <w:basedOn w:val="CommentTextChar"/>
    <w:link w:val="CommentSubject"/>
    <w:uiPriority w:val="99"/>
    <w:semiHidden/>
    <w:rsid w:val="00DB3D3A"/>
    <w:rPr>
      <w:b/>
      <w:bCs/>
      <w:sz w:val="20"/>
      <w:szCs w:val="20"/>
      <w:lang w:val="en-GB"/>
    </w:rPr>
  </w:style>
  <w:style w:type="table" w:styleId="ListTable1Light-Accent1">
    <w:name w:val="List Table 1 Light Accent 1"/>
    <w:basedOn w:val="TableNormal"/>
    <w:uiPriority w:val="46"/>
    <w:rsid w:val="003E1E46"/>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Revision">
    <w:name w:val="Revision"/>
    <w:hidden/>
    <w:uiPriority w:val="99"/>
    <w:semiHidden/>
    <w:rsid w:val="00AA26DE"/>
    <w:rPr>
      <w:lang w:val="en-GB"/>
    </w:rPr>
  </w:style>
  <w:style w:type="character" w:styleId="LineNumber">
    <w:name w:val="line number"/>
    <w:basedOn w:val="DefaultParagraphFont"/>
    <w:uiPriority w:val="99"/>
    <w:semiHidden/>
    <w:unhideWhenUsed/>
    <w:rsid w:val="00341986"/>
  </w:style>
  <w:style w:type="table" w:customStyle="1" w:styleId="ListTable1Light-Accent11">
    <w:name w:val="List Table 1 Light - Accent 11"/>
    <w:basedOn w:val="TableNormal"/>
    <w:next w:val="ListTable1Light-Accent1"/>
    <w:uiPriority w:val="46"/>
    <w:rsid w:val="00670359"/>
    <w:rPr>
      <w:rFonts w:eastAsia="MS Mincho"/>
    </w:rPr>
    <w:tblPr>
      <w:tblStyleRowBandSize w:val="1"/>
      <w:tblStyleColBandSize w:val="1"/>
    </w:tblPr>
    <w:tblStylePr w:type="firstRow">
      <w:rPr>
        <w:b/>
        <w:bCs/>
      </w:rPr>
      <w:tblPr/>
      <w:tcPr>
        <w:tcBorders>
          <w:bottom w:val="single" w:sz="4" w:space="0" w:color="95B3D7"/>
        </w:tcBorders>
      </w:tcPr>
    </w:tblStylePr>
    <w:tblStylePr w:type="lastRow">
      <w:rPr>
        <w:b/>
        <w:bCs/>
      </w:rPr>
      <w:tblPr/>
      <w:tcPr>
        <w:tcBorders>
          <w:top w:val="sing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37444">
      <w:bodyDiv w:val="1"/>
      <w:marLeft w:val="0"/>
      <w:marRight w:val="0"/>
      <w:marTop w:val="0"/>
      <w:marBottom w:val="0"/>
      <w:divBdr>
        <w:top w:val="none" w:sz="0" w:space="0" w:color="auto"/>
        <w:left w:val="none" w:sz="0" w:space="0" w:color="auto"/>
        <w:bottom w:val="none" w:sz="0" w:space="0" w:color="auto"/>
        <w:right w:val="none" w:sz="0" w:space="0" w:color="auto"/>
      </w:divBdr>
      <w:divsChild>
        <w:div w:id="1117329650">
          <w:marLeft w:val="0"/>
          <w:marRight w:val="0"/>
          <w:marTop w:val="0"/>
          <w:marBottom w:val="60"/>
          <w:divBdr>
            <w:top w:val="none" w:sz="0" w:space="0" w:color="auto"/>
            <w:left w:val="none" w:sz="0" w:space="0" w:color="auto"/>
            <w:bottom w:val="none" w:sz="0" w:space="0" w:color="auto"/>
            <w:right w:val="none" w:sz="0" w:space="0" w:color="auto"/>
          </w:divBdr>
          <w:divsChild>
            <w:div w:id="1386683649">
              <w:marLeft w:val="0"/>
              <w:marRight w:val="0"/>
              <w:marTop w:val="0"/>
              <w:marBottom w:val="0"/>
              <w:divBdr>
                <w:top w:val="none" w:sz="0" w:space="0" w:color="auto"/>
                <w:left w:val="none" w:sz="0" w:space="0" w:color="auto"/>
                <w:bottom w:val="none" w:sz="0" w:space="0" w:color="auto"/>
                <w:right w:val="none" w:sz="0" w:space="0" w:color="auto"/>
              </w:divBdr>
              <w:divsChild>
                <w:div w:id="1751149637">
                  <w:marLeft w:val="0"/>
                  <w:marRight w:val="0"/>
                  <w:marTop w:val="0"/>
                  <w:marBottom w:val="0"/>
                  <w:divBdr>
                    <w:top w:val="none" w:sz="0" w:space="0" w:color="auto"/>
                    <w:left w:val="none" w:sz="0" w:space="0" w:color="auto"/>
                    <w:bottom w:val="none" w:sz="0" w:space="0" w:color="auto"/>
                    <w:right w:val="none" w:sz="0" w:space="0" w:color="auto"/>
                  </w:divBdr>
                </w:div>
                <w:div w:id="329791804">
                  <w:marLeft w:val="0"/>
                  <w:marRight w:val="0"/>
                  <w:marTop w:val="0"/>
                  <w:marBottom w:val="0"/>
                  <w:divBdr>
                    <w:top w:val="none" w:sz="0" w:space="0" w:color="auto"/>
                    <w:left w:val="none" w:sz="0" w:space="0" w:color="auto"/>
                    <w:bottom w:val="none" w:sz="0" w:space="0" w:color="auto"/>
                    <w:right w:val="none" w:sz="0" w:space="0" w:color="auto"/>
                  </w:divBdr>
                  <w:divsChild>
                    <w:div w:id="853687352">
                      <w:marLeft w:val="0"/>
                      <w:marRight w:val="150"/>
                      <w:marTop w:val="30"/>
                      <w:marBottom w:val="0"/>
                      <w:divBdr>
                        <w:top w:val="none" w:sz="0" w:space="0" w:color="auto"/>
                        <w:left w:val="none" w:sz="0" w:space="0" w:color="auto"/>
                        <w:bottom w:val="none" w:sz="0" w:space="0" w:color="auto"/>
                        <w:right w:val="none" w:sz="0" w:space="0" w:color="auto"/>
                      </w:divBdr>
                    </w:div>
                    <w:div w:id="956718009">
                      <w:marLeft w:val="0"/>
                      <w:marRight w:val="150"/>
                      <w:marTop w:val="30"/>
                      <w:marBottom w:val="0"/>
                      <w:divBdr>
                        <w:top w:val="none" w:sz="0" w:space="0" w:color="auto"/>
                        <w:left w:val="none" w:sz="0" w:space="0" w:color="auto"/>
                        <w:bottom w:val="none" w:sz="0" w:space="0" w:color="auto"/>
                        <w:right w:val="none" w:sz="0" w:space="0" w:color="auto"/>
                      </w:divBdr>
                    </w:div>
                    <w:div w:id="605964690">
                      <w:marLeft w:val="0"/>
                      <w:marRight w:val="0"/>
                      <w:marTop w:val="0"/>
                      <w:marBottom w:val="0"/>
                      <w:divBdr>
                        <w:top w:val="none" w:sz="0" w:space="0" w:color="auto"/>
                        <w:left w:val="none" w:sz="0" w:space="0" w:color="auto"/>
                        <w:bottom w:val="none" w:sz="0" w:space="0" w:color="auto"/>
                        <w:right w:val="none" w:sz="0" w:space="0" w:color="auto"/>
                      </w:divBdr>
                      <w:divsChild>
                        <w:div w:id="1766265695">
                          <w:marLeft w:val="0"/>
                          <w:marRight w:val="0"/>
                          <w:marTop w:val="0"/>
                          <w:marBottom w:val="0"/>
                          <w:divBdr>
                            <w:top w:val="none" w:sz="0" w:space="0" w:color="auto"/>
                            <w:left w:val="none" w:sz="0" w:space="0" w:color="auto"/>
                            <w:bottom w:val="none" w:sz="0" w:space="0" w:color="auto"/>
                            <w:right w:val="none" w:sz="0" w:space="0" w:color="auto"/>
                          </w:divBdr>
                        </w:div>
                        <w:div w:id="118640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697470">
      <w:bodyDiv w:val="1"/>
      <w:marLeft w:val="0"/>
      <w:marRight w:val="0"/>
      <w:marTop w:val="0"/>
      <w:marBottom w:val="0"/>
      <w:divBdr>
        <w:top w:val="none" w:sz="0" w:space="0" w:color="auto"/>
        <w:left w:val="none" w:sz="0" w:space="0" w:color="auto"/>
        <w:bottom w:val="none" w:sz="0" w:space="0" w:color="auto"/>
        <w:right w:val="none" w:sz="0" w:space="0" w:color="auto"/>
      </w:divBdr>
    </w:div>
    <w:div w:id="178355053">
      <w:bodyDiv w:val="1"/>
      <w:marLeft w:val="0"/>
      <w:marRight w:val="0"/>
      <w:marTop w:val="0"/>
      <w:marBottom w:val="0"/>
      <w:divBdr>
        <w:top w:val="none" w:sz="0" w:space="0" w:color="auto"/>
        <w:left w:val="none" w:sz="0" w:space="0" w:color="auto"/>
        <w:bottom w:val="none" w:sz="0" w:space="0" w:color="auto"/>
        <w:right w:val="none" w:sz="0" w:space="0" w:color="auto"/>
      </w:divBdr>
    </w:div>
    <w:div w:id="221215926">
      <w:bodyDiv w:val="1"/>
      <w:marLeft w:val="0"/>
      <w:marRight w:val="0"/>
      <w:marTop w:val="0"/>
      <w:marBottom w:val="0"/>
      <w:divBdr>
        <w:top w:val="none" w:sz="0" w:space="0" w:color="auto"/>
        <w:left w:val="none" w:sz="0" w:space="0" w:color="auto"/>
        <w:bottom w:val="none" w:sz="0" w:space="0" w:color="auto"/>
        <w:right w:val="none" w:sz="0" w:space="0" w:color="auto"/>
      </w:divBdr>
    </w:div>
    <w:div w:id="326633569">
      <w:bodyDiv w:val="1"/>
      <w:marLeft w:val="0"/>
      <w:marRight w:val="0"/>
      <w:marTop w:val="0"/>
      <w:marBottom w:val="0"/>
      <w:divBdr>
        <w:top w:val="none" w:sz="0" w:space="0" w:color="auto"/>
        <w:left w:val="none" w:sz="0" w:space="0" w:color="auto"/>
        <w:bottom w:val="none" w:sz="0" w:space="0" w:color="auto"/>
        <w:right w:val="none" w:sz="0" w:space="0" w:color="auto"/>
      </w:divBdr>
    </w:div>
    <w:div w:id="379134680">
      <w:bodyDiv w:val="1"/>
      <w:marLeft w:val="0"/>
      <w:marRight w:val="0"/>
      <w:marTop w:val="0"/>
      <w:marBottom w:val="0"/>
      <w:divBdr>
        <w:top w:val="none" w:sz="0" w:space="0" w:color="auto"/>
        <w:left w:val="none" w:sz="0" w:space="0" w:color="auto"/>
        <w:bottom w:val="none" w:sz="0" w:space="0" w:color="auto"/>
        <w:right w:val="none" w:sz="0" w:space="0" w:color="auto"/>
      </w:divBdr>
    </w:div>
    <w:div w:id="396442087">
      <w:bodyDiv w:val="1"/>
      <w:marLeft w:val="0"/>
      <w:marRight w:val="0"/>
      <w:marTop w:val="0"/>
      <w:marBottom w:val="0"/>
      <w:divBdr>
        <w:top w:val="none" w:sz="0" w:space="0" w:color="auto"/>
        <w:left w:val="none" w:sz="0" w:space="0" w:color="auto"/>
        <w:bottom w:val="none" w:sz="0" w:space="0" w:color="auto"/>
        <w:right w:val="none" w:sz="0" w:space="0" w:color="auto"/>
      </w:divBdr>
    </w:div>
    <w:div w:id="503059112">
      <w:bodyDiv w:val="1"/>
      <w:marLeft w:val="0"/>
      <w:marRight w:val="0"/>
      <w:marTop w:val="0"/>
      <w:marBottom w:val="0"/>
      <w:divBdr>
        <w:top w:val="none" w:sz="0" w:space="0" w:color="auto"/>
        <w:left w:val="none" w:sz="0" w:space="0" w:color="auto"/>
        <w:bottom w:val="none" w:sz="0" w:space="0" w:color="auto"/>
        <w:right w:val="none" w:sz="0" w:space="0" w:color="auto"/>
      </w:divBdr>
    </w:div>
    <w:div w:id="624779117">
      <w:bodyDiv w:val="1"/>
      <w:marLeft w:val="0"/>
      <w:marRight w:val="0"/>
      <w:marTop w:val="0"/>
      <w:marBottom w:val="0"/>
      <w:divBdr>
        <w:top w:val="none" w:sz="0" w:space="0" w:color="auto"/>
        <w:left w:val="none" w:sz="0" w:space="0" w:color="auto"/>
        <w:bottom w:val="none" w:sz="0" w:space="0" w:color="auto"/>
        <w:right w:val="none" w:sz="0" w:space="0" w:color="auto"/>
      </w:divBdr>
      <w:divsChild>
        <w:div w:id="1446192965">
          <w:marLeft w:val="0"/>
          <w:marRight w:val="0"/>
          <w:marTop w:val="0"/>
          <w:marBottom w:val="0"/>
          <w:divBdr>
            <w:top w:val="none" w:sz="0" w:space="0" w:color="auto"/>
            <w:left w:val="none" w:sz="0" w:space="0" w:color="auto"/>
            <w:bottom w:val="none" w:sz="0" w:space="0" w:color="auto"/>
            <w:right w:val="none" w:sz="0" w:space="0" w:color="auto"/>
          </w:divBdr>
        </w:div>
        <w:div w:id="103814698">
          <w:marLeft w:val="0"/>
          <w:marRight w:val="0"/>
          <w:marTop w:val="0"/>
          <w:marBottom w:val="0"/>
          <w:divBdr>
            <w:top w:val="none" w:sz="0" w:space="0" w:color="auto"/>
            <w:left w:val="none" w:sz="0" w:space="0" w:color="auto"/>
            <w:bottom w:val="none" w:sz="0" w:space="0" w:color="auto"/>
            <w:right w:val="none" w:sz="0" w:space="0" w:color="auto"/>
          </w:divBdr>
        </w:div>
        <w:div w:id="1496409848">
          <w:marLeft w:val="0"/>
          <w:marRight w:val="0"/>
          <w:marTop w:val="0"/>
          <w:marBottom w:val="0"/>
          <w:divBdr>
            <w:top w:val="none" w:sz="0" w:space="0" w:color="auto"/>
            <w:left w:val="none" w:sz="0" w:space="0" w:color="auto"/>
            <w:bottom w:val="none" w:sz="0" w:space="0" w:color="auto"/>
            <w:right w:val="none" w:sz="0" w:space="0" w:color="auto"/>
          </w:divBdr>
        </w:div>
        <w:div w:id="1327703372">
          <w:marLeft w:val="0"/>
          <w:marRight w:val="0"/>
          <w:marTop w:val="0"/>
          <w:marBottom w:val="0"/>
          <w:divBdr>
            <w:top w:val="none" w:sz="0" w:space="0" w:color="auto"/>
            <w:left w:val="none" w:sz="0" w:space="0" w:color="auto"/>
            <w:bottom w:val="none" w:sz="0" w:space="0" w:color="auto"/>
            <w:right w:val="none" w:sz="0" w:space="0" w:color="auto"/>
          </w:divBdr>
        </w:div>
        <w:div w:id="1635477582">
          <w:marLeft w:val="0"/>
          <w:marRight w:val="0"/>
          <w:marTop w:val="0"/>
          <w:marBottom w:val="0"/>
          <w:divBdr>
            <w:top w:val="none" w:sz="0" w:space="0" w:color="auto"/>
            <w:left w:val="none" w:sz="0" w:space="0" w:color="auto"/>
            <w:bottom w:val="none" w:sz="0" w:space="0" w:color="auto"/>
            <w:right w:val="none" w:sz="0" w:space="0" w:color="auto"/>
          </w:divBdr>
        </w:div>
      </w:divsChild>
    </w:div>
    <w:div w:id="649990614">
      <w:bodyDiv w:val="1"/>
      <w:marLeft w:val="0"/>
      <w:marRight w:val="0"/>
      <w:marTop w:val="0"/>
      <w:marBottom w:val="0"/>
      <w:divBdr>
        <w:top w:val="none" w:sz="0" w:space="0" w:color="auto"/>
        <w:left w:val="none" w:sz="0" w:space="0" w:color="auto"/>
        <w:bottom w:val="none" w:sz="0" w:space="0" w:color="auto"/>
        <w:right w:val="none" w:sz="0" w:space="0" w:color="auto"/>
      </w:divBdr>
      <w:divsChild>
        <w:div w:id="704675409">
          <w:marLeft w:val="0"/>
          <w:marRight w:val="0"/>
          <w:marTop w:val="0"/>
          <w:marBottom w:val="0"/>
          <w:divBdr>
            <w:top w:val="none" w:sz="0" w:space="0" w:color="auto"/>
            <w:left w:val="none" w:sz="0" w:space="0" w:color="auto"/>
            <w:bottom w:val="none" w:sz="0" w:space="0" w:color="auto"/>
            <w:right w:val="none" w:sz="0" w:space="0" w:color="auto"/>
          </w:divBdr>
          <w:divsChild>
            <w:div w:id="1085228425">
              <w:marLeft w:val="0"/>
              <w:marRight w:val="0"/>
              <w:marTop w:val="0"/>
              <w:marBottom w:val="0"/>
              <w:divBdr>
                <w:top w:val="none" w:sz="0" w:space="0" w:color="auto"/>
                <w:left w:val="none" w:sz="0" w:space="0" w:color="auto"/>
                <w:bottom w:val="none" w:sz="0" w:space="0" w:color="auto"/>
                <w:right w:val="none" w:sz="0" w:space="0" w:color="auto"/>
              </w:divBdr>
              <w:divsChild>
                <w:div w:id="1389110686">
                  <w:marLeft w:val="0"/>
                  <w:marRight w:val="0"/>
                  <w:marTop w:val="0"/>
                  <w:marBottom w:val="0"/>
                  <w:divBdr>
                    <w:top w:val="none" w:sz="0" w:space="0" w:color="auto"/>
                    <w:left w:val="none" w:sz="0" w:space="0" w:color="auto"/>
                    <w:bottom w:val="none" w:sz="0" w:space="0" w:color="auto"/>
                    <w:right w:val="none" w:sz="0" w:space="0" w:color="auto"/>
                  </w:divBdr>
                  <w:divsChild>
                    <w:div w:id="1933472654">
                      <w:marLeft w:val="0"/>
                      <w:marRight w:val="0"/>
                      <w:marTop w:val="0"/>
                      <w:marBottom w:val="0"/>
                      <w:divBdr>
                        <w:top w:val="none" w:sz="0" w:space="0" w:color="auto"/>
                        <w:left w:val="none" w:sz="0" w:space="0" w:color="auto"/>
                        <w:bottom w:val="none" w:sz="0" w:space="0" w:color="auto"/>
                        <w:right w:val="none" w:sz="0" w:space="0" w:color="auto"/>
                      </w:divBdr>
                    </w:div>
                    <w:div w:id="74464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8116539">
      <w:bodyDiv w:val="1"/>
      <w:marLeft w:val="0"/>
      <w:marRight w:val="0"/>
      <w:marTop w:val="0"/>
      <w:marBottom w:val="0"/>
      <w:divBdr>
        <w:top w:val="none" w:sz="0" w:space="0" w:color="auto"/>
        <w:left w:val="none" w:sz="0" w:space="0" w:color="auto"/>
        <w:bottom w:val="none" w:sz="0" w:space="0" w:color="auto"/>
        <w:right w:val="none" w:sz="0" w:space="0" w:color="auto"/>
      </w:divBdr>
    </w:div>
    <w:div w:id="818616490">
      <w:bodyDiv w:val="1"/>
      <w:marLeft w:val="0"/>
      <w:marRight w:val="0"/>
      <w:marTop w:val="0"/>
      <w:marBottom w:val="0"/>
      <w:divBdr>
        <w:top w:val="none" w:sz="0" w:space="0" w:color="auto"/>
        <w:left w:val="none" w:sz="0" w:space="0" w:color="auto"/>
        <w:bottom w:val="none" w:sz="0" w:space="0" w:color="auto"/>
        <w:right w:val="none" w:sz="0" w:space="0" w:color="auto"/>
      </w:divBdr>
    </w:div>
    <w:div w:id="832260367">
      <w:bodyDiv w:val="1"/>
      <w:marLeft w:val="0"/>
      <w:marRight w:val="0"/>
      <w:marTop w:val="0"/>
      <w:marBottom w:val="0"/>
      <w:divBdr>
        <w:top w:val="none" w:sz="0" w:space="0" w:color="auto"/>
        <w:left w:val="none" w:sz="0" w:space="0" w:color="auto"/>
        <w:bottom w:val="none" w:sz="0" w:space="0" w:color="auto"/>
        <w:right w:val="none" w:sz="0" w:space="0" w:color="auto"/>
      </w:divBdr>
    </w:div>
    <w:div w:id="865948381">
      <w:bodyDiv w:val="1"/>
      <w:marLeft w:val="0"/>
      <w:marRight w:val="0"/>
      <w:marTop w:val="0"/>
      <w:marBottom w:val="0"/>
      <w:divBdr>
        <w:top w:val="none" w:sz="0" w:space="0" w:color="auto"/>
        <w:left w:val="none" w:sz="0" w:space="0" w:color="auto"/>
        <w:bottom w:val="none" w:sz="0" w:space="0" w:color="auto"/>
        <w:right w:val="none" w:sz="0" w:space="0" w:color="auto"/>
      </w:divBdr>
      <w:divsChild>
        <w:div w:id="975841288">
          <w:marLeft w:val="0"/>
          <w:marRight w:val="0"/>
          <w:marTop w:val="288"/>
          <w:marBottom w:val="100"/>
          <w:divBdr>
            <w:top w:val="none" w:sz="0" w:space="0" w:color="auto"/>
            <w:left w:val="none" w:sz="0" w:space="0" w:color="auto"/>
            <w:bottom w:val="none" w:sz="0" w:space="0" w:color="auto"/>
            <w:right w:val="none" w:sz="0" w:space="0" w:color="auto"/>
          </w:divBdr>
          <w:divsChild>
            <w:div w:id="60584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909937">
      <w:bodyDiv w:val="1"/>
      <w:marLeft w:val="0"/>
      <w:marRight w:val="0"/>
      <w:marTop w:val="0"/>
      <w:marBottom w:val="0"/>
      <w:divBdr>
        <w:top w:val="none" w:sz="0" w:space="0" w:color="auto"/>
        <w:left w:val="none" w:sz="0" w:space="0" w:color="auto"/>
        <w:bottom w:val="none" w:sz="0" w:space="0" w:color="auto"/>
        <w:right w:val="none" w:sz="0" w:space="0" w:color="auto"/>
      </w:divBdr>
    </w:div>
    <w:div w:id="895434705">
      <w:bodyDiv w:val="1"/>
      <w:marLeft w:val="0"/>
      <w:marRight w:val="0"/>
      <w:marTop w:val="0"/>
      <w:marBottom w:val="0"/>
      <w:divBdr>
        <w:top w:val="none" w:sz="0" w:space="0" w:color="auto"/>
        <w:left w:val="none" w:sz="0" w:space="0" w:color="auto"/>
        <w:bottom w:val="none" w:sz="0" w:space="0" w:color="auto"/>
        <w:right w:val="none" w:sz="0" w:space="0" w:color="auto"/>
      </w:divBdr>
    </w:div>
    <w:div w:id="926159744">
      <w:bodyDiv w:val="1"/>
      <w:marLeft w:val="0"/>
      <w:marRight w:val="0"/>
      <w:marTop w:val="0"/>
      <w:marBottom w:val="0"/>
      <w:divBdr>
        <w:top w:val="none" w:sz="0" w:space="0" w:color="auto"/>
        <w:left w:val="none" w:sz="0" w:space="0" w:color="auto"/>
        <w:bottom w:val="none" w:sz="0" w:space="0" w:color="auto"/>
        <w:right w:val="none" w:sz="0" w:space="0" w:color="auto"/>
      </w:divBdr>
    </w:div>
    <w:div w:id="987976401">
      <w:bodyDiv w:val="1"/>
      <w:marLeft w:val="0"/>
      <w:marRight w:val="0"/>
      <w:marTop w:val="0"/>
      <w:marBottom w:val="0"/>
      <w:divBdr>
        <w:top w:val="none" w:sz="0" w:space="0" w:color="auto"/>
        <w:left w:val="none" w:sz="0" w:space="0" w:color="auto"/>
        <w:bottom w:val="none" w:sz="0" w:space="0" w:color="auto"/>
        <w:right w:val="none" w:sz="0" w:space="0" w:color="auto"/>
      </w:divBdr>
      <w:divsChild>
        <w:div w:id="522399683">
          <w:marLeft w:val="0"/>
          <w:marRight w:val="0"/>
          <w:marTop w:val="0"/>
          <w:marBottom w:val="120"/>
          <w:divBdr>
            <w:top w:val="none" w:sz="0" w:space="0" w:color="auto"/>
            <w:left w:val="none" w:sz="0" w:space="0" w:color="auto"/>
            <w:bottom w:val="none" w:sz="0" w:space="0" w:color="auto"/>
            <w:right w:val="none" w:sz="0" w:space="0" w:color="auto"/>
          </w:divBdr>
        </w:div>
        <w:div w:id="1833913175">
          <w:marLeft w:val="0"/>
          <w:marRight w:val="0"/>
          <w:marTop w:val="0"/>
          <w:marBottom w:val="120"/>
          <w:divBdr>
            <w:top w:val="none" w:sz="0" w:space="0" w:color="auto"/>
            <w:left w:val="none" w:sz="0" w:space="0" w:color="auto"/>
            <w:bottom w:val="none" w:sz="0" w:space="0" w:color="auto"/>
            <w:right w:val="none" w:sz="0" w:space="0" w:color="auto"/>
          </w:divBdr>
        </w:div>
        <w:div w:id="1605379990">
          <w:marLeft w:val="0"/>
          <w:marRight w:val="0"/>
          <w:marTop w:val="0"/>
          <w:marBottom w:val="120"/>
          <w:divBdr>
            <w:top w:val="none" w:sz="0" w:space="0" w:color="auto"/>
            <w:left w:val="none" w:sz="0" w:space="0" w:color="auto"/>
            <w:bottom w:val="none" w:sz="0" w:space="0" w:color="auto"/>
            <w:right w:val="none" w:sz="0" w:space="0" w:color="auto"/>
          </w:divBdr>
        </w:div>
      </w:divsChild>
    </w:div>
    <w:div w:id="1015227188">
      <w:bodyDiv w:val="1"/>
      <w:marLeft w:val="0"/>
      <w:marRight w:val="0"/>
      <w:marTop w:val="0"/>
      <w:marBottom w:val="0"/>
      <w:divBdr>
        <w:top w:val="none" w:sz="0" w:space="0" w:color="auto"/>
        <w:left w:val="none" w:sz="0" w:space="0" w:color="auto"/>
        <w:bottom w:val="none" w:sz="0" w:space="0" w:color="auto"/>
        <w:right w:val="none" w:sz="0" w:space="0" w:color="auto"/>
      </w:divBdr>
      <w:divsChild>
        <w:div w:id="1879196865">
          <w:marLeft w:val="0"/>
          <w:marRight w:val="0"/>
          <w:marTop w:val="0"/>
          <w:marBottom w:val="45"/>
          <w:divBdr>
            <w:top w:val="none" w:sz="0" w:space="0" w:color="auto"/>
            <w:left w:val="none" w:sz="0" w:space="0" w:color="auto"/>
            <w:bottom w:val="none" w:sz="0" w:space="0" w:color="auto"/>
            <w:right w:val="none" w:sz="0" w:space="0" w:color="auto"/>
          </w:divBdr>
        </w:div>
      </w:divsChild>
    </w:div>
    <w:div w:id="1076318909">
      <w:bodyDiv w:val="1"/>
      <w:marLeft w:val="0"/>
      <w:marRight w:val="0"/>
      <w:marTop w:val="0"/>
      <w:marBottom w:val="0"/>
      <w:divBdr>
        <w:top w:val="none" w:sz="0" w:space="0" w:color="auto"/>
        <w:left w:val="none" w:sz="0" w:space="0" w:color="auto"/>
        <w:bottom w:val="none" w:sz="0" w:space="0" w:color="auto"/>
        <w:right w:val="none" w:sz="0" w:space="0" w:color="auto"/>
      </w:divBdr>
    </w:div>
    <w:div w:id="1159615934">
      <w:bodyDiv w:val="1"/>
      <w:marLeft w:val="0"/>
      <w:marRight w:val="0"/>
      <w:marTop w:val="0"/>
      <w:marBottom w:val="0"/>
      <w:divBdr>
        <w:top w:val="none" w:sz="0" w:space="0" w:color="auto"/>
        <w:left w:val="none" w:sz="0" w:space="0" w:color="auto"/>
        <w:bottom w:val="none" w:sz="0" w:space="0" w:color="auto"/>
        <w:right w:val="none" w:sz="0" w:space="0" w:color="auto"/>
      </w:divBdr>
    </w:div>
    <w:div w:id="1176916900">
      <w:bodyDiv w:val="1"/>
      <w:marLeft w:val="0"/>
      <w:marRight w:val="0"/>
      <w:marTop w:val="0"/>
      <w:marBottom w:val="0"/>
      <w:divBdr>
        <w:top w:val="none" w:sz="0" w:space="0" w:color="auto"/>
        <w:left w:val="none" w:sz="0" w:space="0" w:color="auto"/>
        <w:bottom w:val="none" w:sz="0" w:space="0" w:color="auto"/>
        <w:right w:val="none" w:sz="0" w:space="0" w:color="auto"/>
      </w:divBdr>
    </w:div>
    <w:div w:id="1306667054">
      <w:bodyDiv w:val="1"/>
      <w:marLeft w:val="0"/>
      <w:marRight w:val="0"/>
      <w:marTop w:val="0"/>
      <w:marBottom w:val="0"/>
      <w:divBdr>
        <w:top w:val="none" w:sz="0" w:space="0" w:color="auto"/>
        <w:left w:val="none" w:sz="0" w:space="0" w:color="auto"/>
        <w:bottom w:val="none" w:sz="0" w:space="0" w:color="auto"/>
        <w:right w:val="none" w:sz="0" w:space="0" w:color="auto"/>
      </w:divBdr>
    </w:div>
    <w:div w:id="1333294395">
      <w:bodyDiv w:val="1"/>
      <w:marLeft w:val="0"/>
      <w:marRight w:val="0"/>
      <w:marTop w:val="0"/>
      <w:marBottom w:val="0"/>
      <w:divBdr>
        <w:top w:val="none" w:sz="0" w:space="0" w:color="auto"/>
        <w:left w:val="none" w:sz="0" w:space="0" w:color="auto"/>
        <w:bottom w:val="none" w:sz="0" w:space="0" w:color="auto"/>
        <w:right w:val="none" w:sz="0" w:space="0" w:color="auto"/>
      </w:divBdr>
    </w:div>
    <w:div w:id="1376276854">
      <w:bodyDiv w:val="1"/>
      <w:marLeft w:val="0"/>
      <w:marRight w:val="0"/>
      <w:marTop w:val="0"/>
      <w:marBottom w:val="0"/>
      <w:divBdr>
        <w:top w:val="none" w:sz="0" w:space="0" w:color="auto"/>
        <w:left w:val="none" w:sz="0" w:space="0" w:color="auto"/>
        <w:bottom w:val="none" w:sz="0" w:space="0" w:color="auto"/>
        <w:right w:val="none" w:sz="0" w:space="0" w:color="auto"/>
      </w:divBdr>
    </w:div>
    <w:div w:id="1419984875">
      <w:bodyDiv w:val="1"/>
      <w:marLeft w:val="0"/>
      <w:marRight w:val="0"/>
      <w:marTop w:val="0"/>
      <w:marBottom w:val="0"/>
      <w:divBdr>
        <w:top w:val="none" w:sz="0" w:space="0" w:color="auto"/>
        <w:left w:val="none" w:sz="0" w:space="0" w:color="auto"/>
        <w:bottom w:val="none" w:sz="0" w:space="0" w:color="auto"/>
        <w:right w:val="none" w:sz="0" w:space="0" w:color="auto"/>
      </w:divBdr>
    </w:div>
    <w:div w:id="1714816114">
      <w:bodyDiv w:val="1"/>
      <w:marLeft w:val="0"/>
      <w:marRight w:val="0"/>
      <w:marTop w:val="0"/>
      <w:marBottom w:val="0"/>
      <w:divBdr>
        <w:top w:val="none" w:sz="0" w:space="0" w:color="auto"/>
        <w:left w:val="none" w:sz="0" w:space="0" w:color="auto"/>
        <w:bottom w:val="none" w:sz="0" w:space="0" w:color="auto"/>
        <w:right w:val="none" w:sz="0" w:space="0" w:color="auto"/>
      </w:divBdr>
    </w:div>
    <w:div w:id="1717006428">
      <w:bodyDiv w:val="1"/>
      <w:marLeft w:val="0"/>
      <w:marRight w:val="0"/>
      <w:marTop w:val="0"/>
      <w:marBottom w:val="0"/>
      <w:divBdr>
        <w:top w:val="none" w:sz="0" w:space="0" w:color="auto"/>
        <w:left w:val="none" w:sz="0" w:space="0" w:color="auto"/>
        <w:bottom w:val="none" w:sz="0" w:space="0" w:color="auto"/>
        <w:right w:val="none" w:sz="0" w:space="0" w:color="auto"/>
      </w:divBdr>
    </w:div>
    <w:div w:id="1857688749">
      <w:bodyDiv w:val="1"/>
      <w:marLeft w:val="0"/>
      <w:marRight w:val="0"/>
      <w:marTop w:val="0"/>
      <w:marBottom w:val="0"/>
      <w:divBdr>
        <w:top w:val="none" w:sz="0" w:space="0" w:color="auto"/>
        <w:left w:val="none" w:sz="0" w:space="0" w:color="auto"/>
        <w:bottom w:val="none" w:sz="0" w:space="0" w:color="auto"/>
        <w:right w:val="none" w:sz="0" w:space="0" w:color="auto"/>
      </w:divBdr>
      <w:divsChild>
        <w:div w:id="637805927">
          <w:marLeft w:val="0"/>
          <w:marRight w:val="0"/>
          <w:marTop w:val="100"/>
          <w:marBottom w:val="100"/>
          <w:divBdr>
            <w:top w:val="none" w:sz="0" w:space="0" w:color="auto"/>
            <w:left w:val="none" w:sz="0" w:space="0" w:color="auto"/>
            <w:bottom w:val="none" w:sz="0" w:space="0" w:color="auto"/>
            <w:right w:val="none" w:sz="0" w:space="0" w:color="auto"/>
          </w:divBdr>
          <w:divsChild>
            <w:div w:id="323122248">
              <w:marLeft w:val="0"/>
              <w:marRight w:val="0"/>
              <w:marTop w:val="0"/>
              <w:marBottom w:val="0"/>
              <w:divBdr>
                <w:top w:val="none" w:sz="0" w:space="0" w:color="auto"/>
                <w:left w:val="none" w:sz="0" w:space="0" w:color="auto"/>
                <w:bottom w:val="none" w:sz="0" w:space="0" w:color="auto"/>
                <w:right w:val="none" w:sz="0" w:space="0" w:color="auto"/>
              </w:divBdr>
            </w:div>
          </w:divsChild>
        </w:div>
        <w:div w:id="6055897">
          <w:marLeft w:val="0"/>
          <w:marRight w:val="0"/>
          <w:marTop w:val="0"/>
          <w:marBottom w:val="0"/>
          <w:divBdr>
            <w:top w:val="none" w:sz="0" w:space="0" w:color="auto"/>
            <w:left w:val="none" w:sz="0" w:space="0" w:color="auto"/>
            <w:bottom w:val="none" w:sz="0" w:space="0" w:color="auto"/>
            <w:right w:val="none" w:sz="0" w:space="0" w:color="auto"/>
          </w:divBdr>
          <w:divsChild>
            <w:div w:id="54165197">
              <w:marLeft w:val="0"/>
              <w:marRight w:val="0"/>
              <w:marTop w:val="0"/>
              <w:marBottom w:val="0"/>
              <w:divBdr>
                <w:top w:val="none" w:sz="0" w:space="0" w:color="auto"/>
                <w:left w:val="none" w:sz="0" w:space="0" w:color="auto"/>
                <w:bottom w:val="none" w:sz="0" w:space="0" w:color="auto"/>
                <w:right w:val="none" w:sz="0" w:space="0" w:color="auto"/>
              </w:divBdr>
            </w:div>
            <w:div w:id="856626124">
              <w:marLeft w:val="0"/>
              <w:marRight w:val="0"/>
              <w:marTop w:val="0"/>
              <w:marBottom w:val="0"/>
              <w:divBdr>
                <w:top w:val="none" w:sz="0" w:space="0" w:color="auto"/>
                <w:left w:val="none" w:sz="0" w:space="0" w:color="auto"/>
                <w:bottom w:val="none" w:sz="0" w:space="0" w:color="auto"/>
                <w:right w:val="none" w:sz="0" w:space="0" w:color="auto"/>
              </w:divBdr>
            </w:div>
          </w:divsChild>
        </w:div>
        <w:div w:id="604920366">
          <w:marLeft w:val="0"/>
          <w:marRight w:val="0"/>
          <w:marTop w:val="0"/>
          <w:marBottom w:val="0"/>
          <w:divBdr>
            <w:top w:val="none" w:sz="0" w:space="0" w:color="auto"/>
            <w:left w:val="none" w:sz="0" w:space="0" w:color="auto"/>
            <w:bottom w:val="none" w:sz="0" w:space="0" w:color="auto"/>
            <w:right w:val="none" w:sz="0" w:space="0" w:color="auto"/>
          </w:divBdr>
        </w:div>
        <w:div w:id="1490291642">
          <w:marLeft w:val="0"/>
          <w:marRight w:val="0"/>
          <w:marTop w:val="0"/>
          <w:marBottom w:val="0"/>
          <w:divBdr>
            <w:top w:val="none" w:sz="0" w:space="0" w:color="auto"/>
            <w:left w:val="none" w:sz="0" w:space="0" w:color="auto"/>
            <w:bottom w:val="none" w:sz="0" w:space="0" w:color="auto"/>
            <w:right w:val="none" w:sz="0" w:space="0" w:color="auto"/>
          </w:divBdr>
          <w:divsChild>
            <w:div w:id="779686760">
              <w:marLeft w:val="0"/>
              <w:marRight w:val="0"/>
              <w:marTop w:val="0"/>
              <w:marBottom w:val="0"/>
              <w:divBdr>
                <w:top w:val="none" w:sz="0" w:space="0" w:color="auto"/>
                <w:left w:val="none" w:sz="0" w:space="0" w:color="auto"/>
                <w:bottom w:val="none" w:sz="0" w:space="0" w:color="auto"/>
                <w:right w:val="none" w:sz="0" w:space="0" w:color="auto"/>
              </w:divBdr>
              <w:divsChild>
                <w:div w:id="467747995">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1193149891">
                      <w:marLeft w:val="0"/>
                      <w:marRight w:val="0"/>
                      <w:marTop w:val="0"/>
                      <w:marBottom w:val="0"/>
                      <w:divBdr>
                        <w:top w:val="none" w:sz="0" w:space="0" w:color="auto"/>
                        <w:left w:val="none" w:sz="0" w:space="0" w:color="auto"/>
                        <w:bottom w:val="none" w:sz="0" w:space="0" w:color="auto"/>
                        <w:right w:val="none" w:sz="0" w:space="0" w:color="auto"/>
                      </w:divBdr>
                      <w:divsChild>
                        <w:div w:id="1104181119">
                          <w:marLeft w:val="0"/>
                          <w:marRight w:val="0"/>
                          <w:marTop w:val="0"/>
                          <w:marBottom w:val="0"/>
                          <w:divBdr>
                            <w:top w:val="none" w:sz="0" w:space="0" w:color="auto"/>
                            <w:left w:val="none" w:sz="0" w:space="0" w:color="auto"/>
                            <w:bottom w:val="none" w:sz="0" w:space="0" w:color="auto"/>
                            <w:right w:val="none" w:sz="0" w:space="0" w:color="auto"/>
                          </w:divBdr>
                        </w:div>
                        <w:div w:id="172722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120619">
                  <w:marLeft w:val="0"/>
                  <w:marRight w:val="0"/>
                  <w:marTop w:val="274"/>
                  <w:marBottom w:val="274"/>
                  <w:divBdr>
                    <w:top w:val="double" w:sz="12" w:space="6" w:color="E0ECFF"/>
                    <w:left w:val="double" w:sz="12" w:space="6" w:color="E0ECFF"/>
                    <w:bottom w:val="double" w:sz="12" w:space="6" w:color="E0ECFF"/>
                    <w:right w:val="double" w:sz="12" w:space="6" w:color="E0ECFF"/>
                  </w:divBdr>
                  <w:divsChild>
                    <w:div w:id="228539223">
                      <w:marLeft w:val="0"/>
                      <w:marRight w:val="0"/>
                      <w:marTop w:val="0"/>
                      <w:marBottom w:val="0"/>
                      <w:divBdr>
                        <w:top w:val="none" w:sz="0" w:space="0" w:color="auto"/>
                        <w:left w:val="none" w:sz="0" w:space="0" w:color="auto"/>
                        <w:bottom w:val="none" w:sz="0" w:space="0" w:color="auto"/>
                        <w:right w:val="none" w:sz="0" w:space="0" w:color="auto"/>
                      </w:divBdr>
                      <w:divsChild>
                        <w:div w:id="23598214">
                          <w:marLeft w:val="0"/>
                          <w:marRight w:val="0"/>
                          <w:marTop w:val="0"/>
                          <w:marBottom w:val="0"/>
                          <w:divBdr>
                            <w:top w:val="none" w:sz="0" w:space="0" w:color="auto"/>
                            <w:left w:val="none" w:sz="0" w:space="0" w:color="auto"/>
                            <w:bottom w:val="none" w:sz="0" w:space="0" w:color="auto"/>
                            <w:right w:val="none" w:sz="0" w:space="0" w:color="auto"/>
                          </w:divBdr>
                        </w:div>
                        <w:div w:id="1982271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7112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67290">
      <w:bodyDiv w:val="1"/>
      <w:marLeft w:val="0"/>
      <w:marRight w:val="0"/>
      <w:marTop w:val="0"/>
      <w:marBottom w:val="0"/>
      <w:divBdr>
        <w:top w:val="none" w:sz="0" w:space="0" w:color="auto"/>
        <w:left w:val="none" w:sz="0" w:space="0" w:color="auto"/>
        <w:bottom w:val="none" w:sz="0" w:space="0" w:color="auto"/>
        <w:right w:val="none" w:sz="0" w:space="0" w:color="auto"/>
      </w:divBdr>
    </w:div>
    <w:div w:id="1907838002">
      <w:bodyDiv w:val="1"/>
      <w:marLeft w:val="0"/>
      <w:marRight w:val="0"/>
      <w:marTop w:val="0"/>
      <w:marBottom w:val="0"/>
      <w:divBdr>
        <w:top w:val="none" w:sz="0" w:space="0" w:color="auto"/>
        <w:left w:val="none" w:sz="0" w:space="0" w:color="auto"/>
        <w:bottom w:val="none" w:sz="0" w:space="0" w:color="auto"/>
        <w:right w:val="none" w:sz="0" w:space="0" w:color="auto"/>
      </w:divBdr>
    </w:div>
    <w:div w:id="1963615295">
      <w:bodyDiv w:val="1"/>
      <w:marLeft w:val="0"/>
      <w:marRight w:val="0"/>
      <w:marTop w:val="0"/>
      <w:marBottom w:val="0"/>
      <w:divBdr>
        <w:top w:val="none" w:sz="0" w:space="0" w:color="auto"/>
        <w:left w:val="none" w:sz="0" w:space="0" w:color="auto"/>
        <w:bottom w:val="none" w:sz="0" w:space="0" w:color="auto"/>
        <w:right w:val="none" w:sz="0" w:space="0" w:color="auto"/>
      </w:divBdr>
    </w:div>
    <w:div w:id="2047480732">
      <w:bodyDiv w:val="1"/>
      <w:marLeft w:val="0"/>
      <w:marRight w:val="0"/>
      <w:marTop w:val="0"/>
      <w:marBottom w:val="0"/>
      <w:divBdr>
        <w:top w:val="none" w:sz="0" w:space="0" w:color="auto"/>
        <w:left w:val="none" w:sz="0" w:space="0" w:color="auto"/>
        <w:bottom w:val="none" w:sz="0" w:space="0" w:color="auto"/>
        <w:right w:val="none" w:sz="0" w:space="0" w:color="auto"/>
      </w:divBdr>
    </w:div>
    <w:div w:id="2062708110">
      <w:bodyDiv w:val="1"/>
      <w:marLeft w:val="0"/>
      <w:marRight w:val="0"/>
      <w:marTop w:val="0"/>
      <w:marBottom w:val="0"/>
      <w:divBdr>
        <w:top w:val="none" w:sz="0" w:space="0" w:color="auto"/>
        <w:left w:val="none" w:sz="0" w:space="0" w:color="auto"/>
        <w:bottom w:val="none" w:sz="0" w:space="0" w:color="auto"/>
        <w:right w:val="none" w:sz="0" w:space="0" w:color="auto"/>
      </w:divBdr>
    </w:div>
    <w:div w:id="209022558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gc26@cam.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D43734-19B9-4825-A70C-A346BF2836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85693</Words>
  <Characters>488454</Characters>
  <Application>Microsoft Office Word</Application>
  <DocSecurity>0</DocSecurity>
  <Lines>4070</Lines>
  <Paragraphs>1146</Paragraphs>
  <ScaleCrop>false</ScaleCrop>
  <HeadingPairs>
    <vt:vector size="2" baseType="variant">
      <vt:variant>
        <vt:lpstr>Title</vt:lpstr>
      </vt:variant>
      <vt:variant>
        <vt:i4>1</vt:i4>
      </vt:variant>
    </vt:vector>
  </HeadingPairs>
  <TitlesOfParts>
    <vt:vector size="1" baseType="lpstr">
      <vt:lpstr>Promoting and measuring remyelination in clinical trials of people with multiple sclerosis</vt:lpstr>
    </vt:vector>
  </TitlesOfParts>
  <Company>University of Cambridge</Company>
  <LinksUpToDate>false</LinksUpToDate>
  <CharactersWithSpaces>573001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Promoting and measuring remyelination in clinical trials of people with multiple sclerosis</dc:title>
  <dc:subject/>
  <dc:creator>Nick Cunniffe</dc:creator>
  <cp:keywords/>
  <dc:description/>
  <cp:lastModifiedBy>Alasdair Coles</cp:lastModifiedBy>
  <cp:revision>2</cp:revision>
  <cp:lastPrinted>2019-01-16T18:24:00Z</cp:lastPrinted>
  <dcterms:created xsi:type="dcterms:W3CDTF">2019-06-07T07:57:00Z</dcterms:created>
  <dcterms:modified xsi:type="dcterms:W3CDTF">2019-06-07T07:57:00Z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zotero-version="5.0.66"&gt;&lt;session id="DUQISfL6"/&gt;&lt;style id="http://www.zotero.org/styles/vancouver" locale="en-US" hasBibliography="1" bibliographyStyleHasBeenSet="1"/&gt;&lt;prefs&gt;&lt;pref name="fieldType" value="Field"/&gt;&lt;pref name="dontAskD</vt:lpwstr>
  </property>
  <property fmtid="{D5CDD505-2E9C-101B-9397-08002B2CF9AE}" pid="3" name="ZOTERO_PREF_2">
    <vt:lpwstr>elayCitationUpdates" value="true"/&gt;&lt;pref name="delayCitationUpdates" value="true"/&gt;&lt;/prefs&gt;&lt;/data&gt;</vt:lpwstr>
  </property>
</Properties>
</file>