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757304"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r w:rsidRPr="00F90A9B">
        <w:rPr>
          <w:rFonts w:ascii="Times New Roman" w:hAnsi="Times New Roman"/>
          <w:b/>
          <w:sz w:val="22"/>
          <w:szCs w:val="22"/>
          <w:lang w:val="en-US"/>
        </w:rPr>
        <w:t>Rescuing objectivity: a contextualist proposal</w:t>
      </w:r>
    </w:p>
    <w:p w14:paraId="6310BFA0"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rPr>
      </w:pPr>
      <w:bookmarkStart w:id="0" w:name="_GoBack"/>
      <w:bookmarkEnd w:id="0"/>
    </w:p>
    <w:p w14:paraId="1494486D"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rPr>
      </w:pPr>
      <w:r w:rsidRPr="00F90A9B">
        <w:rPr>
          <w:rFonts w:ascii="Times New Roman" w:hAnsi="Times New Roman"/>
          <w:sz w:val="22"/>
          <w:szCs w:val="22"/>
        </w:rPr>
        <w:t>Jack Wright</w:t>
      </w:r>
    </w:p>
    <w:p w14:paraId="17AB3546"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rPr>
      </w:pPr>
      <w:r w:rsidRPr="00F90A9B">
        <w:rPr>
          <w:rFonts w:ascii="Times New Roman" w:hAnsi="Times New Roman"/>
          <w:sz w:val="22"/>
          <w:szCs w:val="22"/>
        </w:rPr>
        <w:t>University of Cambridge</w:t>
      </w:r>
    </w:p>
    <w:p w14:paraId="1E277056"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p>
    <w:p w14:paraId="6A0D45AB"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p>
    <w:p w14:paraId="1A369454"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r w:rsidRPr="00F90A9B">
        <w:rPr>
          <w:rFonts w:ascii="Times New Roman" w:hAnsi="Times New Roman"/>
          <w:b/>
          <w:sz w:val="22"/>
          <w:szCs w:val="22"/>
          <w:lang w:val="en-US"/>
        </w:rPr>
        <w:t>Abstract</w:t>
      </w:r>
    </w:p>
    <w:p w14:paraId="3AE520E0"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r w:rsidRPr="00F90A9B">
        <w:rPr>
          <w:rFonts w:ascii="Times New Roman" w:hAnsi="Times New Roman"/>
          <w:sz w:val="22"/>
          <w:szCs w:val="22"/>
          <w:lang w:val="en-US"/>
        </w:rPr>
        <w:t>Ascriptions of objectivity carry significant weight. But they can also cause confusion because wildly different ideas of what it means to be objective are common. Faced with this, some philosophers have argued that objectivity should be eliminated. I will argue, against one such position, that objectivity can be useful even though it is plural. I will then propose a contextualist approach for dealing with objectivity as a way of rescuing what is useful about objectivity while acknowledging its plurality.</w:t>
      </w:r>
    </w:p>
    <w:p w14:paraId="032AFA5C"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p>
    <w:p w14:paraId="22D34BC1"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b/>
          <w:sz w:val="22"/>
          <w:szCs w:val="22"/>
          <w:lang w:val="en-US"/>
        </w:rPr>
      </w:pPr>
    </w:p>
    <w:p w14:paraId="1F0DE4AA"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b/>
          <w:sz w:val="22"/>
          <w:szCs w:val="22"/>
          <w:lang w:val="en-US"/>
        </w:rPr>
      </w:pPr>
    </w:p>
    <w:p w14:paraId="730A050D"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r w:rsidRPr="00F90A9B">
        <w:rPr>
          <w:rFonts w:ascii="Times New Roman" w:hAnsi="Times New Roman"/>
          <w:b/>
          <w:sz w:val="22"/>
          <w:szCs w:val="22"/>
          <w:lang w:val="en-US"/>
        </w:rPr>
        <w:t>Keywords:</w:t>
      </w:r>
      <w:r w:rsidRPr="00F90A9B">
        <w:rPr>
          <w:rFonts w:ascii="Times New Roman" w:hAnsi="Times New Roman"/>
          <w:sz w:val="22"/>
          <w:szCs w:val="22"/>
          <w:lang w:val="en-US"/>
        </w:rPr>
        <w:t xml:space="preserve"> objectivity, contextualism, pluralism, useful, practice, abstraction </w:t>
      </w:r>
      <w:r w:rsidRPr="00F90A9B">
        <w:rPr>
          <w:rFonts w:ascii="Times New Roman" w:hAnsi="Times New Roman"/>
          <w:sz w:val="22"/>
          <w:szCs w:val="22"/>
          <w:lang w:val="en-US"/>
        </w:rPr>
        <w:br w:type="page"/>
      </w:r>
    </w:p>
    <w:p w14:paraId="6270C5DF" w14:textId="77777777" w:rsidR="00F90A9B" w:rsidRPr="00F90A9B" w:rsidRDefault="00F90A9B" w:rsidP="00F90A9B">
      <w:pPr>
        <w:pStyle w:val="BlockQuote"/>
        <w:rPr>
          <w:rFonts w:ascii="Times New Roman" w:hAnsi="Times New Roman"/>
          <w:sz w:val="22"/>
          <w:szCs w:val="22"/>
          <w:lang w:val="en-US"/>
        </w:rPr>
      </w:pPr>
      <w:r w:rsidRPr="00F90A9B">
        <w:rPr>
          <w:rFonts w:ascii="Times New Roman" w:hAnsi="Times New Roman"/>
          <w:sz w:val="22"/>
          <w:szCs w:val="22"/>
          <w:lang w:val="en-US"/>
        </w:rPr>
        <w:lastRenderedPageBreak/>
        <w:t xml:space="preserve">“At the Bank, we act with impartiality. We want to be </w:t>
      </w:r>
      <w:r w:rsidRPr="00F90A9B">
        <w:rPr>
          <w:rFonts w:ascii="Times New Roman" w:hAnsi="Times New Roman"/>
          <w:i/>
          <w:sz w:val="22"/>
          <w:szCs w:val="22"/>
          <w:lang w:val="en-US"/>
        </w:rPr>
        <w:t>objective</w:t>
      </w:r>
      <w:r w:rsidRPr="00F90A9B">
        <w:rPr>
          <w:rFonts w:ascii="Times New Roman" w:hAnsi="Times New Roman"/>
          <w:sz w:val="22"/>
          <w:szCs w:val="22"/>
          <w:lang w:val="en-US"/>
        </w:rPr>
        <w:t xml:space="preserve"> in our decision-making and decisive in our actions.” (2)</w:t>
      </w:r>
    </w:p>
    <w:p w14:paraId="1B63E97C" w14:textId="77777777" w:rsidR="00F90A9B" w:rsidRPr="00F90A9B" w:rsidRDefault="00F90A9B" w:rsidP="00F90A9B">
      <w:pPr>
        <w:pStyle w:val="BlockQuote"/>
        <w:rPr>
          <w:rFonts w:ascii="Times New Roman" w:hAnsi="Times New Roman"/>
          <w:sz w:val="22"/>
          <w:szCs w:val="22"/>
          <w:lang w:val="en-US"/>
        </w:rPr>
      </w:pPr>
      <w:r w:rsidRPr="00F90A9B">
        <w:rPr>
          <w:rFonts w:ascii="Times New Roman" w:hAnsi="Times New Roman"/>
          <w:sz w:val="22"/>
          <w:szCs w:val="22"/>
          <w:lang w:val="en-US"/>
        </w:rPr>
        <w:t xml:space="preserve">“Integrity is one of the principles of public life, closely related to the principles of selflessness and </w:t>
      </w:r>
      <w:r w:rsidRPr="00F90A9B">
        <w:rPr>
          <w:rFonts w:ascii="Times New Roman" w:hAnsi="Times New Roman"/>
          <w:i/>
          <w:sz w:val="22"/>
          <w:szCs w:val="22"/>
          <w:lang w:val="en-US"/>
        </w:rPr>
        <w:t>objectivity</w:t>
      </w:r>
      <w:r w:rsidRPr="00F90A9B">
        <w:rPr>
          <w:rFonts w:ascii="Times New Roman" w:hAnsi="Times New Roman"/>
          <w:sz w:val="22"/>
          <w:szCs w:val="22"/>
          <w:lang w:val="en-US"/>
        </w:rPr>
        <w:t>.” (5)</w:t>
      </w:r>
    </w:p>
    <w:p w14:paraId="6300FBFB" w14:textId="77777777" w:rsidR="00F90A9B" w:rsidRPr="00F90A9B" w:rsidRDefault="00F90A9B" w:rsidP="00F90A9B">
      <w:pPr>
        <w:pStyle w:val="BlockQuote"/>
        <w:rPr>
          <w:rFonts w:ascii="Times New Roman" w:hAnsi="Times New Roman"/>
          <w:sz w:val="22"/>
          <w:szCs w:val="22"/>
          <w:lang w:val="en-US"/>
        </w:rPr>
      </w:pPr>
      <w:r w:rsidRPr="00F90A9B">
        <w:rPr>
          <w:rFonts w:ascii="Times New Roman" w:hAnsi="Times New Roman"/>
          <w:sz w:val="22"/>
          <w:szCs w:val="22"/>
          <w:lang w:val="en-US"/>
        </w:rPr>
        <w:t xml:space="preserve">“We recognise that impartiality and </w:t>
      </w:r>
      <w:r w:rsidRPr="00F90A9B">
        <w:rPr>
          <w:rFonts w:ascii="Times New Roman" w:hAnsi="Times New Roman"/>
          <w:i/>
          <w:sz w:val="22"/>
          <w:szCs w:val="22"/>
          <w:lang w:val="en-US"/>
        </w:rPr>
        <w:t>objectivity</w:t>
      </w:r>
      <w:r w:rsidRPr="00F90A9B">
        <w:rPr>
          <w:rFonts w:ascii="Times New Roman" w:hAnsi="Times New Roman"/>
          <w:sz w:val="22"/>
          <w:szCs w:val="22"/>
          <w:lang w:val="en-US"/>
        </w:rPr>
        <w:t xml:space="preserve"> are crucial to the decisive behaviours that form a core part of our Bank values. … [W]e know we must be seen to be apolitical and must never allow ourselves to become open to the perception that our decisions have been inappropriately influenced.” (11)</w:t>
      </w:r>
    </w:p>
    <w:p w14:paraId="37CFC664" w14:textId="77777777" w:rsidR="00F90A9B" w:rsidRPr="00F90A9B" w:rsidRDefault="00F90A9B" w:rsidP="00F90A9B">
      <w:pPr>
        <w:tabs>
          <w:tab w:val="left" w:pos="360"/>
          <w:tab w:val="left" w:pos="720"/>
          <w:tab w:val="left" w:pos="1080"/>
          <w:tab w:val="left" w:pos="1440"/>
          <w:tab w:val="left" w:pos="1800"/>
          <w:tab w:val="left" w:pos="2160"/>
          <w:tab w:val="left" w:pos="2880"/>
          <w:tab w:val="left" w:pos="3600"/>
          <w:tab w:val="left" w:pos="4320"/>
        </w:tabs>
        <w:spacing w:line="264" w:lineRule="auto"/>
        <w:ind w:firstLine="360"/>
        <w:rPr>
          <w:rFonts w:ascii="Times New Roman" w:hAnsi="Times New Roman"/>
          <w:sz w:val="22"/>
          <w:szCs w:val="22"/>
          <w:lang w:val="en-US"/>
        </w:rPr>
      </w:pPr>
    </w:p>
    <w:p w14:paraId="38FACDF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These are some of the ways that the Bank of England refers to objectivity in their internal briefing document </w:t>
      </w:r>
      <w:r w:rsidRPr="00F90A9B">
        <w:rPr>
          <w:rFonts w:ascii="Times New Roman" w:hAnsi="Times New Roman"/>
          <w:i/>
          <w:sz w:val="22"/>
          <w:szCs w:val="22"/>
          <w:lang w:val="en-US"/>
        </w:rPr>
        <w:t>Our Code</w:t>
      </w:r>
      <w:r w:rsidRPr="00F90A9B">
        <w:rPr>
          <w:rFonts w:ascii="Times New Roman" w:hAnsi="Times New Roman"/>
          <w:sz w:val="22"/>
          <w:szCs w:val="22"/>
          <w:lang w:val="en-US"/>
        </w:rPr>
        <w:t xml:space="preserve"> </w:t>
      </w:r>
      <w:r w:rsidRPr="00F90A9B">
        <w:rPr>
          <w:rFonts w:ascii="Times New Roman" w:hAnsi="Times New Roman"/>
          <w:sz w:val="22"/>
          <w:szCs w:val="22"/>
        </w:rPr>
        <w:fldChar w:fldCharType="begin"/>
      </w:r>
      <w:r w:rsidRPr="00F90A9B">
        <w:rPr>
          <w:rFonts w:ascii="Times New Roman" w:hAnsi="Times New Roman"/>
          <w:sz w:val="22"/>
          <w:szCs w:val="22"/>
        </w:rPr>
        <w:instrText>ADDIN BEC{-Bank of England, 2016, #84732\, all emphases are mine\}</w:instrText>
      </w:r>
      <w:r w:rsidRPr="00F90A9B">
        <w:rPr>
          <w:rFonts w:ascii="Times New Roman" w:hAnsi="Times New Roman"/>
          <w:sz w:val="22"/>
          <w:szCs w:val="22"/>
        </w:rPr>
        <w:fldChar w:fldCharType="separate"/>
      </w:r>
      <w:r w:rsidRPr="00F90A9B">
        <w:rPr>
          <w:rFonts w:ascii="Times New Roman" w:hAnsi="Times New Roman"/>
          <w:sz w:val="22"/>
          <w:szCs w:val="22"/>
        </w:rPr>
        <w:t>(2016, all emphases are mine)</w:t>
      </w:r>
      <w:r w:rsidRPr="00F90A9B">
        <w:rPr>
          <w:rFonts w:ascii="Times New Roman" w:hAnsi="Times New Roman"/>
          <w:sz w:val="22"/>
          <w:szCs w:val="22"/>
        </w:rPr>
        <w:fldChar w:fldCharType="end"/>
      </w:r>
      <w:r w:rsidRPr="00F90A9B">
        <w:rPr>
          <w:rFonts w:ascii="Times New Roman" w:hAnsi="Times New Roman"/>
          <w:sz w:val="22"/>
          <w:szCs w:val="22"/>
          <w:lang w:val="en-US"/>
        </w:rPr>
        <w:t>. By promising to be objective what is the Bank committing to do?</w:t>
      </w:r>
    </w:p>
    <w:p w14:paraId="08BD065B"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56A98150"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Two of the quotes above tie objectivity to </w:t>
      </w:r>
      <w:r w:rsidRPr="00F90A9B">
        <w:rPr>
          <w:rFonts w:ascii="Times New Roman" w:hAnsi="Times New Roman"/>
          <w:i/>
          <w:sz w:val="22"/>
          <w:szCs w:val="22"/>
          <w:lang w:val="en-US"/>
        </w:rPr>
        <w:t>impartial</w:t>
      </w:r>
      <w:r w:rsidRPr="00F90A9B">
        <w:rPr>
          <w:rFonts w:ascii="Times New Roman" w:hAnsi="Times New Roman"/>
          <w:sz w:val="22"/>
          <w:szCs w:val="22"/>
          <w:lang w:val="en-US"/>
        </w:rPr>
        <w:t xml:space="preserve"> decision making. But, if being objective is equivalent to making impartial decisions, then the term ‘objectivity’ is superfluous. In the third quote the importance of being “seen to be apolitical” is highlighted. This might be seen as a particular form of impartiality but might also imply that political commitments or values should not play a role in decisions, such a position is often dubbed the</w:t>
      </w:r>
      <w:r w:rsidRPr="00F90A9B">
        <w:rPr>
          <w:rFonts w:ascii="Times New Roman" w:hAnsi="Times New Roman"/>
          <w:i/>
          <w:sz w:val="22"/>
          <w:szCs w:val="22"/>
          <w:lang w:val="en-US"/>
        </w:rPr>
        <w:t xml:space="preserve"> value-free ideal </w:t>
      </w:r>
      <w:r w:rsidRPr="00F90A9B">
        <w:rPr>
          <w:rFonts w:ascii="Times New Roman" w:hAnsi="Times New Roman"/>
          <w:sz w:val="22"/>
          <w:szCs w:val="22"/>
        </w:rPr>
        <w:fldChar w:fldCharType="begin"/>
      </w:r>
      <w:r w:rsidRPr="00F90A9B">
        <w:rPr>
          <w:rFonts w:ascii="Times New Roman" w:hAnsi="Times New Roman"/>
          <w:sz w:val="22"/>
          <w:szCs w:val="22"/>
        </w:rPr>
        <w:instrText>ADDIN BEC{Kincaid et al., 2007, #12331}</w:instrText>
      </w:r>
      <w:r w:rsidRPr="00F90A9B">
        <w:rPr>
          <w:rFonts w:ascii="Times New Roman" w:hAnsi="Times New Roman"/>
          <w:sz w:val="22"/>
          <w:szCs w:val="22"/>
        </w:rPr>
        <w:fldChar w:fldCharType="separate"/>
      </w:r>
      <w:r w:rsidRPr="00F90A9B">
        <w:rPr>
          <w:rFonts w:ascii="Times New Roman" w:hAnsi="Times New Roman"/>
          <w:sz w:val="22"/>
          <w:szCs w:val="22"/>
        </w:rPr>
        <w:t>(Kincaid, Dupré, and Wylie 2007)</w:t>
      </w:r>
      <w:r w:rsidRPr="00F90A9B">
        <w:rPr>
          <w:rFonts w:ascii="Times New Roman" w:hAnsi="Times New Roman"/>
          <w:sz w:val="22"/>
          <w:szCs w:val="22"/>
        </w:rPr>
        <w:fldChar w:fldCharType="end"/>
      </w:r>
      <w:r w:rsidRPr="00F90A9B">
        <w:rPr>
          <w:rFonts w:ascii="Times New Roman" w:hAnsi="Times New Roman"/>
          <w:sz w:val="22"/>
          <w:szCs w:val="22"/>
          <w:lang w:val="en-US"/>
        </w:rPr>
        <w:t>.</w:t>
      </w:r>
      <w:r w:rsidRPr="00F90A9B">
        <w:rPr>
          <w:rFonts w:ascii="Times New Roman" w:hAnsi="Times New Roman"/>
          <w:sz w:val="22"/>
          <w:szCs w:val="22"/>
          <w:vertAlign w:val="superscript"/>
          <w:lang w:val="en-US"/>
        </w:rPr>
        <w:footnoteReference w:id="1"/>
      </w:r>
      <w:r w:rsidRPr="00F90A9B">
        <w:rPr>
          <w:rFonts w:ascii="Times New Roman" w:hAnsi="Times New Roman"/>
          <w:sz w:val="22"/>
          <w:szCs w:val="22"/>
          <w:lang w:val="en-US"/>
        </w:rPr>
        <w:t xml:space="preserve"> On the same page “using the best evidence available and without bias” is also mentioned. This might mean dealing with evidence in tightly controlled ways, and has been labelled </w:t>
      </w:r>
      <w:r w:rsidRPr="00F90A9B">
        <w:rPr>
          <w:rFonts w:ascii="Times New Roman" w:hAnsi="Times New Roman"/>
          <w:i/>
          <w:sz w:val="22"/>
          <w:szCs w:val="22"/>
          <w:lang w:val="en-US"/>
        </w:rPr>
        <w:t xml:space="preserve">procedural objectivity </w:t>
      </w:r>
      <w:r w:rsidRPr="00F90A9B">
        <w:rPr>
          <w:rFonts w:ascii="Times New Roman" w:hAnsi="Times New Roman"/>
          <w:sz w:val="22"/>
          <w:szCs w:val="22"/>
        </w:rPr>
        <w:fldChar w:fldCharType="begin"/>
      </w:r>
      <w:r w:rsidRPr="00F90A9B">
        <w:rPr>
          <w:rFonts w:ascii="Times New Roman" w:hAnsi="Times New Roman"/>
          <w:sz w:val="22"/>
          <w:szCs w:val="22"/>
        </w:rPr>
        <w:instrText>ADDIN BEC{Megill, 1994, #438}</w:instrText>
      </w:r>
      <w:r w:rsidRPr="00F90A9B">
        <w:rPr>
          <w:rFonts w:ascii="Times New Roman" w:hAnsi="Times New Roman"/>
          <w:sz w:val="22"/>
          <w:szCs w:val="22"/>
        </w:rPr>
        <w:fldChar w:fldCharType="separate"/>
      </w:r>
      <w:r w:rsidRPr="00F90A9B">
        <w:rPr>
          <w:rFonts w:ascii="Times New Roman" w:hAnsi="Times New Roman"/>
          <w:sz w:val="22"/>
          <w:szCs w:val="22"/>
        </w:rPr>
        <w:t>(Megill 1994)</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Lastly, </w:t>
      </w:r>
      <w:r w:rsidRPr="00F90A9B">
        <w:rPr>
          <w:rFonts w:ascii="Times New Roman" w:hAnsi="Times New Roman"/>
          <w:i/>
          <w:sz w:val="22"/>
          <w:szCs w:val="22"/>
          <w:lang w:val="en-US"/>
        </w:rPr>
        <w:t>Our Code</w:t>
      </w:r>
      <w:r w:rsidRPr="00F90A9B">
        <w:rPr>
          <w:rFonts w:ascii="Times New Roman" w:hAnsi="Times New Roman"/>
          <w:sz w:val="22"/>
          <w:szCs w:val="22"/>
          <w:lang w:val="en-US"/>
        </w:rPr>
        <w:t xml:space="preserve"> talks elsewhere about the importance of public trust and of a diversity of ideas, both of which have been suggested as defining features of objectivity; respectively known as </w:t>
      </w:r>
      <w:r w:rsidRPr="00F90A9B">
        <w:rPr>
          <w:rFonts w:ascii="Times New Roman" w:hAnsi="Times New Roman"/>
          <w:i/>
          <w:sz w:val="22"/>
          <w:szCs w:val="22"/>
          <w:lang w:val="en-US"/>
        </w:rPr>
        <w:t>instrumental</w:t>
      </w:r>
      <w:r w:rsidRPr="00F90A9B">
        <w:rPr>
          <w:rFonts w:ascii="Times New Roman" w:hAnsi="Times New Roman"/>
          <w:sz w:val="22"/>
          <w:szCs w:val="22"/>
          <w:lang w:val="en-US"/>
        </w:rPr>
        <w:t xml:space="preserve"> </w:t>
      </w:r>
      <w:r w:rsidRPr="00F90A9B">
        <w:rPr>
          <w:rFonts w:ascii="Times New Roman" w:hAnsi="Times New Roman"/>
          <w:sz w:val="22"/>
          <w:szCs w:val="22"/>
        </w:rPr>
        <w:fldChar w:fldCharType="begin"/>
      </w:r>
      <w:r w:rsidRPr="00F90A9B">
        <w:rPr>
          <w:rFonts w:ascii="Times New Roman" w:hAnsi="Times New Roman"/>
          <w:sz w:val="22"/>
          <w:szCs w:val="22"/>
        </w:rPr>
        <w:instrText>ADDIN BEC{Reiss and Sprenger, 2014, #33608}</w:instrText>
      </w:r>
      <w:r w:rsidRPr="00F90A9B">
        <w:rPr>
          <w:rFonts w:ascii="Times New Roman" w:hAnsi="Times New Roman"/>
          <w:sz w:val="22"/>
          <w:szCs w:val="22"/>
        </w:rPr>
        <w:fldChar w:fldCharType="separate"/>
      </w:r>
      <w:r w:rsidRPr="00F90A9B">
        <w:rPr>
          <w:rFonts w:ascii="Times New Roman" w:hAnsi="Times New Roman"/>
          <w:sz w:val="22"/>
          <w:szCs w:val="22"/>
        </w:rPr>
        <w:t>(Reiss and Sprenger 2014)</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and </w:t>
      </w:r>
      <w:r w:rsidRPr="00F90A9B">
        <w:rPr>
          <w:rFonts w:ascii="Times New Roman" w:hAnsi="Times New Roman"/>
          <w:i/>
          <w:sz w:val="22"/>
          <w:szCs w:val="22"/>
          <w:lang w:val="en-US"/>
        </w:rPr>
        <w:t xml:space="preserve">strong </w:t>
      </w:r>
      <w:r w:rsidRPr="00F90A9B">
        <w:rPr>
          <w:rFonts w:ascii="Times New Roman" w:hAnsi="Times New Roman"/>
          <w:sz w:val="22"/>
          <w:szCs w:val="22"/>
        </w:rPr>
        <w:fldChar w:fldCharType="begin"/>
      </w:r>
      <w:r w:rsidRPr="00F90A9B">
        <w:rPr>
          <w:rFonts w:ascii="Times New Roman" w:hAnsi="Times New Roman"/>
          <w:sz w:val="22"/>
          <w:szCs w:val="22"/>
        </w:rPr>
        <w:instrText>ADDIN BEC{Harding, 2015, #29749}</w:instrText>
      </w:r>
      <w:r w:rsidRPr="00F90A9B">
        <w:rPr>
          <w:rFonts w:ascii="Times New Roman" w:hAnsi="Times New Roman"/>
          <w:sz w:val="22"/>
          <w:szCs w:val="22"/>
        </w:rPr>
        <w:fldChar w:fldCharType="separate"/>
      </w:r>
      <w:r w:rsidRPr="00F90A9B">
        <w:rPr>
          <w:rFonts w:ascii="Times New Roman" w:hAnsi="Times New Roman"/>
          <w:sz w:val="22"/>
          <w:szCs w:val="22"/>
        </w:rPr>
        <w:t>(Harding 2015)</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objectivity. The Bank of England may not have intended to refer to any of these types of objectivity. But a clear statement of what they do mean is noticeably absent. Objectivity seems to be important to the bank, but the reader of </w:t>
      </w:r>
      <w:r w:rsidRPr="00F90A9B">
        <w:rPr>
          <w:rFonts w:ascii="Times New Roman" w:hAnsi="Times New Roman"/>
          <w:i/>
          <w:sz w:val="22"/>
          <w:szCs w:val="22"/>
          <w:lang w:val="en-US"/>
        </w:rPr>
        <w:t>Our Code</w:t>
      </w:r>
      <w:r w:rsidRPr="00F90A9B">
        <w:rPr>
          <w:rFonts w:ascii="Times New Roman" w:hAnsi="Times New Roman"/>
          <w:sz w:val="22"/>
          <w:szCs w:val="22"/>
          <w:lang w:val="en-US"/>
        </w:rPr>
        <w:t xml:space="preserve"> is left without knowing how the bank intends to be objective.</w:t>
      </w:r>
    </w:p>
    <w:p w14:paraId="3FD2B301"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1129F82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This issue is not confined to the Bank of England. Wildly different ideas of what it means to be </w:t>
      </w:r>
      <w:r w:rsidRPr="00F90A9B">
        <w:rPr>
          <w:rFonts w:ascii="Times New Roman" w:hAnsi="Times New Roman"/>
          <w:sz w:val="22"/>
          <w:szCs w:val="22"/>
          <w:lang w:val="en-US"/>
        </w:rPr>
        <w:lastRenderedPageBreak/>
        <w:t>objective are common throughout political, scientific, and public discourse. Historians and philosophers of science have not missed this multiplicity. They have noted transformations of ideals of objectivity over time, and they have noted a dramatic proliferation of senses of objectivity used today.</w:t>
      </w:r>
      <w:r w:rsidRPr="00F90A9B">
        <w:rPr>
          <w:rFonts w:ascii="Times New Roman" w:hAnsi="Times New Roman"/>
          <w:sz w:val="22"/>
          <w:szCs w:val="22"/>
          <w:vertAlign w:val="superscript"/>
          <w:lang w:val="en-US"/>
        </w:rPr>
        <w:footnoteReference w:id="2"/>
      </w:r>
      <w:r w:rsidRPr="00F90A9B">
        <w:rPr>
          <w:rFonts w:ascii="Times New Roman" w:hAnsi="Times New Roman"/>
          <w:sz w:val="22"/>
          <w:szCs w:val="22"/>
          <w:lang w:val="en-US"/>
        </w:rPr>
        <w:t xml:space="preserve"> As the Bank of England acknowledges, ascriptions of objectivity carry significant weight. But because it is not always clear what such ascriptions imply, references to objectivity can cause confusion, especially at the interface of politics and social science.</w:t>
      </w:r>
    </w:p>
    <w:p w14:paraId="1221618F"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25A874AE"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Faced with this confusion some philosophers have advocated that objectivity be eliminated. In §1. of this paper I will argue against one such position. I will argue that even though objectivity admits a plurality of both concrete and abstract interpretations, the abstraction entailed by using it is useful. This is because the concept helps to relate concrete practices to other practices and to general uses, goals and ideals, and because it supports methodological generalizations. I will then, in §2., propose a contextualist approach to objectivity as a way of rescuing what is useful about the concept while acknowledging its plurality and offering some clarifications for how to make use of objectivity.</w:t>
      </w:r>
    </w:p>
    <w:p w14:paraId="4A9106D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38C102FC" w14:textId="77777777" w:rsidR="00F90A9B" w:rsidRPr="00F90A9B" w:rsidRDefault="00F90A9B" w:rsidP="00F90A9B">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b/>
          <w:sz w:val="22"/>
          <w:szCs w:val="22"/>
          <w:lang w:val="en-US"/>
        </w:rPr>
      </w:pPr>
      <w:bookmarkStart w:id="1" w:name="1_Objectivity_under_pressure"/>
      <w:bookmarkEnd w:id="1"/>
      <w:r w:rsidRPr="00F90A9B">
        <w:rPr>
          <w:rFonts w:ascii="Times New Roman" w:hAnsi="Times New Roman"/>
          <w:b/>
          <w:sz w:val="22"/>
          <w:szCs w:val="22"/>
          <w:lang w:val="en-US"/>
        </w:rPr>
        <w:t>1. Objectivity under pressure</w:t>
      </w:r>
    </w:p>
    <w:p w14:paraId="5F9C47F3"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Ian Hacking </w:t>
      </w:r>
      <w:r w:rsidRPr="00F90A9B">
        <w:rPr>
          <w:rFonts w:ascii="Times New Roman" w:hAnsi="Times New Roman"/>
          <w:sz w:val="22"/>
          <w:szCs w:val="22"/>
        </w:rPr>
        <w:fldChar w:fldCharType="begin"/>
      </w:r>
      <w:r w:rsidRPr="00F90A9B">
        <w:rPr>
          <w:rFonts w:ascii="Times New Roman" w:hAnsi="Times New Roman"/>
          <w:sz w:val="22"/>
          <w:szCs w:val="22"/>
        </w:rPr>
        <w:instrText xml:space="preserve">ADDIN BEC{-Hacking, 2015, </w:instrText>
      </w:r>
      <w:r w:rsidRPr="00F90A9B">
        <w:rPr>
          <w:rFonts w:ascii="Times New Roman" w:hAnsi="Times New Roman"/>
          <w:sz w:val="22"/>
          <w:szCs w:val="22"/>
          <w:lang w:val="en-US"/>
        </w:rPr>
        <w:instrText>#89642}</w:instrText>
      </w:r>
      <w:r w:rsidRPr="00F90A9B">
        <w:rPr>
          <w:rFonts w:ascii="Times New Roman" w:hAnsi="Times New Roman"/>
          <w:sz w:val="22"/>
          <w:szCs w:val="22"/>
        </w:rPr>
        <w:fldChar w:fldCharType="separate"/>
      </w:r>
      <w:r w:rsidRPr="00F90A9B">
        <w:rPr>
          <w:rFonts w:ascii="Times New Roman" w:hAnsi="Times New Roman"/>
          <w:sz w:val="22"/>
          <w:szCs w:val="22"/>
        </w:rPr>
        <w:t>(2015)</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has argued that we</w:t>
      </w:r>
      <w:r w:rsidRPr="00F90A9B">
        <w:rPr>
          <w:rFonts w:ascii="Times New Roman" w:hAnsi="Times New Roman"/>
          <w:sz w:val="22"/>
          <w:szCs w:val="22"/>
          <w:vertAlign w:val="superscript"/>
          <w:lang w:val="en-US"/>
        </w:rPr>
        <w:footnoteReference w:id="3"/>
      </w:r>
      <w:r w:rsidRPr="00F90A9B">
        <w:rPr>
          <w:rFonts w:ascii="Times New Roman" w:hAnsi="Times New Roman"/>
          <w:sz w:val="22"/>
          <w:szCs w:val="22"/>
          <w:lang w:val="en-US"/>
        </w:rPr>
        <w:t xml:space="preserve"> should not talk about objectivity because doing so is not useful. Hacking argues that when we talk about objectivity we engage in abstract “second-story” questions about concepts like “whose research in climate science meets the standards of scientific objectivity?” (20). These are contrasted with “ground-level” questions, which focus on specific “facts” like “can we trust medical research when it is funded by pharmaceutical companies?” Because they focus on abstract concepts (‘is X objective?’), as opposed to specific conditions (‘is X blind peer reviewed?’), second-story questions are further away from concrete issues than ground-level </w:t>
      </w:r>
      <w:r w:rsidRPr="00F90A9B">
        <w:rPr>
          <w:rFonts w:ascii="Times New Roman" w:hAnsi="Times New Roman"/>
          <w:sz w:val="22"/>
          <w:szCs w:val="22"/>
          <w:lang w:val="en-US"/>
        </w:rPr>
        <w:lastRenderedPageBreak/>
        <w:t>quest</w:t>
      </w:r>
      <w:r w:rsidRPr="005B157D">
        <w:rPr>
          <w:rFonts w:ascii="Times New Roman" w:hAnsi="Times New Roman"/>
          <w:sz w:val="22"/>
          <w:szCs w:val="22"/>
          <w:lang w:val="en-US"/>
        </w:rPr>
        <w:t>ions. According to Hacking the fact that objectivity is an abstract concept means that questions that involve it are second-story questions. Obje</w:t>
      </w:r>
      <w:r w:rsidRPr="00F90A9B">
        <w:rPr>
          <w:rFonts w:ascii="Times New Roman" w:hAnsi="Times New Roman"/>
          <w:sz w:val="22"/>
          <w:szCs w:val="22"/>
          <w:lang w:val="en-US"/>
        </w:rPr>
        <w:t>ctivity is an “elevator word” that takes us from the ground-level to the second-story, it takes us from questions about things to questions about concepts and statements. Hacking argues that we should not talk about objectivity because “ascending to the second-story and posing a question in terms of scientific objectivity does nothing to help us with” ground-level questions.</w:t>
      </w:r>
      <w:r w:rsidRPr="00F90A9B">
        <w:rPr>
          <w:rFonts w:ascii="Times New Roman" w:hAnsi="Times New Roman"/>
          <w:sz w:val="22"/>
          <w:szCs w:val="22"/>
          <w:vertAlign w:val="superscript"/>
          <w:lang w:val="en-US"/>
        </w:rPr>
        <w:footnoteReference w:id="4"/>
      </w:r>
    </w:p>
    <w:p w14:paraId="09811D48"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394D0B21"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Hacking’s argument can be summarized as:</w:t>
      </w:r>
    </w:p>
    <w:p w14:paraId="5BB0BEC3" w14:textId="77777777" w:rsidR="00F90A9B" w:rsidRPr="00F90A9B" w:rsidRDefault="00F90A9B" w:rsidP="00F90A9B">
      <w:pPr>
        <w:numPr>
          <w:ilvl w:val="0"/>
          <w:numId w:val="1"/>
        </w:numPr>
        <w:tabs>
          <w:tab w:val="left" w:pos="220"/>
          <w:tab w:val="left" w:pos="720"/>
          <w:tab w:val="left" w:pos="1440"/>
          <w:tab w:val="left" w:pos="2160"/>
          <w:tab w:val="left" w:pos="2880"/>
          <w:tab w:val="left" w:pos="3600"/>
          <w:tab w:val="left" w:pos="4320"/>
        </w:tabs>
        <w:spacing w:line="480" w:lineRule="auto"/>
        <w:ind w:hanging="500"/>
        <w:rPr>
          <w:rFonts w:ascii="Times New Roman" w:hAnsi="Times New Roman"/>
          <w:sz w:val="22"/>
          <w:szCs w:val="22"/>
          <w:lang w:val="en-US"/>
        </w:rPr>
      </w:pPr>
      <w:r w:rsidRPr="00F90A9B">
        <w:rPr>
          <w:rFonts w:ascii="Times New Roman" w:hAnsi="Times New Roman"/>
          <w:sz w:val="22"/>
          <w:szCs w:val="22"/>
          <w:lang w:val="en-US"/>
        </w:rPr>
        <w:t>Talking about objectivity amounts to talking on the second-story, questions about objectivity are second-story questions</w:t>
      </w:r>
    </w:p>
    <w:p w14:paraId="26932D83" w14:textId="77777777" w:rsidR="00F90A9B" w:rsidRPr="00F90A9B" w:rsidRDefault="00F90A9B" w:rsidP="00F90A9B">
      <w:pPr>
        <w:numPr>
          <w:ilvl w:val="0"/>
          <w:numId w:val="1"/>
        </w:numPr>
        <w:tabs>
          <w:tab w:val="left" w:pos="220"/>
          <w:tab w:val="left" w:pos="720"/>
          <w:tab w:val="left" w:pos="1440"/>
          <w:tab w:val="left" w:pos="2160"/>
          <w:tab w:val="left" w:pos="2880"/>
          <w:tab w:val="left" w:pos="3600"/>
          <w:tab w:val="left" w:pos="4320"/>
        </w:tabs>
        <w:spacing w:line="480" w:lineRule="auto"/>
        <w:ind w:hanging="500"/>
        <w:rPr>
          <w:rFonts w:ascii="Times New Roman" w:hAnsi="Times New Roman"/>
          <w:sz w:val="22"/>
          <w:szCs w:val="22"/>
          <w:lang w:val="en-US"/>
        </w:rPr>
      </w:pPr>
      <w:r w:rsidRPr="00F90A9B">
        <w:rPr>
          <w:rFonts w:ascii="Times New Roman" w:hAnsi="Times New Roman"/>
          <w:sz w:val="22"/>
          <w:szCs w:val="22"/>
          <w:lang w:val="en-US"/>
        </w:rPr>
        <w:t>It is ground-level questions that matter</w:t>
      </w:r>
    </w:p>
    <w:p w14:paraId="7745B8ED" w14:textId="77777777" w:rsidR="00F90A9B" w:rsidRPr="00F90A9B" w:rsidRDefault="00F90A9B" w:rsidP="00F90A9B">
      <w:pPr>
        <w:numPr>
          <w:ilvl w:val="0"/>
          <w:numId w:val="1"/>
        </w:numPr>
        <w:tabs>
          <w:tab w:val="left" w:pos="220"/>
          <w:tab w:val="left" w:pos="720"/>
          <w:tab w:val="left" w:pos="1440"/>
          <w:tab w:val="left" w:pos="2160"/>
          <w:tab w:val="left" w:pos="2880"/>
          <w:tab w:val="left" w:pos="3600"/>
          <w:tab w:val="left" w:pos="4320"/>
        </w:tabs>
        <w:spacing w:line="480" w:lineRule="auto"/>
        <w:ind w:hanging="500"/>
        <w:rPr>
          <w:rFonts w:ascii="Times New Roman" w:hAnsi="Times New Roman"/>
          <w:sz w:val="22"/>
          <w:szCs w:val="22"/>
          <w:lang w:val="en-US"/>
        </w:rPr>
      </w:pPr>
      <w:r w:rsidRPr="00F90A9B">
        <w:rPr>
          <w:rFonts w:ascii="Times New Roman" w:hAnsi="Times New Roman"/>
          <w:sz w:val="22"/>
          <w:szCs w:val="22"/>
          <w:lang w:val="en-US"/>
        </w:rPr>
        <w:t>Talking on the second-story does not help us with ground-level questions</w:t>
      </w:r>
    </w:p>
    <w:p w14:paraId="48D46118" w14:textId="77777777" w:rsidR="00F90A9B" w:rsidRPr="00F90A9B" w:rsidRDefault="00F90A9B" w:rsidP="00F90A9B">
      <w:pPr>
        <w:tabs>
          <w:tab w:val="left" w:pos="220"/>
          <w:tab w:val="left" w:pos="720"/>
          <w:tab w:val="left" w:pos="1440"/>
          <w:tab w:val="left" w:pos="2160"/>
          <w:tab w:val="left" w:pos="2880"/>
          <w:tab w:val="left" w:pos="3600"/>
          <w:tab w:val="left" w:pos="4320"/>
        </w:tabs>
        <w:spacing w:line="480" w:lineRule="auto"/>
        <w:ind w:left="220"/>
        <w:rPr>
          <w:rFonts w:ascii="Times New Roman" w:hAnsi="Times New Roman"/>
          <w:sz w:val="22"/>
          <w:szCs w:val="22"/>
          <w:lang w:val="en-US"/>
        </w:rPr>
      </w:pPr>
      <w:r w:rsidRPr="00F90A9B">
        <w:rPr>
          <w:rFonts w:ascii="Times New Roman" w:hAnsi="Times New Roman"/>
          <w:sz w:val="22"/>
          <w:szCs w:val="22"/>
          <w:lang w:val="en-US"/>
        </w:rPr>
        <w:t>C:</w:t>
      </w:r>
      <w:r w:rsidRPr="00F90A9B">
        <w:rPr>
          <w:rFonts w:ascii="Times New Roman" w:hAnsi="Times New Roman"/>
          <w:sz w:val="22"/>
          <w:szCs w:val="22"/>
          <w:lang w:val="en-US"/>
        </w:rPr>
        <w:tab/>
        <w:t>We should not talk about objectivity</w:t>
      </w:r>
    </w:p>
    <w:p w14:paraId="169DBF72"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3CC63734"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i/>
          <w:sz w:val="22"/>
          <w:szCs w:val="22"/>
          <w:lang w:val="en-US"/>
        </w:rPr>
      </w:pPr>
      <w:r w:rsidRPr="00F90A9B">
        <w:rPr>
          <w:rFonts w:ascii="Times New Roman" w:hAnsi="Times New Roman"/>
          <w:sz w:val="22"/>
          <w:szCs w:val="22"/>
          <w:lang w:val="en-US"/>
        </w:rPr>
        <w:t>Although there may be objections to the coherence of the ground-level/second-story distinction, or to the assertion that talking about objectivity amounts to talking on the second-story, I will assume P1. P2 is an unstated assumption that Hacking makes to give his argument normative force. I will assume it for now, but what I will say will partly undermine it. My main focus will be on P3: talking on the second-story does not help ground-level questions.</w:t>
      </w:r>
    </w:p>
    <w:p w14:paraId="1B40A7F9"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i/>
          <w:sz w:val="22"/>
          <w:szCs w:val="22"/>
          <w:lang w:val="en-US"/>
        </w:rPr>
      </w:pPr>
    </w:p>
    <w:p w14:paraId="1A78CC62"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In support of P3, Hacking argues that useful practices that relate to objectivity—like quantification—grew out of “bumbling public good sense” (21) rather than highly abstract philosophy that talked about objectivity. He uses Theodore Porter’s </w:t>
      </w:r>
      <w:r w:rsidRPr="00F90A9B">
        <w:rPr>
          <w:rFonts w:ascii="Times New Roman" w:hAnsi="Times New Roman"/>
          <w:i/>
          <w:sz w:val="22"/>
          <w:szCs w:val="22"/>
          <w:lang w:val="en-US"/>
        </w:rPr>
        <w:t xml:space="preserve">Trust in Numbers </w:t>
      </w:r>
      <w:r w:rsidRPr="00F90A9B">
        <w:rPr>
          <w:rFonts w:ascii="Times New Roman" w:hAnsi="Times New Roman"/>
          <w:sz w:val="22"/>
          <w:szCs w:val="22"/>
        </w:rPr>
        <w:fldChar w:fldCharType="begin"/>
      </w:r>
      <w:r w:rsidRPr="00F90A9B">
        <w:rPr>
          <w:rFonts w:ascii="Times New Roman" w:hAnsi="Times New Roman"/>
          <w:sz w:val="22"/>
          <w:szCs w:val="22"/>
        </w:rPr>
        <w:instrText>ADDIN BEC{-Porter, 1996, #277}</w:instrText>
      </w:r>
      <w:r w:rsidRPr="00F90A9B">
        <w:rPr>
          <w:rFonts w:ascii="Times New Roman" w:hAnsi="Times New Roman"/>
          <w:sz w:val="22"/>
          <w:szCs w:val="22"/>
        </w:rPr>
        <w:fldChar w:fldCharType="separate"/>
      </w:r>
      <w:r w:rsidRPr="00F90A9B">
        <w:rPr>
          <w:rFonts w:ascii="Times New Roman" w:hAnsi="Times New Roman"/>
          <w:sz w:val="22"/>
          <w:szCs w:val="22"/>
        </w:rPr>
        <w:t>(1996)</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to back up this claim. Hacking reads Porter as showing that public quantification arose from a practically motivated iterative process based on the idea that we can trust numbers when we cannot trust people, not because they are more objective. Hacking also draws on Lorraine Daston and Peter Galison’s </w:t>
      </w:r>
      <w:r w:rsidRPr="00F90A9B">
        <w:rPr>
          <w:rFonts w:ascii="Times New Roman" w:hAnsi="Times New Roman"/>
          <w:sz w:val="22"/>
          <w:szCs w:val="22"/>
        </w:rPr>
        <w:fldChar w:fldCharType="begin"/>
      </w:r>
      <w:r w:rsidRPr="00F90A9B">
        <w:rPr>
          <w:rFonts w:ascii="Times New Roman" w:hAnsi="Times New Roman"/>
          <w:sz w:val="22"/>
          <w:szCs w:val="22"/>
        </w:rPr>
        <w:instrText>ADDIN BEC{-Daston and Galison, 2008, #405}</w:instrText>
      </w:r>
      <w:r w:rsidRPr="00F90A9B">
        <w:rPr>
          <w:rFonts w:ascii="Times New Roman" w:hAnsi="Times New Roman"/>
          <w:sz w:val="22"/>
          <w:szCs w:val="22"/>
        </w:rPr>
        <w:fldChar w:fldCharType="separate"/>
      </w:r>
      <w:r w:rsidRPr="00F90A9B">
        <w:rPr>
          <w:rFonts w:ascii="Times New Roman" w:hAnsi="Times New Roman"/>
          <w:sz w:val="22"/>
          <w:szCs w:val="22"/>
        </w:rPr>
        <w:t>(2008)</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w:t>
      </w:r>
      <w:r w:rsidRPr="00F90A9B">
        <w:rPr>
          <w:rFonts w:ascii="Times New Roman" w:hAnsi="Times New Roman"/>
          <w:sz w:val="22"/>
          <w:szCs w:val="22"/>
          <w:lang w:val="en-US"/>
        </w:rPr>
        <w:lastRenderedPageBreak/>
        <w:t>recent work on the history of objectivity to argue that we sh</w:t>
      </w:r>
      <w:r w:rsidRPr="005B157D">
        <w:rPr>
          <w:rFonts w:ascii="Times New Roman" w:hAnsi="Times New Roman"/>
          <w:sz w:val="22"/>
          <w:szCs w:val="22"/>
          <w:lang w:val="en-US"/>
        </w:rPr>
        <w:t>ould focus on the absence of specifi</w:t>
      </w:r>
      <w:r w:rsidRPr="00F90A9B">
        <w:rPr>
          <w:rFonts w:ascii="Times New Roman" w:hAnsi="Times New Roman"/>
          <w:sz w:val="22"/>
          <w:szCs w:val="22"/>
          <w:lang w:val="en-US"/>
        </w:rPr>
        <w:t>c vices as opposed to lofty ideals like objectivity. This is because it is specific vices—not allowing one’s interests to intervene in research, not ignoring evidence, or not proceeding by whim—that do any useful normative work when people talk about objectivity.</w:t>
      </w:r>
    </w:p>
    <w:p w14:paraId="274585A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3125E88F"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To this Hacking adds analysis of a specific case: the proceedings of a </w:t>
      </w:r>
      <w:r w:rsidRPr="00F90A9B">
        <w:rPr>
          <w:rFonts w:ascii="Times New Roman" w:hAnsi="Times New Roman"/>
          <w:i/>
          <w:sz w:val="22"/>
          <w:szCs w:val="22"/>
          <w:lang w:val="en-US"/>
        </w:rPr>
        <w:t>Commission of Inquiry into the Decline of Sockeye Salmon in the Fraser River</w:t>
      </w:r>
      <w:r w:rsidRPr="00F90A9B">
        <w:rPr>
          <w:rFonts w:ascii="Times New Roman" w:hAnsi="Times New Roman"/>
          <w:sz w:val="22"/>
          <w:szCs w:val="22"/>
          <w:lang w:val="en-US"/>
        </w:rPr>
        <w:t>. Searching the commission’s documents, Hacking notes that the term ‘objectivity’ is not often used. Furthermore, when it is used it is either in reference to philosophers or in line with Hacking’s interpretation that objectivity is really just the avoidance of a collection of vices. From this Hacking argues that in practical debates people bumble through with their focus on contextually specific reasons and justifications without needing to reach for objectivity.</w:t>
      </w:r>
    </w:p>
    <w:p w14:paraId="16577DF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3587E8D6"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Hacking concludes that any useful practices that seem to relate to objectivity have nothing to do with the general concept and more to do with contextually specific factors or vices. Thus, instead of talking about objectivity Hacking thinks we should focus on the merits of specific practices, challenge individual numbers, and “get some facts” (28).</w:t>
      </w:r>
    </w:p>
    <w:p w14:paraId="39FC2280"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18C44A4A"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b/>
          <w:sz w:val="22"/>
          <w:szCs w:val="22"/>
          <w:lang w:val="en-US"/>
        </w:rPr>
      </w:pPr>
      <w:bookmarkStart w:id="2" w:name="11_Abstraction"/>
      <w:bookmarkEnd w:id="2"/>
      <w:r w:rsidRPr="00F90A9B">
        <w:rPr>
          <w:rFonts w:ascii="Times New Roman" w:hAnsi="Times New Roman"/>
          <w:b/>
          <w:sz w:val="22"/>
          <w:szCs w:val="22"/>
          <w:lang w:val="en-US"/>
        </w:rPr>
        <w:t>1.1. Abstraction</w:t>
      </w:r>
    </w:p>
    <w:p w14:paraId="3D62BECB"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sz w:val="22"/>
          <w:szCs w:val="22"/>
          <w:lang w:val="en-US"/>
        </w:rPr>
      </w:pPr>
    </w:p>
    <w:p w14:paraId="103E3748"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One can agree with large parts of Hacking’s argument without agreeing that we should not talk about objectivity. Hacking draws appropriate conclusions from Daston and Galison and Porter that objectivity often appears as the absence of certain vices and that it is not always a factor in the development of important techniques (like quantification). And, his point that talking about specifics is important can be taken on board. None of this though necessitates the conclusion that we should not talk about objectivity.</w:t>
      </w:r>
    </w:p>
    <w:p w14:paraId="3DDB8E36"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2AEB8B47"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P3 is a big claim about the relationship between abstract and concrete reasoning disguised as a simple common sense premise. In support of P3 Hacking gives a few examples of ground-level issues </w:t>
      </w:r>
      <w:r w:rsidRPr="00F90A9B">
        <w:rPr>
          <w:rFonts w:ascii="Times New Roman" w:hAnsi="Times New Roman"/>
          <w:sz w:val="22"/>
          <w:szCs w:val="22"/>
          <w:lang w:val="en-US"/>
        </w:rPr>
        <w:lastRenderedPageBreak/>
        <w:t xml:space="preserve">that are muddled through or plausibly best approached without mentioning ‘objectivity’. But, because P3 cannot be verified from a few certifying instances, at best these examples only show that there exist cases where ground-level issues are not helped by certain kinds of second-story questions (those related to objectivity). They do not show that ground-level issues are never helped by talking about objectivity or that talking on the second-story (in general, as opposed to just with reference to objectivity) does not help ground-level questions (i.e., P3). Thus, Hacking’s examples can be accepted without accepting the general validity of P3 and while rejecting his conclusion that we should not talk about objectivity. Assuming that talking about objectivity is talking on the second-story (i.e., P1), all that would be required to reject P3 are cases in which taking about objectivity (or indeed other second-story concepts) </w:t>
      </w:r>
      <w:r w:rsidRPr="00F90A9B">
        <w:rPr>
          <w:rFonts w:ascii="Times New Roman" w:hAnsi="Times New Roman"/>
          <w:i/>
          <w:sz w:val="22"/>
          <w:szCs w:val="22"/>
          <w:lang w:val="en-US"/>
        </w:rPr>
        <w:t>does</w:t>
      </w:r>
      <w:r w:rsidRPr="00F90A9B">
        <w:rPr>
          <w:rFonts w:ascii="Times New Roman" w:hAnsi="Times New Roman"/>
          <w:sz w:val="22"/>
          <w:szCs w:val="22"/>
          <w:lang w:val="en-US"/>
        </w:rPr>
        <w:t xml:space="preserve"> help with ground-level questions.</w:t>
      </w:r>
    </w:p>
    <w:p w14:paraId="294AFE9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3D156129"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In place of talking about objectivity, Hacking thinks that we should focus on the merits of specific practices. We should, for example, “argue the merits of evidence-based medicine” (26) rather than talk about its objectivity. This, however, ignores the role that objectivity can play in assessing the merits of specific practices. On the face of it, methodological controversies all over the sciences are rife with references to objectivity. Contrary to Hacking’s advice, objectivity is one of the key concepts doctor-philosophers like Jeremy Howick </w:t>
      </w:r>
      <w:r w:rsidRPr="00F90A9B">
        <w:rPr>
          <w:rFonts w:ascii="Times New Roman" w:hAnsi="Times New Roman"/>
          <w:sz w:val="22"/>
          <w:szCs w:val="22"/>
        </w:rPr>
        <w:fldChar w:fldCharType="begin"/>
      </w:r>
      <w:r w:rsidRPr="00F90A9B">
        <w:rPr>
          <w:rFonts w:ascii="Times New Roman" w:hAnsi="Times New Roman"/>
          <w:sz w:val="22"/>
          <w:szCs w:val="22"/>
        </w:rPr>
        <w:instrText>ADDIN BEC{-Howick, 2011, #22259}</w:instrText>
      </w:r>
      <w:r w:rsidRPr="00F90A9B">
        <w:rPr>
          <w:rFonts w:ascii="Times New Roman" w:hAnsi="Times New Roman"/>
          <w:sz w:val="22"/>
          <w:szCs w:val="22"/>
        </w:rPr>
        <w:fldChar w:fldCharType="separate"/>
      </w:r>
      <w:r w:rsidRPr="00F90A9B">
        <w:rPr>
          <w:rFonts w:ascii="Times New Roman" w:hAnsi="Times New Roman"/>
          <w:sz w:val="22"/>
          <w:szCs w:val="22"/>
        </w:rPr>
        <w:t>(2011)</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and Trisha Greenhalgh </w:t>
      </w:r>
      <w:r w:rsidRPr="00F90A9B">
        <w:rPr>
          <w:rFonts w:ascii="Times New Roman" w:hAnsi="Times New Roman"/>
          <w:sz w:val="22"/>
          <w:szCs w:val="22"/>
        </w:rPr>
        <w:fldChar w:fldCharType="begin"/>
      </w:r>
      <w:r w:rsidRPr="00F90A9B">
        <w:rPr>
          <w:rFonts w:ascii="Times New Roman" w:hAnsi="Times New Roman"/>
          <w:sz w:val="22"/>
          <w:szCs w:val="22"/>
        </w:rPr>
        <w:instrText>ADDIN BEC{-Greenhalgh, 1999, #12136}</w:instrText>
      </w:r>
      <w:r w:rsidRPr="00F90A9B">
        <w:rPr>
          <w:rFonts w:ascii="Times New Roman" w:hAnsi="Times New Roman"/>
          <w:sz w:val="22"/>
          <w:szCs w:val="22"/>
        </w:rPr>
        <w:fldChar w:fldCharType="separate"/>
      </w:r>
      <w:r w:rsidRPr="00F90A9B">
        <w:rPr>
          <w:rFonts w:ascii="Times New Roman" w:hAnsi="Times New Roman"/>
          <w:sz w:val="22"/>
          <w:szCs w:val="22"/>
        </w:rPr>
        <w:t>(1999)</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use to argue about the merits of evidence-based medicine. And objectivity figures in justifications of value-laden scientific practices by Anna </w:t>
      </w:r>
      <w:r w:rsidRPr="00F90A9B">
        <w:rPr>
          <w:rFonts w:ascii="Times New Roman" w:hAnsi="Times New Roman"/>
          <w:sz w:val="22"/>
          <w:szCs w:val="22"/>
        </w:rPr>
        <w:fldChar w:fldCharType="begin"/>
      </w:r>
      <w:r w:rsidRPr="00F90A9B">
        <w:rPr>
          <w:rFonts w:ascii="Times New Roman" w:hAnsi="Times New Roman"/>
          <w:sz w:val="22"/>
          <w:szCs w:val="22"/>
        </w:rPr>
        <w:instrText>ADDIN BEC{^Alexandrova, 2017, #56795}</w:instrText>
      </w:r>
      <w:r w:rsidRPr="00F90A9B">
        <w:rPr>
          <w:rFonts w:ascii="Times New Roman" w:hAnsi="Times New Roman"/>
          <w:sz w:val="22"/>
          <w:szCs w:val="22"/>
        </w:rPr>
        <w:fldChar w:fldCharType="separate"/>
      </w:r>
      <w:r w:rsidRPr="00F90A9B">
        <w:rPr>
          <w:rFonts w:ascii="Times New Roman" w:hAnsi="Times New Roman"/>
          <w:sz w:val="22"/>
          <w:szCs w:val="22"/>
        </w:rPr>
        <w:t>Alexandrova (2017)</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and Elizabeth </w:t>
      </w:r>
      <w:r w:rsidRPr="00F90A9B">
        <w:rPr>
          <w:rFonts w:ascii="Times New Roman" w:hAnsi="Times New Roman"/>
          <w:sz w:val="22"/>
          <w:szCs w:val="22"/>
        </w:rPr>
        <w:fldChar w:fldCharType="begin"/>
      </w:r>
      <w:r w:rsidRPr="00F90A9B">
        <w:rPr>
          <w:rFonts w:ascii="Times New Roman" w:hAnsi="Times New Roman"/>
          <w:sz w:val="22"/>
          <w:szCs w:val="22"/>
        </w:rPr>
        <w:instrText>ADDIN BEC{^Anderson, 2004, #28144}</w:instrText>
      </w:r>
      <w:r w:rsidRPr="00F90A9B">
        <w:rPr>
          <w:rFonts w:ascii="Times New Roman" w:hAnsi="Times New Roman"/>
          <w:sz w:val="22"/>
          <w:szCs w:val="22"/>
        </w:rPr>
        <w:fldChar w:fldCharType="separate"/>
      </w:r>
      <w:r w:rsidRPr="00F90A9B">
        <w:rPr>
          <w:rFonts w:ascii="Times New Roman" w:hAnsi="Times New Roman"/>
          <w:sz w:val="22"/>
          <w:szCs w:val="22"/>
        </w:rPr>
        <w:t>Anderson (2004)</w:t>
      </w:r>
      <w:r w:rsidRPr="00F90A9B">
        <w:rPr>
          <w:rFonts w:ascii="Times New Roman" w:hAnsi="Times New Roman"/>
          <w:sz w:val="22"/>
          <w:szCs w:val="22"/>
        </w:rPr>
        <w:fldChar w:fldCharType="end"/>
      </w:r>
      <w:r w:rsidRPr="00F90A9B">
        <w:rPr>
          <w:rFonts w:ascii="Times New Roman" w:hAnsi="Times New Roman"/>
          <w:sz w:val="22"/>
          <w:szCs w:val="22"/>
          <w:lang w:val="en-US"/>
        </w:rPr>
        <w:t>. In each of those cases objectivity is the locution used to assess and propose changes to concrete practices or to propose new approaches to general practices of causal inference and measurement. For all of them Hacking’s verdict would have to be: the references to objectivity are merely words and they can be replaced. In the rest of this section I will counter this by arguing that the references to objectivity do real work.</w:t>
      </w:r>
    </w:p>
    <w:p w14:paraId="783D4339"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6148E009"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Hacking thinks that referring to objectivity when discussing the merits of a particular practice unhelpfully abstracts from that practice. I agree that references to objectivity involve abstraction, but argue that such </w:t>
      </w:r>
      <w:r w:rsidRPr="00F356E7">
        <w:rPr>
          <w:rFonts w:ascii="Times New Roman" w:hAnsi="Times New Roman"/>
          <w:sz w:val="22"/>
          <w:szCs w:val="22"/>
          <w:lang w:val="en-US"/>
        </w:rPr>
        <w:t>abstraction is helpful for two reasons. Firstly,</w:t>
      </w:r>
      <w:r w:rsidRPr="00F90A9B">
        <w:rPr>
          <w:rFonts w:ascii="Times New Roman" w:hAnsi="Times New Roman"/>
          <w:sz w:val="22"/>
          <w:szCs w:val="22"/>
          <w:lang w:val="en-US"/>
        </w:rPr>
        <w:t xml:space="preserve"> objectivity acts as a </w:t>
      </w:r>
      <w:r w:rsidRPr="00F90A9B">
        <w:rPr>
          <w:rFonts w:ascii="Times New Roman" w:hAnsi="Times New Roman"/>
          <w:i/>
          <w:sz w:val="22"/>
          <w:szCs w:val="22"/>
          <w:lang w:val="en-US"/>
        </w:rPr>
        <w:t>relational category</w:t>
      </w:r>
      <w:r w:rsidRPr="00F90A9B">
        <w:rPr>
          <w:rFonts w:ascii="Times New Roman" w:hAnsi="Times New Roman"/>
          <w:sz w:val="22"/>
          <w:szCs w:val="22"/>
          <w:lang w:val="en-US"/>
        </w:rPr>
        <w:t xml:space="preserve">. By this I mean that the abstraction involved in talking about objectivity helps to relate practices to </w:t>
      </w:r>
      <w:r w:rsidRPr="00F90A9B">
        <w:rPr>
          <w:rFonts w:ascii="Times New Roman" w:hAnsi="Times New Roman"/>
          <w:sz w:val="22"/>
          <w:szCs w:val="22"/>
          <w:lang w:val="en-US"/>
        </w:rPr>
        <w:lastRenderedPageBreak/>
        <w:t xml:space="preserve">other practices and to the abstract uses, goals, ideals, and types of practices associated with types of objectivity. Secondly, objectivity can help support </w:t>
      </w:r>
      <w:r w:rsidRPr="00F90A9B">
        <w:rPr>
          <w:rFonts w:ascii="Times New Roman" w:hAnsi="Times New Roman"/>
          <w:i/>
          <w:sz w:val="22"/>
          <w:szCs w:val="22"/>
          <w:lang w:val="en-US"/>
        </w:rPr>
        <w:t>methodological generalizations</w:t>
      </w:r>
      <w:r w:rsidRPr="00F90A9B">
        <w:rPr>
          <w:rFonts w:ascii="Times New Roman" w:hAnsi="Times New Roman"/>
          <w:sz w:val="22"/>
          <w:szCs w:val="22"/>
          <w:lang w:val="en-US"/>
        </w:rPr>
        <w:t>.</w:t>
      </w:r>
    </w:p>
    <w:p w14:paraId="43C79CB3"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5BD35A4A"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i/>
          <w:sz w:val="22"/>
          <w:szCs w:val="22"/>
          <w:lang w:val="en-US"/>
        </w:rPr>
      </w:pPr>
      <w:bookmarkStart w:id="3" w:name="111_A_relational_category"/>
      <w:bookmarkEnd w:id="3"/>
      <w:r w:rsidRPr="00F90A9B">
        <w:rPr>
          <w:rFonts w:ascii="Times New Roman" w:hAnsi="Times New Roman"/>
          <w:i/>
          <w:sz w:val="22"/>
          <w:szCs w:val="22"/>
          <w:lang w:val="en-US"/>
        </w:rPr>
        <w:t>1.1.1. A relational category</w:t>
      </w:r>
    </w:p>
    <w:p w14:paraId="563BABDD"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sz w:val="22"/>
          <w:szCs w:val="22"/>
          <w:lang w:val="en-US"/>
        </w:rPr>
      </w:pPr>
    </w:p>
    <w:p w14:paraId="4A3D151A"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Philosophers and historians of science typically discuss different types of objectivity by referring to the practices they involve (described abstractly and with concrete examples), their uses, and their goals, and often also relate them to normative ideals </w:t>
      </w:r>
      <w:r w:rsidRPr="00F90A9B">
        <w:rPr>
          <w:rFonts w:ascii="Times New Roman" w:hAnsi="Times New Roman"/>
          <w:sz w:val="22"/>
          <w:szCs w:val="22"/>
        </w:rPr>
        <w:fldChar w:fldCharType="begin"/>
      </w:r>
      <w:r w:rsidRPr="00F90A9B">
        <w:rPr>
          <w:rFonts w:ascii="Times New Roman" w:hAnsi="Times New Roman"/>
          <w:sz w:val="22"/>
          <w:szCs w:val="22"/>
        </w:rPr>
        <w:instrText>ADDIN BEC{Douglas, 2004, #75233; Janack, 2002, #21432}</w:instrText>
      </w:r>
      <w:r w:rsidRPr="00F90A9B">
        <w:rPr>
          <w:rFonts w:ascii="Times New Roman" w:hAnsi="Times New Roman"/>
          <w:sz w:val="22"/>
          <w:szCs w:val="22"/>
        </w:rPr>
        <w:fldChar w:fldCharType="separate"/>
      </w:r>
      <w:r w:rsidRPr="00F90A9B">
        <w:rPr>
          <w:rFonts w:ascii="Times New Roman" w:hAnsi="Times New Roman"/>
          <w:sz w:val="22"/>
          <w:szCs w:val="22"/>
        </w:rPr>
        <w:t>(Douglas 2004; Janack 2002)</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The goal of value-freedom, for example, is sometimes characterized as ensuring that knowledge or decisions are acceptable to those with different values </w:t>
      </w:r>
      <w:r w:rsidRPr="00F90A9B">
        <w:rPr>
          <w:rFonts w:ascii="Times New Roman" w:hAnsi="Times New Roman"/>
          <w:sz w:val="22"/>
          <w:szCs w:val="22"/>
        </w:rPr>
        <w:fldChar w:fldCharType="begin"/>
      </w:r>
      <w:r w:rsidRPr="00F90A9B">
        <w:rPr>
          <w:rFonts w:ascii="Times New Roman" w:hAnsi="Times New Roman"/>
          <w:sz w:val="22"/>
          <w:szCs w:val="22"/>
        </w:rPr>
        <w:instrText>ADDIN BEC{Kincaid et al., 2007, #12331}</w:instrText>
      </w:r>
      <w:r w:rsidRPr="00F90A9B">
        <w:rPr>
          <w:rFonts w:ascii="Times New Roman" w:hAnsi="Times New Roman"/>
          <w:sz w:val="22"/>
          <w:szCs w:val="22"/>
        </w:rPr>
        <w:fldChar w:fldCharType="separate"/>
      </w:r>
      <w:r w:rsidRPr="00F90A9B">
        <w:rPr>
          <w:rFonts w:ascii="Times New Roman" w:hAnsi="Times New Roman"/>
          <w:sz w:val="22"/>
          <w:szCs w:val="22"/>
        </w:rPr>
        <w:t>(Kincaid, Dupré, and Wylie 2007)</w:t>
      </w:r>
      <w:r w:rsidRPr="00F90A9B">
        <w:rPr>
          <w:rFonts w:ascii="Times New Roman" w:hAnsi="Times New Roman"/>
          <w:sz w:val="22"/>
          <w:szCs w:val="22"/>
        </w:rPr>
        <w:fldChar w:fldCharType="end"/>
      </w:r>
      <w:r w:rsidRPr="00F90A9B">
        <w:rPr>
          <w:rFonts w:ascii="Times New Roman" w:hAnsi="Times New Roman"/>
          <w:sz w:val="22"/>
          <w:szCs w:val="22"/>
          <w:lang w:val="en-US"/>
        </w:rPr>
        <w:t>. Various abstract and concrete practices have been suggested to ensure that knowledge or decisions do not assume the value judgements of those that create them.</w:t>
      </w:r>
      <w:r w:rsidRPr="00F90A9B">
        <w:rPr>
          <w:rFonts w:ascii="Times New Roman" w:hAnsi="Times New Roman"/>
          <w:sz w:val="22"/>
          <w:szCs w:val="22"/>
          <w:vertAlign w:val="superscript"/>
          <w:lang w:val="en-US"/>
        </w:rPr>
        <w:footnoteReference w:id="5"/>
      </w:r>
      <w:r w:rsidRPr="00F90A9B">
        <w:rPr>
          <w:rFonts w:ascii="Times New Roman" w:hAnsi="Times New Roman"/>
          <w:sz w:val="22"/>
          <w:szCs w:val="22"/>
          <w:lang w:val="en-US"/>
        </w:rPr>
        <w:t xml:space="preserve"> The resulting knowledge or decisions might then be used to advance reasoning in debates where different values clash.</w:t>
      </w:r>
    </w:p>
    <w:p w14:paraId="245F5BCA"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795129F3"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Because objectivity and its various types refer to collections of practices, uses, goals, and ideals, relating a particular practice to a type of objectivity or to the general concept usually involves relating that practice to other practices (both abstract and concrete), uses, goals, and ideals. This can play a useful role is discussing the merits of specific practices. I show how with an example.</w:t>
      </w:r>
    </w:p>
    <w:p w14:paraId="39C339C0"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118B58F0"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Consider Alexandrova’s proposal to regulate value judgements in the measurement of well-being in a way that would make them consistent with other practices that go under the banner of procedural objectivity. Alexandrova is interested in empirical claims about causal or statistical relationships where at least one variable “is defined in a way that presupposes a moral, prudential, or political value judgement” </w:t>
      </w:r>
      <w:r w:rsidRPr="00F90A9B">
        <w:rPr>
          <w:rFonts w:ascii="Times New Roman" w:hAnsi="Times New Roman"/>
          <w:sz w:val="22"/>
          <w:szCs w:val="22"/>
        </w:rPr>
        <w:fldChar w:fldCharType="begin"/>
      </w:r>
      <w:r w:rsidRPr="00F90A9B">
        <w:rPr>
          <w:rFonts w:ascii="Times New Roman" w:hAnsi="Times New Roman"/>
          <w:sz w:val="22"/>
          <w:szCs w:val="22"/>
        </w:rPr>
        <w:instrText>ADDIN BEC{-Alexandrova, 2017, #56795@82}</w:instrText>
      </w:r>
      <w:r w:rsidRPr="00F90A9B">
        <w:rPr>
          <w:rFonts w:ascii="Times New Roman" w:hAnsi="Times New Roman"/>
          <w:sz w:val="22"/>
          <w:szCs w:val="22"/>
        </w:rPr>
        <w:fldChar w:fldCharType="separate"/>
      </w:r>
      <w:r w:rsidRPr="00F90A9B">
        <w:rPr>
          <w:rFonts w:ascii="Times New Roman" w:hAnsi="Times New Roman"/>
          <w:sz w:val="22"/>
          <w:szCs w:val="22"/>
        </w:rPr>
        <w:t>(2017, 82)</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claims she dubs </w:t>
      </w:r>
      <w:r w:rsidRPr="00F90A9B">
        <w:rPr>
          <w:rFonts w:ascii="Times New Roman" w:hAnsi="Times New Roman"/>
          <w:i/>
          <w:sz w:val="22"/>
          <w:szCs w:val="22"/>
          <w:lang w:val="en-US"/>
        </w:rPr>
        <w:t>mixed claims</w:t>
      </w:r>
      <w:r w:rsidRPr="00F90A9B">
        <w:rPr>
          <w:rFonts w:ascii="Times New Roman" w:hAnsi="Times New Roman"/>
          <w:sz w:val="22"/>
          <w:szCs w:val="22"/>
          <w:lang w:val="en-US"/>
        </w:rPr>
        <w:t xml:space="preserve">. She argues that mixed claims are important parts of the science of well-being and so the value judgements involved in them should stay. She acknowledges, however, that there are a number of reasons to worry about the effect some value judgements might have on claims about well-being. To balance these two points Alexandrova </w:t>
      </w:r>
      <w:r w:rsidRPr="00F90A9B">
        <w:rPr>
          <w:rFonts w:ascii="Times New Roman" w:hAnsi="Times New Roman"/>
          <w:sz w:val="22"/>
          <w:szCs w:val="22"/>
          <w:lang w:val="en-US"/>
        </w:rPr>
        <w:lastRenderedPageBreak/>
        <w:t>suggests a set of procedures to ensure that the value judgements incorporated into mixed claims undergo “appropriate social control” (98). To get to this position Alexandrova goes through a number of types of objectivity—including procedural objectivity, value-freedom, and impartiality—and explains how they relate to the measurement of well-being and to mixed claims. She discusses the goals and ideals behind different types of objectivity and uses these to clarify and refine the specific ways that unchecked value judgements might be problematic in well-being science. She then draws on the practices involved in different types of objectivity and their uses to suggest three procedural principles to govern the use of mixed claims about well-being: (a) unearth value presuppositions, (b) check value presuppositions for controversy, and (c) consult the relevant parties. Alexandrova contends that in the context of well-being science the principles (a-c) constitute the right balance of some key ideals—specifically value-freedom, impartiality, and trustworthiness—and space for the necessary value judgements. She argues that the emphasis on procedures means that (a-c) should count as a form of procedural objectivity, designed to constrain the kinds of value judgements used by well-being scientists.</w:t>
      </w:r>
    </w:p>
    <w:p w14:paraId="29DFAF07"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54A7018"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Alexandrova’s claims do not need to be correct for her argument to be relevant to the usefulness of objectivity. It is by going through different accounts of objectivity that Alexandrova hones in on a collection of goals and ideals relevant to the production of mixed claims. She then uses these to construct her specific local principles (a-c) and suggests that these principles can be used to refine the practices of well-being science to help make the claims within it more trustworthy. Thinking about how objectivity applies to the case of well-being, that is, relating abstract types of objectivity to concrete practices in a specific social scientific context, helps Alexandrova identify her local principles and resulting practice refinements. Furthermore, Alexandrova uses the ideals underlying procedural objectivity to justify the linking of her three principles and uses her discussion of objectivity to explain why these things are important (securing trust).</w:t>
      </w:r>
    </w:p>
    <w:p w14:paraId="13BB0650"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8EDEA61"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This example suggests that talking about objectivity can be an important way to think about how different practices, ideals, uses, and goals should apply in a given context. In Alexandrova’s case, </w:t>
      </w:r>
      <w:r w:rsidRPr="00F90A9B">
        <w:rPr>
          <w:rFonts w:ascii="Times New Roman" w:hAnsi="Times New Roman"/>
          <w:sz w:val="22"/>
          <w:szCs w:val="22"/>
          <w:lang w:val="en-US"/>
        </w:rPr>
        <w:lastRenderedPageBreak/>
        <w:t>thinking about what should count as objective in well-being science helps her assess the merits of some key practices and suggest and justify some refinements to them.</w:t>
      </w:r>
    </w:p>
    <w:p w14:paraId="2A45515F"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404F83F3"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Talking about objectivity can also lay the ground for arbitrating between different practices. Contained within the relational category objectivity are a collection of reasons to choose one practice over another. Information about the uses and goals behind types of objectivity can help determine the kinds of things specific practices can achieve and the domain of application of information derived from them. Procedural objectivity, for example, is often characterized as being motivated by an attempt to produce standardized outcomes. Rigid procedures are supposed to ensure that the outcomes ‘step back’ from aspects of the subjectivity of those who cr</w:t>
      </w:r>
      <w:r w:rsidRPr="00F356E7">
        <w:rPr>
          <w:rFonts w:ascii="Times New Roman" w:hAnsi="Times New Roman"/>
          <w:sz w:val="22"/>
          <w:szCs w:val="22"/>
          <w:lang w:val="en-US"/>
        </w:rPr>
        <w:t>eate them.</w:t>
      </w:r>
      <w:r w:rsidRPr="00F356E7">
        <w:rPr>
          <w:rFonts w:ascii="Times New Roman" w:hAnsi="Times New Roman"/>
          <w:sz w:val="22"/>
          <w:szCs w:val="22"/>
          <w:vertAlign w:val="superscript"/>
          <w:lang w:val="en-US"/>
        </w:rPr>
        <w:footnoteReference w:id="6"/>
      </w:r>
      <w:r w:rsidRPr="00F356E7">
        <w:rPr>
          <w:rFonts w:ascii="Times New Roman" w:hAnsi="Times New Roman"/>
          <w:sz w:val="22"/>
          <w:szCs w:val="22"/>
          <w:lang w:val="en-US"/>
        </w:rPr>
        <w:t xml:space="preserve"> This means</w:t>
      </w:r>
      <w:r w:rsidRPr="00F90A9B">
        <w:rPr>
          <w:rFonts w:ascii="Times New Roman" w:hAnsi="Times New Roman"/>
          <w:sz w:val="22"/>
          <w:szCs w:val="22"/>
          <w:lang w:val="en-US"/>
        </w:rPr>
        <w:t xml:space="preserve"> that information from procedurally objective practices might be good evidence of causation in tightly controlled conditions—like a laboratory experiment—but less good evidence of causation in a less controlled environment—like a field experiment. This is because more of the possible variation in outcomes will be due to (some aspect of) the subjectivity of the experimenter in a tightly controlled environment, whereas in a less controlled environment there will be many other sources of variation. Thinking about how concrete practices relate to the uses and goals behind abstract forms of objectivity and the ideals they draw on can provide reasons to choose one practice over another in a given context.</w:t>
      </w:r>
    </w:p>
    <w:p w14:paraId="4585E45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3C956FAA"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By linking practices, goals, uses, and ideals, ‘objectivity’ and ‘objective’ are useful </w:t>
      </w:r>
      <w:r w:rsidRPr="00F90A9B">
        <w:rPr>
          <w:rFonts w:ascii="Times New Roman" w:hAnsi="Times New Roman"/>
          <w:i/>
          <w:sz w:val="22"/>
          <w:szCs w:val="22"/>
          <w:lang w:val="en-US"/>
        </w:rPr>
        <w:t>relational categories</w:t>
      </w:r>
      <w:r w:rsidRPr="00F90A9B">
        <w:rPr>
          <w:rFonts w:ascii="Times New Roman" w:hAnsi="Times New Roman"/>
          <w:sz w:val="22"/>
          <w:szCs w:val="22"/>
          <w:lang w:val="en-US"/>
        </w:rPr>
        <w:t xml:space="preserve">. References to them link concrete situations to each other and to the uses, goals, practices, </w:t>
      </w:r>
      <w:r w:rsidRPr="00F90A9B">
        <w:rPr>
          <w:rFonts w:ascii="Times New Roman" w:hAnsi="Times New Roman"/>
          <w:sz w:val="22"/>
          <w:szCs w:val="22"/>
          <w:lang w:val="en-US"/>
        </w:rPr>
        <w:lastRenderedPageBreak/>
        <w:t>and ideals behind general types of objectivity. Doing this can help assess, refine, and justify particular practices and help decide how to arbitrate between practices. All of these things are part of what it means to discuss the merits of a particular practice.</w:t>
      </w:r>
    </w:p>
    <w:p w14:paraId="4BE99DFB"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5C5E7C20"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i/>
          <w:sz w:val="22"/>
          <w:szCs w:val="22"/>
          <w:lang w:val="en-US"/>
        </w:rPr>
      </w:pPr>
      <w:bookmarkStart w:id="4" w:name="112_Methodological_generalisat"/>
      <w:bookmarkEnd w:id="4"/>
      <w:r w:rsidRPr="00F90A9B">
        <w:rPr>
          <w:rFonts w:ascii="Times New Roman" w:hAnsi="Times New Roman"/>
          <w:i/>
          <w:sz w:val="22"/>
          <w:szCs w:val="22"/>
          <w:lang w:val="en-US"/>
        </w:rPr>
        <w:t>1.1.2. Methodological generalizations</w:t>
      </w:r>
    </w:p>
    <w:p w14:paraId="2FCCBE94"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sz w:val="22"/>
          <w:szCs w:val="22"/>
          <w:lang w:val="en-US"/>
        </w:rPr>
      </w:pPr>
    </w:p>
    <w:p w14:paraId="5CB7FD4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Objectivity is not the only plural concept that has faced calls for elimination. Marc </w:t>
      </w:r>
      <w:r w:rsidRPr="00F90A9B">
        <w:rPr>
          <w:rFonts w:ascii="Times New Roman" w:hAnsi="Times New Roman"/>
          <w:sz w:val="22"/>
          <w:szCs w:val="22"/>
        </w:rPr>
        <w:fldChar w:fldCharType="begin"/>
      </w:r>
      <w:r w:rsidRPr="00F90A9B">
        <w:rPr>
          <w:rFonts w:ascii="Times New Roman" w:hAnsi="Times New Roman"/>
          <w:sz w:val="22"/>
          <w:szCs w:val="22"/>
        </w:rPr>
        <w:instrText>ADDIN BEC{^Ereshefsky, 1992, #98986}</w:instrText>
      </w:r>
      <w:r w:rsidRPr="00F90A9B">
        <w:rPr>
          <w:rFonts w:ascii="Times New Roman" w:hAnsi="Times New Roman"/>
          <w:sz w:val="22"/>
          <w:szCs w:val="22"/>
        </w:rPr>
        <w:fldChar w:fldCharType="separate"/>
      </w:r>
      <w:r w:rsidRPr="00F90A9B">
        <w:rPr>
          <w:rFonts w:ascii="Times New Roman" w:hAnsi="Times New Roman"/>
          <w:sz w:val="22"/>
          <w:szCs w:val="22"/>
        </w:rPr>
        <w:t>Ereshefsky (1992)</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has argued that the different concrete species concepts used by biologists in different contexts have nothing in common, and that this implies that the general concept ‘species’ should be eliminated. Ingo Brigandt </w:t>
      </w:r>
      <w:r w:rsidRPr="00F90A9B">
        <w:rPr>
          <w:rFonts w:ascii="Times New Roman" w:hAnsi="Times New Roman"/>
          <w:sz w:val="22"/>
          <w:szCs w:val="22"/>
        </w:rPr>
        <w:fldChar w:fldCharType="begin"/>
      </w:r>
      <w:r w:rsidRPr="00F90A9B">
        <w:rPr>
          <w:rFonts w:ascii="Times New Roman" w:hAnsi="Times New Roman"/>
          <w:sz w:val="22"/>
          <w:szCs w:val="22"/>
        </w:rPr>
        <w:instrText>ADDIN BEC{-Brigandt, 2003, #18015}</w:instrText>
      </w:r>
      <w:r w:rsidRPr="00F90A9B">
        <w:rPr>
          <w:rFonts w:ascii="Times New Roman" w:hAnsi="Times New Roman"/>
          <w:sz w:val="22"/>
          <w:szCs w:val="22"/>
        </w:rPr>
        <w:fldChar w:fldCharType="separate"/>
      </w:r>
      <w:r w:rsidRPr="00F90A9B">
        <w:rPr>
          <w:rFonts w:ascii="Times New Roman" w:hAnsi="Times New Roman"/>
          <w:sz w:val="22"/>
          <w:szCs w:val="22"/>
        </w:rPr>
        <w:t>(2003)</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has responded that, despite its seeming irreducible plurality, the general concept ‘species’ has a number of important</w:t>
      </w:r>
      <w:r w:rsidRPr="00F90A9B">
        <w:rPr>
          <w:rFonts w:ascii="Times New Roman" w:hAnsi="Times New Roman"/>
          <w:i/>
          <w:sz w:val="22"/>
          <w:szCs w:val="22"/>
          <w:lang w:val="en-US"/>
        </w:rPr>
        <w:t xml:space="preserve"> </w:t>
      </w:r>
      <w:r w:rsidRPr="00F90A9B">
        <w:rPr>
          <w:rFonts w:ascii="Times New Roman" w:hAnsi="Times New Roman"/>
          <w:sz w:val="22"/>
          <w:szCs w:val="22"/>
          <w:lang w:val="en-US"/>
        </w:rPr>
        <w:t>functions. One of these is that it admits theoretical generalizations: the general concept ‘species’ figures usefully in theoretical accounts that cover different parts of biology. I suggest that something similar can be said of objectivity.</w:t>
      </w:r>
    </w:p>
    <w:p w14:paraId="197C212D"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4A117E68"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It is not straightforward that Brigandt’s argument is relevant to objectivity. Brigandt interprets ‘species’ as an investigative-kind concept</w:t>
      </w:r>
      <w:r w:rsidRPr="00F356E7">
        <w:rPr>
          <w:rFonts w:ascii="Times New Roman" w:hAnsi="Times New Roman"/>
          <w:sz w:val="22"/>
          <w:szCs w:val="22"/>
          <w:lang w:val="en-US"/>
        </w:rPr>
        <w:t>—a type of concept</w:t>
      </w:r>
      <w:r w:rsidRPr="00F90A9B">
        <w:rPr>
          <w:rFonts w:ascii="Times New Roman" w:hAnsi="Times New Roman"/>
          <w:sz w:val="22"/>
          <w:szCs w:val="22"/>
          <w:lang w:val="en-US"/>
        </w:rPr>
        <w:t xml:space="preserve"> that emerges during investigation from the recognition that a group of things possess interesting similarities. Investigative-kind concepts need not be rigid; the similarities initially recognized are not assumed to be characteristic features of the kind, they are instead assumed to be “founded on some theoretically important, but yet unknown relevant mechanism” (p. 1309). Objectivity does not fit this characterization. It is not based on an investigation into the world, and it is not assumed to be based on a theoretically important mechanism. I want to argue, however, that Brigandt’s reason for keeping species can be transferred to objectivity if we replace ‘theoretical’ with ‘methodological’. The concept ‘objectivity’ should be retained because it figures in </w:t>
      </w:r>
      <w:r w:rsidRPr="00F90A9B">
        <w:rPr>
          <w:rFonts w:ascii="Times New Roman" w:hAnsi="Times New Roman"/>
          <w:i/>
          <w:sz w:val="22"/>
          <w:szCs w:val="22"/>
          <w:lang w:val="en-US"/>
        </w:rPr>
        <w:t>methodological generalizations</w:t>
      </w:r>
      <w:r w:rsidRPr="00F90A9B">
        <w:rPr>
          <w:rFonts w:ascii="Times New Roman" w:hAnsi="Times New Roman"/>
          <w:sz w:val="22"/>
          <w:szCs w:val="22"/>
          <w:lang w:val="en-US"/>
        </w:rPr>
        <w:t>. By this I mean that it figures in methodological statements that cover different instantiations of objectivity and methodological statements that cover different kinds of inquiry.</w:t>
      </w:r>
    </w:p>
    <w:p w14:paraId="1C2B4B6D"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43F960CD" w14:textId="77D79AB0"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Consider Greenhalgh’s </w:t>
      </w:r>
      <w:r w:rsidRPr="00F90A9B">
        <w:rPr>
          <w:rFonts w:ascii="Times New Roman" w:hAnsi="Times New Roman"/>
          <w:sz w:val="22"/>
          <w:szCs w:val="22"/>
        </w:rPr>
        <w:fldChar w:fldCharType="begin"/>
      </w:r>
      <w:r w:rsidRPr="00F90A9B">
        <w:rPr>
          <w:rFonts w:ascii="Times New Roman" w:hAnsi="Times New Roman"/>
          <w:sz w:val="22"/>
          <w:szCs w:val="22"/>
        </w:rPr>
        <w:instrText>ADDIN BEC{-Greenhalgh, 1999, #12136}</w:instrText>
      </w:r>
      <w:r w:rsidRPr="00F90A9B">
        <w:rPr>
          <w:rFonts w:ascii="Times New Roman" w:hAnsi="Times New Roman"/>
          <w:sz w:val="22"/>
          <w:szCs w:val="22"/>
        </w:rPr>
        <w:fldChar w:fldCharType="separate"/>
      </w:r>
      <w:r w:rsidRPr="00F90A9B">
        <w:rPr>
          <w:rFonts w:ascii="Times New Roman" w:hAnsi="Times New Roman"/>
          <w:sz w:val="22"/>
          <w:szCs w:val="22"/>
        </w:rPr>
        <w:t>(1999)</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argument that evidence-based medicine blocks important </w:t>
      </w:r>
      <w:r w:rsidRPr="00F90A9B">
        <w:rPr>
          <w:rFonts w:ascii="Times New Roman" w:hAnsi="Times New Roman"/>
          <w:sz w:val="22"/>
          <w:szCs w:val="22"/>
          <w:lang w:val="en-US"/>
        </w:rPr>
        <w:lastRenderedPageBreak/>
        <w:t xml:space="preserve">“subjective” and “interpretive” judgements. Howick </w:t>
      </w:r>
      <w:r w:rsidRPr="00F90A9B">
        <w:rPr>
          <w:rFonts w:ascii="Times New Roman" w:hAnsi="Times New Roman"/>
          <w:sz w:val="22"/>
          <w:szCs w:val="22"/>
        </w:rPr>
        <w:fldChar w:fldCharType="begin"/>
      </w:r>
      <w:r w:rsidRPr="00F90A9B">
        <w:rPr>
          <w:rFonts w:ascii="Times New Roman" w:hAnsi="Times New Roman"/>
          <w:sz w:val="22"/>
          <w:szCs w:val="22"/>
        </w:rPr>
        <w:instrText>ADDIN BEC{-Howick, 2011, #22259}</w:instrText>
      </w:r>
      <w:r w:rsidRPr="00F90A9B">
        <w:rPr>
          <w:rFonts w:ascii="Times New Roman" w:hAnsi="Times New Roman"/>
          <w:sz w:val="22"/>
          <w:szCs w:val="22"/>
        </w:rPr>
        <w:fldChar w:fldCharType="separate"/>
      </w:r>
      <w:r w:rsidRPr="00F90A9B">
        <w:rPr>
          <w:rFonts w:ascii="Times New Roman" w:hAnsi="Times New Roman"/>
          <w:sz w:val="22"/>
          <w:szCs w:val="22"/>
        </w:rPr>
        <w:t>(2011)</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defines evidence-based medicine as a hierarchy of forms of evidence with randomized control trials (and meta-analyses of such trails) at the top. The elevation of such trials is justified because they can measure the effect size of targeted causal factors while contro</w:t>
      </w:r>
      <w:r w:rsidRPr="00F356E7">
        <w:rPr>
          <w:rFonts w:ascii="Times New Roman" w:hAnsi="Times New Roman"/>
          <w:sz w:val="22"/>
          <w:szCs w:val="22"/>
          <w:lang w:val="en-US"/>
        </w:rPr>
        <w:t>lling for more confounding factors than other methods.</w:t>
      </w:r>
      <w:r w:rsidRPr="00F356E7">
        <w:rPr>
          <w:rFonts w:ascii="Times New Roman" w:hAnsi="Times New Roman"/>
          <w:sz w:val="22"/>
          <w:szCs w:val="22"/>
          <w:vertAlign w:val="superscript"/>
          <w:lang w:val="en-US"/>
        </w:rPr>
        <w:footnoteReference w:id="7"/>
      </w:r>
      <w:r w:rsidRPr="00F356E7">
        <w:rPr>
          <w:rFonts w:ascii="Times New Roman" w:hAnsi="Times New Roman"/>
          <w:sz w:val="22"/>
          <w:szCs w:val="22"/>
          <w:lang w:val="en-US"/>
        </w:rPr>
        <w:t xml:space="preserve"> Randomized control trials do this in a number of ways, two examples are: blinding (patie</w:t>
      </w:r>
      <w:r w:rsidRPr="00F90A9B">
        <w:rPr>
          <w:rFonts w:ascii="Times New Roman" w:hAnsi="Times New Roman"/>
          <w:sz w:val="22"/>
          <w:szCs w:val="22"/>
          <w:lang w:val="en-US"/>
        </w:rPr>
        <w:t>nts and doctors not knowing who is treated) and using ‘objective’ rather than ‘subjective’ measurements (third party measurements like heart rate or blood pressure rather than patient self-evaluations or measures that require doctors’ judgements). Both of these techniques amount to specific procedures to control the space available for input from doctors or patients with the aim of suppressing things like the placebo effect or the over reporting of positive findings. Against the elevation of techniques like these over others in evidence-based medicine, Greenhalgh argues that “clinical judgements are usually a far cry from the objective analysis of a set of eminently measurable facts”. Doctors do not just measure and assess symptoms and signs, they also “interpret them by integrating the formal diagnostic criteria of the suspected disease… with case specific features of the patient’s individual story and their own accumulated… expertise.” (323) Greenhalgh argues that if doctors dro</w:t>
      </w:r>
      <w:r w:rsidRPr="00F356E7">
        <w:rPr>
          <w:rFonts w:ascii="Times New Roman" w:hAnsi="Times New Roman"/>
          <w:sz w:val="22"/>
          <w:szCs w:val="22"/>
          <w:lang w:val="en-US"/>
        </w:rPr>
        <w:t>p their interpretative judg</w:t>
      </w:r>
      <w:r w:rsidR="00813201" w:rsidRPr="00F356E7">
        <w:rPr>
          <w:rFonts w:ascii="Times New Roman" w:hAnsi="Times New Roman"/>
          <w:sz w:val="22"/>
          <w:szCs w:val="22"/>
          <w:lang w:val="en-US"/>
        </w:rPr>
        <w:t>e</w:t>
      </w:r>
      <w:r w:rsidRPr="00F356E7">
        <w:rPr>
          <w:rFonts w:ascii="Times New Roman" w:hAnsi="Times New Roman"/>
          <w:sz w:val="22"/>
          <w:szCs w:val="22"/>
          <w:lang w:val="en-US"/>
        </w:rPr>
        <w:t>ments and a</w:t>
      </w:r>
      <w:r w:rsidRPr="00F90A9B">
        <w:rPr>
          <w:rFonts w:ascii="Times New Roman" w:hAnsi="Times New Roman"/>
          <w:sz w:val="22"/>
          <w:szCs w:val="22"/>
          <w:lang w:val="en-US"/>
        </w:rPr>
        <w:t>ct on forms of evidence that can be described (in different ways) as “objective”, then they risk mixing the right approach for an individual patient with the right approach for an aggregated distant population. The var</w:t>
      </w:r>
      <w:r w:rsidRPr="00F356E7">
        <w:rPr>
          <w:rFonts w:ascii="Times New Roman" w:hAnsi="Times New Roman"/>
          <w:sz w:val="22"/>
          <w:szCs w:val="22"/>
          <w:lang w:val="en-US"/>
        </w:rPr>
        <w:t>ious objective methods favored by evidence-based medicine are not useful unless they are incorporated into more interpretive frameworks t</w:t>
      </w:r>
      <w:r w:rsidRPr="00F90A9B">
        <w:rPr>
          <w:rFonts w:ascii="Times New Roman" w:hAnsi="Times New Roman"/>
          <w:sz w:val="22"/>
          <w:szCs w:val="22"/>
          <w:lang w:val="en-US"/>
        </w:rPr>
        <w:t>hat make them more relevant for individual patients.</w:t>
      </w:r>
    </w:p>
    <w:p w14:paraId="510367E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AB5AAB7"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In making her argument, Greenhalgh repeatedly refers to objectivity.</w:t>
      </w:r>
      <w:r w:rsidRPr="00F90A9B">
        <w:rPr>
          <w:rFonts w:ascii="Times New Roman" w:hAnsi="Times New Roman"/>
          <w:sz w:val="22"/>
          <w:szCs w:val="22"/>
          <w:vertAlign w:val="superscript"/>
          <w:lang w:val="en-US"/>
        </w:rPr>
        <w:footnoteReference w:id="8"/>
      </w:r>
      <w:r w:rsidRPr="00F90A9B">
        <w:rPr>
          <w:rFonts w:ascii="Times New Roman" w:hAnsi="Times New Roman"/>
          <w:sz w:val="22"/>
          <w:szCs w:val="22"/>
          <w:lang w:val="en-US"/>
        </w:rPr>
        <w:t xml:space="preserve">  If we are to believe Hacking, Greenhalgh’s references to objectivity should either be unhelpfully imprecise, or reducible to a particular practice or the aversion of a concrete vice (and so superfluous). But this is not the case. Greenhalgh does not refer to any single specific form or concretization of objectivity but the general concept. She is not only arguing that important value judgements can be blocked by an emphasis on value-freedom or that procedurally objective third party measureme</w:t>
      </w:r>
      <w:r w:rsidRPr="00F356E7">
        <w:rPr>
          <w:rFonts w:ascii="Times New Roman" w:hAnsi="Times New Roman"/>
          <w:sz w:val="22"/>
          <w:szCs w:val="22"/>
          <w:lang w:val="en-US"/>
        </w:rPr>
        <w:t xml:space="preserve">nts need to be supplemented with </w:t>
      </w:r>
      <w:r w:rsidRPr="00F356E7">
        <w:rPr>
          <w:rFonts w:ascii="Times New Roman" w:hAnsi="Times New Roman"/>
          <w:sz w:val="22"/>
          <w:szCs w:val="22"/>
          <w:lang w:val="en-US"/>
        </w:rPr>
        <w:lastRenderedPageBreak/>
        <w:t>interpretative judgement (involving values or otherwise). She refers to both these things and more. It is the general obscuring of interpretation, and the aspects of subjectivity interpretation contains, that worries her, rather than any one particular techniq</w:t>
      </w:r>
      <w:r w:rsidRPr="00F90A9B">
        <w:rPr>
          <w:rFonts w:ascii="Times New Roman" w:hAnsi="Times New Roman"/>
          <w:sz w:val="22"/>
          <w:szCs w:val="22"/>
          <w:lang w:val="en-US"/>
        </w:rPr>
        <w:t>ue or vice (and she would certainly not consider the various aspects of subjectivity she has in mind vices). It is general attempts to move from individual to more general situations that she thinks doesn’t match up with clinical circumstances. Her argument is a methodological generalization that covers different instantiations of objectivity: different ways of being objective often block space in clinical settings for the use of important interpretive judgements. In many clinical situations, to be effective objective methods need to be embedded in spaces for interpretive judgement.</w:t>
      </w:r>
    </w:p>
    <w:p w14:paraId="7662DEE2"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i/>
          <w:sz w:val="22"/>
          <w:szCs w:val="22"/>
          <w:lang w:val="en-US"/>
        </w:rPr>
      </w:pPr>
    </w:p>
    <w:p w14:paraId="4A0D6AFA"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Regardless as to whether Greenhalgh’s position is accepted, the abstract concept objectivity, as opposed to a particular practice or the aversion of a particular vice, plays an important role in her argument by making it more general. It allows Greenhalgh to make a short and clear argument about how certain kinds of techniques block the use of other important kinds of techniques. This gives her argument a more general application than if she just focused on one particular concretization of objectivity.</w:t>
      </w:r>
    </w:p>
    <w:p w14:paraId="7FCDE1CB"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185C14F2" w14:textId="0BAE4DA2"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356E7">
        <w:rPr>
          <w:rFonts w:ascii="Times New Roman" w:hAnsi="Times New Roman"/>
          <w:sz w:val="22"/>
          <w:szCs w:val="22"/>
          <w:lang w:val="en-US"/>
        </w:rPr>
        <w:t xml:space="preserve">In their history of objectivity, Daston and Galison </w:t>
      </w:r>
      <w:r w:rsidRPr="00F356E7">
        <w:rPr>
          <w:rFonts w:ascii="Times New Roman" w:hAnsi="Times New Roman"/>
          <w:sz w:val="22"/>
          <w:szCs w:val="22"/>
        </w:rPr>
        <w:fldChar w:fldCharType="begin"/>
      </w:r>
      <w:r w:rsidRPr="00F356E7">
        <w:rPr>
          <w:rFonts w:ascii="Times New Roman" w:hAnsi="Times New Roman"/>
          <w:sz w:val="22"/>
          <w:szCs w:val="22"/>
        </w:rPr>
        <w:instrText>ADDIN BEC{-Daston and Galison, 2008, #405}</w:instrText>
      </w:r>
      <w:r w:rsidRPr="00F356E7">
        <w:rPr>
          <w:rFonts w:ascii="Times New Roman" w:hAnsi="Times New Roman"/>
          <w:sz w:val="22"/>
          <w:szCs w:val="22"/>
        </w:rPr>
        <w:fldChar w:fldCharType="separate"/>
      </w:r>
      <w:r w:rsidRPr="00F356E7">
        <w:rPr>
          <w:rFonts w:ascii="Times New Roman" w:hAnsi="Times New Roman"/>
          <w:sz w:val="22"/>
          <w:szCs w:val="22"/>
        </w:rPr>
        <w:t>(2008)</w:t>
      </w:r>
      <w:r w:rsidRPr="00F356E7">
        <w:rPr>
          <w:rFonts w:ascii="Times New Roman" w:hAnsi="Times New Roman"/>
          <w:sz w:val="22"/>
          <w:szCs w:val="22"/>
        </w:rPr>
        <w:fldChar w:fldCharType="end"/>
      </w:r>
      <w:r w:rsidRPr="00F356E7">
        <w:rPr>
          <w:rFonts w:ascii="Times New Roman" w:hAnsi="Times New Roman"/>
          <w:sz w:val="22"/>
          <w:szCs w:val="22"/>
          <w:lang w:val="en-US"/>
        </w:rPr>
        <w:t xml:space="preserve"> note that a particular variant of procedural objectivity (which they call ‘mechanical objectivity’) began to lose favor among scientific atlas makers when it became clear that it blocked too much of space f</w:t>
      </w:r>
      <w:r w:rsidR="00960E93">
        <w:rPr>
          <w:rFonts w:ascii="Times New Roman" w:hAnsi="Times New Roman"/>
          <w:sz w:val="22"/>
          <w:szCs w:val="22"/>
          <w:lang w:val="en-US"/>
        </w:rPr>
        <w:t>or their interpretive judgement</w:t>
      </w:r>
      <w:r w:rsidR="007468CF">
        <w:rPr>
          <w:rFonts w:ascii="Times New Roman" w:hAnsi="Times New Roman"/>
          <w:sz w:val="22"/>
          <w:szCs w:val="22"/>
          <w:lang w:val="en-US"/>
        </w:rPr>
        <w:t xml:space="preserve"> (</w:t>
      </w:r>
      <w:r w:rsidR="00960E93">
        <w:rPr>
          <w:rFonts w:ascii="Times New Roman" w:hAnsi="Times New Roman"/>
          <w:sz w:val="22"/>
          <w:szCs w:val="22"/>
          <w:lang w:val="en-US"/>
        </w:rPr>
        <w:t>j</w:t>
      </w:r>
      <w:r w:rsidRPr="00F356E7">
        <w:rPr>
          <w:rFonts w:ascii="Times New Roman" w:hAnsi="Times New Roman"/>
          <w:sz w:val="22"/>
          <w:szCs w:val="22"/>
          <w:lang w:val="en-US"/>
        </w:rPr>
        <w:t>udgement that was required to identify types and to separate signal</w:t>
      </w:r>
      <w:r w:rsidR="007468CF">
        <w:rPr>
          <w:rFonts w:ascii="Times New Roman" w:hAnsi="Times New Roman"/>
          <w:sz w:val="22"/>
          <w:szCs w:val="22"/>
          <w:lang w:val="en-US"/>
        </w:rPr>
        <w:t xml:space="preserve"> from noise within images).</w:t>
      </w:r>
      <w:r w:rsidRPr="00F356E7">
        <w:rPr>
          <w:rFonts w:ascii="Times New Roman" w:hAnsi="Times New Roman"/>
          <w:sz w:val="22"/>
          <w:szCs w:val="22"/>
          <w:lang w:val="en-US"/>
        </w:rPr>
        <w:t xml:space="preserve"> This mirrors some of Greenhalgh’s complaints and suggests that her argument might be generalized beyond clinical medicine: practices re</w:t>
      </w:r>
      <w:r w:rsidRPr="00F90A9B">
        <w:rPr>
          <w:rFonts w:ascii="Times New Roman" w:hAnsi="Times New Roman"/>
          <w:sz w:val="22"/>
          <w:szCs w:val="22"/>
          <w:lang w:val="en-US"/>
        </w:rPr>
        <w:t xml:space="preserve">lated to objectivity often block space for the use of interpretive judgements. If interpretive judgement is important to a domain, care needs to be taken to make sure spaces for it remain (either by embedding the objective techniques in an interpretive framework or by using techniques of objectivity that do not marginalize interpretation). This generalization may not be universally correct, but it is a helpful methodological maxim that will be relevant in many contexts. By being an abstract concept that is not confined to any one domain objectivity is well disposed to </w:t>
      </w:r>
      <w:r w:rsidRPr="00F90A9B">
        <w:rPr>
          <w:rFonts w:ascii="Times New Roman" w:hAnsi="Times New Roman"/>
          <w:sz w:val="22"/>
          <w:szCs w:val="22"/>
          <w:lang w:val="en-US"/>
        </w:rPr>
        <w:lastRenderedPageBreak/>
        <w:t>making such cross cutting methodological generaliza</w:t>
      </w:r>
      <w:r w:rsidRPr="00F356E7">
        <w:rPr>
          <w:rFonts w:ascii="Times New Roman" w:hAnsi="Times New Roman"/>
          <w:sz w:val="22"/>
          <w:szCs w:val="22"/>
          <w:lang w:val="en-US"/>
        </w:rPr>
        <w:t>tions; generalizations that can be useful f</w:t>
      </w:r>
      <w:r w:rsidRPr="00F90A9B">
        <w:rPr>
          <w:rFonts w:ascii="Times New Roman" w:hAnsi="Times New Roman"/>
          <w:sz w:val="22"/>
          <w:szCs w:val="22"/>
          <w:lang w:val="en-US"/>
        </w:rPr>
        <w:t>or devising new practices or evaluating existing ones.</w:t>
      </w:r>
    </w:p>
    <w:p w14:paraId="1F9C467B"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4948A9D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Objectivity can support methodological statements that cover different instantiations of objectivity and methodological statements that cover different kinds of inquiry. These methodological generalizations can be used to discuss general types of methods but also applied to specific methods in concrete cases. Thus, via methodological generalizations objectivity can play an important role in discussing the merits of specific practices and their possibilities.</w:t>
      </w:r>
    </w:p>
    <w:p w14:paraId="03A93A36"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E2AE291"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b/>
          <w:sz w:val="22"/>
          <w:szCs w:val="22"/>
          <w:lang w:val="en-US"/>
        </w:rPr>
      </w:pPr>
      <w:bookmarkStart w:id="5" w:name="12_Objectivity_is_useful"/>
      <w:bookmarkEnd w:id="5"/>
      <w:r w:rsidRPr="00F90A9B">
        <w:rPr>
          <w:rFonts w:ascii="Times New Roman" w:hAnsi="Times New Roman"/>
          <w:b/>
          <w:sz w:val="22"/>
          <w:szCs w:val="22"/>
          <w:lang w:val="en-US"/>
        </w:rPr>
        <w:t>1.2. Objectivity is useful</w:t>
      </w:r>
    </w:p>
    <w:p w14:paraId="1E4289F4"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sz w:val="22"/>
          <w:szCs w:val="22"/>
          <w:lang w:val="en-US"/>
        </w:rPr>
      </w:pPr>
    </w:p>
    <w:p w14:paraId="79B30EB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References to objectivity involve abstraction. Hacking claims that such abstraction does not help with ground-level issues. To support that claim Hacking gives some examples of cases where talking about objectivity was not necessary to make methodological progress or talk about concrete issues. These may be good examples but they cannot on their own demonstrate that objectivity is never useful for ground-level issues. As well as examples to counter Hacking's, I have offered two reasons why the abstraction involved in talking about objectivity can be useful for discussing the merits of specific practices. Firstly, by linking practices to other practices and to the abstract uses, goals, ideals, and practices associated with types of objectivity, objectivity acts as a relational category. The links formed by talking about objectivity can help assess, refine, and justify practices and can help arbitrate between practices. Secondly, objectivity can help support methodological generalizations. Objectivity can be used to construct general methodological arguments that can in turn be used to evaluate both concrete and abstract practices and their possibilities.</w:t>
      </w:r>
    </w:p>
    <w:p w14:paraId="65492BDE"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4324E14E"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356E7">
        <w:rPr>
          <w:rFonts w:ascii="Times New Roman" w:hAnsi="Times New Roman"/>
          <w:sz w:val="22"/>
          <w:szCs w:val="22"/>
          <w:lang w:val="en-US"/>
        </w:rPr>
        <w:t>Given that discussing the merits of specific practices</w:t>
      </w:r>
      <w:r w:rsidRPr="00F356E7" w:rsidDel="006868CB">
        <w:rPr>
          <w:rFonts w:ascii="Times New Roman" w:hAnsi="Times New Roman"/>
          <w:sz w:val="22"/>
          <w:szCs w:val="22"/>
          <w:lang w:val="en-US"/>
        </w:rPr>
        <w:t xml:space="preserve"> </w:t>
      </w:r>
      <w:r w:rsidRPr="00F356E7">
        <w:rPr>
          <w:rFonts w:ascii="Times New Roman" w:hAnsi="Times New Roman"/>
          <w:sz w:val="22"/>
          <w:szCs w:val="22"/>
          <w:lang w:val="en-US"/>
        </w:rPr>
        <w:t>is one of the kinds of ground-level issues Hacking thinks we should focus on, talking o</w:t>
      </w:r>
      <w:r w:rsidRPr="00F90A9B">
        <w:rPr>
          <w:rFonts w:ascii="Times New Roman" w:hAnsi="Times New Roman"/>
          <w:sz w:val="22"/>
          <w:szCs w:val="22"/>
          <w:lang w:val="en-US"/>
        </w:rPr>
        <w:t xml:space="preserve">n the second-story (by talking about objectivity) </w:t>
      </w:r>
      <w:r w:rsidRPr="00F90A9B">
        <w:rPr>
          <w:rFonts w:ascii="Times New Roman" w:hAnsi="Times New Roman"/>
          <w:i/>
          <w:sz w:val="22"/>
          <w:szCs w:val="22"/>
          <w:lang w:val="en-US"/>
        </w:rPr>
        <w:t>can</w:t>
      </w:r>
      <w:r w:rsidRPr="00F90A9B">
        <w:rPr>
          <w:rFonts w:ascii="Times New Roman" w:hAnsi="Times New Roman"/>
          <w:sz w:val="22"/>
          <w:szCs w:val="22"/>
          <w:lang w:val="en-US"/>
        </w:rPr>
        <w:t xml:space="preserve"> help us with ground-level questions. This implies that P3 is incorrect and that Hacking’s argument </w:t>
      </w:r>
      <w:r w:rsidRPr="00F90A9B">
        <w:rPr>
          <w:rFonts w:ascii="Times New Roman" w:hAnsi="Times New Roman"/>
          <w:sz w:val="22"/>
          <w:szCs w:val="22"/>
          <w:lang w:val="en-US"/>
        </w:rPr>
        <w:lastRenderedPageBreak/>
        <w:t>that (C) we should not talk about objectivity fails.</w:t>
      </w:r>
      <w:r w:rsidRPr="00F90A9B">
        <w:rPr>
          <w:rFonts w:ascii="Times New Roman" w:hAnsi="Times New Roman"/>
          <w:sz w:val="22"/>
          <w:szCs w:val="22"/>
          <w:vertAlign w:val="superscript"/>
          <w:lang w:val="en-US"/>
        </w:rPr>
        <w:footnoteReference w:id="9"/>
      </w:r>
    </w:p>
    <w:p w14:paraId="78E43843"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664F54C1" w14:textId="77777777" w:rsidR="00F90A9B" w:rsidRPr="00F90A9B" w:rsidRDefault="00F90A9B" w:rsidP="00F90A9B">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b/>
          <w:sz w:val="22"/>
          <w:szCs w:val="22"/>
          <w:lang w:val="en-US"/>
        </w:rPr>
      </w:pPr>
      <w:bookmarkStart w:id="6" w:name="2_Contextualism"/>
      <w:bookmarkEnd w:id="6"/>
      <w:r w:rsidRPr="00F90A9B">
        <w:rPr>
          <w:rFonts w:ascii="Times New Roman" w:hAnsi="Times New Roman"/>
          <w:b/>
          <w:sz w:val="22"/>
          <w:szCs w:val="22"/>
          <w:lang w:val="en-US"/>
        </w:rPr>
        <w:t>2. Contextualism</w:t>
      </w:r>
    </w:p>
    <w:p w14:paraId="0C73580B"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The conclusion that objectivity can be useful jars with the confusion sketched in the introduction. How does what I have just said help us interpret the Bank of England’s objectivity? What use can we make of the concepts ‘objectivity’ and ‘objective’, and how? In the rest of this paper I suggest that a contextualist way of understanding objectivity can help answer these questions.</w:t>
      </w:r>
    </w:p>
    <w:p w14:paraId="40054F00"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26B484E6"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i/>
          <w:sz w:val="22"/>
          <w:szCs w:val="22"/>
          <w:lang w:val="en-US"/>
        </w:rPr>
        <w:t>Epistemic contextualism</w:t>
      </w:r>
      <w:r w:rsidRPr="00F90A9B">
        <w:rPr>
          <w:rFonts w:ascii="Times New Roman" w:hAnsi="Times New Roman"/>
          <w:sz w:val="22"/>
          <w:szCs w:val="22"/>
          <w:lang w:val="en-US"/>
        </w:rPr>
        <w:t xml:space="preserve"> is the idea that the content of propositions that attribute knowledge varies with context </w:t>
      </w:r>
      <w:r w:rsidRPr="00F90A9B">
        <w:rPr>
          <w:rFonts w:ascii="Times New Roman" w:hAnsi="Times New Roman"/>
          <w:sz w:val="22"/>
          <w:szCs w:val="22"/>
        </w:rPr>
        <w:fldChar w:fldCharType="begin"/>
      </w:r>
      <w:r w:rsidRPr="00F90A9B">
        <w:rPr>
          <w:rFonts w:ascii="Times New Roman" w:hAnsi="Times New Roman"/>
          <w:sz w:val="22"/>
          <w:szCs w:val="22"/>
        </w:rPr>
        <w:instrText>ADDIN BEC{Rysiew, 2016, #93054}</w:instrText>
      </w:r>
      <w:r w:rsidRPr="00F90A9B">
        <w:rPr>
          <w:rFonts w:ascii="Times New Roman" w:hAnsi="Times New Roman"/>
          <w:sz w:val="22"/>
          <w:szCs w:val="22"/>
        </w:rPr>
        <w:fldChar w:fldCharType="separate"/>
      </w:r>
      <w:r w:rsidRPr="00F90A9B">
        <w:rPr>
          <w:rFonts w:ascii="Times New Roman" w:hAnsi="Times New Roman"/>
          <w:sz w:val="22"/>
          <w:szCs w:val="22"/>
        </w:rPr>
        <w:t>(Rysiew 2016)</w:t>
      </w:r>
      <w:r w:rsidRPr="00F90A9B">
        <w:rPr>
          <w:rFonts w:ascii="Times New Roman" w:hAnsi="Times New Roman"/>
          <w:sz w:val="22"/>
          <w:szCs w:val="22"/>
        </w:rPr>
        <w:fldChar w:fldCharType="end"/>
      </w:r>
      <w:r w:rsidRPr="00F90A9B">
        <w:rPr>
          <w:rFonts w:ascii="Times New Roman" w:hAnsi="Times New Roman"/>
          <w:sz w:val="22"/>
          <w:szCs w:val="22"/>
          <w:lang w:val="en-US"/>
        </w:rPr>
        <w:t>. Without detailing all of the different accounts of epistemic contextualism, there are three points that most versions of it defend that are relevant for present purposes. Firstly, the meaning of statements like ‘x knows that p’ can vary with context. Secondly, this is compatible with having a ‘common core’ theory about knowledge that dictates how the meaning of ‘x knows that p’ changes with each context, but such a common core theory is not necessary. Lastly, ‘knows’ and ‘knowledge’ are still considered useful terms.</w:t>
      </w:r>
    </w:p>
    <w:p w14:paraId="765B337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23D30446"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The plurality of ways in which objectivity is used makes it plausible to think of objectivity in line with some modified version of epistemic contextualism. In what follows I will suggest one way of understanding contextualism for objectivity and the ways in which objectivity claims change with </w:t>
      </w:r>
      <w:r w:rsidRPr="00F90A9B">
        <w:rPr>
          <w:rFonts w:ascii="Times New Roman" w:hAnsi="Times New Roman"/>
          <w:sz w:val="22"/>
          <w:szCs w:val="22"/>
          <w:lang w:val="en-US"/>
        </w:rPr>
        <w:lastRenderedPageBreak/>
        <w:t>context. I do not claim that this is the only or best way to understand objectivity or that it will resolve all debates about what is more or less objective in a given situation. Rather, my claim is that this way of thinking about contextualism and objectivity acknowledges the plurality of objectivity, is compatible with the usefulness of objectivity outlined in §1, and offers some clarifications for how to make use of the concepts ‘objectivity’ and ‘objective’.</w:t>
      </w:r>
    </w:p>
    <w:p w14:paraId="7157BE61"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4E2F7DFB"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F00F202"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b/>
          <w:sz w:val="22"/>
          <w:szCs w:val="22"/>
          <w:lang w:val="en-US"/>
        </w:rPr>
      </w:pPr>
      <w:bookmarkStart w:id="7" w:name="21_A_proposal"/>
      <w:bookmarkEnd w:id="7"/>
      <w:r w:rsidRPr="00F90A9B">
        <w:rPr>
          <w:rFonts w:ascii="Times New Roman" w:hAnsi="Times New Roman"/>
          <w:b/>
          <w:sz w:val="22"/>
          <w:szCs w:val="22"/>
          <w:lang w:val="en-US"/>
        </w:rPr>
        <w:t>2.1. A proposal</w:t>
      </w:r>
    </w:p>
    <w:p w14:paraId="3250F8D1"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sz w:val="22"/>
          <w:szCs w:val="22"/>
          <w:lang w:val="en-US"/>
        </w:rPr>
      </w:pPr>
    </w:p>
    <w:p w14:paraId="67662558"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Invocations of objectivity often involve a </w:t>
      </w:r>
      <w:r w:rsidRPr="00F90A9B">
        <w:rPr>
          <w:rFonts w:ascii="Times New Roman" w:hAnsi="Times New Roman"/>
          <w:i/>
          <w:sz w:val="22"/>
          <w:szCs w:val="22"/>
          <w:lang w:val="en-US"/>
        </w:rPr>
        <w:t>step back</w:t>
      </w:r>
      <w:r w:rsidRPr="00F90A9B">
        <w:rPr>
          <w:rFonts w:ascii="Times New Roman" w:hAnsi="Times New Roman"/>
          <w:sz w:val="22"/>
          <w:szCs w:val="22"/>
          <w:lang w:val="en-US"/>
        </w:rPr>
        <w:t>. By this I mean that the referents of objectivity claims often a</w:t>
      </w:r>
      <w:r w:rsidRPr="00F356E7">
        <w:rPr>
          <w:rFonts w:ascii="Times New Roman" w:hAnsi="Times New Roman"/>
          <w:sz w:val="22"/>
          <w:szCs w:val="22"/>
          <w:lang w:val="en-US"/>
        </w:rPr>
        <w:t>bstract from some feature or feature</w:t>
      </w:r>
      <w:r w:rsidRPr="00F90A9B">
        <w:rPr>
          <w:rFonts w:ascii="Times New Roman" w:hAnsi="Times New Roman"/>
          <w:sz w:val="22"/>
          <w:szCs w:val="22"/>
          <w:lang w:val="en-US"/>
        </w:rPr>
        <w:t>s of the contexts in which they arise. A decision, for example, might be partly objective to the extent that it abstracts from the interests of those it will affect. Procedural instantiations of objectivity use tightly controlled procedures to step back from certain features of subjectivity, as we saw in §1.1.1. Practices that emphasize impartiality attempt to step back from the interests of certain parties. Value-free outcomes are produced by stepping back from the perspectives of certain values. Given this, ‘objective’ and ‘objectivity’ can be thought of as referring to a collection of techniques that give rise to outcomes that step back from certain features of the context in which they were produced.</w:t>
      </w:r>
    </w:p>
    <w:p w14:paraId="54B37C61"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4B78629"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i/>
          <w:sz w:val="22"/>
          <w:szCs w:val="22"/>
          <w:lang w:val="en-US"/>
        </w:rPr>
      </w:pPr>
      <w:r w:rsidRPr="00F90A9B">
        <w:rPr>
          <w:rFonts w:ascii="Times New Roman" w:hAnsi="Times New Roman"/>
          <w:sz w:val="22"/>
          <w:szCs w:val="22"/>
          <w:lang w:val="en-US"/>
        </w:rPr>
        <w:t>By noting that invocations of objectivity often step back, I do not intend to imply that objectivity is just stepping back. Rather, I suggest that stepping back is a good characterization of the function of many objectivity claims: assertions of objectivity can be evaluated by considering how their referents step back from the contexts in which they were produced.  This functional approach allows me to make the following proposal:</w:t>
      </w:r>
    </w:p>
    <w:p w14:paraId="0FA27C1C" w14:textId="77777777" w:rsidR="00F90A9B" w:rsidRPr="00F90A9B" w:rsidRDefault="00F90A9B" w:rsidP="00F90A9B">
      <w:pPr>
        <w:pStyle w:val="BlockQuote"/>
        <w:rPr>
          <w:rFonts w:ascii="Times New Roman" w:hAnsi="Times New Roman"/>
          <w:sz w:val="22"/>
          <w:szCs w:val="22"/>
          <w:lang w:val="en-US"/>
        </w:rPr>
      </w:pPr>
      <w:r w:rsidRPr="00F90A9B">
        <w:rPr>
          <w:rFonts w:ascii="Times New Roman" w:hAnsi="Times New Roman"/>
          <w:i/>
          <w:sz w:val="22"/>
          <w:szCs w:val="22"/>
          <w:lang w:val="en-US"/>
        </w:rPr>
        <w:t>Contextualism about objectivity</w:t>
      </w:r>
    </w:p>
    <w:p w14:paraId="677FEDE6" w14:textId="77777777" w:rsidR="00F90A9B" w:rsidRPr="00F90A9B" w:rsidRDefault="00F90A9B" w:rsidP="00F90A9B">
      <w:pPr>
        <w:pStyle w:val="BlockQuote"/>
        <w:rPr>
          <w:rFonts w:ascii="Times New Roman" w:hAnsi="Times New Roman"/>
          <w:sz w:val="22"/>
          <w:szCs w:val="22"/>
          <w:lang w:val="en-US"/>
        </w:rPr>
      </w:pPr>
      <w:r w:rsidRPr="00F90A9B">
        <w:rPr>
          <w:rFonts w:ascii="Times New Roman" w:hAnsi="Times New Roman"/>
          <w:sz w:val="22"/>
          <w:szCs w:val="22"/>
          <w:lang w:val="en-US"/>
        </w:rPr>
        <w:t xml:space="preserve">A </w:t>
      </w:r>
      <w:r w:rsidRPr="00F90A9B">
        <w:rPr>
          <w:rFonts w:ascii="Times New Roman" w:hAnsi="Times New Roman"/>
          <w:sz w:val="22"/>
          <w:szCs w:val="22"/>
          <w:u w:val="single"/>
          <w:lang w:val="en-US"/>
        </w:rPr>
        <w:t>knowledge claim</w:t>
      </w:r>
      <w:r w:rsidRPr="00F90A9B">
        <w:rPr>
          <w:rFonts w:ascii="Times New Roman" w:hAnsi="Times New Roman"/>
          <w:sz w:val="22"/>
          <w:szCs w:val="22"/>
          <w:lang w:val="en-US"/>
        </w:rPr>
        <w:t xml:space="preserve"> is objective to the extent that </w:t>
      </w:r>
      <w:r w:rsidRPr="00F90A9B">
        <w:rPr>
          <w:rFonts w:ascii="Times New Roman" w:hAnsi="Times New Roman"/>
          <w:sz w:val="22"/>
          <w:szCs w:val="22"/>
          <w:u w:val="single"/>
          <w:lang w:val="en-US"/>
        </w:rPr>
        <w:t>it is produced in a way that</w:t>
      </w:r>
      <w:r w:rsidRPr="00F90A9B">
        <w:rPr>
          <w:rFonts w:ascii="Times New Roman" w:hAnsi="Times New Roman"/>
          <w:sz w:val="22"/>
          <w:szCs w:val="22"/>
          <w:lang w:val="en-US"/>
        </w:rPr>
        <w:t xml:space="preserve"> steps back from </w:t>
      </w:r>
      <w:r w:rsidRPr="00F90A9B">
        <w:rPr>
          <w:rFonts w:ascii="Times New Roman" w:hAnsi="Times New Roman"/>
          <w:sz w:val="22"/>
          <w:szCs w:val="22"/>
          <w:u w:val="single"/>
          <w:lang w:val="en-US"/>
        </w:rPr>
        <w:t>features of the context</w:t>
      </w:r>
      <w:r w:rsidRPr="00F90A9B">
        <w:rPr>
          <w:rFonts w:ascii="Times New Roman" w:hAnsi="Times New Roman"/>
          <w:sz w:val="22"/>
          <w:szCs w:val="22"/>
          <w:lang w:val="en-US"/>
        </w:rPr>
        <w:t xml:space="preserve"> in which </w:t>
      </w:r>
      <w:r w:rsidRPr="00F90A9B">
        <w:rPr>
          <w:rFonts w:ascii="Times New Roman" w:hAnsi="Times New Roman"/>
          <w:sz w:val="22"/>
          <w:szCs w:val="22"/>
          <w:u w:val="single"/>
          <w:lang w:val="en-US"/>
        </w:rPr>
        <w:t>it was produced</w:t>
      </w:r>
      <w:r w:rsidRPr="00F90A9B">
        <w:rPr>
          <w:rFonts w:ascii="Times New Roman" w:hAnsi="Times New Roman"/>
          <w:sz w:val="22"/>
          <w:szCs w:val="22"/>
          <w:lang w:val="en-US"/>
        </w:rPr>
        <w:t xml:space="preserve"> </w:t>
      </w:r>
      <w:r w:rsidRPr="00F90A9B">
        <w:rPr>
          <w:rFonts w:ascii="Times New Roman" w:hAnsi="Times New Roman"/>
          <w:sz w:val="22"/>
          <w:szCs w:val="22"/>
          <w:u w:val="single"/>
          <w:lang w:val="en-US"/>
        </w:rPr>
        <w:t>relevant</w:t>
      </w:r>
      <w:r w:rsidRPr="00F90A9B">
        <w:rPr>
          <w:rFonts w:ascii="Times New Roman" w:hAnsi="Times New Roman"/>
          <w:sz w:val="22"/>
          <w:szCs w:val="22"/>
          <w:lang w:val="en-US"/>
        </w:rPr>
        <w:t xml:space="preserve"> to meet a </w:t>
      </w:r>
      <w:r w:rsidRPr="00F90A9B">
        <w:rPr>
          <w:rFonts w:ascii="Times New Roman" w:hAnsi="Times New Roman"/>
          <w:sz w:val="22"/>
          <w:szCs w:val="22"/>
          <w:u w:val="single"/>
          <w:lang w:val="en-US"/>
        </w:rPr>
        <w:t>goal Z</w:t>
      </w:r>
      <w:r w:rsidRPr="00F90A9B">
        <w:rPr>
          <w:rFonts w:ascii="Times New Roman" w:hAnsi="Times New Roman"/>
          <w:sz w:val="22"/>
          <w:szCs w:val="22"/>
          <w:lang w:val="en-US"/>
        </w:rPr>
        <w:t>.</w:t>
      </w:r>
    </w:p>
    <w:p w14:paraId="31D68572" w14:textId="77777777" w:rsidR="00F90A9B" w:rsidRPr="00F90A9B" w:rsidRDefault="00F90A9B" w:rsidP="00F90A9B">
      <w:pPr>
        <w:tabs>
          <w:tab w:val="left" w:pos="360"/>
          <w:tab w:val="left" w:pos="720"/>
          <w:tab w:val="left" w:pos="1080"/>
          <w:tab w:val="left" w:pos="1440"/>
          <w:tab w:val="left" w:pos="1800"/>
          <w:tab w:val="left" w:pos="2160"/>
          <w:tab w:val="left" w:pos="2880"/>
          <w:tab w:val="left" w:pos="3600"/>
          <w:tab w:val="left" w:pos="4320"/>
        </w:tabs>
        <w:spacing w:line="264" w:lineRule="auto"/>
        <w:ind w:firstLine="360"/>
        <w:rPr>
          <w:rFonts w:ascii="Times New Roman" w:hAnsi="Times New Roman"/>
          <w:sz w:val="22"/>
          <w:szCs w:val="22"/>
          <w:lang w:val="en-US"/>
        </w:rPr>
      </w:pPr>
    </w:p>
    <w:p w14:paraId="0DCA27AE"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lastRenderedPageBreak/>
        <w:t>As written, contextualism about objectivity foc</w:t>
      </w:r>
      <w:r w:rsidRPr="00F356E7">
        <w:rPr>
          <w:rFonts w:ascii="Times New Roman" w:hAnsi="Times New Roman"/>
          <w:sz w:val="22"/>
          <w:szCs w:val="22"/>
          <w:lang w:val="en-US"/>
        </w:rPr>
        <w:t xml:space="preserve">usses on </w:t>
      </w:r>
      <w:r w:rsidRPr="00F356E7">
        <w:rPr>
          <w:rFonts w:ascii="Times New Roman" w:hAnsi="Times New Roman"/>
          <w:sz w:val="22"/>
          <w:szCs w:val="22"/>
          <w:u w:val="single"/>
          <w:lang w:val="en-US"/>
        </w:rPr>
        <w:t>knowledge claims</w:t>
      </w:r>
      <w:r w:rsidRPr="00F356E7">
        <w:rPr>
          <w:rFonts w:ascii="Times New Roman" w:hAnsi="Times New Roman"/>
          <w:sz w:val="22"/>
          <w:szCs w:val="22"/>
          <w:lang w:val="en-US"/>
        </w:rPr>
        <w:t>. To this point I have been agnostic about the kinds of things that are labelled objective—the referents of o</w:t>
      </w:r>
      <w:r w:rsidRPr="00F90A9B">
        <w:rPr>
          <w:rFonts w:ascii="Times New Roman" w:hAnsi="Times New Roman"/>
          <w:sz w:val="22"/>
          <w:szCs w:val="22"/>
          <w:lang w:val="en-US"/>
        </w:rPr>
        <w:t xml:space="preserve">bjectivity. This is because different types of objectivity focus on different referents, and my starting point took the plurality of objectivity as given. Procedural objectivity, for example, normally refers to either processes—an objective test—or the outcomes they lead to. People can also be the referents of objectivity—an objective expert—as can decisions, representations, methods, knowledge practices, knowledge claims, et cetera. The contextualist proposal is stated in terms of </w:t>
      </w:r>
      <w:r w:rsidRPr="00F356E7">
        <w:rPr>
          <w:rFonts w:ascii="Times New Roman" w:hAnsi="Times New Roman"/>
          <w:sz w:val="22"/>
          <w:szCs w:val="22"/>
          <w:lang w:val="en-US"/>
        </w:rPr>
        <w:t>knowledge claims for simplicity and I will continue to focus on knowledge claims for the rest of this</w:t>
      </w:r>
      <w:r w:rsidRPr="00F90A9B">
        <w:rPr>
          <w:rFonts w:ascii="Times New Roman" w:hAnsi="Times New Roman"/>
          <w:sz w:val="22"/>
          <w:szCs w:val="22"/>
          <w:lang w:val="en-US"/>
        </w:rPr>
        <w:t xml:space="preserve"> subsection and in §2.2. But the proposal (and what I will say below) can be restated for all referents of objectivity by replacing the first, second, and fourth underlined parts in the above statement. For decisions the proposal would say: “A </w:t>
      </w:r>
      <w:r w:rsidRPr="00F90A9B">
        <w:rPr>
          <w:rFonts w:ascii="Times New Roman" w:hAnsi="Times New Roman"/>
          <w:sz w:val="22"/>
          <w:szCs w:val="22"/>
          <w:u w:val="single"/>
          <w:lang w:val="en-US"/>
        </w:rPr>
        <w:t>decision</w:t>
      </w:r>
      <w:r w:rsidRPr="00F90A9B">
        <w:rPr>
          <w:rFonts w:ascii="Times New Roman" w:hAnsi="Times New Roman"/>
          <w:sz w:val="22"/>
          <w:szCs w:val="22"/>
          <w:lang w:val="en-US"/>
        </w:rPr>
        <w:t xml:space="preserve"> is objective to the extent that it </w:t>
      </w:r>
      <w:r w:rsidRPr="00F90A9B">
        <w:rPr>
          <w:rFonts w:ascii="Times New Roman" w:hAnsi="Times New Roman"/>
          <w:sz w:val="22"/>
          <w:szCs w:val="22"/>
          <w:u w:val="single"/>
          <w:lang w:val="en-US"/>
        </w:rPr>
        <w:t>is made in a way that</w:t>
      </w:r>
      <w:r w:rsidRPr="00F90A9B">
        <w:rPr>
          <w:rFonts w:ascii="Times New Roman" w:hAnsi="Times New Roman"/>
          <w:sz w:val="22"/>
          <w:szCs w:val="22"/>
          <w:lang w:val="en-US"/>
        </w:rPr>
        <w:t xml:space="preserve"> steps back from features of the context in which </w:t>
      </w:r>
      <w:r w:rsidRPr="00F90A9B">
        <w:rPr>
          <w:rFonts w:ascii="Times New Roman" w:hAnsi="Times New Roman"/>
          <w:sz w:val="22"/>
          <w:szCs w:val="22"/>
          <w:u w:val="single"/>
          <w:lang w:val="en-US"/>
        </w:rPr>
        <w:t>it was made</w:t>
      </w:r>
      <w:r w:rsidRPr="00F90A9B">
        <w:rPr>
          <w:rFonts w:ascii="Times New Roman" w:hAnsi="Times New Roman"/>
          <w:sz w:val="22"/>
          <w:szCs w:val="22"/>
          <w:lang w:val="en-US"/>
        </w:rPr>
        <w:t xml:space="preserve">….” </w:t>
      </w:r>
    </w:p>
    <w:p w14:paraId="1F60F9B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665850C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There is a lot packed into ‘</w:t>
      </w:r>
      <w:r w:rsidRPr="00F90A9B">
        <w:rPr>
          <w:rFonts w:ascii="Times New Roman" w:hAnsi="Times New Roman"/>
          <w:sz w:val="22"/>
          <w:szCs w:val="22"/>
          <w:u w:val="single"/>
          <w:lang w:val="en-US"/>
        </w:rPr>
        <w:t>features of context</w:t>
      </w:r>
      <w:r w:rsidRPr="00F90A9B">
        <w:rPr>
          <w:rFonts w:ascii="Times New Roman" w:hAnsi="Times New Roman"/>
          <w:sz w:val="22"/>
          <w:szCs w:val="22"/>
          <w:lang w:val="en-US"/>
        </w:rPr>
        <w:t xml:space="preserve">… </w:t>
      </w:r>
      <w:r w:rsidRPr="00F90A9B">
        <w:rPr>
          <w:rFonts w:ascii="Times New Roman" w:hAnsi="Times New Roman"/>
          <w:sz w:val="22"/>
          <w:szCs w:val="22"/>
          <w:u w:val="single"/>
          <w:lang w:val="en-US"/>
        </w:rPr>
        <w:t>relevant</w:t>
      </w:r>
      <w:r w:rsidRPr="00F90A9B">
        <w:rPr>
          <w:rFonts w:ascii="Times New Roman" w:hAnsi="Times New Roman"/>
          <w:sz w:val="22"/>
          <w:szCs w:val="22"/>
          <w:lang w:val="en-US"/>
        </w:rPr>
        <w:t xml:space="preserve"> to meet a </w:t>
      </w:r>
      <w:r w:rsidRPr="00F90A9B">
        <w:rPr>
          <w:rFonts w:ascii="Times New Roman" w:hAnsi="Times New Roman"/>
          <w:sz w:val="22"/>
          <w:szCs w:val="22"/>
          <w:u w:val="single"/>
          <w:lang w:val="en-US"/>
        </w:rPr>
        <w:t>goal Z</w:t>
      </w:r>
      <w:r w:rsidRPr="00F90A9B">
        <w:rPr>
          <w:rFonts w:ascii="Times New Roman" w:hAnsi="Times New Roman"/>
          <w:sz w:val="22"/>
          <w:szCs w:val="22"/>
          <w:lang w:val="en-US"/>
        </w:rPr>
        <w:t xml:space="preserve">’. Contextualism about objectivity takes the </w:t>
      </w:r>
      <w:r w:rsidRPr="00F90A9B">
        <w:rPr>
          <w:rFonts w:ascii="Times New Roman" w:hAnsi="Times New Roman"/>
          <w:i/>
          <w:sz w:val="22"/>
          <w:szCs w:val="22"/>
          <w:lang w:val="en-US"/>
        </w:rPr>
        <w:t>context of use</w:t>
      </w:r>
      <w:r w:rsidRPr="00F90A9B">
        <w:rPr>
          <w:rFonts w:ascii="Times New Roman" w:hAnsi="Times New Roman"/>
          <w:sz w:val="22"/>
          <w:szCs w:val="22"/>
          <w:lang w:val="en-US"/>
        </w:rPr>
        <w:t xml:space="preserve"> of a knowledge claim to be what determines the ways in which it can be objective, i.e., the kinds of steps back that are relevant. The actual step back occurs, however, in the knowledge claim’s </w:t>
      </w:r>
      <w:r w:rsidRPr="00F90A9B">
        <w:rPr>
          <w:rFonts w:ascii="Times New Roman" w:hAnsi="Times New Roman"/>
          <w:i/>
          <w:sz w:val="22"/>
          <w:szCs w:val="22"/>
          <w:lang w:val="en-US"/>
        </w:rPr>
        <w:t>context of production</w:t>
      </w:r>
      <w:r w:rsidRPr="00F90A9B">
        <w:rPr>
          <w:rFonts w:ascii="Times New Roman" w:hAnsi="Times New Roman"/>
          <w:sz w:val="22"/>
          <w:szCs w:val="22"/>
          <w:lang w:val="en-US"/>
        </w:rPr>
        <w:t xml:space="preserve">. The knowledge claim will be used towards an end (Z), and it is that goal that determines the relevant features of the context of production to step back from. If energy usage projections are to be used to determine future government investment in energy infrastructure, that goal determines what the projections should step back from. In the context of that goal, the interests of energy companies might be relevant to step back from. Accordingly, one way in which the objectivity of energy usage projections can be judged is how much they step back from those interests. This stepping back then occurs in the production of the projections—maybe they can </w:t>
      </w:r>
      <w:r w:rsidRPr="00F90A9B">
        <w:rPr>
          <w:rFonts w:ascii="Times New Roman" w:hAnsi="Times New Roman"/>
          <w:sz w:val="22"/>
          <w:szCs w:val="22"/>
          <w:lang w:val="en-US"/>
        </w:rPr>
        <w:lastRenderedPageBreak/>
        <w:t>be produced by an independent body with no connections to the energy industry.</w:t>
      </w:r>
      <w:r w:rsidRPr="00F90A9B">
        <w:rPr>
          <w:rFonts w:ascii="Times New Roman" w:hAnsi="Times New Roman"/>
          <w:sz w:val="22"/>
          <w:szCs w:val="22"/>
          <w:vertAlign w:val="superscript"/>
          <w:lang w:val="en-US"/>
        </w:rPr>
        <w:footnoteReference w:id="10"/>
      </w:r>
    </w:p>
    <w:p w14:paraId="651F825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4D8F9BD"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b/>
          <w:sz w:val="22"/>
          <w:szCs w:val="22"/>
          <w:lang w:val="en-US"/>
        </w:rPr>
      </w:pPr>
      <w:bookmarkStart w:id="8" w:name="22_Contextualism_is_useful"/>
      <w:bookmarkEnd w:id="8"/>
      <w:r w:rsidRPr="00F90A9B">
        <w:rPr>
          <w:rFonts w:ascii="Times New Roman" w:hAnsi="Times New Roman"/>
          <w:b/>
          <w:sz w:val="22"/>
          <w:szCs w:val="22"/>
          <w:lang w:val="en-US"/>
        </w:rPr>
        <w:t>2.2. Contextualism is useful</w:t>
      </w:r>
    </w:p>
    <w:p w14:paraId="12F173DF"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sz w:val="22"/>
          <w:szCs w:val="22"/>
          <w:lang w:val="en-US"/>
        </w:rPr>
      </w:pPr>
    </w:p>
    <w:p w14:paraId="53F6EBEE"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Contextualism about objectivity asserts that the extent to which a knowledge claim is objective varies </w:t>
      </w:r>
      <w:r w:rsidRPr="00F356E7">
        <w:rPr>
          <w:rFonts w:ascii="Times New Roman" w:hAnsi="Times New Roman"/>
          <w:sz w:val="22"/>
          <w:szCs w:val="22"/>
          <w:lang w:val="en-US"/>
        </w:rPr>
        <w:t>as the context in whi</w:t>
      </w:r>
      <w:r w:rsidRPr="00F90A9B">
        <w:rPr>
          <w:rFonts w:ascii="Times New Roman" w:hAnsi="Times New Roman"/>
          <w:sz w:val="22"/>
          <w:szCs w:val="22"/>
          <w:lang w:val="en-US"/>
        </w:rPr>
        <w:t>ch that knowledge claim is used varies. This does not stop more general kinds of objectivity being discussed. Even if the precise extent to which a knowledge claim is objective can change with context, the way it steps back might have things in common with steps back taken by other knowledge claims. Many knowledge claims step back from certain kinds of va</w:t>
      </w:r>
      <w:r w:rsidRPr="00F356E7">
        <w:rPr>
          <w:rFonts w:ascii="Times New Roman" w:hAnsi="Times New Roman"/>
          <w:sz w:val="22"/>
          <w:szCs w:val="22"/>
          <w:lang w:val="en-US"/>
        </w:rPr>
        <w:t>lues.</w:t>
      </w:r>
      <w:r w:rsidRPr="00F356E7">
        <w:rPr>
          <w:rFonts w:ascii="Times New Roman" w:hAnsi="Times New Roman"/>
          <w:sz w:val="22"/>
          <w:szCs w:val="22"/>
          <w:vertAlign w:val="superscript"/>
          <w:lang w:val="en-US"/>
        </w:rPr>
        <w:footnoteReference w:id="11"/>
      </w:r>
      <w:r w:rsidRPr="00F356E7">
        <w:rPr>
          <w:rFonts w:ascii="Times New Roman" w:hAnsi="Times New Roman"/>
          <w:sz w:val="22"/>
          <w:szCs w:val="22"/>
          <w:lang w:val="en-US"/>
        </w:rPr>
        <w:t xml:space="preserve"> Even if the context in which these knowledge claims will be used dictates how they should step back from values to count as more or less objective, meaning that the values they step back from and the ways they do so can be quite different, it is still possible to discuss ‘value-freedom’ as a type of objectivity to which they relate. It is possible to group different steps back from values in different situations together under the heading ‘value freedom’ (or at least discuss degrees of value freedom). Similar things can be said of other kinds of steps back and consequent</w:t>
      </w:r>
      <w:r w:rsidRPr="00F90A9B">
        <w:rPr>
          <w:rFonts w:ascii="Times New Roman" w:hAnsi="Times New Roman"/>
          <w:sz w:val="22"/>
          <w:szCs w:val="22"/>
          <w:lang w:val="en-US"/>
        </w:rPr>
        <w:t xml:space="preserve"> instantiations of objectivity. This allows us to talk about different categories of objectivity (categories that might intersect and that will admit internal variation on how their instantiations are to be judged). In this way, contextualism about objectivity is compatible with a </w:t>
      </w:r>
      <w:r w:rsidRPr="00F90A9B">
        <w:rPr>
          <w:rFonts w:ascii="Times New Roman" w:hAnsi="Times New Roman"/>
          <w:i/>
          <w:sz w:val="22"/>
          <w:szCs w:val="22"/>
          <w:lang w:val="en-US"/>
        </w:rPr>
        <w:t>plurality</w:t>
      </w:r>
      <w:r w:rsidRPr="00F90A9B">
        <w:rPr>
          <w:rFonts w:ascii="Times New Roman" w:hAnsi="Times New Roman"/>
          <w:sz w:val="22"/>
          <w:szCs w:val="22"/>
          <w:lang w:val="en-US"/>
        </w:rPr>
        <w:t xml:space="preserve"> of types and instantiations of objectivity.</w:t>
      </w:r>
    </w:p>
    <w:p w14:paraId="42C5F2F6"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3F06979E"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It might plausibly be assumed that conte</w:t>
      </w:r>
      <w:r w:rsidRPr="00F356E7">
        <w:rPr>
          <w:rFonts w:ascii="Times New Roman" w:hAnsi="Times New Roman"/>
          <w:sz w:val="22"/>
          <w:szCs w:val="22"/>
          <w:lang w:val="en-US"/>
        </w:rPr>
        <w:t xml:space="preserve">xtualism blocks the use of objectivity in methodological generalizations and rules out drawing links between different instantiations of objectivity making it </w:t>
      </w:r>
      <w:r w:rsidRPr="00F356E7">
        <w:rPr>
          <w:rFonts w:ascii="Times New Roman" w:hAnsi="Times New Roman"/>
          <w:sz w:val="22"/>
          <w:szCs w:val="22"/>
          <w:lang w:val="en-US"/>
        </w:rPr>
        <w:lastRenderedPageBreak/>
        <w:t>incompatible with objectivity being a relational category. If what it means to be objective changes with context, then surely different uses of objectivity are just different. But contextualism about objectivity is not that radical. The relevant ways to judge the objectivity of a knowledge claim will vary with context. But this does not mean that more general statements about objectivity and its different possible types are not possible. And it does not mean that discussions about how different objectivity claims and different types of steps back relate and compare to each other are not possible.</w:t>
      </w:r>
    </w:p>
    <w:p w14:paraId="7AF3507A"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63634E7B" w14:textId="557B5779"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356E7">
        <w:rPr>
          <w:rFonts w:ascii="Times New Roman" w:hAnsi="Times New Roman"/>
          <w:sz w:val="22"/>
          <w:szCs w:val="22"/>
          <w:lang w:val="en-US"/>
        </w:rPr>
        <w:t>Since I have just argued that under contextualism it is still possible to group different types and instantiations of objectivity together, it is also possible to comment on the features that those types and instantiations s</w:t>
      </w:r>
      <w:r w:rsidR="00813201" w:rsidRPr="00F356E7">
        <w:rPr>
          <w:rFonts w:ascii="Times New Roman" w:hAnsi="Times New Roman"/>
          <w:sz w:val="22"/>
          <w:szCs w:val="22"/>
          <w:lang w:val="en-US"/>
        </w:rPr>
        <w:t>hare and on how those features a</w:t>
      </w:r>
      <w:r w:rsidRPr="00F356E7">
        <w:rPr>
          <w:rFonts w:ascii="Times New Roman" w:hAnsi="Times New Roman"/>
          <w:sz w:val="22"/>
          <w:szCs w:val="22"/>
          <w:lang w:val="en-US"/>
        </w:rPr>
        <w:t xml:space="preserve">ffect other practices. Assuming contextualism about objectivity does not prevent Greenhalgh from arguing that many different ways of being objective block space for important interpretive judgements. She could say: many of the types of steps back that increase objectivity in medical research block space for the use of important interpretive judgements in clinical settings. This means that contextualism about objectivity does not stop the concepts ‘objective’ and ‘objectivity’ (and their various sub-types) from being used in the construction of general arguments about practices and their possibilities. It is compatible with using objectivity to make </w:t>
      </w:r>
      <w:r w:rsidRPr="00F356E7">
        <w:rPr>
          <w:rFonts w:ascii="Times New Roman" w:hAnsi="Times New Roman"/>
          <w:i/>
          <w:sz w:val="22"/>
          <w:szCs w:val="22"/>
          <w:lang w:val="en-US"/>
        </w:rPr>
        <w:t>methodological generalizations.</w:t>
      </w:r>
    </w:p>
    <w:p w14:paraId="73C6AFC1"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p>
    <w:p w14:paraId="28516E9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356E7">
        <w:rPr>
          <w:rFonts w:ascii="Times New Roman" w:hAnsi="Times New Roman"/>
          <w:sz w:val="22"/>
          <w:szCs w:val="22"/>
          <w:lang w:val="en-US"/>
        </w:rPr>
        <w:t>If objectivity is a relational category, then the ability to make some comparisons between claims to it is important. At the very least local comparisons that can aid discussions of how different concrete practices relate and how they can be improved and refined. Luckil</w:t>
      </w:r>
      <w:r w:rsidRPr="00F90A9B">
        <w:rPr>
          <w:rFonts w:ascii="Times New Roman" w:hAnsi="Times New Roman"/>
          <w:sz w:val="22"/>
          <w:szCs w:val="22"/>
          <w:lang w:val="en-US"/>
        </w:rPr>
        <w:t>y, contextualism about objectivity is compatible with comparisons of objectivity when a kind of referent, a goal, and some other features of the context of use</w:t>
      </w:r>
      <w:r w:rsidRPr="00F90A9B">
        <w:rPr>
          <w:rFonts w:ascii="Times New Roman" w:hAnsi="Times New Roman"/>
          <w:sz w:val="22"/>
          <w:szCs w:val="22"/>
          <w:vertAlign w:val="superscript"/>
          <w:lang w:val="en-US"/>
        </w:rPr>
        <w:footnoteReference w:id="12"/>
      </w:r>
      <w:r w:rsidRPr="00F90A9B">
        <w:rPr>
          <w:rFonts w:ascii="Times New Roman" w:hAnsi="Times New Roman"/>
          <w:sz w:val="22"/>
          <w:szCs w:val="22"/>
          <w:lang w:val="en-US"/>
        </w:rPr>
        <w:t xml:space="preserve"> are fixed. It makes little sense to ask whether a particular process for aggregating opinions (say a vote) on an issue is more or less objective than a photograph depicting something completely different. But it might make sense to ask whether a set of photographs </w:t>
      </w:r>
      <w:r w:rsidRPr="00F90A9B">
        <w:rPr>
          <w:rFonts w:ascii="Times New Roman" w:hAnsi="Times New Roman"/>
          <w:sz w:val="22"/>
          <w:szCs w:val="22"/>
          <w:lang w:val="en-US"/>
        </w:rPr>
        <w:lastRenderedPageBreak/>
        <w:t xml:space="preserve">depicting an object from different angles gives a more </w:t>
      </w:r>
      <w:r w:rsidRPr="00F356E7">
        <w:rPr>
          <w:rFonts w:ascii="Times New Roman" w:hAnsi="Times New Roman"/>
          <w:sz w:val="22"/>
          <w:szCs w:val="22"/>
          <w:lang w:val="en-US"/>
        </w:rPr>
        <w:t>objective representation for a particular goal than a single photograph of the same object. In general terms, a knowledge cla</w:t>
      </w:r>
      <w:r w:rsidRPr="00F90A9B">
        <w:rPr>
          <w:rFonts w:ascii="Times New Roman" w:hAnsi="Times New Roman"/>
          <w:sz w:val="22"/>
          <w:szCs w:val="22"/>
          <w:lang w:val="en-US"/>
        </w:rPr>
        <w:t xml:space="preserve">im X is more objective than Y for a common goal Z if it is produced in a way that steps further back from features of the context in which it was produced relevant to meet a goal Z. ‘Steps further back’ means that it abstracts from more of the features of context relevant for Z, or from the same features to a greater degree. Thus, the statement ‘X is more objective than Y for Z’ can be helpful, but the statements ‘X is more objective than Y’ cannot. And, ‘how can X be more objective for Z?’ is a good question, but ‘how can X be more objective?’ is not. </w:t>
      </w:r>
    </w:p>
    <w:p w14:paraId="570D14F0"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p>
    <w:p w14:paraId="2BE912DB" w14:textId="77777777" w:rsidR="00F90A9B" w:rsidRPr="00F356E7"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r w:rsidRPr="00F90A9B">
        <w:rPr>
          <w:rFonts w:ascii="Times New Roman" w:hAnsi="Times New Roman"/>
          <w:sz w:val="22"/>
          <w:szCs w:val="22"/>
          <w:lang w:val="en-US"/>
        </w:rPr>
        <w:tab/>
      </w:r>
      <w:r w:rsidRPr="00F356E7">
        <w:rPr>
          <w:rFonts w:ascii="Times New Roman" w:hAnsi="Times New Roman"/>
          <w:sz w:val="22"/>
          <w:szCs w:val="22"/>
          <w:lang w:val="en-US"/>
        </w:rPr>
        <w:t xml:space="preserve">Moreover, the abstract types of objectivity I have just argued are compatible with contextualism work in the same way as discussed in §1.1.1. They refer to general kinds of goals to which they might apply, kinds of contexts in which they are often used, abstract descriptions of the kinds of steps back they may involve and general ideals that motivate the selection of certain steps back. Taken together with the possibility for some comparisons, this means that contextualism about objectivity is compatible with objectivity being a </w:t>
      </w:r>
      <w:r w:rsidRPr="00F356E7">
        <w:rPr>
          <w:rFonts w:ascii="Times New Roman" w:hAnsi="Times New Roman"/>
          <w:i/>
          <w:sz w:val="22"/>
          <w:szCs w:val="22"/>
          <w:lang w:val="en-US"/>
        </w:rPr>
        <w:t>relational category</w:t>
      </w:r>
      <w:r w:rsidRPr="00F356E7">
        <w:rPr>
          <w:rFonts w:ascii="Times New Roman" w:hAnsi="Times New Roman"/>
          <w:sz w:val="22"/>
          <w:szCs w:val="22"/>
          <w:lang w:val="en-US"/>
        </w:rPr>
        <w:t xml:space="preserve"> via which different concrete practices can be related to other practices and to more abstract uses, goals, ideals and practices.</w:t>
      </w:r>
    </w:p>
    <w:p w14:paraId="278522F8" w14:textId="77777777" w:rsidR="00F90A9B" w:rsidRPr="00F356E7"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399B3B8B" w14:textId="77777777" w:rsidR="00F90A9B" w:rsidRPr="00F90A9B" w:rsidRDefault="00F90A9B" w:rsidP="00F90A9B">
      <w:pPr>
        <w:tabs>
          <w:tab w:val="left" w:pos="720"/>
          <w:tab w:val="left" w:pos="1440"/>
          <w:tab w:val="left" w:pos="2160"/>
          <w:tab w:val="left" w:pos="2880"/>
          <w:tab w:val="left" w:pos="3600"/>
          <w:tab w:val="left" w:pos="4320"/>
        </w:tabs>
        <w:spacing w:line="480" w:lineRule="auto"/>
        <w:rPr>
          <w:rFonts w:ascii="Times New Roman" w:hAnsi="Times New Roman"/>
          <w:sz w:val="22"/>
          <w:szCs w:val="22"/>
          <w:lang w:val="en-US"/>
        </w:rPr>
      </w:pPr>
      <w:r w:rsidRPr="00F356E7">
        <w:rPr>
          <w:rFonts w:ascii="Times New Roman" w:hAnsi="Times New Roman"/>
          <w:sz w:val="22"/>
          <w:szCs w:val="22"/>
          <w:lang w:val="en-US"/>
        </w:rPr>
        <w:tab/>
        <w:t>Thus, contextualism about objectivity offers a way of think</w:t>
      </w:r>
      <w:r w:rsidRPr="00F90A9B">
        <w:rPr>
          <w:rFonts w:ascii="Times New Roman" w:hAnsi="Times New Roman"/>
          <w:sz w:val="22"/>
          <w:szCs w:val="22"/>
          <w:lang w:val="en-US"/>
        </w:rPr>
        <w:t xml:space="preserve">ing about objectivity that acknowledges its plurality while being compatible with methodological generalizations and with objectivity being a relational category. Contextualism about objectivity also makes an assertion about the kinds of objectivity-related discussions that are useful. Assessments of objectivity claims only make sense in the context of particular uses (even if types of objectivity claims can be discussed more generally as part of relational discussions or methodological generalizations). And referents of objectivity need to have enough similarities for comparisons between them to be fruitful. Nothing is ever objective simpliciter, but given a context, partial attributions of objectivity make sense and it can still make sense to talk about whether something can be more or less objective. From the perspective of social decisions and knowledge, this means that relative assessments of objectivity will depend on the different social domains they are used in, and the different social problems they are used to </w:t>
      </w:r>
      <w:r w:rsidRPr="00F90A9B">
        <w:rPr>
          <w:rFonts w:ascii="Times New Roman" w:hAnsi="Times New Roman"/>
          <w:sz w:val="22"/>
          <w:szCs w:val="22"/>
          <w:lang w:val="en-US"/>
        </w:rPr>
        <w:lastRenderedPageBreak/>
        <w:t>address. I explain the clarifications this offers about how the concepts ‘objective’ and ‘objectivity’ can be used by turning back to the Bank of England.</w:t>
      </w:r>
    </w:p>
    <w:p w14:paraId="134806D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4D3BE4B6"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480" w:lineRule="auto"/>
        <w:rPr>
          <w:rFonts w:ascii="Times New Roman" w:hAnsi="Times New Roman"/>
          <w:b/>
          <w:sz w:val="22"/>
          <w:szCs w:val="22"/>
          <w:lang w:val="en-US"/>
        </w:rPr>
      </w:pPr>
      <w:bookmarkStart w:id="9" w:name="23_The_bank_rate"/>
      <w:bookmarkEnd w:id="9"/>
      <w:r w:rsidRPr="00F90A9B">
        <w:rPr>
          <w:rFonts w:ascii="Times New Roman" w:hAnsi="Times New Roman"/>
          <w:b/>
          <w:sz w:val="22"/>
          <w:szCs w:val="22"/>
          <w:lang w:val="en-US"/>
        </w:rPr>
        <w:t>2.3. The bank rate</w:t>
      </w:r>
    </w:p>
    <w:p w14:paraId="0DC1FC34"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sz w:val="22"/>
          <w:szCs w:val="22"/>
          <w:lang w:val="en-US"/>
        </w:rPr>
      </w:pPr>
    </w:p>
    <w:p w14:paraId="65F50173"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Eight times a year the </w:t>
      </w:r>
      <w:r w:rsidRPr="00F90A9B">
        <w:rPr>
          <w:rFonts w:ascii="Times New Roman" w:hAnsi="Times New Roman"/>
          <w:i/>
          <w:sz w:val="22"/>
          <w:szCs w:val="22"/>
          <w:lang w:val="en-US"/>
        </w:rPr>
        <w:t xml:space="preserve">Monetary Policy Committee </w:t>
      </w:r>
      <w:r w:rsidRPr="00F90A9B">
        <w:rPr>
          <w:rFonts w:ascii="Times New Roman" w:hAnsi="Times New Roman"/>
          <w:sz w:val="22"/>
          <w:szCs w:val="22"/>
          <w:lang w:val="en-US"/>
        </w:rPr>
        <w:t xml:space="preserve">(MPC) of the Bank of England meets to determine the </w:t>
      </w:r>
      <w:r w:rsidRPr="00F90A9B">
        <w:rPr>
          <w:rFonts w:ascii="Times New Roman" w:hAnsi="Times New Roman"/>
          <w:i/>
          <w:sz w:val="22"/>
          <w:szCs w:val="22"/>
          <w:lang w:val="en-US"/>
        </w:rPr>
        <w:t>Bank Rate</w:t>
      </w:r>
      <w:r w:rsidRPr="00F90A9B">
        <w:rPr>
          <w:rFonts w:ascii="Times New Roman" w:hAnsi="Times New Roman"/>
          <w:sz w:val="22"/>
          <w:szCs w:val="22"/>
          <w:lang w:val="en-US"/>
        </w:rPr>
        <w:t xml:space="preserve"> of interest. Other parts of the Bank then use a collection of operational devices to encourage the market rate at which commercial banks lend to each other overnight to stay close to the Bank Rate. The assumption is that other market interest rates (consumer loan or mortgage rates for example) will then also rise and fall with the Bank Rate, affecting the cost of money throughout the economy. When the nine members of the MPC meet, they first discuss “financial market developments; the international economy; money, credit, demand and output; and supply, costs and prices” </w:t>
      </w:r>
      <w:r w:rsidRPr="00F90A9B">
        <w:rPr>
          <w:rFonts w:ascii="Times New Roman" w:hAnsi="Times New Roman"/>
          <w:sz w:val="22"/>
          <w:szCs w:val="22"/>
        </w:rPr>
        <w:fldChar w:fldCharType="begin"/>
      </w:r>
      <w:r w:rsidRPr="00F90A9B">
        <w:rPr>
          <w:rFonts w:ascii="Times New Roman" w:hAnsi="Times New Roman"/>
          <w:sz w:val="22"/>
          <w:szCs w:val="22"/>
        </w:rPr>
        <w:instrText>ADDIN BEC{Bank of England, 2017, #65834@1}</w:instrText>
      </w:r>
      <w:r w:rsidRPr="00F90A9B">
        <w:rPr>
          <w:rFonts w:ascii="Times New Roman" w:hAnsi="Times New Roman"/>
          <w:sz w:val="22"/>
          <w:szCs w:val="22"/>
        </w:rPr>
        <w:fldChar w:fldCharType="separate"/>
      </w:r>
      <w:r w:rsidRPr="00F90A9B">
        <w:rPr>
          <w:rFonts w:ascii="Times New Roman" w:hAnsi="Times New Roman"/>
          <w:sz w:val="22"/>
          <w:szCs w:val="22"/>
        </w:rPr>
        <w:t>(Bank of England 2017, 1)</w:t>
      </w:r>
      <w:r w:rsidRPr="00F90A9B">
        <w:rPr>
          <w:rFonts w:ascii="Times New Roman" w:hAnsi="Times New Roman"/>
          <w:sz w:val="22"/>
          <w:szCs w:val="22"/>
        </w:rPr>
        <w:fldChar w:fldCharType="end"/>
      </w:r>
      <w:r w:rsidRPr="00F90A9B">
        <w:rPr>
          <w:rFonts w:ascii="Times New Roman" w:hAnsi="Times New Roman"/>
          <w:sz w:val="22"/>
          <w:szCs w:val="22"/>
          <w:lang w:val="en-US"/>
        </w:rPr>
        <w:t>. The Governor of the Bank (themselves an MPC member) then invites the committee to vote on propositions about the Bank Rate. Propositions are ratified or rejected by a publicly recorded majority vote.</w:t>
      </w:r>
    </w:p>
    <w:p w14:paraId="03457937"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1B47DDB1"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The setting of the Bank Rate is one of the main operations of the Bank. It is fair to assume, therefore, that decisions about the Bank Rate are intended to fall in line with the standards articulated in </w:t>
      </w:r>
      <w:r w:rsidRPr="00F90A9B">
        <w:rPr>
          <w:rFonts w:ascii="Times New Roman" w:hAnsi="Times New Roman"/>
          <w:i/>
          <w:sz w:val="22"/>
          <w:szCs w:val="22"/>
          <w:lang w:val="en-US"/>
        </w:rPr>
        <w:t>Our Code</w:t>
      </w:r>
      <w:r w:rsidRPr="00F90A9B">
        <w:rPr>
          <w:rFonts w:ascii="Times New Roman" w:hAnsi="Times New Roman"/>
          <w:sz w:val="22"/>
          <w:szCs w:val="22"/>
          <w:lang w:val="en-US"/>
        </w:rPr>
        <w:t xml:space="preserve">, including objectivity. But, given that </w:t>
      </w:r>
      <w:r w:rsidRPr="00F90A9B">
        <w:rPr>
          <w:rFonts w:ascii="Times New Roman" w:hAnsi="Times New Roman"/>
          <w:i/>
          <w:sz w:val="22"/>
          <w:szCs w:val="22"/>
          <w:lang w:val="en-US"/>
        </w:rPr>
        <w:t>Our Code</w:t>
      </w:r>
      <w:r w:rsidRPr="00F90A9B">
        <w:rPr>
          <w:rFonts w:ascii="Times New Roman" w:hAnsi="Times New Roman"/>
          <w:sz w:val="22"/>
          <w:szCs w:val="22"/>
          <w:lang w:val="en-US"/>
        </w:rPr>
        <w:t xml:space="preserve"> is not clear about the kind of objectivity it intends, what might this mean? I suggest that contextualism about objectivity offers us a useful framework for thinking about what this might mean and for thinking about how the objectivity of Bank Rate decisions might be improved.</w:t>
      </w:r>
    </w:p>
    <w:p w14:paraId="2F109750"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i/>
          <w:sz w:val="22"/>
          <w:szCs w:val="22"/>
          <w:lang w:val="en-US"/>
        </w:rPr>
      </w:pPr>
    </w:p>
    <w:p w14:paraId="2A899189"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Take the MPC’s Bank Rate decisions to be referents of objectivity. This takes as given the information available to the MPC and the goal of Bank Rate adjustments—inflation targeting.</w:t>
      </w:r>
      <w:r w:rsidRPr="00F90A9B">
        <w:rPr>
          <w:rFonts w:ascii="Times New Roman" w:hAnsi="Times New Roman"/>
          <w:sz w:val="22"/>
          <w:szCs w:val="22"/>
          <w:vertAlign w:val="superscript"/>
          <w:lang w:val="en-US"/>
        </w:rPr>
        <w:footnoteReference w:id="13"/>
      </w:r>
      <w:r w:rsidRPr="00F90A9B">
        <w:rPr>
          <w:rFonts w:ascii="Times New Roman" w:hAnsi="Times New Roman"/>
          <w:sz w:val="22"/>
          <w:szCs w:val="22"/>
          <w:lang w:val="en-US"/>
        </w:rPr>
        <w:t xml:space="preserve"> It also assumes the governance and operational structure of the Bank of England and its institutional role in </w:t>
      </w:r>
      <w:r w:rsidRPr="00F90A9B">
        <w:rPr>
          <w:rFonts w:ascii="Times New Roman" w:hAnsi="Times New Roman"/>
          <w:sz w:val="22"/>
          <w:szCs w:val="22"/>
          <w:lang w:val="en-US"/>
        </w:rPr>
        <w:lastRenderedPageBreak/>
        <w:t>the United Kingdom. When this context, goal (Z = inflation targeting), and referent (Bank Rate decisions) are given, contextualism about objectivity says that it can be useful to ask questions like: (1) how can the MPC’s Bank Rate decisions be more objective with the aim of inflation rate targeting? And, (2) is the current process by which the MPC decides the Bank Rate more objective than a majority vote of representatives of the Big Four</w:t>
      </w:r>
      <w:r w:rsidRPr="00F90A9B">
        <w:rPr>
          <w:rFonts w:ascii="Times New Roman" w:hAnsi="Times New Roman"/>
          <w:sz w:val="22"/>
          <w:szCs w:val="22"/>
          <w:vertAlign w:val="superscript"/>
          <w:lang w:val="en-US"/>
        </w:rPr>
        <w:footnoteReference w:id="14"/>
      </w:r>
      <w:r w:rsidRPr="00F90A9B">
        <w:rPr>
          <w:rFonts w:ascii="Times New Roman" w:hAnsi="Times New Roman"/>
          <w:sz w:val="22"/>
          <w:szCs w:val="22"/>
          <w:lang w:val="en-US"/>
        </w:rPr>
        <w:t xml:space="preserve"> banks for inflation rate targeting? It is not useful to ask questions like: (1') how can the MPC’S Bank Rate decisions be more objective? Contextualism about objectivity also asserts that answers to these questions can be discussed by focusing on the extent to which Bank Rate decisions step back from features of the context in which they are made relevant for inflation rate targeting.</w:t>
      </w:r>
    </w:p>
    <w:p w14:paraId="7AA0F47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BCF157B"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Bank Rate decisions are reached by the current (late 2017) MPC decision procedure: discussion, proposition, majority vote. They are not flawless calculations of what should happen. They are not free from values. And even though they follow a fixed procedure, that procedure is not designed to make the outcome invariant under changes in committee members (as some forms of procedural objectivity would aim at). It is assumed that different MPC members will draw on different ideas, knowledge, and values to make judgements from their own perspectives and that this is valuable.</w:t>
      </w:r>
    </w:p>
    <w:p w14:paraId="2277D598"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6A49EDC0"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Nonetheless, there are ways in which the MPC’s decisions can be said to be partially objective, given their goal. Committee members may rely on values in making their judgements, but given that they need to justify them, it is unlikely that relying on any values will be acceptable. This justification requirement may not be flawless, there </w:t>
      </w:r>
      <w:r w:rsidRPr="00F356E7">
        <w:rPr>
          <w:rFonts w:ascii="Times New Roman" w:hAnsi="Times New Roman"/>
          <w:sz w:val="22"/>
          <w:szCs w:val="22"/>
          <w:lang w:val="en-US"/>
        </w:rPr>
        <w:t>may be values that MPC members are not even aware that they endorse. But it will amount to a step back from some values, recours</w:t>
      </w:r>
      <w:r w:rsidRPr="00F90A9B">
        <w:rPr>
          <w:rFonts w:ascii="Times New Roman" w:hAnsi="Times New Roman"/>
          <w:sz w:val="22"/>
          <w:szCs w:val="22"/>
          <w:lang w:val="en-US"/>
        </w:rPr>
        <w:t xml:space="preserve">e to aesthetic reasons for choosing one model over another or a preference for a certain geographical region are, for example, likely to be heavily criticized. Even though the committee members’ judgements are valued, none of them are asked to decide alone. The MPC is supposed to discuss and argue over the issues before deciding by a majority vote of nine different people. This is intended to challenge flawed reasoning </w:t>
      </w:r>
      <w:r w:rsidRPr="00F90A9B">
        <w:rPr>
          <w:rFonts w:ascii="Times New Roman" w:hAnsi="Times New Roman"/>
          <w:sz w:val="22"/>
          <w:szCs w:val="22"/>
          <w:lang w:val="en-US"/>
        </w:rPr>
        <w:lastRenderedPageBreak/>
        <w:t>and prevent the MPC’s decisions being determined by one person (and any idiosyncratic opinions). This way of aggregating judgements (discussion, vote) amounts to a partial step back from individual judgements. Furthermore, the fact that there are different people on the committee should mean that different ways of thinking are aggregated in a way that deals fairly with different reasons and perspectives, thereby stepping back to a perspective that is more general than that of one person, although not representative of all thinking. And, through being a committee independent of commercial banking, it is hoped that the MPC’s decisions are able to step back from the interests of commercial banks to make decisions that are focused on their stated goal (inflation targeting).</w:t>
      </w:r>
    </w:p>
    <w:p w14:paraId="3132CE2B"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51C2549"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Thus, even though the MPC’s decision procedure does not give completely flawless, value-free, or procedurally objective decisions, it does partly constrain the judgements MPC members make and the values and individual reasons those judgements involve. The MPC’s decisions step back from the contexts of their production in a number of ways and they can be seen as partially value-free, as having some component of inter-subjective objectivity </w:t>
      </w:r>
      <w:r w:rsidRPr="00F90A9B">
        <w:rPr>
          <w:rFonts w:ascii="Times New Roman" w:hAnsi="Times New Roman"/>
          <w:sz w:val="22"/>
          <w:szCs w:val="22"/>
        </w:rPr>
        <w:fldChar w:fldCharType="begin"/>
      </w:r>
      <w:r w:rsidRPr="00F90A9B">
        <w:rPr>
          <w:rFonts w:ascii="Times New Roman" w:hAnsi="Times New Roman"/>
          <w:sz w:val="22"/>
          <w:szCs w:val="22"/>
        </w:rPr>
        <w:instrText>ADDIN BEC{Quine, 1990, #4</w:instrText>
      </w:r>
      <w:r w:rsidRPr="00F90A9B">
        <w:rPr>
          <w:rFonts w:ascii="Times New Roman" w:hAnsi="Times New Roman"/>
          <w:sz w:val="22"/>
          <w:szCs w:val="22"/>
          <w:lang w:val="en-US"/>
        </w:rPr>
        <w:instrText>5744; Douglas, 2004, #75233}</w:instrText>
      </w:r>
      <w:r w:rsidRPr="00F90A9B">
        <w:rPr>
          <w:rFonts w:ascii="Times New Roman" w:hAnsi="Times New Roman"/>
          <w:sz w:val="22"/>
          <w:szCs w:val="22"/>
        </w:rPr>
        <w:fldChar w:fldCharType="separate"/>
      </w:r>
      <w:r w:rsidRPr="00F90A9B">
        <w:rPr>
          <w:rFonts w:ascii="Times New Roman" w:hAnsi="Times New Roman"/>
          <w:sz w:val="22"/>
          <w:szCs w:val="22"/>
        </w:rPr>
        <w:t>(Quine 1990; Douglas 2004)</w:t>
      </w:r>
      <w:r w:rsidRPr="00F90A9B">
        <w:rPr>
          <w:rFonts w:ascii="Times New Roman" w:hAnsi="Times New Roman"/>
          <w:sz w:val="22"/>
          <w:szCs w:val="22"/>
        </w:rPr>
        <w:fldChar w:fldCharType="end"/>
      </w:r>
      <w:r w:rsidRPr="00F90A9B">
        <w:rPr>
          <w:rFonts w:ascii="Times New Roman" w:hAnsi="Times New Roman"/>
          <w:sz w:val="22"/>
          <w:szCs w:val="22"/>
          <w:lang w:val="en-US"/>
        </w:rPr>
        <w:t>, as partly representative of the available thinking, and as partially impartial.</w:t>
      </w:r>
    </w:p>
    <w:p w14:paraId="23CF16F2"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5AB008F2"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There are ways that all of these steps back might be improved towards the aim of inflation rate targeting. Maybe the MPC’s decisions would be more objective (given their goal) if at least one committee member was not an economist. This might make the committee less likely to have ties to commercial banking and might mean that an extra way of thinking will be represented. (The chief economist of the Bank himself has complained about the narrow modes of thought exhibited by economists </w:t>
      </w:r>
      <w:r w:rsidRPr="00F90A9B">
        <w:rPr>
          <w:rFonts w:ascii="Times New Roman" w:hAnsi="Times New Roman"/>
          <w:sz w:val="22"/>
          <w:szCs w:val="22"/>
        </w:rPr>
        <w:fldChar w:fldCharType="begin"/>
      </w:r>
      <w:r w:rsidRPr="00F90A9B">
        <w:rPr>
          <w:rFonts w:ascii="Times New Roman" w:hAnsi="Times New Roman"/>
          <w:sz w:val="22"/>
          <w:szCs w:val="22"/>
        </w:rPr>
        <w:instrText>ADDIN BEC{Haldane and Turrell, 2018, #85245; Haldane, 2015, #75121; Haldane, 2015, #30023}</w:instrText>
      </w:r>
      <w:r w:rsidRPr="00F90A9B">
        <w:rPr>
          <w:rFonts w:ascii="Times New Roman" w:hAnsi="Times New Roman"/>
          <w:sz w:val="22"/>
          <w:szCs w:val="22"/>
        </w:rPr>
        <w:fldChar w:fldCharType="separate"/>
      </w:r>
      <w:r w:rsidRPr="00F90A9B">
        <w:rPr>
          <w:rFonts w:ascii="Times New Roman" w:hAnsi="Times New Roman"/>
          <w:sz w:val="22"/>
          <w:szCs w:val="22"/>
        </w:rPr>
        <w:t>(Haldane and Turrell 2018; Haldane 2015a; Haldane 2015b)</w:t>
      </w:r>
      <w:r w:rsidRPr="00F90A9B">
        <w:rPr>
          <w:rFonts w:ascii="Times New Roman" w:hAnsi="Times New Roman"/>
          <w:sz w:val="22"/>
          <w:szCs w:val="22"/>
        </w:rPr>
        <w:fldChar w:fldCharType="end"/>
      </w:r>
      <w:r w:rsidRPr="00F90A9B">
        <w:rPr>
          <w:rFonts w:ascii="Times New Roman" w:hAnsi="Times New Roman"/>
          <w:sz w:val="22"/>
          <w:szCs w:val="22"/>
          <w:lang w:val="en-US"/>
        </w:rPr>
        <w:t xml:space="preserve">.) Alternatively, a procedure (like the one suggested by Alexandrova) to ensure that the committee’s unacknowledged value judgements are unearthed and exposed to criticism might increase the extent to which the MPC’s decisions are value-free. Both of these possible improvements are dependent on the context of the MPC’s Bank Rate decisions: the goal of such decisions, the operational procedures that arise from them, and the wider institutional and historical context that surrounds them. The MPC’s impartiality is partly relative to commercial banks, for example, because inflation and interest rates are particularly </w:t>
      </w:r>
      <w:r w:rsidRPr="00F90A9B">
        <w:rPr>
          <w:rFonts w:ascii="Times New Roman" w:hAnsi="Times New Roman"/>
          <w:sz w:val="22"/>
          <w:szCs w:val="22"/>
          <w:lang w:val="en-US"/>
        </w:rPr>
        <w:lastRenderedPageBreak/>
        <w:t>important factors for such banks. Thus, while (1) might be a relevant and useful question, its decontextualized version (1') is less so. This also sheds light on why, even if imperfect, the current decision procedure is more objective (relative to its goal and context) than some possible alternatives. The majority voting of representatives of the Big Four banks will not be as impartial because commercial banks are affected by Bank Rate decisions (answering (2) above).</w:t>
      </w:r>
    </w:p>
    <w:p w14:paraId="2E540D3F"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698D01DA"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Underlying this discussion of the Bank Rate are different types of objectivity and different ways of stepping back. Contextualism about objectivity does not provide an answer to ‘what is the best or most objective method for Bank Rate decisions?’, but it does provide a way of talking about whether the processes used are suitable, and whether others might be better. The fact that objectivity is a relational category aids this. By talking about the different practices, goals, uses, and ideals of different types of objectivity, different aspects of the MPC’s decisions and ways to improve them are highlighted.</w:t>
      </w:r>
    </w:p>
    <w:p w14:paraId="618CEB79"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763274A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What goes for decisions can be mapped o</w:t>
      </w:r>
      <w:r w:rsidRPr="00F356E7">
        <w:rPr>
          <w:rFonts w:ascii="Times New Roman" w:hAnsi="Times New Roman"/>
          <w:sz w:val="22"/>
          <w:szCs w:val="22"/>
          <w:lang w:val="en-US"/>
        </w:rPr>
        <w:t>ver to knowledge claims, representations, and other referents of objectivity. For all referents, contextualism about objectivity suggests that the context in which they will be used determines the relevant features of</w:t>
      </w:r>
      <w:r w:rsidRPr="00F90A9B">
        <w:rPr>
          <w:rFonts w:ascii="Times New Roman" w:hAnsi="Times New Roman"/>
          <w:sz w:val="22"/>
          <w:szCs w:val="22"/>
          <w:lang w:val="en-US"/>
        </w:rPr>
        <w:t xml:space="preserve"> their context of production to step back from. This helps clarify how the meaning of objectivity can change and how to assess claims to objectivity (by looking at the ways their referents step back and the extent to which they do so). It provides a structure for thinking about how different ways of being objective apply in different contexts (by stepping back in ways relevant to the use of the referent), and how things can be partially objective. It highlights the kinds of questions it is useful to ask about particular claims to objectivity (those that take goals and context into account). It can help clarify when it is useful to compare instances of objectivity, and by highlighting the relevant factors, can guide us to scales for such comparisons.</w:t>
      </w:r>
    </w:p>
    <w:p w14:paraId="08B1C92B"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277F2767" w14:textId="77777777" w:rsidR="00F90A9B" w:rsidRPr="00F90A9B" w:rsidRDefault="00F90A9B" w:rsidP="00F90A9B">
      <w:pPr>
        <w:keepNex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b/>
          <w:sz w:val="22"/>
          <w:szCs w:val="22"/>
          <w:lang w:val="en-US"/>
        </w:rPr>
      </w:pPr>
      <w:bookmarkStart w:id="10" w:name="Conclusion"/>
      <w:r w:rsidRPr="00F90A9B">
        <w:rPr>
          <w:rFonts w:ascii="Times New Roman" w:hAnsi="Times New Roman"/>
          <w:b/>
          <w:sz w:val="22"/>
          <w:szCs w:val="22"/>
          <w:lang w:val="en-US"/>
        </w:rPr>
        <w:lastRenderedPageBreak/>
        <w:t>Conclusion</w:t>
      </w:r>
      <w:bookmarkEnd w:id="10"/>
    </w:p>
    <w:p w14:paraId="54175769"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I have made two arguments: that objectivity can be useful, and that contextualism about objectivity offers a way to take advantage of those uses while also admitting a plurality of types of objectivity and offering some clarity about how objectivity can be used.</w:t>
      </w:r>
    </w:p>
    <w:p w14:paraId="1E812B71"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5C6C4ECA"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By being a relational category and supporting methodological generalizations, the abstraction involved in referring to objectivity can be useful in conversations about the merits of specific practices. Relating concrete practices to objectivity can help assess, refine, and justify those practices and can help arbitrate between different practices. And, objectivity can be used in methodological generalization that can be used to evaluate specific practices and their possibilities.</w:t>
      </w:r>
    </w:p>
    <w:p w14:paraId="421772D3"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189CE185"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Contextualism about objectivity suggests that the extent to which something is objective changes as the context in which that thing is used changes. It characterizes different ways of being objective as different kinds of steps back. The context of use of a referent of an objectivity claim determines the relevant features of the context of its production to step back from. As well as admitting a plurality of different types of objectivity and being compatible with methodological generalizations and using objectivity as a relational category, contextualism about objectivity helps clarify how the meaning of objectivity can change and gives us a contextually grounded way to assess claims to objectivity.</w:t>
      </w:r>
    </w:p>
    <w:p w14:paraId="55846F20"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b/>
          <w:sz w:val="22"/>
          <w:szCs w:val="22"/>
          <w:lang w:val="en-US"/>
        </w:rPr>
      </w:pPr>
      <w:bookmarkStart w:id="11" w:name="References"/>
      <w:r w:rsidRPr="00F90A9B">
        <w:rPr>
          <w:rFonts w:ascii="Times New Roman" w:hAnsi="Times New Roman"/>
          <w:sz w:val="22"/>
          <w:szCs w:val="22"/>
          <w:lang w:val="en-US"/>
        </w:rPr>
        <w:br w:type="page"/>
      </w:r>
      <w:r w:rsidRPr="00F90A9B">
        <w:rPr>
          <w:rFonts w:ascii="Times New Roman" w:hAnsi="Times New Roman"/>
          <w:b/>
          <w:sz w:val="22"/>
          <w:szCs w:val="22"/>
          <w:lang w:val="en-US"/>
        </w:rPr>
        <w:lastRenderedPageBreak/>
        <w:t>References</w:t>
      </w:r>
      <w:bookmarkEnd w:id="11"/>
    </w:p>
    <w:p w14:paraId="54A80739"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fldChar w:fldCharType="begin"/>
      </w:r>
      <w:r w:rsidRPr="00F90A9B">
        <w:rPr>
          <w:rFonts w:ascii="Times New Roman" w:hAnsi="Times New Roman"/>
          <w:sz w:val="22"/>
          <w:szCs w:val="22"/>
        </w:rPr>
        <w:instrText>ADDIN BB</w:instrText>
      </w:r>
      <w:r w:rsidRPr="00F90A9B">
        <w:rPr>
          <w:rFonts w:ascii="Times New Roman" w:hAnsi="Times New Roman"/>
          <w:sz w:val="22"/>
          <w:szCs w:val="22"/>
        </w:rPr>
        <w:fldChar w:fldCharType="separate"/>
      </w:r>
      <w:r w:rsidRPr="00F90A9B">
        <w:rPr>
          <w:rFonts w:ascii="Times New Roman" w:hAnsi="Times New Roman"/>
          <w:sz w:val="22"/>
          <w:szCs w:val="22"/>
        </w:rPr>
        <w:t xml:space="preserve">Alexandrova, Anna. 2017. </w:t>
      </w:r>
      <w:r w:rsidRPr="00F90A9B">
        <w:rPr>
          <w:rFonts w:ascii="Times New Roman" w:hAnsi="Times New Roman"/>
          <w:i/>
          <w:sz w:val="22"/>
          <w:szCs w:val="22"/>
        </w:rPr>
        <w:t>A Philosophy for the Science of Well-Being</w:t>
      </w:r>
      <w:r w:rsidRPr="00F90A9B">
        <w:rPr>
          <w:rFonts w:ascii="Times New Roman" w:hAnsi="Times New Roman"/>
          <w:sz w:val="22"/>
          <w:szCs w:val="22"/>
        </w:rPr>
        <w:t>. Oxford University Press.</w:t>
      </w:r>
    </w:p>
    <w:p w14:paraId="4D2A056D"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Anderson, Elizabeth. 2004. “Uses of value judgments in science: A general argument, with lessons from a case study of feminist research on divorce.” </w:t>
      </w:r>
      <w:r w:rsidRPr="00F90A9B">
        <w:rPr>
          <w:rFonts w:ascii="Times New Roman" w:hAnsi="Times New Roman"/>
          <w:i/>
          <w:sz w:val="22"/>
          <w:szCs w:val="22"/>
        </w:rPr>
        <w:t>Hypatia</w:t>
      </w:r>
      <w:r w:rsidRPr="00F90A9B">
        <w:rPr>
          <w:rFonts w:ascii="Times New Roman" w:hAnsi="Times New Roman"/>
          <w:sz w:val="22"/>
          <w:szCs w:val="22"/>
        </w:rPr>
        <w:t xml:space="preserve"> 19 (1): 1–24.</w:t>
      </w:r>
    </w:p>
    <w:p w14:paraId="601EF9C4"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Bank of England. 2016. “Our Code.” Accessed 7 Dec. 2017. https://www.bankofengland.co.uk/-/media/boe/files/about/human-resources/ourcode.pdf</w:t>
      </w:r>
    </w:p>
    <w:p w14:paraId="1F60C5DF"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Bank of England. 2017. “Monetary Policy Summary and Minutes of the Monetary Policy Committee Meeting Ending on 1 November 2017.” Accessed 9 Dec. 2017. https://www.bankofengland.co.uk/-/media/boe/files/monetary-policy-summary-and-minutes/2017/november-2017.pdf?la=en&amp;hash=7A84C9D21E7D59FCAB62C2BDAD4323A16C7E4479</w:t>
      </w:r>
    </w:p>
    <w:p w14:paraId="5E93C48A"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Brigandt, Ingo. 2003. “Species Pluralism Does Not Imply Species Eliminativism.” </w:t>
      </w:r>
      <w:r w:rsidRPr="00F90A9B">
        <w:rPr>
          <w:rFonts w:ascii="Times New Roman" w:hAnsi="Times New Roman"/>
          <w:i/>
          <w:sz w:val="22"/>
          <w:szCs w:val="22"/>
        </w:rPr>
        <w:t>Philosophy of Science</w:t>
      </w:r>
      <w:r w:rsidRPr="00F90A9B">
        <w:rPr>
          <w:rFonts w:ascii="Times New Roman" w:hAnsi="Times New Roman"/>
          <w:sz w:val="22"/>
          <w:szCs w:val="22"/>
        </w:rPr>
        <w:t xml:space="preserve"> 70 (5): 1316–5.</w:t>
      </w:r>
    </w:p>
    <w:p w14:paraId="65E7DBBD"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Daston, Lorraine, and Peter Galison. 2008. </w:t>
      </w:r>
      <w:r w:rsidRPr="00F90A9B">
        <w:rPr>
          <w:rFonts w:ascii="Times New Roman" w:hAnsi="Times New Roman"/>
          <w:i/>
          <w:sz w:val="22"/>
          <w:szCs w:val="22"/>
        </w:rPr>
        <w:t>Objectivity</w:t>
      </w:r>
      <w:r w:rsidRPr="00F90A9B">
        <w:rPr>
          <w:rFonts w:ascii="Times New Roman" w:hAnsi="Times New Roman"/>
          <w:sz w:val="22"/>
          <w:szCs w:val="22"/>
        </w:rPr>
        <w:t>. Zone Books.</w:t>
      </w:r>
    </w:p>
    <w:p w14:paraId="0AE5DA4C"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Douglas, Heather. 2004. “The Irreducible Complexity of Objectivity.” </w:t>
      </w:r>
      <w:r w:rsidRPr="00F90A9B">
        <w:rPr>
          <w:rFonts w:ascii="Times New Roman" w:hAnsi="Times New Roman"/>
          <w:i/>
          <w:sz w:val="22"/>
          <w:szCs w:val="22"/>
        </w:rPr>
        <w:t>Synthese</w:t>
      </w:r>
      <w:r w:rsidRPr="00F90A9B">
        <w:rPr>
          <w:rFonts w:ascii="Times New Roman" w:hAnsi="Times New Roman"/>
          <w:sz w:val="22"/>
          <w:szCs w:val="22"/>
        </w:rPr>
        <w:t xml:space="preserve"> 138 (3): 453–73.</w:t>
      </w:r>
    </w:p>
    <w:p w14:paraId="2EF45A05"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Ereshefsky, Marc. 1992. “Eliminative pluralism.” </w:t>
      </w:r>
      <w:r w:rsidRPr="00F90A9B">
        <w:rPr>
          <w:rFonts w:ascii="Times New Roman" w:hAnsi="Times New Roman"/>
          <w:i/>
          <w:sz w:val="22"/>
          <w:szCs w:val="22"/>
        </w:rPr>
        <w:t>Philosophy of Science</w:t>
      </w:r>
      <w:r w:rsidRPr="00F90A9B">
        <w:rPr>
          <w:rFonts w:ascii="Times New Roman" w:hAnsi="Times New Roman"/>
          <w:sz w:val="22"/>
          <w:szCs w:val="22"/>
        </w:rPr>
        <w:t xml:space="preserve"> 59 (4): 671–90.</w:t>
      </w:r>
    </w:p>
    <w:p w14:paraId="6F2E456F"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Fine, Arthur. 1998. “The viewpoint of no-one in particular.” </w:t>
      </w:r>
      <w:r w:rsidRPr="00F90A9B">
        <w:rPr>
          <w:rFonts w:ascii="Times New Roman" w:hAnsi="Times New Roman"/>
          <w:i/>
          <w:sz w:val="22"/>
          <w:szCs w:val="22"/>
        </w:rPr>
        <w:t>Proceedings and Addresses of the APA</w:t>
      </w:r>
      <w:r w:rsidRPr="00F90A9B">
        <w:rPr>
          <w:rFonts w:ascii="Times New Roman" w:hAnsi="Times New Roman"/>
          <w:sz w:val="22"/>
          <w:szCs w:val="22"/>
        </w:rPr>
        <w:t xml:space="preserve"> 72 (2): 9–20.</w:t>
      </w:r>
    </w:p>
    <w:p w14:paraId="5D2AA870"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Galison, Peter. 2008. “Ten problems in history and philosophy of science.” </w:t>
      </w:r>
      <w:r w:rsidRPr="00F90A9B">
        <w:rPr>
          <w:rFonts w:ascii="Times New Roman" w:hAnsi="Times New Roman"/>
          <w:i/>
          <w:sz w:val="22"/>
          <w:szCs w:val="22"/>
        </w:rPr>
        <w:t>Isis</w:t>
      </w:r>
      <w:r w:rsidRPr="00F90A9B">
        <w:rPr>
          <w:rFonts w:ascii="Times New Roman" w:hAnsi="Times New Roman"/>
          <w:sz w:val="22"/>
          <w:szCs w:val="22"/>
        </w:rPr>
        <w:t xml:space="preserve"> 99 (1): 111–24.</w:t>
      </w:r>
    </w:p>
    <w:p w14:paraId="488CA6EE"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lastRenderedPageBreak/>
        <w:t xml:space="preserve">Greenhalgh, Trisha. 1999. “Narrative based medicine in an evidence based world.” </w:t>
      </w:r>
      <w:r w:rsidRPr="00F90A9B">
        <w:rPr>
          <w:rFonts w:ascii="Times New Roman" w:hAnsi="Times New Roman"/>
          <w:i/>
          <w:sz w:val="22"/>
          <w:szCs w:val="22"/>
        </w:rPr>
        <w:t>BMJ</w:t>
      </w:r>
      <w:r w:rsidRPr="00F90A9B">
        <w:rPr>
          <w:rFonts w:ascii="Times New Roman" w:hAnsi="Times New Roman"/>
          <w:sz w:val="22"/>
          <w:szCs w:val="22"/>
        </w:rPr>
        <w:t xml:space="preserve"> 318 (7179): 323–25.</w:t>
      </w:r>
    </w:p>
    <w:p w14:paraId="56ECD4EC"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Hacking, Ian. 2015. “Let’s Not Talk About Objectivity.” In </w:t>
      </w:r>
      <w:r w:rsidRPr="00F90A9B">
        <w:rPr>
          <w:rFonts w:ascii="Times New Roman" w:hAnsi="Times New Roman"/>
          <w:i/>
          <w:sz w:val="22"/>
          <w:szCs w:val="22"/>
        </w:rPr>
        <w:t>Objectivity in Science</w:t>
      </w:r>
      <w:r w:rsidRPr="00F90A9B">
        <w:rPr>
          <w:rFonts w:ascii="Times New Roman" w:hAnsi="Times New Roman"/>
          <w:sz w:val="22"/>
          <w:szCs w:val="22"/>
        </w:rPr>
        <w:t>, edited by Flavia Padovani, Alan Richardson, and Jonathan Y Tsou, 19–33. Springer.</w:t>
      </w:r>
    </w:p>
    <w:p w14:paraId="56B1411E"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Haldane, Andy. 2015a. “Stuck.” </w:t>
      </w:r>
      <w:r w:rsidRPr="00F90A9B">
        <w:rPr>
          <w:rFonts w:ascii="Times New Roman" w:hAnsi="Times New Roman"/>
          <w:i/>
          <w:sz w:val="22"/>
          <w:szCs w:val="22"/>
        </w:rPr>
        <w:t>Bank of England Speeches</w:t>
      </w:r>
      <w:r w:rsidRPr="00F90A9B">
        <w:rPr>
          <w:rFonts w:ascii="Times New Roman" w:hAnsi="Times New Roman"/>
          <w:sz w:val="22"/>
          <w:szCs w:val="22"/>
        </w:rPr>
        <w:t>. Accessed 28 Nov. 2017. http://www.bankofengland.co.uk/publications/Documents/speeches/2015/speech828.pdf</w:t>
      </w:r>
    </w:p>
    <w:p w14:paraId="691BFE80"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Haldane, Andy. 2015b. “The Revolution in Economics.” In </w:t>
      </w:r>
      <w:r w:rsidRPr="00F90A9B">
        <w:rPr>
          <w:rFonts w:ascii="Times New Roman" w:hAnsi="Times New Roman"/>
          <w:i/>
          <w:sz w:val="22"/>
          <w:szCs w:val="22"/>
        </w:rPr>
        <w:t>Post-Crash Economics Society Report, Economics, Education and Unlearning: Economics Education At the University of Manchester</w:t>
      </w:r>
      <w:r w:rsidRPr="00F90A9B">
        <w:rPr>
          <w:rFonts w:ascii="Times New Roman" w:hAnsi="Times New Roman"/>
          <w:sz w:val="22"/>
          <w:szCs w:val="22"/>
        </w:rPr>
        <w:t xml:space="preserve">, 3–6. </w:t>
      </w:r>
    </w:p>
    <w:p w14:paraId="71FF7633"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Haldane, Andy, and Arthur Turrell. 2018. “An interdisciplinary model for macroeconomics.” </w:t>
      </w:r>
      <w:r w:rsidRPr="00F90A9B">
        <w:rPr>
          <w:rFonts w:ascii="Times New Roman" w:hAnsi="Times New Roman"/>
          <w:i/>
          <w:sz w:val="22"/>
          <w:szCs w:val="22"/>
        </w:rPr>
        <w:t>Oxford Review of Economic Policy</w:t>
      </w:r>
      <w:r w:rsidRPr="00F90A9B">
        <w:rPr>
          <w:rFonts w:ascii="Times New Roman" w:hAnsi="Times New Roman"/>
          <w:sz w:val="22"/>
          <w:szCs w:val="22"/>
        </w:rPr>
        <w:t xml:space="preserve"> 34 (1-2): 219–51.</w:t>
      </w:r>
    </w:p>
    <w:p w14:paraId="70666C79"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Harding, Sandra. 2015. </w:t>
      </w:r>
      <w:r w:rsidRPr="00F90A9B">
        <w:rPr>
          <w:rFonts w:ascii="Times New Roman" w:hAnsi="Times New Roman"/>
          <w:i/>
          <w:sz w:val="22"/>
          <w:szCs w:val="22"/>
        </w:rPr>
        <w:t>Objectivity and Diversity: Another Logic of Scientific Research</w:t>
      </w:r>
      <w:r w:rsidRPr="00F90A9B">
        <w:rPr>
          <w:rFonts w:ascii="Times New Roman" w:hAnsi="Times New Roman"/>
          <w:sz w:val="22"/>
          <w:szCs w:val="22"/>
        </w:rPr>
        <w:t>. University of Chicago Press.</w:t>
      </w:r>
    </w:p>
    <w:p w14:paraId="245C582B"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Howick, Jeremy H. 2011. </w:t>
      </w:r>
      <w:r w:rsidRPr="00F90A9B">
        <w:rPr>
          <w:rFonts w:ascii="Times New Roman" w:hAnsi="Times New Roman"/>
          <w:i/>
          <w:sz w:val="22"/>
          <w:szCs w:val="22"/>
        </w:rPr>
        <w:t>The Philosophy of Evidence-Based Medicine</w:t>
      </w:r>
      <w:r w:rsidRPr="00F90A9B">
        <w:rPr>
          <w:rFonts w:ascii="Times New Roman" w:hAnsi="Times New Roman"/>
          <w:sz w:val="22"/>
          <w:szCs w:val="22"/>
        </w:rPr>
        <w:t>. John Wiley &amp; Sons.</w:t>
      </w:r>
    </w:p>
    <w:p w14:paraId="05AF26FE"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Janack, Marianne. 2002. “Dilemmas of objectivity.” </w:t>
      </w:r>
      <w:r w:rsidRPr="00F90A9B">
        <w:rPr>
          <w:rFonts w:ascii="Times New Roman" w:hAnsi="Times New Roman"/>
          <w:i/>
          <w:sz w:val="22"/>
          <w:szCs w:val="22"/>
        </w:rPr>
        <w:t>Social Epistemology</w:t>
      </w:r>
      <w:r w:rsidRPr="00F90A9B">
        <w:rPr>
          <w:rFonts w:ascii="Times New Roman" w:hAnsi="Times New Roman"/>
          <w:sz w:val="22"/>
          <w:szCs w:val="22"/>
        </w:rPr>
        <w:t xml:space="preserve"> 16 (3): 267–81.</w:t>
      </w:r>
    </w:p>
    <w:p w14:paraId="2B7788AF"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Jeffrey, Richard C. 1956. “Valuation and acceptance of scientific hypotheses.” </w:t>
      </w:r>
      <w:r w:rsidRPr="00F90A9B">
        <w:rPr>
          <w:rFonts w:ascii="Times New Roman" w:hAnsi="Times New Roman"/>
          <w:i/>
          <w:sz w:val="22"/>
          <w:szCs w:val="22"/>
        </w:rPr>
        <w:t>Philosophy of Science</w:t>
      </w:r>
      <w:r w:rsidRPr="00F90A9B">
        <w:rPr>
          <w:rFonts w:ascii="Times New Roman" w:hAnsi="Times New Roman"/>
          <w:sz w:val="22"/>
          <w:szCs w:val="22"/>
        </w:rPr>
        <w:t xml:space="preserve"> (23): 237–46.</w:t>
      </w:r>
    </w:p>
    <w:p w14:paraId="23C37413"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Kincaid, Harold, John Dupré, and Alison Wylie. 2007. </w:t>
      </w:r>
      <w:r w:rsidRPr="00F90A9B">
        <w:rPr>
          <w:rFonts w:ascii="Times New Roman" w:hAnsi="Times New Roman"/>
          <w:i/>
          <w:sz w:val="22"/>
          <w:szCs w:val="22"/>
        </w:rPr>
        <w:t>Value-Free Science: Ideals and Illusions</w:t>
      </w:r>
      <w:r w:rsidRPr="00F90A9B">
        <w:rPr>
          <w:rFonts w:ascii="Times New Roman" w:hAnsi="Times New Roman"/>
          <w:sz w:val="22"/>
          <w:szCs w:val="22"/>
        </w:rPr>
        <w:t>. Oxford University Press.</w:t>
      </w:r>
    </w:p>
    <w:p w14:paraId="1C48AFDB"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lastRenderedPageBreak/>
        <w:t xml:space="preserve">Laudan, Larry. 1984. </w:t>
      </w:r>
      <w:r w:rsidRPr="00F90A9B">
        <w:rPr>
          <w:rFonts w:ascii="Times New Roman" w:hAnsi="Times New Roman"/>
          <w:i/>
          <w:sz w:val="22"/>
          <w:szCs w:val="22"/>
        </w:rPr>
        <w:t>Science and Values</w:t>
      </w:r>
      <w:r w:rsidRPr="00F90A9B">
        <w:rPr>
          <w:rFonts w:ascii="Times New Roman" w:hAnsi="Times New Roman"/>
          <w:sz w:val="22"/>
          <w:szCs w:val="22"/>
        </w:rPr>
        <w:t>. Cambridge Univ Press.</w:t>
      </w:r>
    </w:p>
    <w:p w14:paraId="2B8F2BD1"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Longino, Helen E. 1996. “Cognitive and Non-Cognitive Values in Science: Rethinking the Dichotomy.” In </w:t>
      </w:r>
      <w:r w:rsidRPr="00F90A9B">
        <w:rPr>
          <w:rFonts w:ascii="Times New Roman" w:hAnsi="Times New Roman"/>
          <w:i/>
          <w:sz w:val="22"/>
          <w:szCs w:val="22"/>
        </w:rPr>
        <w:t>Feminism, Science, and the Philosophy of Science</w:t>
      </w:r>
      <w:r w:rsidRPr="00F90A9B">
        <w:rPr>
          <w:rFonts w:ascii="Times New Roman" w:hAnsi="Times New Roman"/>
          <w:sz w:val="22"/>
          <w:szCs w:val="22"/>
        </w:rPr>
        <w:t>, edited by Lynn Hankinson Nelson, and Jack Nelson, 39–58. Springer.</w:t>
      </w:r>
    </w:p>
    <w:p w14:paraId="2E90C0CD"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McMullin, Ernan. 1982. “Values in Science.” </w:t>
      </w:r>
      <w:r w:rsidRPr="00F90A9B">
        <w:rPr>
          <w:rFonts w:ascii="Times New Roman" w:hAnsi="Times New Roman"/>
          <w:i/>
          <w:sz w:val="22"/>
          <w:szCs w:val="22"/>
        </w:rPr>
        <w:t>PSA: Proceedings of the Biennial Meeting of the Philosophy of Science Association</w:t>
      </w:r>
      <w:r w:rsidRPr="00F90A9B">
        <w:rPr>
          <w:rFonts w:ascii="Times New Roman" w:hAnsi="Times New Roman"/>
          <w:sz w:val="22"/>
          <w:szCs w:val="22"/>
        </w:rPr>
        <w:t xml:space="preserve"> 1982 (4): 3–28.</w:t>
      </w:r>
    </w:p>
    <w:p w14:paraId="02414414"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Megill, Allan. 1991. “Introduction: Four senses of objectivity.” </w:t>
      </w:r>
      <w:r w:rsidRPr="00F90A9B">
        <w:rPr>
          <w:rFonts w:ascii="Times New Roman" w:hAnsi="Times New Roman"/>
          <w:i/>
          <w:sz w:val="22"/>
          <w:szCs w:val="22"/>
        </w:rPr>
        <w:t>Annals of scholarship</w:t>
      </w:r>
      <w:r w:rsidRPr="00F90A9B">
        <w:rPr>
          <w:rFonts w:ascii="Times New Roman" w:hAnsi="Times New Roman"/>
          <w:sz w:val="22"/>
          <w:szCs w:val="22"/>
        </w:rPr>
        <w:t xml:space="preserve"> 8 (3/4): 301–20.</w:t>
      </w:r>
    </w:p>
    <w:p w14:paraId="1CDD714F"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Megill, Allan. 1994. </w:t>
      </w:r>
      <w:r w:rsidRPr="00F90A9B">
        <w:rPr>
          <w:rFonts w:ascii="Times New Roman" w:hAnsi="Times New Roman"/>
          <w:i/>
          <w:sz w:val="22"/>
          <w:szCs w:val="22"/>
        </w:rPr>
        <w:t>Rethinking Objectivity</w:t>
      </w:r>
      <w:r w:rsidRPr="00F90A9B">
        <w:rPr>
          <w:rFonts w:ascii="Times New Roman" w:hAnsi="Times New Roman"/>
          <w:sz w:val="22"/>
          <w:szCs w:val="22"/>
        </w:rPr>
        <w:t>. Duke University Press Durham, NC.</w:t>
      </w:r>
    </w:p>
    <w:p w14:paraId="7650A676"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Nagel, Thomas. 1989. </w:t>
      </w:r>
      <w:r w:rsidRPr="00F90A9B">
        <w:rPr>
          <w:rFonts w:ascii="Times New Roman" w:hAnsi="Times New Roman"/>
          <w:i/>
          <w:sz w:val="22"/>
          <w:szCs w:val="22"/>
        </w:rPr>
        <w:t>The View From Nowhere</w:t>
      </w:r>
      <w:r w:rsidRPr="00F90A9B">
        <w:rPr>
          <w:rFonts w:ascii="Times New Roman" w:hAnsi="Times New Roman"/>
          <w:sz w:val="22"/>
          <w:szCs w:val="22"/>
        </w:rPr>
        <w:t>. Oxford University Press.</w:t>
      </w:r>
    </w:p>
    <w:p w14:paraId="0F0EE7A5"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Porter, Theodore M. 1996. </w:t>
      </w:r>
      <w:r w:rsidRPr="00F90A9B">
        <w:rPr>
          <w:rFonts w:ascii="Times New Roman" w:hAnsi="Times New Roman"/>
          <w:i/>
          <w:sz w:val="22"/>
          <w:szCs w:val="22"/>
        </w:rPr>
        <w:t>Trust in Numbers: The Pursuit of Objectivity in Science and Public Life</w:t>
      </w:r>
      <w:r w:rsidRPr="00F90A9B">
        <w:rPr>
          <w:rFonts w:ascii="Times New Roman" w:hAnsi="Times New Roman"/>
          <w:sz w:val="22"/>
          <w:szCs w:val="22"/>
        </w:rPr>
        <w:t>. Princeton University Press.</w:t>
      </w:r>
    </w:p>
    <w:p w14:paraId="49D95246"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Quine, Willard Van Orman. 1990. </w:t>
      </w:r>
      <w:r w:rsidRPr="00F90A9B">
        <w:rPr>
          <w:rFonts w:ascii="Times New Roman" w:hAnsi="Times New Roman"/>
          <w:i/>
          <w:sz w:val="22"/>
          <w:szCs w:val="22"/>
        </w:rPr>
        <w:t>Pursuit of Truth</w:t>
      </w:r>
      <w:r w:rsidRPr="00F90A9B">
        <w:rPr>
          <w:rFonts w:ascii="Times New Roman" w:hAnsi="Times New Roman"/>
          <w:sz w:val="22"/>
          <w:szCs w:val="22"/>
        </w:rPr>
        <w:t>. Harvard University Press.</w:t>
      </w:r>
    </w:p>
    <w:p w14:paraId="31361D26" w14:textId="4940ED0A"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Reiss, Julian, and Jan Sprenger. 2014. “Scientific Objectivity.” </w:t>
      </w:r>
      <w:r w:rsidRPr="00F90A9B">
        <w:rPr>
          <w:rFonts w:ascii="Times New Roman" w:hAnsi="Times New Roman"/>
          <w:i/>
          <w:sz w:val="22"/>
          <w:szCs w:val="22"/>
        </w:rPr>
        <w:t>The Stanford Encyclopedia of Philosophy</w:t>
      </w:r>
      <w:r w:rsidR="00082E1F">
        <w:rPr>
          <w:rFonts w:ascii="Times New Roman" w:hAnsi="Times New Roman"/>
          <w:i/>
          <w:sz w:val="22"/>
          <w:szCs w:val="22"/>
        </w:rPr>
        <w:t>.</w:t>
      </w:r>
      <w:r w:rsidRPr="00F90A9B">
        <w:rPr>
          <w:rFonts w:ascii="Times New Roman" w:hAnsi="Times New Roman"/>
          <w:sz w:val="22"/>
          <w:szCs w:val="22"/>
        </w:rPr>
        <w:t xml:space="preserve"> </w:t>
      </w:r>
    </w:p>
    <w:p w14:paraId="04090CDB"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Rooney, Phyllis. 1992. “On values in science: Is the epistemic/non-epistemic distinction useful.” </w:t>
      </w:r>
      <w:r w:rsidRPr="00F90A9B">
        <w:rPr>
          <w:rFonts w:ascii="Times New Roman" w:hAnsi="Times New Roman"/>
          <w:i/>
          <w:sz w:val="22"/>
          <w:szCs w:val="22"/>
        </w:rPr>
        <w:t>PSA: Proceedings of the biennial meeting of the philosophy of science association</w:t>
      </w:r>
      <w:r w:rsidRPr="00F90A9B">
        <w:rPr>
          <w:rFonts w:ascii="Times New Roman" w:hAnsi="Times New Roman"/>
          <w:sz w:val="22"/>
          <w:szCs w:val="22"/>
        </w:rPr>
        <w:t xml:space="preserve"> 1992 (1): 13–22.</w:t>
      </w:r>
    </w:p>
    <w:p w14:paraId="6A3EDD10" w14:textId="5BA7A3BA"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Rysiew, Patrick. 2016. “Epistemic Contextualism.” </w:t>
      </w:r>
      <w:r w:rsidRPr="00F90A9B">
        <w:rPr>
          <w:rFonts w:ascii="Times New Roman" w:hAnsi="Times New Roman"/>
          <w:i/>
          <w:sz w:val="22"/>
          <w:szCs w:val="22"/>
        </w:rPr>
        <w:t>The Stanford Encyclopedia of Philosophy</w:t>
      </w:r>
      <w:r w:rsidR="00082E1F">
        <w:rPr>
          <w:rFonts w:ascii="Times New Roman" w:hAnsi="Times New Roman"/>
          <w:i/>
          <w:sz w:val="22"/>
          <w:szCs w:val="22"/>
        </w:rPr>
        <w:t>.</w:t>
      </w:r>
      <w:r w:rsidRPr="00F90A9B">
        <w:rPr>
          <w:rFonts w:ascii="Times New Roman" w:hAnsi="Times New Roman"/>
          <w:sz w:val="22"/>
          <w:szCs w:val="22"/>
        </w:rPr>
        <w:t xml:space="preserve"> </w:t>
      </w:r>
    </w:p>
    <w:p w14:paraId="08B38ECD"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lastRenderedPageBreak/>
        <w:t xml:space="preserve">Sackett, David L, William M C Rosenberg, J A Muir Gray, R Brian Haynes, and W Scott Richardson. 1996. “Evidence based medicine: what it is and what it isn’t.” </w:t>
      </w:r>
      <w:r w:rsidRPr="00F90A9B">
        <w:rPr>
          <w:rFonts w:ascii="Times New Roman" w:hAnsi="Times New Roman"/>
          <w:i/>
          <w:sz w:val="22"/>
          <w:szCs w:val="22"/>
        </w:rPr>
        <w:t>BMJ</w:t>
      </w:r>
      <w:r w:rsidRPr="00F90A9B">
        <w:rPr>
          <w:rFonts w:ascii="Times New Roman" w:hAnsi="Times New Roman"/>
          <w:sz w:val="22"/>
          <w:szCs w:val="22"/>
        </w:rPr>
        <w:t xml:space="preserve"> 312 (7023): 71.</w:t>
      </w:r>
    </w:p>
    <w:p w14:paraId="6B79F5BC" w14:textId="77777777" w:rsidR="00F90A9B" w:rsidRPr="00F90A9B" w:rsidRDefault="00F90A9B" w:rsidP="00F90A9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before="480" w:after="240" w:line="480" w:lineRule="auto"/>
        <w:rPr>
          <w:rFonts w:ascii="Times New Roman" w:hAnsi="Times New Roman"/>
          <w:sz w:val="22"/>
          <w:szCs w:val="22"/>
        </w:rPr>
      </w:pPr>
      <w:r w:rsidRPr="00F90A9B">
        <w:rPr>
          <w:rFonts w:ascii="Times New Roman" w:hAnsi="Times New Roman"/>
          <w:sz w:val="22"/>
          <w:szCs w:val="22"/>
        </w:rPr>
        <w:t xml:space="preserve">Worrall, John. 2002. “What evidence in evidence-based medicine.” </w:t>
      </w:r>
      <w:r w:rsidRPr="00F90A9B">
        <w:rPr>
          <w:rFonts w:ascii="Times New Roman" w:hAnsi="Times New Roman"/>
          <w:i/>
          <w:sz w:val="22"/>
          <w:szCs w:val="22"/>
        </w:rPr>
        <w:t>Philosophy of science</w:t>
      </w:r>
      <w:r w:rsidRPr="00F90A9B">
        <w:rPr>
          <w:rFonts w:ascii="Times New Roman" w:hAnsi="Times New Roman"/>
          <w:sz w:val="22"/>
          <w:szCs w:val="22"/>
        </w:rPr>
        <w:t xml:space="preserve"> 69 (S3): S316–30.</w:t>
      </w:r>
    </w:p>
    <w:p w14:paraId="40D50E08" w14:textId="77777777" w:rsidR="00F90A9B" w:rsidRPr="00F90A9B" w:rsidRDefault="00F90A9B" w:rsidP="00F90A9B">
      <w:pPr>
        <w:rPr>
          <w:rFonts w:ascii="Times New Roman" w:hAnsi="Times New Roman"/>
          <w:sz w:val="22"/>
          <w:szCs w:val="22"/>
          <w:lang w:val="en-US"/>
        </w:rPr>
      </w:pPr>
      <w:r w:rsidRPr="00F90A9B">
        <w:rPr>
          <w:rFonts w:ascii="Times New Roman" w:hAnsi="Times New Roman"/>
          <w:sz w:val="22"/>
          <w:szCs w:val="22"/>
        </w:rPr>
        <w:fldChar w:fldCharType="end"/>
      </w:r>
    </w:p>
    <w:p w14:paraId="48880F90" w14:textId="77777777" w:rsidR="00F90A9B" w:rsidRPr="00F90A9B" w:rsidRDefault="00F90A9B" w:rsidP="00F90A9B">
      <w:pPr>
        <w:rPr>
          <w:rFonts w:ascii="Times New Roman" w:hAnsi="Times New Roman"/>
          <w:sz w:val="22"/>
          <w:szCs w:val="22"/>
          <w:lang w:val="en-US"/>
        </w:rPr>
      </w:pPr>
    </w:p>
    <w:p w14:paraId="26C9EC2B" w14:textId="77777777" w:rsidR="00F90A9B" w:rsidRPr="00F90A9B" w:rsidRDefault="00F90A9B" w:rsidP="00F90A9B">
      <w:pPr>
        <w:rPr>
          <w:rFonts w:ascii="Times New Roman" w:hAnsi="Times New Roman"/>
          <w:sz w:val="22"/>
          <w:szCs w:val="22"/>
          <w:lang w:val="en-US"/>
        </w:rPr>
      </w:pPr>
    </w:p>
    <w:p w14:paraId="2B75F3D5" w14:textId="77777777" w:rsidR="00F90A9B" w:rsidRPr="00F90A9B" w:rsidRDefault="00F90A9B" w:rsidP="00F90A9B">
      <w:pPr>
        <w:rPr>
          <w:rFonts w:ascii="Times New Roman" w:hAnsi="Times New Roman"/>
          <w:sz w:val="22"/>
          <w:szCs w:val="22"/>
          <w:lang w:val="en-US"/>
        </w:rPr>
      </w:pPr>
    </w:p>
    <w:p w14:paraId="6717ED6C" w14:textId="77777777" w:rsidR="00F90A9B" w:rsidRPr="00F90A9B" w:rsidRDefault="00F90A9B" w:rsidP="00F90A9B">
      <w:pPr>
        <w:rPr>
          <w:rFonts w:ascii="Times New Roman" w:hAnsi="Times New Roman"/>
          <w:sz w:val="22"/>
          <w:szCs w:val="22"/>
          <w:lang w:val="en-US"/>
        </w:rPr>
      </w:pPr>
    </w:p>
    <w:p w14:paraId="1BFC272C"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Jack Wright is a PhD student in the history and philosophy of science at the University of Cambridge. His thesis examines how the ideas of pluralism and contextualism apply to economic methodology, and what this might mean for how economic expertise can and should be structured. Jack has a background in philosophy, economics, mathematics, and history of science. His main interests lie in the philosophy of science and social science, political philosophy, and the history of economics.</w:t>
      </w:r>
    </w:p>
    <w:p w14:paraId="33777BC8"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p>
    <w:p w14:paraId="09D4755C" w14:textId="77777777" w:rsidR="00F90A9B" w:rsidRPr="00F90A9B" w:rsidRDefault="00307085"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hyperlink r:id="rId8" w:history="1">
        <w:r w:rsidR="00F90A9B" w:rsidRPr="00F90A9B">
          <w:rPr>
            <w:rFonts w:ascii="Times New Roman" w:hAnsi="Times New Roman"/>
            <w:sz w:val="22"/>
            <w:szCs w:val="22"/>
            <w:lang w:val="en-US"/>
          </w:rPr>
          <w:t>Jw675@cam.ac.uk</w:t>
        </w:r>
      </w:hyperlink>
    </w:p>
    <w:p w14:paraId="36A70BC3" w14:textId="77777777" w:rsidR="00F90A9B" w:rsidRPr="00F90A9B" w:rsidRDefault="00F90A9B" w:rsidP="00F90A9B">
      <w:pPr>
        <w:tabs>
          <w:tab w:val="left" w:pos="720"/>
          <w:tab w:val="left" w:pos="1440"/>
          <w:tab w:val="left" w:pos="2160"/>
          <w:tab w:val="left" w:pos="2880"/>
          <w:tab w:val="left" w:pos="3600"/>
          <w:tab w:val="left" w:pos="4320"/>
        </w:tabs>
        <w:spacing w:line="480" w:lineRule="auto"/>
        <w:ind w:firstLine="360"/>
        <w:rPr>
          <w:rFonts w:ascii="Times New Roman" w:hAnsi="Times New Roman"/>
          <w:sz w:val="22"/>
          <w:szCs w:val="22"/>
          <w:lang w:val="en-US"/>
        </w:rPr>
      </w:pPr>
      <w:r w:rsidRPr="00F90A9B">
        <w:rPr>
          <w:rFonts w:ascii="Times New Roman" w:hAnsi="Times New Roman"/>
          <w:sz w:val="22"/>
          <w:szCs w:val="22"/>
          <w:lang w:val="en-US"/>
        </w:rPr>
        <w:t xml:space="preserve">Website: </w:t>
      </w:r>
      <w:hyperlink r:id="rId9" w:history="1">
        <w:r w:rsidRPr="00F90A9B">
          <w:rPr>
            <w:rFonts w:ascii="Times New Roman" w:hAnsi="Times New Roman"/>
            <w:sz w:val="22"/>
            <w:szCs w:val="22"/>
            <w:lang w:val="en-US"/>
          </w:rPr>
          <w:t>https://www.people.hps.cam.ac.uk/index/graduate-students/wright</w:t>
        </w:r>
      </w:hyperlink>
      <w:r w:rsidRPr="00F90A9B">
        <w:rPr>
          <w:rFonts w:ascii="Times New Roman" w:hAnsi="Times New Roman"/>
          <w:sz w:val="22"/>
          <w:szCs w:val="22"/>
          <w:lang w:val="en-US"/>
        </w:rPr>
        <w:t xml:space="preserve"> </w:t>
      </w:r>
    </w:p>
    <w:p w14:paraId="417AFA4D" w14:textId="77777777" w:rsidR="00F90A9B" w:rsidRPr="00F90A9B" w:rsidRDefault="00F90A9B" w:rsidP="00F90A9B">
      <w:pPr>
        <w:rPr>
          <w:rFonts w:ascii="Times New Roman" w:hAnsi="Times New Roman"/>
          <w:sz w:val="22"/>
          <w:szCs w:val="22"/>
        </w:rPr>
      </w:pPr>
    </w:p>
    <w:p w14:paraId="01C9ED32" w14:textId="77777777" w:rsidR="00F3180D" w:rsidRPr="00F90A9B" w:rsidRDefault="00F3180D" w:rsidP="00F90A9B">
      <w:pPr>
        <w:rPr>
          <w:rFonts w:ascii="Times New Roman" w:hAnsi="Times New Roman"/>
          <w:sz w:val="22"/>
          <w:szCs w:val="22"/>
        </w:rPr>
      </w:pPr>
    </w:p>
    <w:sectPr w:rsidR="00F3180D" w:rsidRPr="00F90A9B">
      <w:headerReference w:type="default" r:id="rId10"/>
      <w:endnotePr>
        <w:numFmt w:val="decimal"/>
      </w:endnotePr>
      <w:pgSz w:w="11900" w:h="16840"/>
      <w:pgMar w:top="1440" w:right="1440" w:bottom="1440" w:left="144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57954A" w14:textId="77777777" w:rsidR="00307085" w:rsidRDefault="00307085">
      <w:r>
        <w:separator/>
      </w:r>
    </w:p>
  </w:endnote>
  <w:endnote w:type="continuationSeparator" w:id="0">
    <w:p w14:paraId="22788741" w14:textId="77777777" w:rsidR="00307085" w:rsidRDefault="00307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TimesNewRomanPSMT">
    <w:altName w:val="Times New Roman"/>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576C5C" w14:textId="77777777" w:rsidR="00307085" w:rsidRDefault="00307085">
      <w:r>
        <w:separator/>
      </w:r>
    </w:p>
  </w:footnote>
  <w:footnote w:type="continuationSeparator" w:id="0">
    <w:p w14:paraId="2FF31E5A" w14:textId="77777777" w:rsidR="00307085" w:rsidRDefault="00307085">
      <w:r>
        <w:continuationSeparator/>
      </w:r>
    </w:p>
  </w:footnote>
  <w:footnote w:id="1">
    <w:p w14:paraId="78CCC4BB"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I take from Porter </w:t>
      </w:r>
      <w:r w:rsidRPr="00F90A9B">
        <w:rPr>
          <w:rFonts w:ascii="Times New Roman" w:hAnsi="Times New Roman"/>
        </w:rPr>
        <w:fldChar w:fldCharType="begin"/>
      </w:r>
      <w:r w:rsidRPr="00F90A9B">
        <w:rPr>
          <w:rFonts w:ascii="Times New Roman" w:hAnsi="Times New Roman"/>
        </w:rPr>
        <w:instrText>ADDIN BEC{-Porter, 1996, #277}</w:instrText>
      </w:r>
      <w:r w:rsidRPr="00F90A9B">
        <w:rPr>
          <w:rFonts w:ascii="Times New Roman" w:hAnsi="Times New Roman"/>
        </w:rPr>
        <w:fldChar w:fldCharType="separate"/>
      </w:r>
      <w:r w:rsidRPr="00F90A9B">
        <w:rPr>
          <w:rFonts w:ascii="Times New Roman" w:hAnsi="Times New Roman"/>
        </w:rPr>
        <w:t>(1996)</w:t>
      </w:r>
      <w:r w:rsidRPr="00F90A9B">
        <w:rPr>
          <w:rFonts w:ascii="Times New Roman" w:hAnsi="Times New Roman"/>
        </w:rPr>
        <w:fldChar w:fldCharType="end"/>
      </w:r>
      <w:r w:rsidRPr="00F90A9B">
        <w:rPr>
          <w:rFonts w:ascii="Times New Roman" w:hAnsi="Times New Roman"/>
        </w:rPr>
        <w:t xml:space="preserve"> the idea that impartiality is about controlling self-interest rather than about being value-free. The legal system is supposed to be impartial but not value-free.</w:t>
      </w:r>
    </w:p>
  </w:footnote>
  <w:footnote w:id="2">
    <w:p w14:paraId="62A444A0"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For the historical changes see: </w:t>
      </w:r>
      <w:r w:rsidRPr="00F90A9B">
        <w:rPr>
          <w:rFonts w:ascii="Times New Roman" w:hAnsi="Times New Roman"/>
        </w:rPr>
        <w:fldChar w:fldCharType="begin"/>
      </w:r>
      <w:r w:rsidRPr="00F90A9B">
        <w:rPr>
          <w:rFonts w:ascii="Times New Roman" w:hAnsi="Times New Roman"/>
        </w:rPr>
        <w:instrText>ADDIN BEC{^Daston and Galison, 2008, #405}</w:instrText>
      </w:r>
      <w:r w:rsidRPr="00F90A9B">
        <w:rPr>
          <w:rFonts w:ascii="Times New Roman" w:hAnsi="Times New Roman"/>
        </w:rPr>
        <w:fldChar w:fldCharType="separate"/>
      </w:r>
      <w:r w:rsidRPr="00F90A9B">
        <w:rPr>
          <w:rFonts w:ascii="Times New Roman" w:hAnsi="Times New Roman"/>
        </w:rPr>
        <w:t>Daston and Galison (2008)</w:t>
      </w:r>
      <w:r w:rsidRPr="00F90A9B">
        <w:rPr>
          <w:rFonts w:ascii="Times New Roman" w:hAnsi="Times New Roman"/>
        </w:rPr>
        <w:fldChar w:fldCharType="end"/>
      </w:r>
      <w:r w:rsidRPr="00F90A9B">
        <w:rPr>
          <w:rFonts w:ascii="Times New Roman" w:hAnsi="Times New Roman"/>
        </w:rPr>
        <w:t xml:space="preserve"> and </w:t>
      </w:r>
      <w:r w:rsidRPr="00F90A9B">
        <w:rPr>
          <w:rFonts w:ascii="Times New Roman" w:hAnsi="Times New Roman"/>
        </w:rPr>
        <w:fldChar w:fldCharType="begin"/>
      </w:r>
      <w:r w:rsidRPr="00F90A9B">
        <w:rPr>
          <w:rFonts w:ascii="Times New Roman" w:hAnsi="Times New Roman"/>
        </w:rPr>
        <w:instrText>ADDIN BEC{^Porter, 1996, #277}</w:instrText>
      </w:r>
      <w:r w:rsidRPr="00F90A9B">
        <w:rPr>
          <w:rFonts w:ascii="Times New Roman" w:hAnsi="Times New Roman"/>
        </w:rPr>
        <w:fldChar w:fldCharType="separate"/>
      </w:r>
      <w:r w:rsidRPr="00F90A9B">
        <w:rPr>
          <w:rFonts w:ascii="Times New Roman" w:hAnsi="Times New Roman"/>
        </w:rPr>
        <w:t>Porter (1996)</w:t>
      </w:r>
      <w:r w:rsidRPr="00F90A9B">
        <w:rPr>
          <w:rFonts w:ascii="Times New Roman" w:hAnsi="Times New Roman"/>
        </w:rPr>
        <w:fldChar w:fldCharType="end"/>
      </w:r>
      <w:r w:rsidRPr="00F90A9B">
        <w:rPr>
          <w:rFonts w:ascii="Times New Roman" w:hAnsi="Times New Roman"/>
        </w:rPr>
        <w:t xml:space="preserve">. For present plurality see: </w:t>
      </w:r>
      <w:r w:rsidRPr="00F90A9B">
        <w:rPr>
          <w:rFonts w:ascii="Times New Roman" w:hAnsi="Times New Roman"/>
        </w:rPr>
        <w:fldChar w:fldCharType="begin"/>
      </w:r>
      <w:r w:rsidRPr="00F90A9B">
        <w:rPr>
          <w:rFonts w:ascii="Times New Roman" w:hAnsi="Times New Roman"/>
        </w:rPr>
        <w:instrText>ADDIN BEC{^Douglas, 2004, #75233}</w:instrText>
      </w:r>
      <w:r w:rsidRPr="00F90A9B">
        <w:rPr>
          <w:rFonts w:ascii="Times New Roman" w:hAnsi="Times New Roman"/>
        </w:rPr>
        <w:fldChar w:fldCharType="separate"/>
      </w:r>
      <w:r w:rsidRPr="00F90A9B">
        <w:rPr>
          <w:rFonts w:ascii="Times New Roman" w:hAnsi="Times New Roman"/>
        </w:rPr>
        <w:t>Douglas (2004)</w:t>
      </w:r>
      <w:r w:rsidRPr="00F90A9B">
        <w:rPr>
          <w:rFonts w:ascii="Times New Roman" w:hAnsi="Times New Roman"/>
        </w:rPr>
        <w:fldChar w:fldCharType="end"/>
      </w:r>
      <w:r w:rsidRPr="00F90A9B">
        <w:rPr>
          <w:rFonts w:ascii="Times New Roman" w:hAnsi="Times New Roman"/>
        </w:rPr>
        <w:t xml:space="preserve">, </w:t>
      </w:r>
      <w:r w:rsidRPr="00F90A9B">
        <w:rPr>
          <w:rFonts w:ascii="Times New Roman" w:hAnsi="Times New Roman"/>
        </w:rPr>
        <w:fldChar w:fldCharType="begin"/>
      </w:r>
      <w:r w:rsidRPr="00F90A9B">
        <w:rPr>
          <w:rFonts w:ascii="Times New Roman" w:hAnsi="Times New Roman"/>
        </w:rPr>
        <w:instrText>ADDIN BEC{^Fine, 1998, #18179}</w:instrText>
      </w:r>
      <w:r w:rsidRPr="00F90A9B">
        <w:rPr>
          <w:rFonts w:ascii="Times New Roman" w:hAnsi="Times New Roman"/>
        </w:rPr>
        <w:fldChar w:fldCharType="separate"/>
      </w:r>
      <w:r w:rsidRPr="00F90A9B">
        <w:rPr>
          <w:rFonts w:ascii="Times New Roman" w:hAnsi="Times New Roman"/>
        </w:rPr>
        <w:t>Fine (1998)</w:t>
      </w:r>
      <w:r w:rsidRPr="00F90A9B">
        <w:rPr>
          <w:rFonts w:ascii="Times New Roman" w:hAnsi="Times New Roman"/>
        </w:rPr>
        <w:fldChar w:fldCharType="end"/>
      </w:r>
      <w:r w:rsidRPr="00F90A9B">
        <w:rPr>
          <w:rFonts w:ascii="Times New Roman" w:hAnsi="Times New Roman"/>
        </w:rPr>
        <w:t xml:space="preserve">, </w:t>
      </w:r>
      <w:r w:rsidRPr="00F90A9B">
        <w:rPr>
          <w:rFonts w:ascii="Times New Roman" w:hAnsi="Times New Roman"/>
        </w:rPr>
        <w:fldChar w:fldCharType="begin"/>
      </w:r>
      <w:r w:rsidRPr="00F90A9B">
        <w:rPr>
          <w:rFonts w:ascii="Times New Roman" w:hAnsi="Times New Roman"/>
        </w:rPr>
        <w:instrText>ADDIN BEC{^Megill, 1991, #437}</w:instrText>
      </w:r>
      <w:r w:rsidRPr="00F90A9B">
        <w:rPr>
          <w:rFonts w:ascii="Times New Roman" w:hAnsi="Times New Roman"/>
        </w:rPr>
        <w:fldChar w:fldCharType="separate"/>
      </w:r>
      <w:r w:rsidRPr="00F90A9B">
        <w:rPr>
          <w:rFonts w:ascii="Times New Roman" w:hAnsi="Times New Roman"/>
        </w:rPr>
        <w:t>Megill (1991)</w:t>
      </w:r>
      <w:r w:rsidRPr="00F90A9B">
        <w:rPr>
          <w:rFonts w:ascii="Times New Roman" w:hAnsi="Times New Roman"/>
        </w:rPr>
        <w:fldChar w:fldCharType="end"/>
      </w:r>
      <w:r w:rsidRPr="00F90A9B">
        <w:rPr>
          <w:rFonts w:ascii="Times New Roman" w:hAnsi="Times New Roman"/>
        </w:rPr>
        <w:t xml:space="preserve">, and </w:t>
      </w:r>
      <w:r w:rsidRPr="00F90A9B">
        <w:rPr>
          <w:rFonts w:ascii="Times New Roman" w:hAnsi="Times New Roman"/>
        </w:rPr>
        <w:fldChar w:fldCharType="begin"/>
      </w:r>
      <w:r w:rsidRPr="00F90A9B">
        <w:rPr>
          <w:rFonts w:ascii="Times New Roman" w:hAnsi="Times New Roman"/>
        </w:rPr>
        <w:instrText>ADDIN BEC{^Janack, 2002, #21432}</w:instrText>
      </w:r>
      <w:r w:rsidRPr="00F90A9B">
        <w:rPr>
          <w:rFonts w:ascii="Times New Roman" w:hAnsi="Times New Roman"/>
        </w:rPr>
        <w:fldChar w:fldCharType="separate"/>
      </w:r>
      <w:r w:rsidRPr="00F90A9B">
        <w:rPr>
          <w:rFonts w:ascii="Times New Roman" w:hAnsi="Times New Roman"/>
        </w:rPr>
        <w:t>Janack (2002)</w:t>
      </w:r>
      <w:r w:rsidRPr="00F90A9B">
        <w:rPr>
          <w:rFonts w:ascii="Times New Roman" w:hAnsi="Times New Roman"/>
        </w:rPr>
        <w:fldChar w:fldCharType="end"/>
      </w:r>
      <w:r w:rsidRPr="00F90A9B">
        <w:rPr>
          <w:rFonts w:ascii="Times New Roman" w:hAnsi="Times New Roman"/>
        </w:rPr>
        <w:t>.</w:t>
      </w:r>
    </w:p>
  </w:footnote>
  <w:footnote w:id="3">
    <w:p w14:paraId="52E9905B"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Hacking refers to ‘we’ often. For ease I will follow him and also refer to a ‘we’ or ‘us’. The ‘we’ or ‘us’ I have in mind are purveyors or critics of social knowledge, like the Bank of England or philosophers of social science.</w:t>
      </w:r>
    </w:p>
  </w:footnote>
  <w:footnote w:id="4">
    <w:p w14:paraId="6553D1EA"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I have quoted some title case headings as lower case sentences.</w:t>
      </w:r>
    </w:p>
  </w:footnote>
  <w:footnote w:id="5">
    <w:p w14:paraId="5BA8FC8F"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See </w:t>
      </w:r>
      <w:r w:rsidRPr="00F90A9B">
        <w:rPr>
          <w:rFonts w:ascii="Times New Roman" w:hAnsi="Times New Roman"/>
        </w:rPr>
        <w:fldChar w:fldCharType="begin"/>
      </w:r>
      <w:r w:rsidRPr="00F90A9B">
        <w:rPr>
          <w:rFonts w:ascii="Times New Roman" w:hAnsi="Times New Roman"/>
        </w:rPr>
        <w:instrText>ADDIN BEC{^Jeffrey, 1956, #229}</w:instrText>
      </w:r>
      <w:r w:rsidRPr="00F90A9B">
        <w:rPr>
          <w:rFonts w:ascii="Times New Roman" w:hAnsi="Times New Roman"/>
        </w:rPr>
        <w:fldChar w:fldCharType="separate"/>
      </w:r>
      <w:r w:rsidRPr="00F90A9B">
        <w:rPr>
          <w:rFonts w:ascii="Times New Roman" w:hAnsi="Times New Roman"/>
        </w:rPr>
        <w:t>Jeffrey (1956)</w:t>
      </w:r>
      <w:r w:rsidRPr="00F90A9B">
        <w:rPr>
          <w:rFonts w:ascii="Times New Roman" w:hAnsi="Times New Roman"/>
        </w:rPr>
        <w:fldChar w:fldCharType="end"/>
      </w:r>
      <w:r w:rsidRPr="00F90A9B">
        <w:rPr>
          <w:rFonts w:ascii="Times New Roman" w:hAnsi="Times New Roman"/>
        </w:rPr>
        <w:t xml:space="preserve"> for a classic example.</w:t>
      </w:r>
    </w:p>
  </w:footnote>
  <w:footnote w:id="6">
    <w:p w14:paraId="7CEDF221" w14:textId="2BF748CF"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The language of ‘ste</w:t>
      </w:r>
      <w:r w:rsidRPr="00F356E7">
        <w:rPr>
          <w:rFonts w:ascii="Times New Roman" w:hAnsi="Times New Roman"/>
        </w:rPr>
        <w:t xml:space="preserve">pping back’ comes from </w:t>
      </w:r>
      <w:r w:rsidRPr="00F356E7">
        <w:rPr>
          <w:rFonts w:ascii="Times New Roman" w:hAnsi="Times New Roman"/>
        </w:rPr>
        <w:fldChar w:fldCharType="begin"/>
      </w:r>
      <w:r w:rsidRPr="00F356E7">
        <w:rPr>
          <w:rFonts w:ascii="Times New Roman" w:hAnsi="Times New Roman"/>
        </w:rPr>
        <w:instrText>ADDIN BEC{^Nagel, 1989, #53624}</w:instrText>
      </w:r>
      <w:r w:rsidRPr="00F356E7">
        <w:rPr>
          <w:rFonts w:ascii="Times New Roman" w:hAnsi="Times New Roman"/>
        </w:rPr>
        <w:fldChar w:fldCharType="separate"/>
      </w:r>
      <w:r w:rsidRPr="00F356E7">
        <w:rPr>
          <w:rFonts w:ascii="Times New Roman" w:hAnsi="Times New Roman"/>
        </w:rPr>
        <w:t>Nagel (1989)</w:t>
      </w:r>
      <w:r w:rsidRPr="00F356E7">
        <w:rPr>
          <w:rFonts w:ascii="Times New Roman" w:hAnsi="Times New Roman"/>
        </w:rPr>
        <w:fldChar w:fldCharType="end"/>
      </w:r>
      <w:r w:rsidRPr="00F356E7">
        <w:rPr>
          <w:rFonts w:ascii="Times New Roman" w:hAnsi="Times New Roman"/>
        </w:rPr>
        <w:t xml:space="preserve">, I will stay more about stepping back in §2. The interpretation of procedural objectivity comes from </w:t>
      </w:r>
      <w:r w:rsidRPr="00F356E7">
        <w:rPr>
          <w:rFonts w:ascii="Times New Roman" w:hAnsi="Times New Roman"/>
        </w:rPr>
        <w:fldChar w:fldCharType="begin"/>
      </w:r>
      <w:r w:rsidRPr="00F356E7">
        <w:rPr>
          <w:rFonts w:ascii="Times New Roman" w:hAnsi="Times New Roman"/>
        </w:rPr>
        <w:instrText>ADDIN BEC{^Megill, 1991, #437}</w:instrText>
      </w:r>
      <w:r w:rsidRPr="00F356E7">
        <w:rPr>
          <w:rFonts w:ascii="Times New Roman" w:hAnsi="Times New Roman"/>
        </w:rPr>
        <w:fldChar w:fldCharType="separate"/>
      </w:r>
      <w:r w:rsidRPr="00F356E7">
        <w:rPr>
          <w:rFonts w:ascii="Times New Roman" w:hAnsi="Times New Roman"/>
        </w:rPr>
        <w:t>Megill (1991)</w:t>
      </w:r>
      <w:r w:rsidRPr="00F356E7">
        <w:rPr>
          <w:rFonts w:ascii="Times New Roman" w:hAnsi="Times New Roman"/>
        </w:rPr>
        <w:fldChar w:fldCharType="end"/>
      </w:r>
      <w:r w:rsidRPr="00F356E7">
        <w:rPr>
          <w:rFonts w:ascii="Times New Roman" w:hAnsi="Times New Roman"/>
        </w:rPr>
        <w:t xml:space="preserve">, and is shared by </w:t>
      </w:r>
      <w:r w:rsidRPr="00F356E7">
        <w:rPr>
          <w:rFonts w:ascii="Times New Roman" w:hAnsi="Times New Roman"/>
        </w:rPr>
        <w:fldChar w:fldCharType="begin"/>
      </w:r>
      <w:r w:rsidRPr="00F356E7">
        <w:rPr>
          <w:rFonts w:ascii="Times New Roman" w:hAnsi="Times New Roman"/>
        </w:rPr>
        <w:instrText>ADDIN BEC{^Daston and Galison, 2008, #405}</w:instrText>
      </w:r>
      <w:r w:rsidRPr="00F356E7">
        <w:rPr>
          <w:rFonts w:ascii="Times New Roman" w:hAnsi="Times New Roman"/>
        </w:rPr>
        <w:fldChar w:fldCharType="separate"/>
      </w:r>
      <w:r w:rsidRPr="00F356E7">
        <w:rPr>
          <w:rFonts w:ascii="Times New Roman" w:hAnsi="Times New Roman"/>
        </w:rPr>
        <w:t>Daston and Galison (2008)</w:t>
      </w:r>
      <w:r w:rsidRPr="00F356E7">
        <w:rPr>
          <w:rFonts w:ascii="Times New Roman" w:hAnsi="Times New Roman"/>
        </w:rPr>
        <w:fldChar w:fldCharType="end"/>
      </w:r>
      <w:r w:rsidRPr="00F356E7">
        <w:rPr>
          <w:rFonts w:ascii="Times New Roman" w:hAnsi="Times New Roman"/>
        </w:rPr>
        <w:t xml:space="preserve"> (albeit they disambiguate procedural objectivity further). Megill does not specify what he means by subjectivity, but Daston and Galison do give us some guidance. They take the concept to be historically varied and note a number of contingent aspects and features of it, including: mind dependence, “organised around the will” (33), idealising or regulating observations, and “the private self, locked in its own world of experience, which differed qualitatively from that of all other selves” (45). </w:t>
      </w:r>
      <w:r w:rsidRPr="00F356E7">
        <w:rPr>
          <w:rFonts w:ascii="Times New Roman" w:hAnsi="Times New Roman"/>
        </w:rPr>
        <w:fldChar w:fldCharType="begin"/>
      </w:r>
      <w:r w:rsidRPr="00F356E7">
        <w:rPr>
          <w:rFonts w:ascii="Times New Roman" w:hAnsi="Times New Roman"/>
        </w:rPr>
        <w:instrText>ADDIN BEC{^Douglas, 2004, #75233}</w:instrText>
      </w:r>
      <w:r w:rsidRPr="00F356E7">
        <w:rPr>
          <w:rFonts w:ascii="Times New Roman" w:hAnsi="Times New Roman"/>
        </w:rPr>
        <w:fldChar w:fldCharType="separate"/>
      </w:r>
      <w:r w:rsidRPr="00F356E7">
        <w:rPr>
          <w:rFonts w:ascii="Times New Roman" w:hAnsi="Times New Roman"/>
        </w:rPr>
        <w:t>Douglas (2004)</w:t>
      </w:r>
      <w:r w:rsidRPr="00F356E7">
        <w:rPr>
          <w:rFonts w:ascii="Times New Roman" w:hAnsi="Times New Roman"/>
        </w:rPr>
        <w:fldChar w:fldCharType="end"/>
      </w:r>
      <w:r w:rsidRPr="00F356E7">
        <w:rPr>
          <w:rFonts w:ascii="Times New Roman" w:hAnsi="Times New Roman"/>
        </w:rPr>
        <w:t xml:space="preserve"> and </w:t>
      </w:r>
      <w:r w:rsidRPr="00F356E7">
        <w:rPr>
          <w:rFonts w:ascii="Times New Roman" w:hAnsi="Times New Roman"/>
        </w:rPr>
        <w:fldChar w:fldCharType="begin"/>
      </w:r>
      <w:r w:rsidRPr="00F356E7">
        <w:rPr>
          <w:rFonts w:ascii="Times New Roman" w:hAnsi="Times New Roman"/>
        </w:rPr>
        <w:instrText>ADDIN BEC{^Fine, 1998, #18179}</w:instrText>
      </w:r>
      <w:r w:rsidRPr="00F356E7">
        <w:rPr>
          <w:rFonts w:ascii="Times New Roman" w:hAnsi="Times New Roman"/>
        </w:rPr>
        <w:fldChar w:fldCharType="separate"/>
      </w:r>
      <w:r w:rsidRPr="00F356E7">
        <w:rPr>
          <w:rFonts w:ascii="Times New Roman" w:hAnsi="Times New Roman"/>
        </w:rPr>
        <w:t>Fine (1998)</w:t>
      </w:r>
      <w:r w:rsidRPr="00F356E7">
        <w:rPr>
          <w:rFonts w:ascii="Times New Roman" w:hAnsi="Times New Roman"/>
        </w:rPr>
        <w:fldChar w:fldCharType="end"/>
      </w:r>
      <w:r w:rsidRPr="00F356E7">
        <w:rPr>
          <w:rFonts w:ascii="Times New Roman" w:hAnsi="Times New Roman"/>
        </w:rPr>
        <w:t xml:space="preserve"> concur that ‘subjectivity’ and ‘subjective’ pick out many different things. The terms can, for example, be used as modifiers to mean that something is: perspectival, partial, biased, an experience that only the individual can have, personal, or based on emotion or judg</w:t>
      </w:r>
      <w:r w:rsidR="009B2C3F" w:rsidRPr="00F356E7">
        <w:rPr>
          <w:rFonts w:ascii="Times New Roman" w:hAnsi="Times New Roman"/>
        </w:rPr>
        <w:t>e</w:t>
      </w:r>
      <w:r w:rsidRPr="00F356E7">
        <w:rPr>
          <w:rFonts w:ascii="Times New Roman" w:hAnsi="Times New Roman"/>
        </w:rPr>
        <w:t>ment. As with objectivity, I will follow this literature and interpret subjectivity as a plural concept. Because this plurality is not my main focus, I only use the terms ‘subjective’ or ’subjectivity’ when referring to other literature that does so. In the case of procedural objectivity, I take Megill’s interpretation to place emphasis on procedures with the aspects of subjectivity they suppress to vary depending on its use.</w:t>
      </w:r>
    </w:p>
  </w:footnote>
  <w:footnote w:id="7">
    <w:p w14:paraId="4F6EE9AD"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w:t>
      </w:r>
      <w:r w:rsidRPr="00F90A9B">
        <w:rPr>
          <w:rFonts w:ascii="Times New Roman" w:hAnsi="Times New Roman"/>
        </w:rPr>
        <w:fldChar w:fldCharType="begin"/>
      </w:r>
      <w:r w:rsidRPr="00F90A9B">
        <w:rPr>
          <w:rFonts w:ascii="Times New Roman" w:hAnsi="Times New Roman"/>
        </w:rPr>
        <w:instrText>ADDIN BEC{^Sackett et al., 1996, #68132}</w:instrText>
      </w:r>
      <w:r w:rsidRPr="00F90A9B">
        <w:rPr>
          <w:rFonts w:ascii="Times New Roman" w:hAnsi="Times New Roman"/>
        </w:rPr>
        <w:fldChar w:fldCharType="separate"/>
      </w:r>
      <w:r w:rsidRPr="00F90A9B">
        <w:rPr>
          <w:rFonts w:ascii="Times New Roman" w:hAnsi="Times New Roman"/>
        </w:rPr>
        <w:t>Sackett et al. (1996)</w:t>
      </w:r>
      <w:r w:rsidRPr="00F90A9B">
        <w:rPr>
          <w:rFonts w:ascii="Times New Roman" w:hAnsi="Times New Roman"/>
        </w:rPr>
        <w:fldChar w:fldCharType="end"/>
      </w:r>
      <w:r w:rsidRPr="00F90A9B">
        <w:rPr>
          <w:rFonts w:ascii="Times New Roman" w:hAnsi="Times New Roman"/>
        </w:rPr>
        <w:t xml:space="preserve"> and </w:t>
      </w:r>
      <w:r w:rsidRPr="00F90A9B">
        <w:rPr>
          <w:rFonts w:ascii="Times New Roman" w:hAnsi="Times New Roman"/>
        </w:rPr>
        <w:fldChar w:fldCharType="begin"/>
      </w:r>
      <w:r w:rsidRPr="00F90A9B">
        <w:rPr>
          <w:rFonts w:ascii="Times New Roman" w:hAnsi="Times New Roman"/>
        </w:rPr>
        <w:instrText>ADDIN BEC{^Worrall, 2002, #98808}</w:instrText>
      </w:r>
      <w:r w:rsidRPr="00F90A9B">
        <w:rPr>
          <w:rFonts w:ascii="Times New Roman" w:hAnsi="Times New Roman"/>
        </w:rPr>
        <w:fldChar w:fldCharType="separate"/>
      </w:r>
      <w:r w:rsidRPr="00F90A9B">
        <w:rPr>
          <w:rFonts w:ascii="Times New Roman" w:hAnsi="Times New Roman"/>
        </w:rPr>
        <w:t>Worrall (2002)</w:t>
      </w:r>
      <w:r w:rsidRPr="00F90A9B">
        <w:rPr>
          <w:rFonts w:ascii="Times New Roman" w:hAnsi="Times New Roman"/>
        </w:rPr>
        <w:fldChar w:fldCharType="end"/>
      </w:r>
      <w:r w:rsidRPr="00F90A9B">
        <w:rPr>
          <w:rFonts w:ascii="Times New Roman" w:hAnsi="Times New Roman"/>
        </w:rPr>
        <w:t xml:space="preserve"> give similar pictures.</w:t>
      </w:r>
    </w:p>
  </w:footnote>
  <w:footnote w:id="8">
    <w:p w14:paraId="6D077E44"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The words ‘objective’ or ‘objectivity’ appear nine times in her three-page paper.</w:t>
      </w:r>
    </w:p>
  </w:footnote>
  <w:footnote w:id="9">
    <w:p w14:paraId="5383F089"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At this stage Hacking might sit firm and argue that nothing that I have said shows that the terms ‘objective’ and ‘objectivity’ are absolutely necessary. This is would be a slightly unfair response for two reasons. Firstly, Hacking himself is unclear what he means by ‘talking about objectivity’. It can’t be just using the words ‘objective’ or ‘objectivity’ as in the Sockeye Salmon Case Hacking expla</w:t>
      </w:r>
      <w:r w:rsidRPr="00F356E7">
        <w:rPr>
          <w:rFonts w:ascii="Times New Roman" w:hAnsi="Times New Roman"/>
        </w:rPr>
        <w:t>ins why some uses</w:t>
      </w:r>
      <w:r w:rsidRPr="00F90A9B">
        <w:rPr>
          <w:rFonts w:ascii="Times New Roman" w:hAnsi="Times New Roman"/>
        </w:rPr>
        <w:t xml:space="preserve"> of the terms are not ‘talking about objectivity’ in the way he objects to. ‘Talking about objectivity’ might instead mean relating concrete issues to more general types or some general category of ideals. This is suggested by the fact that objectivity is described as an elevator word. But this would mean that the kind of abstractions I talk about should count as talking about objectivity even if the word were not used. Another interpretation of ‘talking about objectivity’ might be talking about the definition of objectivity. But it would seem unfair to argue against conceptual analysis on the basis that it is abstract. And, the concretely related abstractions I have discussed would still be allowed. Secondly, my arguments may not show that the terms ‘objectivity’ and ‘objective’ are ineliminable. But they have given two specific functions for the terms. The ball should at least be in Hacking’s court to argue why abstraction is in fact not useful and to go further than suggest a few examples in which the terms are not used.</w:t>
      </w:r>
    </w:p>
  </w:footnote>
  <w:footnote w:id="10">
    <w:p w14:paraId="07AF9F19"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It might be objected that this does nothing to clarify what should count as a context. Two reasons justify this omission. Firstly, defining what counts as context would require something beyond the scope of this paper. Peter Galison picked out “what is context?” as the first of ten big questions in the history and philosophy of science </w:t>
      </w:r>
      <w:r w:rsidRPr="00F90A9B">
        <w:rPr>
          <w:rFonts w:ascii="Times New Roman" w:hAnsi="Times New Roman"/>
        </w:rPr>
        <w:fldChar w:fldCharType="begin"/>
      </w:r>
      <w:r w:rsidRPr="00F90A9B">
        <w:rPr>
          <w:rFonts w:ascii="Times New Roman" w:hAnsi="Times New Roman"/>
        </w:rPr>
        <w:instrText>ADDIN BEC{-Galison, 2008, #88178@112}</w:instrText>
      </w:r>
      <w:r w:rsidRPr="00F90A9B">
        <w:rPr>
          <w:rFonts w:ascii="Times New Roman" w:hAnsi="Times New Roman"/>
        </w:rPr>
        <w:fldChar w:fldCharType="separate"/>
      </w:r>
      <w:r w:rsidRPr="00F90A9B">
        <w:rPr>
          <w:rFonts w:ascii="Times New Roman" w:hAnsi="Times New Roman"/>
        </w:rPr>
        <w:t>(2008, 112)</w:t>
      </w:r>
      <w:r w:rsidRPr="00F90A9B">
        <w:rPr>
          <w:rFonts w:ascii="Times New Roman" w:hAnsi="Times New Roman"/>
        </w:rPr>
        <w:fldChar w:fldCharType="end"/>
      </w:r>
      <w:r w:rsidRPr="00F90A9B">
        <w:rPr>
          <w:rFonts w:ascii="Times New Roman" w:hAnsi="Times New Roman"/>
        </w:rPr>
        <w:t>; it is not a question that can be adequately tackled here. Secondly, although it may be helpful to clarify the boundaries of different contexts, the narrower claim I want to make does not require that I do. A number of philosophical accounts of things that rest on context exist without saying exactly what context is (epistemic contextualism is just one). Pinning down precisely when two states of the world are sufficiently different to count as different contexts is not necessary to say that it is plausible that assessments of objectivity change when the contexts in which they are used changes and that this is a useful way of thinking about objectivity.</w:t>
      </w:r>
    </w:p>
  </w:footnote>
  <w:footnote w:id="11">
    <w:p w14:paraId="77774810"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Some authors choose to distinguish epistemic from non-epistemic values </w:t>
      </w:r>
      <w:r w:rsidRPr="00F90A9B">
        <w:rPr>
          <w:rFonts w:ascii="Times New Roman" w:hAnsi="Times New Roman"/>
        </w:rPr>
        <w:fldChar w:fldCharType="begin"/>
      </w:r>
      <w:r w:rsidRPr="00F90A9B">
        <w:rPr>
          <w:rFonts w:ascii="Times New Roman" w:hAnsi="Times New Roman"/>
        </w:rPr>
        <w:instrText>ADDIN BEC{McMullin, 1982, #69808; Laudan, 1984, #14}</w:instrText>
      </w:r>
      <w:r w:rsidRPr="00F90A9B">
        <w:rPr>
          <w:rFonts w:ascii="Times New Roman" w:hAnsi="Times New Roman"/>
        </w:rPr>
        <w:fldChar w:fldCharType="separate"/>
      </w:r>
      <w:r w:rsidRPr="00F90A9B">
        <w:rPr>
          <w:rFonts w:ascii="Times New Roman" w:hAnsi="Times New Roman"/>
        </w:rPr>
        <w:t>(McMullin 1982; Laudan 1984)</w:t>
      </w:r>
      <w:r w:rsidRPr="00F90A9B">
        <w:rPr>
          <w:rFonts w:ascii="Times New Roman" w:hAnsi="Times New Roman"/>
        </w:rPr>
        <w:fldChar w:fldCharType="end"/>
      </w:r>
      <w:r w:rsidRPr="00F90A9B">
        <w:rPr>
          <w:rFonts w:ascii="Times New Roman" w:hAnsi="Times New Roman"/>
        </w:rPr>
        <w:t xml:space="preserve">. Those that do so can read my references to values as the non-epistemic kind. I have left my reference simply as ‘values’ as other philosophers have questioned or sought to re-evaluate this distinction (see for example </w:t>
      </w:r>
      <w:r w:rsidRPr="00F90A9B">
        <w:rPr>
          <w:rFonts w:ascii="Times New Roman" w:hAnsi="Times New Roman"/>
        </w:rPr>
        <w:fldChar w:fldCharType="begin"/>
      </w:r>
      <w:r w:rsidRPr="00F90A9B">
        <w:rPr>
          <w:rFonts w:ascii="Times New Roman" w:hAnsi="Times New Roman"/>
        </w:rPr>
        <w:instrText>ADDIN BEC{^Longino, 1996, #75945}</w:instrText>
      </w:r>
      <w:r w:rsidRPr="00F90A9B">
        <w:rPr>
          <w:rFonts w:ascii="Times New Roman" w:hAnsi="Times New Roman"/>
        </w:rPr>
        <w:fldChar w:fldCharType="separate"/>
      </w:r>
      <w:r w:rsidRPr="00F90A9B">
        <w:rPr>
          <w:rFonts w:ascii="Times New Roman" w:hAnsi="Times New Roman"/>
        </w:rPr>
        <w:t>Longino (1996)</w:t>
      </w:r>
      <w:r w:rsidRPr="00F90A9B">
        <w:rPr>
          <w:rFonts w:ascii="Times New Roman" w:hAnsi="Times New Roman"/>
        </w:rPr>
        <w:fldChar w:fldCharType="end"/>
      </w:r>
      <w:r w:rsidRPr="00F90A9B">
        <w:rPr>
          <w:rFonts w:ascii="Times New Roman" w:hAnsi="Times New Roman"/>
        </w:rPr>
        <w:t xml:space="preserve"> and </w:t>
      </w:r>
      <w:r w:rsidRPr="00F90A9B">
        <w:rPr>
          <w:rFonts w:ascii="Times New Roman" w:hAnsi="Times New Roman"/>
        </w:rPr>
        <w:fldChar w:fldCharType="begin"/>
      </w:r>
      <w:r w:rsidRPr="00F90A9B">
        <w:rPr>
          <w:rFonts w:ascii="Times New Roman" w:hAnsi="Times New Roman"/>
        </w:rPr>
        <w:instrText>ADDIN BEC{^Rooney, 1992, #36936}</w:instrText>
      </w:r>
      <w:r w:rsidRPr="00F90A9B">
        <w:rPr>
          <w:rFonts w:ascii="Times New Roman" w:hAnsi="Times New Roman"/>
        </w:rPr>
        <w:fldChar w:fldCharType="separate"/>
      </w:r>
      <w:r w:rsidRPr="00F90A9B">
        <w:rPr>
          <w:rFonts w:ascii="Times New Roman" w:hAnsi="Times New Roman"/>
        </w:rPr>
        <w:t>Rooney (1992)</w:t>
      </w:r>
      <w:r w:rsidRPr="00F90A9B">
        <w:rPr>
          <w:rFonts w:ascii="Times New Roman" w:hAnsi="Times New Roman"/>
        </w:rPr>
        <w:fldChar w:fldCharType="end"/>
      </w:r>
      <w:r w:rsidRPr="00F90A9B">
        <w:rPr>
          <w:rFonts w:ascii="Times New Roman" w:hAnsi="Times New Roman"/>
        </w:rPr>
        <w:t>).</w:t>
      </w:r>
    </w:p>
  </w:footnote>
  <w:footnote w:id="12">
    <w:p w14:paraId="361480AE"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The relevant features of the context of use to fix will depend on the goal Z. Examples of relevant features might include the same historical period or socio-political environment. I will give an example in §2.3.: the institutional environment of the United Kingdom in 2017.</w:t>
      </w:r>
    </w:p>
  </w:footnote>
  <w:footnote w:id="13">
    <w:p w14:paraId="4B995838"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The current (late 2017) targeted rate is 2% (Consumer Price Index), with +/-1% seen as an acceptable bound (i.e. 1-3%).</w:t>
      </w:r>
    </w:p>
  </w:footnote>
  <w:footnote w:id="14">
    <w:p w14:paraId="54DA4159" w14:textId="77777777" w:rsidR="00F90A9B" w:rsidRPr="00F90A9B" w:rsidRDefault="00F90A9B" w:rsidP="00F90A9B">
      <w:pPr>
        <w:pStyle w:val="Footnote0"/>
        <w:keepLines/>
        <w:rPr>
          <w:rFonts w:ascii="Times New Roman" w:hAnsi="Times New Roman"/>
        </w:rPr>
      </w:pPr>
      <w:r w:rsidRPr="00F90A9B">
        <w:rPr>
          <w:rFonts w:ascii="Times New Roman" w:hAnsi="Times New Roman"/>
          <w:vertAlign w:val="superscript"/>
        </w:rPr>
        <w:footnoteRef/>
      </w:r>
      <w:r w:rsidRPr="00F90A9B">
        <w:rPr>
          <w:rFonts w:ascii="Times New Roman" w:hAnsi="Times New Roman"/>
        </w:rPr>
        <w:t xml:space="preserve"> Barclays, HSBC, Lloyds, and RBS.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EEF11E" w14:textId="77777777" w:rsidR="00194656" w:rsidRDefault="00194656" w:rsidP="007C66B4">
    <w:pPr>
      <w:ind w:firstLine="720"/>
      <w:jc w:val="right"/>
      <w:rPr>
        <w:rFonts w:ascii="TimesNewRomanPSMT" w:hAnsi="TimesNewRomanPSMT" w:cs="TimesNewRomanPSMT"/>
        <w:sz w:val="22"/>
        <w:szCs w:val="24"/>
      </w:rPr>
    </w:pPr>
    <w:r>
      <w:rPr>
        <w:rFonts w:ascii="TimesNewRomanPSMT" w:hAnsi="TimesNewRomanPSMT" w:cs="TimesNewRomanPSMT"/>
        <w:sz w:val="22"/>
        <w:szCs w:val="24"/>
      </w:rPr>
      <w:fldChar w:fldCharType="begin"/>
    </w:r>
    <w:r>
      <w:rPr>
        <w:rFonts w:ascii="TimesNewRomanPSMT" w:hAnsi="TimesNewRomanPSMT" w:cs="TimesNewRomanPSMT"/>
        <w:sz w:val="22"/>
        <w:szCs w:val="24"/>
      </w:rPr>
      <w:instrText>PAGE</w:instrText>
    </w:r>
    <w:r>
      <w:rPr>
        <w:rFonts w:ascii="TimesNewRomanPSMT" w:hAnsi="TimesNewRomanPSMT" w:cs="TimesNewRomanPSMT"/>
        <w:sz w:val="22"/>
        <w:szCs w:val="24"/>
      </w:rPr>
      <w:fldChar w:fldCharType="separate"/>
    </w:r>
    <w:r w:rsidR="002F577F">
      <w:rPr>
        <w:rFonts w:ascii="TimesNewRomanPSMT" w:hAnsi="TimesNewRomanPSMT" w:cs="TimesNewRomanPSMT"/>
        <w:noProof/>
        <w:sz w:val="22"/>
        <w:szCs w:val="24"/>
      </w:rPr>
      <w:t>2</w:t>
    </w:r>
    <w:r>
      <w:rPr>
        <w:rFonts w:ascii="TimesNewRomanPSMT" w:hAnsi="TimesNewRomanPSMT" w:cs="TimesNewRomanPSMT"/>
        <w:sz w:val="22"/>
        <w:szCs w:val="24"/>
      </w:rP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13F6397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7038A0E8">
      <w:start w:val="1"/>
      <w:numFmt w:val="decimal"/>
      <w:lvlText w:val="P%1:"/>
      <w:lvlJc w:val="left"/>
      <w:pPr>
        <w:ind w:left="720" w:hanging="360"/>
      </w:pPr>
    </w:lvl>
    <w:lvl w:ilvl="1" w:tplc="88FEE0F6">
      <w:start w:val="1"/>
      <w:numFmt w:val="decimal"/>
      <w:lvlText w:val=""/>
      <w:lvlJc w:val="left"/>
    </w:lvl>
    <w:lvl w:ilvl="2" w:tplc="C690F5B2">
      <w:start w:val="1"/>
      <w:numFmt w:val="decimal"/>
      <w:lvlText w:val=""/>
      <w:lvlJc w:val="left"/>
    </w:lvl>
    <w:lvl w:ilvl="3" w:tplc="5A8C1B3C">
      <w:start w:val="1"/>
      <w:numFmt w:val="decimal"/>
      <w:lvlText w:val=""/>
      <w:lvlJc w:val="left"/>
    </w:lvl>
    <w:lvl w:ilvl="4" w:tplc="24A2B80C">
      <w:start w:val="1"/>
      <w:numFmt w:val="decimal"/>
      <w:lvlText w:val=""/>
      <w:lvlJc w:val="left"/>
    </w:lvl>
    <w:lvl w:ilvl="5" w:tplc="4E58FF38">
      <w:start w:val="1"/>
      <w:numFmt w:val="decimal"/>
      <w:lvlText w:val=""/>
      <w:lvlJc w:val="left"/>
    </w:lvl>
    <w:lvl w:ilvl="6" w:tplc="C6AAF1F4">
      <w:start w:val="1"/>
      <w:numFmt w:val="decimal"/>
      <w:lvlText w:val=""/>
      <w:lvlJc w:val="left"/>
    </w:lvl>
    <w:lvl w:ilvl="7" w:tplc="C41E59DE">
      <w:start w:val="1"/>
      <w:numFmt w:val="decimal"/>
      <w:lvlText w:val=""/>
      <w:lvlJc w:val="left"/>
    </w:lvl>
    <w:lvl w:ilvl="8" w:tplc="1B24B404">
      <w:start w:val="1"/>
      <w:numFmt w:val="decimal"/>
      <w:lvlText w:val=""/>
      <w:lvlJc w:val="left"/>
    </w:lvl>
  </w:abstractNum>
  <w:abstractNum w:abstractNumId="2">
    <w:nsid w:val="1D24302B"/>
    <w:multiLevelType w:val="hybridMultilevel"/>
    <w:tmpl w:val="256046BA"/>
    <w:lvl w:ilvl="0" w:tplc="EA2091D6">
      <w:start w:val="5"/>
      <w:numFmt w:val="bullet"/>
      <w:lvlText w:val="-"/>
      <w:lvlJc w:val="left"/>
      <w:pPr>
        <w:ind w:left="720" w:hanging="360"/>
      </w:pPr>
      <w:rPr>
        <w:rFonts w:ascii="Calibri" w:eastAsia="TimesNewRomanPSMT"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4D0F795A"/>
    <w:multiLevelType w:val="hybridMultilevel"/>
    <w:tmpl w:val="720A63A8"/>
    <w:lvl w:ilvl="0" w:tplc="AC68B438">
      <w:start w:val="5"/>
      <w:numFmt w:val="bullet"/>
      <w:lvlText w:val="-"/>
      <w:lvlJc w:val="left"/>
      <w:pPr>
        <w:ind w:left="720" w:hanging="360"/>
      </w:pPr>
      <w:rPr>
        <w:rFonts w:ascii="TimesNewRomanPSMT" w:eastAsia="TimesNewRomanPSMT" w:hAnsi="TimesNewRomanPSMT" w:cs="TimesNewRomanPSM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53AD4BEA"/>
    <w:multiLevelType w:val="hybridMultilevel"/>
    <w:tmpl w:val="6ED66158"/>
    <w:lvl w:ilvl="0" w:tplc="54C8EB32">
      <w:start w:val="5"/>
      <w:numFmt w:val="bullet"/>
      <w:lvlText w:val="-"/>
      <w:lvlJc w:val="left"/>
      <w:pPr>
        <w:ind w:left="720" w:hanging="360"/>
      </w:pPr>
      <w:rPr>
        <w:rFonts w:ascii="Calibri" w:eastAsia="TimesNewRomanPSMT"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activeWritingStyle w:appName="MSWord" w:lang="en-GB" w:vendorID="64" w:dllVersion="131078" w:nlCheck="1" w:checkStyle="0"/>
  <w:activeWritingStyle w:appName="MSWord" w:lang="en-US" w:vendorID="64" w:dllVersion="131078"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oNotShadeFormData/>
  <w:characterSpacingControl w:val="compressPunctuation"/>
  <w:footnotePr>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7FE"/>
    <w:rsid w:val="000345D1"/>
    <w:rsid w:val="00044158"/>
    <w:rsid w:val="00082E1F"/>
    <w:rsid w:val="000E3058"/>
    <w:rsid w:val="000F21D3"/>
    <w:rsid w:val="00115F7D"/>
    <w:rsid w:val="00116B23"/>
    <w:rsid w:val="00132398"/>
    <w:rsid w:val="00175112"/>
    <w:rsid w:val="00194656"/>
    <w:rsid w:val="001E5AB4"/>
    <w:rsid w:val="00225C6B"/>
    <w:rsid w:val="0023275B"/>
    <w:rsid w:val="00271757"/>
    <w:rsid w:val="00271D9A"/>
    <w:rsid w:val="0027235B"/>
    <w:rsid w:val="00277F09"/>
    <w:rsid w:val="002E2913"/>
    <w:rsid w:val="002F577F"/>
    <w:rsid w:val="00307085"/>
    <w:rsid w:val="003408AD"/>
    <w:rsid w:val="00350410"/>
    <w:rsid w:val="003D52A6"/>
    <w:rsid w:val="0040440C"/>
    <w:rsid w:val="004100BA"/>
    <w:rsid w:val="00413935"/>
    <w:rsid w:val="00416531"/>
    <w:rsid w:val="00426C1B"/>
    <w:rsid w:val="00445542"/>
    <w:rsid w:val="004529EF"/>
    <w:rsid w:val="00473729"/>
    <w:rsid w:val="00482BC4"/>
    <w:rsid w:val="004B003A"/>
    <w:rsid w:val="00520955"/>
    <w:rsid w:val="005B157D"/>
    <w:rsid w:val="005B3172"/>
    <w:rsid w:val="005E05C7"/>
    <w:rsid w:val="005E5D26"/>
    <w:rsid w:val="005E7BE4"/>
    <w:rsid w:val="0060371B"/>
    <w:rsid w:val="006210D9"/>
    <w:rsid w:val="00631C6C"/>
    <w:rsid w:val="00633B6A"/>
    <w:rsid w:val="00642D60"/>
    <w:rsid w:val="006868CB"/>
    <w:rsid w:val="00696EAF"/>
    <w:rsid w:val="006A5833"/>
    <w:rsid w:val="006B066C"/>
    <w:rsid w:val="006E6083"/>
    <w:rsid w:val="006F4B28"/>
    <w:rsid w:val="00710776"/>
    <w:rsid w:val="007114A5"/>
    <w:rsid w:val="007468CF"/>
    <w:rsid w:val="00752B58"/>
    <w:rsid w:val="0075570A"/>
    <w:rsid w:val="007568F1"/>
    <w:rsid w:val="007C3FE0"/>
    <w:rsid w:val="007C66B4"/>
    <w:rsid w:val="007D4A26"/>
    <w:rsid w:val="007D60F0"/>
    <w:rsid w:val="007D7EC1"/>
    <w:rsid w:val="00813201"/>
    <w:rsid w:val="00817B6D"/>
    <w:rsid w:val="00831B1D"/>
    <w:rsid w:val="00846525"/>
    <w:rsid w:val="00846910"/>
    <w:rsid w:val="00891B6A"/>
    <w:rsid w:val="00901E94"/>
    <w:rsid w:val="00905687"/>
    <w:rsid w:val="009128D6"/>
    <w:rsid w:val="00927D13"/>
    <w:rsid w:val="00960E93"/>
    <w:rsid w:val="00966CFA"/>
    <w:rsid w:val="00977C87"/>
    <w:rsid w:val="00985119"/>
    <w:rsid w:val="009B2C3F"/>
    <w:rsid w:val="009E4E19"/>
    <w:rsid w:val="009E7A2F"/>
    <w:rsid w:val="009F6DE2"/>
    <w:rsid w:val="00A04023"/>
    <w:rsid w:val="00A14C22"/>
    <w:rsid w:val="00A41C7E"/>
    <w:rsid w:val="00A54160"/>
    <w:rsid w:val="00A6422C"/>
    <w:rsid w:val="00A657FE"/>
    <w:rsid w:val="00A8319C"/>
    <w:rsid w:val="00AA234A"/>
    <w:rsid w:val="00AB3AF3"/>
    <w:rsid w:val="00AC1406"/>
    <w:rsid w:val="00AD3145"/>
    <w:rsid w:val="00AD7FF8"/>
    <w:rsid w:val="00B56134"/>
    <w:rsid w:val="00B656A3"/>
    <w:rsid w:val="00B66992"/>
    <w:rsid w:val="00B67FB3"/>
    <w:rsid w:val="00B7076B"/>
    <w:rsid w:val="00B775DD"/>
    <w:rsid w:val="00BB5B41"/>
    <w:rsid w:val="00BC5922"/>
    <w:rsid w:val="00BD530F"/>
    <w:rsid w:val="00C048BB"/>
    <w:rsid w:val="00C4437D"/>
    <w:rsid w:val="00C705FD"/>
    <w:rsid w:val="00C7211F"/>
    <w:rsid w:val="00CB7635"/>
    <w:rsid w:val="00CC1378"/>
    <w:rsid w:val="00CC3A9D"/>
    <w:rsid w:val="00CD5843"/>
    <w:rsid w:val="00D22515"/>
    <w:rsid w:val="00D423B1"/>
    <w:rsid w:val="00D439A9"/>
    <w:rsid w:val="00D56D2E"/>
    <w:rsid w:val="00D62B54"/>
    <w:rsid w:val="00D72378"/>
    <w:rsid w:val="00D86E86"/>
    <w:rsid w:val="00D87830"/>
    <w:rsid w:val="00DD4693"/>
    <w:rsid w:val="00ED3A5F"/>
    <w:rsid w:val="00EE3B2A"/>
    <w:rsid w:val="00F02CDE"/>
    <w:rsid w:val="00F22A0F"/>
    <w:rsid w:val="00F3180D"/>
    <w:rsid w:val="00F31EF0"/>
    <w:rsid w:val="00F356E7"/>
    <w:rsid w:val="00F45463"/>
    <w:rsid w:val="00F55464"/>
    <w:rsid w:val="00F6505B"/>
    <w:rsid w:val="00F7242D"/>
    <w:rsid w:val="00F90A9B"/>
    <w:rsid w:val="00F91E88"/>
    <w:rsid w:val="00FB3D61"/>
    <w:rsid w:val="00FB4AD3"/>
    <w:rsid w:val="00FC6E00"/>
    <w:rsid w:val="00FD23D8"/>
    <w:rsid w:val="00FD72B9"/>
    <w:rsid w:val="00FE1F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74D6FB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NewRomanPSMT" w:hAnsi="Calibri" w:cs="Times New Roman"/>
        <w:lang w:val="en-GB" w:eastAsia="en-GB"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qFormat="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9"/>
    <w:lsdException w:name="Plain Table 2" w:uiPriority="50"/>
    <w:lsdException w:name="Plain Table 3" w:uiPriority="51"/>
    <w:lsdException w:name="Plain Table 4" w:uiPriority="52"/>
    <w:lsdException w:name="Plain Table 5" w:uiPriority="46"/>
    <w:lsdException w:name="Grid Table Light" w:uiPriority="47"/>
    <w:lsdException w:name="Grid Table 1 Light" w:uiPriority="48"/>
    <w:lsdException w:name="Grid Table 2" w:uiPriority="49"/>
    <w:lsdException w:name="Grid Table 3" w:uiPriority="50"/>
    <w:lsdException w:name="Grid Table 4" w:uiPriority="51"/>
    <w:lsdException w:name="Grid Table 5 Dark" w:uiPriority="52"/>
    <w:lsdException w:name="Grid Table 6 Colorful" w:uiPriority="46"/>
    <w:lsdException w:name="Grid Table 7 Colorful" w:uiPriority="47"/>
    <w:lsdException w:name="Grid Table 1 Light Accent 1" w:uiPriority="48"/>
    <w:lsdException w:name="Grid Table 2 Accent 1" w:uiPriority="49"/>
    <w:lsdException w:name="Grid Table 3 Accent 1" w:uiPriority="50"/>
    <w:lsdException w:name="Grid Table 4 Accent 1" w:uiPriority="51"/>
    <w:lsdException w:name="Grid Table 5 Dark Accent 1" w:uiPriority="52"/>
    <w:lsdException w:name="Grid Table 6 Colorful Accent 1" w:uiPriority="46"/>
    <w:lsdException w:name="Grid Table 7 Colorful Accent 1" w:uiPriority="47"/>
    <w:lsdException w:name="Grid Table 1 Light Accent 2" w:uiPriority="48"/>
    <w:lsdException w:name="Grid Table 2 Accent 2" w:uiPriority="49"/>
    <w:lsdException w:name="Grid Table 3 Accent 2" w:uiPriority="50"/>
    <w:lsdException w:name="Grid Table 4 Accent 2" w:uiPriority="51"/>
    <w:lsdException w:name="Grid Table 5 Dark Accent 2" w:uiPriority="52"/>
    <w:lsdException w:name="Grid Table 6 Colorful Accent 2" w:uiPriority="46"/>
    <w:lsdException w:name="Grid Table 7 Colorful Accent 2" w:uiPriority="47"/>
    <w:lsdException w:name="Grid Table 1 Light Accent 3" w:uiPriority="48"/>
    <w:lsdException w:name="Grid Table 2 Accent 3" w:uiPriority="49"/>
    <w:lsdException w:name="Grid Table 3 Accent 3" w:uiPriority="50"/>
    <w:lsdException w:name="Grid Table 4 Accent 3" w:uiPriority="51"/>
    <w:lsdException w:name="Grid Table 5 Dark Accent 3" w:uiPriority="52"/>
    <w:lsdException w:name="Grid Table 6 Colorful Accent 3" w:uiPriority="46"/>
    <w:lsdException w:name="Grid Table 7 Colorful Accent 3" w:uiPriority="47"/>
    <w:lsdException w:name="Grid Table 1 Light Accent 4" w:uiPriority="48"/>
    <w:lsdException w:name="Grid Table 2 Accent 4" w:uiPriority="49"/>
    <w:lsdException w:name="Grid Table 3 Accent 4" w:uiPriority="50"/>
    <w:lsdException w:name="Grid Table 4 Accent 4" w:uiPriority="51"/>
    <w:lsdException w:name="Grid Table 5 Dark Accent 4" w:uiPriority="52"/>
    <w:lsdException w:name="Grid Table 6 Colorful Accent 4" w:uiPriority="46"/>
    <w:lsdException w:name="Grid Table 7 Colorful Accent 4" w:uiPriority="47"/>
    <w:lsdException w:name="Grid Table 1 Light Accent 5" w:uiPriority="48"/>
    <w:lsdException w:name="Grid Table 2 Accent 5" w:uiPriority="49"/>
    <w:lsdException w:name="Grid Table 3 Accent 5" w:uiPriority="50"/>
    <w:lsdException w:name="Grid Table 4 Accent 5" w:uiPriority="51"/>
    <w:lsdException w:name="Grid Table 5 Dark Accent 5" w:uiPriority="52"/>
    <w:lsdException w:name="Grid Table 6 Colorful Accent 5" w:uiPriority="46"/>
    <w:lsdException w:name="Grid Table 7 Colorful Accent 5" w:uiPriority="47"/>
    <w:lsdException w:name="Grid Table 1 Light Accent 6" w:uiPriority="48"/>
    <w:lsdException w:name="Grid Table 2 Accent 6" w:uiPriority="49"/>
    <w:lsdException w:name="Grid Table 3 Accent 6" w:uiPriority="50"/>
    <w:lsdException w:name="Grid Table 4 Accent 6" w:uiPriority="51"/>
    <w:lsdException w:name="Grid Table 5 Dark Accent 6" w:uiPriority="52"/>
    <w:lsdException w:name="Grid Table 6 Colorful Accent 6" w:uiPriority="46"/>
    <w:lsdException w:name="Grid Table 7 Colorful Accent 6" w:uiPriority="47"/>
    <w:lsdException w:name="List Table 1 Light" w:uiPriority="48"/>
    <w:lsdException w:name="List Table 2" w:uiPriority="49"/>
    <w:lsdException w:name="List Table 3" w:uiPriority="50"/>
    <w:lsdException w:name="List Table 4" w:uiPriority="51"/>
    <w:lsdException w:name="List Table 5 Dark" w:uiPriority="52"/>
    <w:lsdException w:name="List Table 6 Colorful" w:uiPriority="46"/>
    <w:lsdException w:name="List Table 7 Colorful" w:uiPriority="47"/>
    <w:lsdException w:name="List Table 1 Light Accent 1" w:uiPriority="48"/>
    <w:lsdException w:name="List Table 2 Accent 1" w:uiPriority="49"/>
    <w:lsdException w:name="List Table 3 Accent 1" w:uiPriority="50"/>
    <w:lsdException w:name="List Table 4 Accent 1" w:uiPriority="51"/>
    <w:lsdException w:name="List Table 5 Dark Accent 1" w:uiPriority="52"/>
    <w:lsdException w:name="List Table 6 Colorful Accent 1" w:uiPriority="46"/>
    <w:lsdException w:name="List Table 7 Colorful Accent 1" w:uiPriority="47"/>
    <w:lsdException w:name="List Table 1 Light Accent 2" w:uiPriority="48"/>
    <w:lsdException w:name="List Table 2 Accent 2" w:uiPriority="49"/>
    <w:lsdException w:name="List Table 3 Accent 2" w:uiPriority="50"/>
    <w:lsdException w:name="List Table 4 Accent 2" w:uiPriority="51"/>
    <w:lsdException w:name="List Table 5 Dark Accent 2" w:uiPriority="52"/>
    <w:lsdException w:name="List Table 6 Colorful Accent 2" w:uiPriority="46"/>
    <w:lsdException w:name="List Table 7 Colorful Accent 2" w:uiPriority="47"/>
    <w:lsdException w:name="List Table 1 Light Accent 3" w:uiPriority="48"/>
    <w:lsdException w:name="List Table 2 Accent 3" w:uiPriority="49"/>
    <w:lsdException w:name="List Table 3 Accent 3" w:uiPriority="50"/>
    <w:lsdException w:name="List Table 4 Accent 3" w:uiPriority="51"/>
    <w:lsdException w:name="List Table 5 Dark Accent 3" w:uiPriority="52"/>
    <w:lsdException w:name="List Table 6 Colorful Accent 3" w:uiPriority="46"/>
    <w:lsdException w:name="List Table 7 Colorful Accent 3" w:uiPriority="47"/>
    <w:lsdException w:name="List Table 1 Light Accent 4" w:uiPriority="48"/>
    <w:lsdException w:name="List Table 2 Accent 4" w:uiPriority="49"/>
    <w:lsdException w:name="List Table 3 Accent 4" w:uiPriority="50"/>
    <w:lsdException w:name="List Table 4 Accent 4" w:uiPriority="51"/>
    <w:lsdException w:name="List Table 5 Dark Accent 4" w:uiPriority="52"/>
    <w:lsdException w:name="List Table 6 Colorful Accent 4" w:uiPriority="46"/>
    <w:lsdException w:name="List Table 7 Colorful Accent 4" w:uiPriority="47"/>
    <w:lsdException w:name="List Table 1 Light Accent 5" w:uiPriority="48"/>
    <w:lsdException w:name="List Table 2 Accent 5" w:uiPriority="49"/>
    <w:lsdException w:name="List Table 3 Accent 5" w:uiPriority="50"/>
    <w:lsdException w:name="List Table 4 Accent 5" w:uiPriority="51"/>
    <w:lsdException w:name="List Table 5 Dark Accent 5" w:uiPriority="52"/>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uiPriority w:val="99"/>
    <w:qFormat/>
    <w:pPr>
      <w:widowControl w:val="0"/>
      <w:autoSpaceDE w:val="0"/>
      <w:autoSpaceDN w:val="0"/>
      <w:adjustRightInd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lockQuote">
    <w:name w:val="Block Quote"/>
    <w:uiPriority w:val="99"/>
    <w:pPr>
      <w:widowControl w:val="0"/>
      <w:tabs>
        <w:tab w:val="left" w:pos="720"/>
        <w:tab w:val="left" w:pos="1080"/>
        <w:tab w:val="left" w:pos="1440"/>
      </w:tabs>
      <w:autoSpaceDE w:val="0"/>
      <w:autoSpaceDN w:val="0"/>
      <w:adjustRightInd w:val="0"/>
      <w:spacing w:before="240" w:after="240" w:line="264" w:lineRule="auto"/>
      <w:ind w:left="720"/>
    </w:pPr>
    <w:rPr>
      <w:sz w:val="24"/>
    </w:rPr>
  </w:style>
  <w:style w:type="paragraph" w:customStyle="1" w:styleId="Footnote">
    <w:name w:val="Footnote"/>
    <w:uiPriority w:val="99"/>
    <w:pPr>
      <w:widowControl w:val="0"/>
      <w:autoSpaceDE w:val="0"/>
      <w:autoSpaceDN w:val="0"/>
      <w:adjustRightInd w:val="0"/>
    </w:pPr>
  </w:style>
  <w:style w:type="paragraph" w:customStyle="1" w:styleId="Footnote0">
    <w:name w:val="Footnote"/>
    <w:next w:val="Footnote"/>
    <w:uiPriority w:val="99"/>
    <w:pPr>
      <w:widowControl w:val="0"/>
      <w:autoSpaceDE w:val="0"/>
      <w:autoSpaceDN w:val="0"/>
      <w:adjustRightInd w:val="0"/>
    </w:pPr>
  </w:style>
  <w:style w:type="character" w:styleId="CommentReference">
    <w:name w:val="annotation reference"/>
    <w:uiPriority w:val="99"/>
    <w:semiHidden/>
    <w:unhideWhenUsed/>
    <w:rsid w:val="00D87830"/>
    <w:rPr>
      <w:sz w:val="18"/>
      <w:szCs w:val="18"/>
    </w:rPr>
  </w:style>
  <w:style w:type="paragraph" w:styleId="CommentText">
    <w:name w:val="annotation text"/>
    <w:basedOn w:val="Normal"/>
    <w:link w:val="CommentTextChar"/>
    <w:uiPriority w:val="99"/>
    <w:semiHidden/>
    <w:unhideWhenUsed/>
    <w:rsid w:val="00D87830"/>
    <w:rPr>
      <w:sz w:val="24"/>
      <w:szCs w:val="24"/>
    </w:rPr>
  </w:style>
  <w:style w:type="character" w:customStyle="1" w:styleId="CommentTextChar">
    <w:name w:val="Comment Text Char"/>
    <w:link w:val="CommentText"/>
    <w:uiPriority w:val="99"/>
    <w:semiHidden/>
    <w:rsid w:val="00D87830"/>
    <w:rPr>
      <w:sz w:val="24"/>
      <w:szCs w:val="24"/>
    </w:rPr>
  </w:style>
  <w:style w:type="paragraph" w:styleId="CommentSubject">
    <w:name w:val="annotation subject"/>
    <w:basedOn w:val="CommentText"/>
    <w:next w:val="CommentText"/>
    <w:link w:val="CommentSubjectChar"/>
    <w:uiPriority w:val="99"/>
    <w:semiHidden/>
    <w:unhideWhenUsed/>
    <w:rsid w:val="00D87830"/>
    <w:rPr>
      <w:b/>
      <w:bCs/>
      <w:sz w:val="20"/>
      <w:szCs w:val="20"/>
    </w:rPr>
  </w:style>
  <w:style w:type="character" w:customStyle="1" w:styleId="CommentSubjectChar">
    <w:name w:val="Comment Subject Char"/>
    <w:link w:val="CommentSubject"/>
    <w:uiPriority w:val="99"/>
    <w:semiHidden/>
    <w:rsid w:val="00D87830"/>
    <w:rPr>
      <w:b/>
      <w:bCs/>
      <w:sz w:val="24"/>
      <w:szCs w:val="24"/>
    </w:rPr>
  </w:style>
  <w:style w:type="paragraph" w:styleId="BalloonText">
    <w:name w:val="Balloon Text"/>
    <w:basedOn w:val="Normal"/>
    <w:link w:val="BalloonTextChar"/>
    <w:uiPriority w:val="99"/>
    <w:semiHidden/>
    <w:unhideWhenUsed/>
    <w:rsid w:val="00D87830"/>
    <w:rPr>
      <w:rFonts w:ascii="Times New Roman" w:hAnsi="Times New Roman"/>
      <w:sz w:val="18"/>
      <w:szCs w:val="18"/>
    </w:rPr>
  </w:style>
  <w:style w:type="character" w:customStyle="1" w:styleId="BalloonTextChar">
    <w:name w:val="Balloon Text Char"/>
    <w:link w:val="BalloonText"/>
    <w:uiPriority w:val="99"/>
    <w:semiHidden/>
    <w:rsid w:val="00D87830"/>
    <w:rPr>
      <w:rFonts w:ascii="Times New Roman" w:hAnsi="Times New Roman"/>
      <w:sz w:val="18"/>
      <w:szCs w:val="18"/>
    </w:rPr>
  </w:style>
  <w:style w:type="character" w:customStyle="1" w:styleId="apple-converted-space">
    <w:name w:val="apple-converted-space"/>
    <w:rsid w:val="002E2913"/>
  </w:style>
  <w:style w:type="paragraph" w:styleId="Header">
    <w:name w:val="header"/>
    <w:basedOn w:val="Normal"/>
    <w:link w:val="HeaderChar"/>
    <w:uiPriority w:val="99"/>
    <w:unhideWhenUsed/>
    <w:rsid w:val="00817B6D"/>
    <w:pPr>
      <w:tabs>
        <w:tab w:val="center" w:pos="4513"/>
        <w:tab w:val="right" w:pos="9026"/>
      </w:tabs>
    </w:pPr>
  </w:style>
  <w:style w:type="character" w:customStyle="1" w:styleId="HeaderChar">
    <w:name w:val="Header Char"/>
    <w:basedOn w:val="DefaultParagraphFont"/>
    <w:link w:val="Header"/>
    <w:uiPriority w:val="99"/>
    <w:rsid w:val="00817B6D"/>
  </w:style>
  <w:style w:type="paragraph" w:styleId="Footer">
    <w:name w:val="footer"/>
    <w:basedOn w:val="Normal"/>
    <w:link w:val="FooterChar"/>
    <w:uiPriority w:val="99"/>
    <w:unhideWhenUsed/>
    <w:rsid w:val="00817B6D"/>
    <w:pPr>
      <w:tabs>
        <w:tab w:val="center" w:pos="4513"/>
        <w:tab w:val="right" w:pos="9026"/>
      </w:tabs>
    </w:pPr>
  </w:style>
  <w:style w:type="character" w:customStyle="1" w:styleId="FooterChar">
    <w:name w:val="Footer Char"/>
    <w:basedOn w:val="DefaultParagraphFont"/>
    <w:link w:val="Footer"/>
    <w:uiPriority w:val="99"/>
    <w:rsid w:val="00817B6D"/>
  </w:style>
  <w:style w:type="paragraph" w:styleId="FootnoteText">
    <w:name w:val="footnote text"/>
    <w:basedOn w:val="Normal"/>
    <w:link w:val="FootnoteTextChar"/>
    <w:uiPriority w:val="99"/>
    <w:unhideWhenUsed/>
    <w:rsid w:val="00B56134"/>
    <w:rPr>
      <w:sz w:val="24"/>
      <w:szCs w:val="24"/>
    </w:rPr>
  </w:style>
  <w:style w:type="character" w:customStyle="1" w:styleId="FootnoteTextChar">
    <w:name w:val="Footnote Text Char"/>
    <w:link w:val="FootnoteText"/>
    <w:uiPriority w:val="99"/>
    <w:rsid w:val="00B56134"/>
    <w:rPr>
      <w:sz w:val="24"/>
      <w:szCs w:val="24"/>
    </w:rPr>
  </w:style>
  <w:style w:type="character" w:styleId="FootnoteReference">
    <w:name w:val="footnote reference"/>
    <w:uiPriority w:val="99"/>
    <w:unhideWhenUsed/>
    <w:rsid w:val="00B5613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081815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Jw675@cam.ac.uk" TargetMode="External"/><Relationship Id="rId9" Type="http://schemas.openxmlformats.org/officeDocument/2006/relationships/hyperlink" Target="https://www.people.hps.cam.ac.uk/index/graduate-students/wright" TargetMode="Externa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D412E2EA-2879-CC41-9A0B-2885C10AA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8258</Words>
  <Characters>47077</Characters>
  <Application>Microsoft Macintosh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Rescuing objectivity: a contextualist proposal</vt:lpstr>
    </vt:vector>
  </TitlesOfParts>
  <Company/>
  <LinksUpToDate>false</LinksUpToDate>
  <CharactersWithSpaces>55225</CharactersWithSpaces>
  <SharedDoc>false</SharedDoc>
  <HLinks>
    <vt:vector size="12" baseType="variant">
      <vt:variant>
        <vt:i4>2949210</vt:i4>
      </vt:variant>
      <vt:variant>
        <vt:i4>78</vt:i4>
      </vt:variant>
      <vt:variant>
        <vt:i4>0</vt:i4>
      </vt:variant>
      <vt:variant>
        <vt:i4>5</vt:i4>
      </vt:variant>
      <vt:variant>
        <vt:lpwstr>https://www.people.hps.cam.ac.uk/index/graduate-students/wright</vt:lpwstr>
      </vt:variant>
      <vt:variant>
        <vt:lpwstr/>
      </vt:variant>
      <vt:variant>
        <vt:i4>2162707</vt:i4>
      </vt:variant>
      <vt:variant>
        <vt:i4>75</vt:i4>
      </vt:variant>
      <vt:variant>
        <vt:i4>0</vt:i4>
      </vt:variant>
      <vt:variant>
        <vt:i4>5</vt:i4>
      </vt:variant>
      <vt:variant>
        <vt:lpwstr>mailto:Jw675@cam.ac.uk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Rescuing objectivity: a contextualist proposal</dc:title>
  <dc:subject/>
  <dc:creator>Jack Wright</dc:creator>
  <cp:keywords/>
  <cp:lastModifiedBy>J. Wright</cp:lastModifiedBy>
  <cp:revision>2</cp:revision>
  <dcterms:created xsi:type="dcterms:W3CDTF">2018-03-15T15:23:00Z</dcterms:created>
  <dcterms:modified xsi:type="dcterms:W3CDTF">2018-03-15T15:23:00Z</dcterms:modified>
</cp:coreProperties>
</file>