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9EBA42" w14:textId="60289FF2" w:rsidR="00482D16" w:rsidRPr="00F10F41" w:rsidRDefault="00D81339" w:rsidP="006A23E0">
      <w:pPr>
        <w:pStyle w:val="Heading1"/>
        <w:spacing w:before="0" w:after="240" w:line="360" w:lineRule="auto"/>
        <w:jc w:val="center"/>
        <w:rPr>
          <w:rFonts w:ascii="Arial" w:hAnsi="Arial" w:cs="Arial"/>
          <w:b/>
          <w:bCs/>
          <w:color w:val="000000" w:themeColor="text1"/>
          <w:sz w:val="30"/>
          <w:szCs w:val="30"/>
        </w:rPr>
      </w:pPr>
      <w:bookmarkStart w:id="0" w:name="OLE_LINK107"/>
      <w:bookmarkStart w:id="1" w:name="OLE_LINK108"/>
      <w:bookmarkStart w:id="2" w:name="OLE_LINK3"/>
      <w:r w:rsidRPr="00F10F41">
        <w:rPr>
          <w:rFonts w:ascii="Arial" w:hAnsi="Arial" w:cs="Arial"/>
          <w:b/>
          <w:bCs/>
          <w:color w:val="000000" w:themeColor="text1"/>
          <w:sz w:val="30"/>
          <w:szCs w:val="30"/>
        </w:rPr>
        <w:t xml:space="preserve"> PROXIMITY TO DEMENTIA ONSET AND MULTI-MODAL NEUROIMAGING CHANGES: THE PREVENT-DEMENTIA STUDY</w:t>
      </w:r>
    </w:p>
    <w:bookmarkEnd w:id="0"/>
    <w:bookmarkEnd w:id="1"/>
    <w:p w14:paraId="29AF395D" w14:textId="65CC56B7" w:rsidR="005159B2" w:rsidRPr="00F10F41" w:rsidRDefault="005159B2" w:rsidP="00337D1F">
      <w:pPr>
        <w:spacing w:line="360" w:lineRule="auto"/>
        <w:jc w:val="center"/>
        <w:rPr>
          <w:rFonts w:ascii="Arial" w:hAnsi="Arial" w:cs="Arial"/>
          <w:color w:val="000000" w:themeColor="text1"/>
          <w:sz w:val="22"/>
          <w:szCs w:val="22"/>
        </w:rPr>
      </w:pPr>
      <w:r w:rsidRPr="00F10F41">
        <w:rPr>
          <w:rFonts w:ascii="Arial" w:hAnsi="Arial" w:cs="Arial"/>
          <w:color w:val="000000" w:themeColor="text1"/>
          <w:sz w:val="22"/>
          <w:szCs w:val="22"/>
        </w:rPr>
        <w:t xml:space="preserve">Elijah </w:t>
      </w:r>
      <w:proofErr w:type="spellStart"/>
      <w:r w:rsidRPr="00F10F41">
        <w:rPr>
          <w:rFonts w:ascii="Arial" w:hAnsi="Arial" w:cs="Arial"/>
          <w:color w:val="000000" w:themeColor="text1"/>
          <w:sz w:val="22"/>
          <w:szCs w:val="22"/>
        </w:rPr>
        <w:t>Mak</w:t>
      </w:r>
      <w:proofErr w:type="spellEnd"/>
      <w:r w:rsidR="00E72D69" w:rsidRPr="00F10F41">
        <w:rPr>
          <w:rFonts w:ascii="Arial" w:hAnsi="Arial" w:cs="Arial"/>
          <w:color w:val="000000" w:themeColor="text1"/>
          <w:sz w:val="22"/>
          <w:szCs w:val="22"/>
        </w:rPr>
        <w:t xml:space="preserve"> (PhD)</w:t>
      </w:r>
      <w:r w:rsidRPr="00F10F41">
        <w:rPr>
          <w:rFonts w:ascii="Arial" w:hAnsi="Arial" w:cs="Arial"/>
          <w:color w:val="000000" w:themeColor="text1"/>
          <w:sz w:val="22"/>
          <w:szCs w:val="22"/>
          <w:vertAlign w:val="superscript"/>
        </w:rPr>
        <w:t>1</w:t>
      </w:r>
      <w:r w:rsidR="00F94593" w:rsidRPr="00F10F41">
        <w:rPr>
          <w:rFonts w:ascii="Arial" w:hAnsi="Arial" w:cs="Arial"/>
          <w:color w:val="000000" w:themeColor="text1"/>
          <w:sz w:val="22"/>
          <w:szCs w:val="22"/>
        </w:rPr>
        <w:t>*</w:t>
      </w:r>
      <w:r w:rsidRPr="00F10F41">
        <w:rPr>
          <w:rFonts w:ascii="Arial" w:hAnsi="Arial" w:cs="Arial"/>
          <w:color w:val="000000" w:themeColor="text1"/>
          <w:sz w:val="22"/>
          <w:szCs w:val="22"/>
        </w:rPr>
        <w:t xml:space="preserve">, Maria-Eleni </w:t>
      </w:r>
      <w:proofErr w:type="spellStart"/>
      <w:r w:rsidRPr="00F10F41">
        <w:rPr>
          <w:rFonts w:ascii="Arial" w:hAnsi="Arial" w:cs="Arial"/>
          <w:color w:val="000000" w:themeColor="text1"/>
          <w:sz w:val="22"/>
          <w:szCs w:val="22"/>
        </w:rPr>
        <w:t>Dounavi</w:t>
      </w:r>
      <w:proofErr w:type="spellEnd"/>
      <w:r w:rsidR="00E72D69" w:rsidRPr="00F10F41">
        <w:rPr>
          <w:rFonts w:ascii="Arial" w:hAnsi="Arial" w:cs="Arial"/>
          <w:color w:val="000000" w:themeColor="text1"/>
          <w:sz w:val="22"/>
          <w:szCs w:val="22"/>
        </w:rPr>
        <w:t xml:space="preserve"> (PhD)</w:t>
      </w:r>
      <w:r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vertAlign w:val="superscript"/>
        </w:rPr>
        <w:t>1</w:t>
      </w:r>
      <w:r w:rsidR="00F94593" w:rsidRPr="00F10F41">
        <w:rPr>
          <w:rFonts w:ascii="Arial" w:hAnsi="Arial" w:cs="Arial"/>
          <w:color w:val="000000" w:themeColor="text1"/>
          <w:sz w:val="22"/>
          <w:szCs w:val="22"/>
        </w:rPr>
        <w:t>*</w:t>
      </w:r>
      <w:r w:rsidRPr="00F10F41">
        <w:rPr>
          <w:rFonts w:ascii="Arial" w:hAnsi="Arial" w:cs="Arial"/>
          <w:color w:val="000000" w:themeColor="text1"/>
          <w:sz w:val="22"/>
          <w:szCs w:val="22"/>
        </w:rPr>
        <w:t>, Audrey Low</w:t>
      </w:r>
      <w:r w:rsidR="00E72D69" w:rsidRPr="00F10F41">
        <w:rPr>
          <w:rFonts w:ascii="Arial" w:hAnsi="Arial" w:cs="Arial"/>
          <w:color w:val="000000" w:themeColor="text1"/>
          <w:sz w:val="22"/>
          <w:szCs w:val="22"/>
        </w:rPr>
        <w:t xml:space="preserve"> (BA)</w:t>
      </w:r>
      <w:r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vertAlign w:val="superscript"/>
        </w:rPr>
        <w:t>1</w:t>
      </w:r>
      <w:r w:rsidRPr="00F10F41">
        <w:rPr>
          <w:rFonts w:ascii="Arial" w:hAnsi="Arial" w:cs="Arial"/>
          <w:color w:val="000000" w:themeColor="text1"/>
          <w:sz w:val="22"/>
          <w:szCs w:val="22"/>
        </w:rPr>
        <w:t xml:space="preserve">, Stephen F. Carter </w:t>
      </w:r>
      <w:r w:rsidR="00E72D69" w:rsidRPr="00F10F41">
        <w:rPr>
          <w:rFonts w:ascii="Arial" w:hAnsi="Arial" w:cs="Arial"/>
          <w:color w:val="000000" w:themeColor="text1"/>
          <w:sz w:val="22"/>
          <w:szCs w:val="22"/>
        </w:rPr>
        <w:t xml:space="preserve">(PhD) </w:t>
      </w:r>
      <w:r w:rsidRPr="00F10F41">
        <w:rPr>
          <w:rFonts w:ascii="Arial" w:hAnsi="Arial" w:cs="Arial"/>
          <w:color w:val="000000" w:themeColor="text1"/>
          <w:sz w:val="22"/>
          <w:szCs w:val="22"/>
          <w:vertAlign w:val="superscript"/>
        </w:rPr>
        <w:t>1</w:t>
      </w:r>
      <w:r w:rsidRPr="00F10F41">
        <w:rPr>
          <w:rFonts w:ascii="Arial" w:hAnsi="Arial" w:cs="Arial"/>
          <w:color w:val="000000" w:themeColor="text1"/>
          <w:sz w:val="22"/>
          <w:szCs w:val="22"/>
        </w:rPr>
        <w:t>, Elizabeth McKiernan</w:t>
      </w:r>
      <w:r w:rsidR="00F94593" w:rsidRPr="00F10F41">
        <w:rPr>
          <w:rFonts w:ascii="Arial" w:hAnsi="Arial" w:cs="Arial"/>
          <w:color w:val="000000" w:themeColor="text1"/>
          <w:sz w:val="22"/>
          <w:szCs w:val="22"/>
        </w:rPr>
        <w:t xml:space="preserve"> </w:t>
      </w:r>
      <w:r w:rsidR="00E72D69" w:rsidRPr="00F10F41">
        <w:rPr>
          <w:rFonts w:ascii="Arial" w:hAnsi="Arial" w:cs="Arial"/>
          <w:color w:val="000000" w:themeColor="text1"/>
          <w:sz w:val="22"/>
          <w:szCs w:val="22"/>
        </w:rPr>
        <w:t>(</w:t>
      </w:r>
      <w:proofErr w:type="spellStart"/>
      <w:r w:rsidR="000F4109" w:rsidRPr="00F10F41">
        <w:rPr>
          <w:rFonts w:ascii="Arial" w:hAnsi="Arial" w:cs="Arial"/>
          <w:color w:val="000000" w:themeColor="text1"/>
          <w:sz w:val="22"/>
          <w:szCs w:val="22"/>
        </w:rPr>
        <w:t>MRCPsych</w:t>
      </w:r>
      <w:proofErr w:type="spellEnd"/>
      <w:r w:rsidR="00E72D69" w:rsidRPr="00F10F41">
        <w:rPr>
          <w:rFonts w:ascii="Arial" w:hAnsi="Arial" w:cs="Arial"/>
          <w:color w:val="000000" w:themeColor="text1"/>
          <w:sz w:val="22"/>
          <w:szCs w:val="22"/>
        </w:rPr>
        <w:t>)</w:t>
      </w:r>
      <w:r w:rsidR="00F94593" w:rsidRPr="00F10F41">
        <w:rPr>
          <w:rFonts w:ascii="Arial" w:hAnsi="Arial" w:cs="Arial"/>
          <w:color w:val="000000" w:themeColor="text1"/>
          <w:sz w:val="22"/>
          <w:szCs w:val="22"/>
          <w:vertAlign w:val="superscript"/>
        </w:rPr>
        <w:t>1</w:t>
      </w:r>
      <w:r w:rsidRPr="00F10F41">
        <w:rPr>
          <w:rFonts w:ascii="Arial" w:hAnsi="Arial" w:cs="Arial"/>
          <w:color w:val="000000" w:themeColor="text1"/>
          <w:sz w:val="22"/>
          <w:szCs w:val="22"/>
        </w:rPr>
        <w:t xml:space="preserve">, </w:t>
      </w:r>
      <w:r w:rsidRPr="00F10F41">
        <w:rPr>
          <w:rFonts w:ascii="Arial" w:hAnsi="Arial" w:cs="Arial"/>
          <w:sz w:val="22"/>
          <w:szCs w:val="22"/>
        </w:rPr>
        <w:t>Guy B Williams</w:t>
      </w:r>
      <w:r w:rsidR="00E72D69" w:rsidRPr="00F10F41">
        <w:rPr>
          <w:rFonts w:ascii="Arial" w:hAnsi="Arial" w:cs="Arial"/>
          <w:sz w:val="22"/>
          <w:szCs w:val="22"/>
        </w:rPr>
        <w:t xml:space="preserve"> </w:t>
      </w:r>
      <w:r w:rsidR="00E72D69" w:rsidRPr="00F10F41">
        <w:rPr>
          <w:rFonts w:ascii="Arial" w:hAnsi="Arial" w:cs="Arial"/>
          <w:color w:val="000000" w:themeColor="text1"/>
          <w:sz w:val="22"/>
          <w:szCs w:val="22"/>
        </w:rPr>
        <w:t>(PhD)</w:t>
      </w:r>
      <w:r w:rsidRPr="00F10F41">
        <w:rPr>
          <w:rFonts w:ascii="Arial" w:hAnsi="Arial" w:cs="Arial"/>
          <w:sz w:val="22"/>
          <w:szCs w:val="22"/>
        </w:rPr>
        <w:t xml:space="preserve"> </w:t>
      </w:r>
      <w:r w:rsidRPr="00F10F41">
        <w:rPr>
          <w:rFonts w:ascii="Arial" w:hAnsi="Arial" w:cs="Arial"/>
          <w:sz w:val="22"/>
          <w:szCs w:val="22"/>
          <w:vertAlign w:val="superscript"/>
        </w:rPr>
        <w:t>2</w:t>
      </w:r>
      <w:r w:rsidRPr="00F10F41">
        <w:rPr>
          <w:rFonts w:ascii="Arial" w:hAnsi="Arial" w:cs="Arial"/>
          <w:sz w:val="22"/>
          <w:szCs w:val="22"/>
        </w:rPr>
        <w:t xml:space="preserve">, </w:t>
      </w:r>
      <w:r w:rsidR="00A95E3E" w:rsidRPr="00F10F41">
        <w:rPr>
          <w:rFonts w:ascii="Arial" w:hAnsi="Arial" w:cs="Arial"/>
          <w:sz w:val="22"/>
          <w:szCs w:val="22"/>
        </w:rPr>
        <w:t xml:space="preserve">P </w:t>
      </w:r>
      <w:r w:rsidR="00024865" w:rsidRPr="00F10F41">
        <w:rPr>
          <w:rFonts w:ascii="Arial" w:hAnsi="Arial" w:cs="Arial"/>
          <w:sz w:val="22"/>
          <w:szCs w:val="22"/>
        </w:rPr>
        <w:t>Simon Jones</w:t>
      </w:r>
      <w:r w:rsidR="00E72D69" w:rsidRPr="00F10F41">
        <w:rPr>
          <w:rFonts w:ascii="Arial" w:hAnsi="Arial" w:cs="Arial"/>
          <w:sz w:val="22"/>
          <w:szCs w:val="22"/>
        </w:rPr>
        <w:t xml:space="preserve"> </w:t>
      </w:r>
      <w:r w:rsidR="00E72D69" w:rsidRPr="00F10F41">
        <w:rPr>
          <w:rFonts w:ascii="Arial" w:hAnsi="Arial" w:cs="Arial"/>
          <w:color w:val="000000" w:themeColor="text1"/>
          <w:sz w:val="22"/>
          <w:szCs w:val="22"/>
        </w:rPr>
        <w:t>(</w:t>
      </w:r>
      <w:r w:rsidR="00BD3089" w:rsidRPr="00F10F41">
        <w:rPr>
          <w:rFonts w:ascii="Arial" w:hAnsi="Arial" w:cs="Arial"/>
          <w:color w:val="000000" w:themeColor="text1"/>
          <w:sz w:val="22"/>
          <w:szCs w:val="22"/>
        </w:rPr>
        <w:t>MSc</w:t>
      </w:r>
      <w:r w:rsidR="00E72D69" w:rsidRPr="00F10F41">
        <w:rPr>
          <w:rFonts w:ascii="Arial" w:hAnsi="Arial" w:cs="Arial"/>
          <w:color w:val="000000" w:themeColor="text1"/>
          <w:sz w:val="22"/>
          <w:szCs w:val="22"/>
        </w:rPr>
        <w:t>)</w:t>
      </w:r>
      <w:r w:rsidR="00024865" w:rsidRPr="00F10F41">
        <w:rPr>
          <w:rFonts w:ascii="Arial" w:hAnsi="Arial" w:cs="Arial"/>
          <w:sz w:val="22"/>
          <w:szCs w:val="22"/>
        </w:rPr>
        <w:t xml:space="preserve"> </w:t>
      </w:r>
      <w:r w:rsidR="00024865" w:rsidRPr="00F10F41">
        <w:rPr>
          <w:rFonts w:ascii="Arial" w:hAnsi="Arial" w:cs="Arial"/>
          <w:sz w:val="22"/>
          <w:szCs w:val="22"/>
          <w:vertAlign w:val="superscript"/>
        </w:rPr>
        <w:t>2</w:t>
      </w:r>
      <w:r w:rsidR="00024865" w:rsidRPr="00F10F41">
        <w:rPr>
          <w:rFonts w:ascii="Arial" w:hAnsi="Arial" w:cs="Arial"/>
          <w:sz w:val="22"/>
          <w:szCs w:val="22"/>
        </w:rPr>
        <w:t xml:space="preserve">, </w:t>
      </w:r>
      <w:r w:rsidRPr="00F10F41">
        <w:rPr>
          <w:rFonts w:ascii="Arial" w:hAnsi="Arial" w:cs="Arial"/>
          <w:sz w:val="22"/>
          <w:szCs w:val="22"/>
        </w:rPr>
        <w:t xml:space="preserve">Isabelle Carriere </w:t>
      </w:r>
      <w:r w:rsidR="00E72D69" w:rsidRPr="00F10F41">
        <w:rPr>
          <w:rFonts w:ascii="Arial" w:hAnsi="Arial" w:cs="Arial"/>
          <w:color w:val="000000" w:themeColor="text1"/>
          <w:sz w:val="22"/>
          <w:szCs w:val="22"/>
        </w:rPr>
        <w:t>(PhD)</w:t>
      </w:r>
      <w:r w:rsidR="006A7C5F" w:rsidRPr="00F10F41">
        <w:rPr>
          <w:rFonts w:ascii="Arial" w:hAnsi="Arial" w:cs="Arial"/>
          <w:color w:val="000000" w:themeColor="text1"/>
          <w:sz w:val="22"/>
          <w:szCs w:val="22"/>
          <w:vertAlign w:val="superscript"/>
        </w:rPr>
        <w:t>3</w:t>
      </w:r>
      <w:r w:rsidRPr="00F10F41">
        <w:rPr>
          <w:rFonts w:ascii="Arial" w:hAnsi="Arial" w:cs="Arial"/>
          <w:sz w:val="22"/>
          <w:szCs w:val="22"/>
        </w:rPr>
        <w:t>,</w:t>
      </w:r>
      <w:r w:rsidR="00516574" w:rsidRPr="00F10F41">
        <w:rPr>
          <w:rFonts w:ascii="Arial" w:hAnsi="Arial" w:cs="Arial"/>
          <w:sz w:val="22"/>
          <w:szCs w:val="22"/>
        </w:rPr>
        <w:t xml:space="preserve"> </w:t>
      </w:r>
      <w:r w:rsidRPr="00F10F41">
        <w:rPr>
          <w:rFonts w:ascii="Arial" w:hAnsi="Arial" w:cs="Arial"/>
          <w:sz w:val="22"/>
          <w:szCs w:val="22"/>
        </w:rPr>
        <w:t xml:space="preserve">Graciela </w:t>
      </w:r>
      <w:proofErr w:type="spellStart"/>
      <w:r w:rsidRPr="00F10F41">
        <w:rPr>
          <w:rFonts w:ascii="Arial" w:hAnsi="Arial" w:cs="Arial"/>
          <w:sz w:val="22"/>
          <w:szCs w:val="22"/>
        </w:rPr>
        <w:t>Terrera</w:t>
      </w:r>
      <w:proofErr w:type="spellEnd"/>
      <w:r w:rsidRPr="00F10F41">
        <w:rPr>
          <w:rFonts w:ascii="Arial" w:hAnsi="Arial" w:cs="Arial"/>
          <w:sz w:val="22"/>
          <w:szCs w:val="22"/>
        </w:rPr>
        <w:t xml:space="preserve"> Muniz</w:t>
      </w:r>
      <w:r w:rsidR="00516574" w:rsidRPr="00F10F41">
        <w:rPr>
          <w:rFonts w:ascii="Arial" w:hAnsi="Arial" w:cs="Arial"/>
          <w:sz w:val="22"/>
          <w:szCs w:val="22"/>
        </w:rPr>
        <w:t xml:space="preserve"> </w:t>
      </w:r>
      <w:r w:rsidR="00E72D69" w:rsidRPr="00F10F41">
        <w:rPr>
          <w:rFonts w:ascii="Arial" w:hAnsi="Arial" w:cs="Arial"/>
          <w:color w:val="000000" w:themeColor="text1"/>
          <w:sz w:val="22"/>
          <w:szCs w:val="22"/>
        </w:rPr>
        <w:t>(PhD)</w:t>
      </w:r>
      <w:r w:rsidR="006A7C5F" w:rsidRPr="00F10F41">
        <w:rPr>
          <w:rFonts w:ascii="Arial" w:hAnsi="Arial" w:cs="Arial"/>
          <w:color w:val="000000" w:themeColor="text1"/>
          <w:sz w:val="22"/>
          <w:szCs w:val="22"/>
          <w:vertAlign w:val="superscript"/>
        </w:rPr>
        <w:t>3</w:t>
      </w:r>
      <w:r w:rsidRPr="00F10F41">
        <w:rPr>
          <w:rFonts w:ascii="Arial" w:hAnsi="Arial" w:cs="Arial"/>
          <w:sz w:val="22"/>
          <w:szCs w:val="22"/>
        </w:rPr>
        <w:t xml:space="preserve">, </w:t>
      </w:r>
      <w:r w:rsidRPr="00F10F41">
        <w:rPr>
          <w:rFonts w:ascii="Arial" w:hAnsi="Arial" w:cs="Arial"/>
          <w:color w:val="000000" w:themeColor="text1"/>
          <w:sz w:val="22"/>
          <w:szCs w:val="22"/>
        </w:rPr>
        <w:t xml:space="preserve">Karen Ritchie </w:t>
      </w:r>
      <w:r w:rsidR="00E72D69" w:rsidRPr="00F10F41">
        <w:rPr>
          <w:rFonts w:ascii="Arial" w:hAnsi="Arial" w:cs="Arial"/>
          <w:color w:val="000000" w:themeColor="text1"/>
          <w:sz w:val="22"/>
          <w:szCs w:val="22"/>
        </w:rPr>
        <w:t>(PhD)</w:t>
      </w:r>
      <w:r w:rsidRPr="00F10F41">
        <w:rPr>
          <w:rFonts w:ascii="Arial" w:hAnsi="Arial" w:cs="Arial"/>
          <w:color w:val="000000" w:themeColor="text1"/>
          <w:sz w:val="22"/>
          <w:szCs w:val="22"/>
          <w:vertAlign w:val="superscript"/>
        </w:rPr>
        <w:t>3,4</w:t>
      </w:r>
      <w:r w:rsidRPr="00F10F41">
        <w:rPr>
          <w:rFonts w:ascii="Arial" w:hAnsi="Arial" w:cs="Arial"/>
          <w:color w:val="000000" w:themeColor="text1"/>
          <w:sz w:val="22"/>
          <w:szCs w:val="22"/>
        </w:rPr>
        <w:t>, Craig Ritchie</w:t>
      </w:r>
      <w:r w:rsidR="003E05F3" w:rsidRPr="00F10F41">
        <w:rPr>
          <w:rFonts w:ascii="Arial" w:hAnsi="Arial" w:cs="Arial"/>
          <w:color w:val="000000" w:themeColor="text1"/>
          <w:sz w:val="22"/>
          <w:szCs w:val="22"/>
        </w:rPr>
        <w:t xml:space="preserve"> </w:t>
      </w:r>
      <w:r w:rsidR="00E72D69" w:rsidRPr="00F10F41">
        <w:rPr>
          <w:rFonts w:ascii="Arial" w:hAnsi="Arial" w:cs="Arial"/>
          <w:color w:val="000000" w:themeColor="text1"/>
          <w:sz w:val="22"/>
          <w:szCs w:val="22"/>
        </w:rPr>
        <w:t>(PhD)</w:t>
      </w:r>
      <w:r w:rsidRPr="00F10F41">
        <w:rPr>
          <w:rFonts w:ascii="Arial" w:hAnsi="Arial" w:cs="Arial"/>
          <w:color w:val="000000" w:themeColor="text1"/>
          <w:sz w:val="22"/>
          <w:szCs w:val="22"/>
        </w:rPr>
        <w:t xml:space="preserve"> </w:t>
      </w:r>
      <w:r w:rsidR="006A7C5F" w:rsidRPr="00F10F41">
        <w:rPr>
          <w:rFonts w:ascii="Arial" w:hAnsi="Arial" w:cs="Arial"/>
          <w:color w:val="000000" w:themeColor="text1"/>
          <w:sz w:val="22"/>
          <w:szCs w:val="22"/>
          <w:vertAlign w:val="superscript"/>
        </w:rPr>
        <w:t>3</w:t>
      </w:r>
      <w:r w:rsidR="004345DC"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Li </w:t>
      </w:r>
      <w:proofErr w:type="spellStart"/>
      <w:r w:rsidRPr="00F10F41">
        <w:rPr>
          <w:rFonts w:ascii="Arial" w:hAnsi="Arial" w:cs="Arial"/>
          <w:color w:val="000000" w:themeColor="text1"/>
          <w:sz w:val="22"/>
          <w:szCs w:val="22"/>
        </w:rPr>
        <w:t>Su</w:t>
      </w:r>
      <w:proofErr w:type="spellEnd"/>
      <w:r w:rsidR="00E72D69" w:rsidRPr="00F10F41">
        <w:rPr>
          <w:rFonts w:ascii="Arial" w:hAnsi="Arial" w:cs="Arial"/>
          <w:color w:val="000000" w:themeColor="text1"/>
          <w:sz w:val="22"/>
          <w:szCs w:val="22"/>
        </w:rPr>
        <w:t xml:space="preserve"> (PhD)</w:t>
      </w:r>
      <w:r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vertAlign w:val="superscript"/>
        </w:rPr>
        <w:t>1</w:t>
      </w:r>
      <w:r w:rsidRPr="00F10F41">
        <w:rPr>
          <w:rFonts w:ascii="Arial" w:hAnsi="Arial" w:cs="Arial"/>
          <w:color w:val="000000" w:themeColor="text1"/>
          <w:sz w:val="22"/>
          <w:szCs w:val="22"/>
        </w:rPr>
        <w:t>*</w:t>
      </w:r>
      <w:r w:rsidR="00F94593" w:rsidRPr="00F10F41">
        <w:rPr>
          <w:rFonts w:ascii="Arial" w:hAnsi="Arial" w:cs="Arial"/>
          <w:color w:val="000000" w:themeColor="text1"/>
          <w:sz w:val="22"/>
          <w:szCs w:val="22"/>
        </w:rPr>
        <w:t>*</w:t>
      </w:r>
      <w:r w:rsidRPr="00F10F41">
        <w:rPr>
          <w:rFonts w:ascii="Arial" w:hAnsi="Arial" w:cs="Arial"/>
          <w:color w:val="000000" w:themeColor="text1"/>
          <w:sz w:val="22"/>
          <w:szCs w:val="22"/>
        </w:rPr>
        <w:t xml:space="preserve">, John T O’Brien </w:t>
      </w:r>
      <w:r w:rsidR="00E72D69" w:rsidRPr="00F10F41">
        <w:rPr>
          <w:rFonts w:ascii="Arial" w:hAnsi="Arial" w:cs="Arial"/>
          <w:color w:val="000000" w:themeColor="text1"/>
          <w:sz w:val="22"/>
          <w:szCs w:val="22"/>
        </w:rPr>
        <w:t>(</w:t>
      </w:r>
      <w:proofErr w:type="spellStart"/>
      <w:r w:rsidR="00846182" w:rsidRPr="00F10F41">
        <w:rPr>
          <w:rFonts w:ascii="Arial" w:hAnsi="Arial" w:cs="Arial"/>
          <w:color w:val="000000" w:themeColor="text1"/>
          <w:sz w:val="22"/>
          <w:szCs w:val="22"/>
        </w:rPr>
        <w:t>FMedSci</w:t>
      </w:r>
      <w:proofErr w:type="spellEnd"/>
      <w:r w:rsidR="00E72D69" w:rsidRPr="00F10F41">
        <w:rPr>
          <w:rFonts w:ascii="Arial" w:hAnsi="Arial" w:cs="Arial"/>
          <w:color w:val="000000" w:themeColor="text1"/>
          <w:sz w:val="22"/>
          <w:szCs w:val="22"/>
        </w:rPr>
        <w:t>)</w:t>
      </w:r>
      <w:r w:rsidRPr="00F10F41">
        <w:rPr>
          <w:rFonts w:ascii="Arial" w:hAnsi="Arial" w:cs="Arial"/>
          <w:color w:val="000000" w:themeColor="text1"/>
          <w:sz w:val="22"/>
          <w:szCs w:val="22"/>
          <w:vertAlign w:val="superscript"/>
        </w:rPr>
        <w:t>1</w:t>
      </w:r>
      <w:r w:rsidRPr="00F10F41">
        <w:rPr>
          <w:rFonts w:ascii="Arial" w:hAnsi="Arial" w:cs="Arial"/>
          <w:color w:val="000000" w:themeColor="text1"/>
          <w:sz w:val="22"/>
          <w:szCs w:val="22"/>
        </w:rPr>
        <w:t>*</w:t>
      </w:r>
      <w:r w:rsidR="00F94593" w:rsidRPr="00F10F41">
        <w:rPr>
          <w:rFonts w:ascii="Arial" w:hAnsi="Arial" w:cs="Arial"/>
          <w:color w:val="000000" w:themeColor="text1"/>
          <w:sz w:val="22"/>
          <w:szCs w:val="22"/>
        </w:rPr>
        <w:t>*</w:t>
      </w:r>
    </w:p>
    <w:p w14:paraId="07EC0028" w14:textId="77777777" w:rsidR="0033736B" w:rsidRPr="00F10F41" w:rsidRDefault="0033736B" w:rsidP="00AB1AE7">
      <w:pPr>
        <w:spacing w:line="360" w:lineRule="auto"/>
        <w:jc w:val="both"/>
        <w:rPr>
          <w:rFonts w:ascii="Arial" w:hAnsi="Arial" w:cs="Arial"/>
          <w:b/>
          <w:bCs/>
          <w:color w:val="000000" w:themeColor="text1"/>
          <w:sz w:val="22"/>
          <w:szCs w:val="22"/>
        </w:rPr>
      </w:pPr>
    </w:p>
    <w:p w14:paraId="4B52C5EE" w14:textId="1420928B" w:rsidR="00482D16" w:rsidRPr="00F10F41" w:rsidRDefault="00482D16" w:rsidP="00AB1AE7">
      <w:pPr>
        <w:spacing w:line="360" w:lineRule="auto"/>
        <w:jc w:val="both"/>
        <w:rPr>
          <w:rFonts w:ascii="Arial" w:hAnsi="Arial" w:cs="Arial"/>
          <w:color w:val="000000" w:themeColor="text1"/>
          <w:sz w:val="22"/>
          <w:szCs w:val="22"/>
        </w:rPr>
      </w:pPr>
      <w:r w:rsidRPr="00F10F41">
        <w:rPr>
          <w:rFonts w:ascii="Arial" w:hAnsi="Arial" w:cs="Arial"/>
          <w:b/>
          <w:bCs/>
          <w:color w:val="000000" w:themeColor="text1"/>
          <w:sz w:val="22"/>
          <w:szCs w:val="22"/>
        </w:rPr>
        <w:t xml:space="preserve">* </w:t>
      </w:r>
      <w:r w:rsidRPr="00F10F41">
        <w:rPr>
          <w:rFonts w:ascii="Arial" w:hAnsi="Arial" w:cs="Arial"/>
          <w:color w:val="000000" w:themeColor="text1"/>
          <w:sz w:val="22"/>
          <w:szCs w:val="22"/>
        </w:rPr>
        <w:t>Joint first authorships</w:t>
      </w:r>
      <w:r w:rsidR="00C77D15" w:rsidRPr="00F10F41">
        <w:rPr>
          <w:rFonts w:ascii="Arial" w:hAnsi="Arial" w:cs="Arial"/>
          <w:color w:val="000000" w:themeColor="text1"/>
          <w:sz w:val="22"/>
          <w:szCs w:val="22"/>
        </w:rPr>
        <w:t xml:space="preserve"> </w:t>
      </w:r>
    </w:p>
    <w:p w14:paraId="418020FD" w14:textId="6047051E" w:rsidR="00482D16" w:rsidRPr="004C5E2D" w:rsidRDefault="00482D16" w:rsidP="00AB1AE7">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 Joint Senior authors</w:t>
      </w:r>
    </w:p>
    <w:p w14:paraId="1F9C307C" w14:textId="0C06156E" w:rsidR="00455D4E" w:rsidRPr="00F10F41" w:rsidRDefault="00455D4E" w:rsidP="00AB1AE7">
      <w:pPr>
        <w:spacing w:line="360" w:lineRule="auto"/>
        <w:jc w:val="both"/>
        <w:rPr>
          <w:rFonts w:ascii="Arial" w:hAnsi="Arial" w:cs="Arial"/>
          <w:color w:val="000000" w:themeColor="text1"/>
          <w:sz w:val="22"/>
          <w:szCs w:val="22"/>
        </w:rPr>
      </w:pPr>
    </w:p>
    <w:p w14:paraId="16F907E7" w14:textId="77777777" w:rsidR="005159B2" w:rsidRPr="00F10F41" w:rsidRDefault="005159B2" w:rsidP="00AB1AE7">
      <w:pPr>
        <w:spacing w:line="360" w:lineRule="auto"/>
        <w:jc w:val="both"/>
        <w:rPr>
          <w:rFonts w:ascii="Arial" w:hAnsi="Arial" w:cs="Arial"/>
          <w:color w:val="000000" w:themeColor="text1"/>
          <w:sz w:val="22"/>
          <w:szCs w:val="22"/>
        </w:rPr>
      </w:pPr>
      <w:r w:rsidRPr="00F10F41">
        <w:rPr>
          <w:rFonts w:ascii="Arial" w:hAnsi="Arial" w:cs="Arial"/>
          <w:b/>
          <w:bCs/>
          <w:color w:val="000000" w:themeColor="text1"/>
          <w:sz w:val="22"/>
          <w:szCs w:val="22"/>
          <w:vertAlign w:val="superscript"/>
        </w:rPr>
        <w:t>1</w:t>
      </w:r>
      <w:r w:rsidRPr="00F10F41">
        <w:rPr>
          <w:rFonts w:ascii="Arial" w:hAnsi="Arial" w:cs="Arial"/>
          <w:color w:val="000000" w:themeColor="text1"/>
          <w:sz w:val="22"/>
          <w:szCs w:val="22"/>
          <w:vertAlign w:val="superscript"/>
        </w:rPr>
        <w:t xml:space="preserve"> </w:t>
      </w:r>
      <w:r w:rsidRPr="00F10F41">
        <w:rPr>
          <w:rFonts w:ascii="Arial" w:hAnsi="Arial" w:cs="Arial"/>
          <w:color w:val="000000" w:themeColor="text1"/>
          <w:sz w:val="22"/>
          <w:szCs w:val="22"/>
        </w:rPr>
        <w:t>Department of Psychiatry, University of Cambridge, School of Clinical Medicine, Cambridge Biomedical Campus, UK</w:t>
      </w:r>
    </w:p>
    <w:p w14:paraId="6AB0F857" w14:textId="2BB86E84" w:rsidR="005159B2" w:rsidRPr="00F10F41" w:rsidRDefault="005159B2" w:rsidP="00AB1AE7">
      <w:pPr>
        <w:spacing w:line="360" w:lineRule="auto"/>
        <w:jc w:val="both"/>
        <w:rPr>
          <w:rFonts w:ascii="Arial" w:hAnsi="Arial" w:cs="Arial"/>
          <w:color w:val="000000" w:themeColor="text1"/>
          <w:sz w:val="22"/>
          <w:szCs w:val="22"/>
        </w:rPr>
      </w:pPr>
      <w:r w:rsidRPr="00F10F41">
        <w:rPr>
          <w:rFonts w:ascii="Arial" w:hAnsi="Arial" w:cs="Arial"/>
          <w:b/>
          <w:bCs/>
          <w:color w:val="000000" w:themeColor="text1"/>
          <w:sz w:val="22"/>
          <w:szCs w:val="22"/>
          <w:vertAlign w:val="superscript"/>
        </w:rPr>
        <w:t xml:space="preserve">2 </w:t>
      </w:r>
      <w:r w:rsidRPr="00F10F41">
        <w:rPr>
          <w:rFonts w:ascii="Arial" w:hAnsi="Arial" w:cs="Arial"/>
          <w:color w:val="000000" w:themeColor="text1"/>
          <w:sz w:val="22"/>
          <w:szCs w:val="22"/>
        </w:rPr>
        <w:t>Department of Clinical Neurosciences and Wolfson Brain Imaging Centre, University of Cambridge, Cambridge Biomedical Campus, Cambridge</w:t>
      </w:r>
      <w:r w:rsidR="00F94593" w:rsidRPr="00F10F41">
        <w:rPr>
          <w:rFonts w:ascii="Arial" w:hAnsi="Arial" w:cs="Arial"/>
          <w:color w:val="000000" w:themeColor="text1"/>
          <w:sz w:val="22"/>
          <w:szCs w:val="22"/>
        </w:rPr>
        <w:t>, UK</w:t>
      </w:r>
      <w:r w:rsidRPr="00F10F41">
        <w:rPr>
          <w:rFonts w:ascii="Arial" w:hAnsi="Arial" w:cs="Arial"/>
          <w:color w:val="000000" w:themeColor="text1"/>
          <w:sz w:val="22"/>
          <w:szCs w:val="22"/>
        </w:rPr>
        <w:t xml:space="preserve"> </w:t>
      </w:r>
    </w:p>
    <w:p w14:paraId="425B7264" w14:textId="2AD7D7D5" w:rsidR="005159B2" w:rsidRPr="00F10F41" w:rsidRDefault="006A7C5F" w:rsidP="00AB1AE7">
      <w:pPr>
        <w:spacing w:line="360" w:lineRule="auto"/>
        <w:jc w:val="both"/>
        <w:rPr>
          <w:rFonts w:ascii="Arial" w:hAnsi="Arial" w:cs="Arial"/>
          <w:color w:val="000000" w:themeColor="text1"/>
          <w:sz w:val="22"/>
          <w:szCs w:val="22"/>
          <w:vertAlign w:val="superscript"/>
        </w:rPr>
      </w:pPr>
      <w:r w:rsidRPr="00F10F41">
        <w:rPr>
          <w:rFonts w:ascii="Arial" w:hAnsi="Arial" w:cs="Arial"/>
          <w:b/>
          <w:bCs/>
          <w:color w:val="000000" w:themeColor="text1"/>
          <w:sz w:val="22"/>
          <w:szCs w:val="22"/>
          <w:vertAlign w:val="superscript"/>
        </w:rPr>
        <w:t>3</w:t>
      </w:r>
      <w:r w:rsidR="005159B2" w:rsidRPr="00F10F41">
        <w:rPr>
          <w:rFonts w:ascii="Arial" w:hAnsi="Arial" w:cs="Arial"/>
          <w:color w:val="000000" w:themeColor="text1"/>
          <w:sz w:val="22"/>
          <w:szCs w:val="22"/>
        </w:rPr>
        <w:t xml:space="preserve"> Centre for Dementia Prevention, University of Edinburgh, Edinburgh, UK</w:t>
      </w:r>
    </w:p>
    <w:p w14:paraId="100A8764" w14:textId="0323348A" w:rsidR="006A7C5F" w:rsidRPr="00F10F41" w:rsidRDefault="006A7C5F" w:rsidP="00AB1AE7">
      <w:pPr>
        <w:spacing w:line="360" w:lineRule="auto"/>
        <w:jc w:val="both"/>
        <w:rPr>
          <w:rFonts w:ascii="Arial" w:hAnsi="Arial" w:cs="Arial"/>
          <w:color w:val="000000" w:themeColor="text1"/>
          <w:sz w:val="22"/>
          <w:szCs w:val="22"/>
        </w:rPr>
      </w:pPr>
      <w:r w:rsidRPr="00F10F41">
        <w:rPr>
          <w:rFonts w:ascii="Arial" w:hAnsi="Arial" w:cs="Arial"/>
          <w:b/>
          <w:bCs/>
          <w:color w:val="000000" w:themeColor="text1"/>
          <w:sz w:val="22"/>
          <w:szCs w:val="22"/>
          <w:vertAlign w:val="superscript"/>
        </w:rPr>
        <w:t>4</w:t>
      </w:r>
      <w:r w:rsidRPr="00F10F41">
        <w:rPr>
          <w:rFonts w:ascii="Arial" w:hAnsi="Arial" w:cs="Arial"/>
          <w:color w:val="000000" w:themeColor="text1"/>
          <w:sz w:val="22"/>
          <w:szCs w:val="22"/>
          <w:vertAlign w:val="superscript"/>
        </w:rPr>
        <w:t xml:space="preserve"> </w:t>
      </w:r>
      <w:r w:rsidRPr="00F10F41">
        <w:rPr>
          <w:rFonts w:ascii="Arial" w:hAnsi="Arial" w:cs="Arial"/>
          <w:color w:val="000000" w:themeColor="text1"/>
          <w:sz w:val="22"/>
          <w:szCs w:val="22"/>
        </w:rPr>
        <w:t>INSERM and University of Montpellier, Montpellier, France</w:t>
      </w:r>
    </w:p>
    <w:p w14:paraId="5CC9277F" w14:textId="77777777" w:rsidR="00A72ED8" w:rsidRPr="00F10F41" w:rsidRDefault="00A72ED8" w:rsidP="00AB1AE7">
      <w:pPr>
        <w:spacing w:line="360" w:lineRule="auto"/>
        <w:jc w:val="both"/>
        <w:rPr>
          <w:rFonts w:ascii="Arial" w:hAnsi="Arial" w:cs="Arial"/>
          <w:color w:val="000000" w:themeColor="text1"/>
          <w:sz w:val="22"/>
          <w:szCs w:val="22"/>
        </w:rPr>
      </w:pPr>
    </w:p>
    <w:bookmarkEnd w:id="2"/>
    <w:p w14:paraId="55861B3A" w14:textId="77777777" w:rsidR="00E0073C" w:rsidRPr="00F10F41" w:rsidRDefault="00E0073C" w:rsidP="00AB1AE7">
      <w:pPr>
        <w:spacing w:line="360" w:lineRule="auto"/>
        <w:jc w:val="both"/>
        <w:outlineLvl w:val="0"/>
        <w:rPr>
          <w:rFonts w:ascii="Arial" w:hAnsi="Arial" w:cs="Arial"/>
          <w:b/>
          <w:bCs/>
          <w:color w:val="000000" w:themeColor="text1"/>
          <w:sz w:val="22"/>
          <w:szCs w:val="22"/>
        </w:rPr>
      </w:pPr>
      <w:r w:rsidRPr="00F10F41">
        <w:rPr>
          <w:rFonts w:ascii="Arial" w:hAnsi="Arial" w:cs="Arial"/>
          <w:b/>
          <w:bCs/>
          <w:color w:val="000000" w:themeColor="text1"/>
          <w:sz w:val="22"/>
          <w:szCs w:val="22"/>
        </w:rPr>
        <w:t>CORRESPONDING AUTHOR</w:t>
      </w:r>
    </w:p>
    <w:p w14:paraId="14CF6BF8" w14:textId="11DA8CC8" w:rsidR="00E0073C" w:rsidRPr="00F10F41" w:rsidRDefault="003E4A76" w:rsidP="00AB1AE7">
      <w:pPr>
        <w:spacing w:line="360" w:lineRule="auto"/>
        <w:jc w:val="both"/>
        <w:rPr>
          <w:rFonts w:ascii="Arial" w:hAnsi="Arial" w:cs="Arial"/>
          <w:sz w:val="22"/>
          <w:szCs w:val="22"/>
        </w:rPr>
      </w:pPr>
      <w:r w:rsidRPr="00F10F41">
        <w:rPr>
          <w:rFonts w:ascii="Arial" w:hAnsi="Arial" w:cs="Arial"/>
          <w:sz w:val="22"/>
          <w:szCs w:val="22"/>
        </w:rPr>
        <w:t xml:space="preserve">Elijah </w:t>
      </w:r>
      <w:proofErr w:type="spellStart"/>
      <w:r w:rsidRPr="00F10F41">
        <w:rPr>
          <w:rFonts w:ascii="Arial" w:hAnsi="Arial" w:cs="Arial"/>
          <w:sz w:val="22"/>
          <w:szCs w:val="22"/>
        </w:rPr>
        <w:t>Mak</w:t>
      </w:r>
      <w:proofErr w:type="spellEnd"/>
    </w:p>
    <w:p w14:paraId="71CC8B9D" w14:textId="77777777" w:rsidR="003E4A76" w:rsidRPr="00F10F41" w:rsidRDefault="00E0073C" w:rsidP="00AB1AE7">
      <w:pPr>
        <w:spacing w:line="360" w:lineRule="auto"/>
        <w:jc w:val="both"/>
        <w:rPr>
          <w:rFonts w:ascii="Arial" w:hAnsi="Arial" w:cs="Arial"/>
          <w:sz w:val="22"/>
          <w:szCs w:val="22"/>
        </w:rPr>
      </w:pPr>
      <w:r w:rsidRPr="00F10F41">
        <w:rPr>
          <w:rFonts w:ascii="Arial" w:hAnsi="Arial" w:cs="Arial"/>
          <w:sz w:val="22"/>
          <w:szCs w:val="22"/>
        </w:rPr>
        <w:t>Department of Psychiatry, University of Cambridge School of Clinical Medicine,</w:t>
      </w:r>
    </w:p>
    <w:p w14:paraId="746DD225" w14:textId="74F656E6" w:rsidR="00E0073C" w:rsidRPr="00F10F41" w:rsidRDefault="00E0073C" w:rsidP="00AB1AE7">
      <w:pPr>
        <w:spacing w:line="360" w:lineRule="auto"/>
        <w:jc w:val="both"/>
        <w:rPr>
          <w:rFonts w:ascii="Arial" w:hAnsi="Arial" w:cs="Arial"/>
          <w:sz w:val="22"/>
          <w:szCs w:val="22"/>
        </w:rPr>
      </w:pPr>
      <w:r w:rsidRPr="00F10F41">
        <w:rPr>
          <w:rFonts w:ascii="Arial" w:hAnsi="Arial" w:cs="Arial"/>
          <w:sz w:val="22"/>
          <w:szCs w:val="22"/>
        </w:rPr>
        <w:t>Level E4 Cambridge Biomedical Campus</w:t>
      </w:r>
    </w:p>
    <w:p w14:paraId="3423D977" w14:textId="77777777" w:rsidR="00E0073C" w:rsidRPr="00F10F41" w:rsidRDefault="00E0073C" w:rsidP="00AB1AE7">
      <w:pPr>
        <w:spacing w:line="360" w:lineRule="auto"/>
        <w:jc w:val="both"/>
        <w:rPr>
          <w:rFonts w:ascii="Arial" w:hAnsi="Arial" w:cs="Arial"/>
          <w:sz w:val="22"/>
          <w:szCs w:val="22"/>
        </w:rPr>
      </w:pPr>
      <w:r w:rsidRPr="00F10F41">
        <w:rPr>
          <w:rFonts w:ascii="Arial" w:hAnsi="Arial" w:cs="Arial"/>
          <w:sz w:val="22"/>
          <w:szCs w:val="22"/>
        </w:rPr>
        <w:t xml:space="preserve">Cambridge, CB2 0SP, United Kingdom. </w:t>
      </w:r>
    </w:p>
    <w:p w14:paraId="5E5A862A" w14:textId="201215B3" w:rsidR="00E0073C" w:rsidRPr="00F10F41" w:rsidRDefault="00825F2C" w:rsidP="00AB1AE7">
      <w:pPr>
        <w:spacing w:line="360" w:lineRule="auto"/>
        <w:jc w:val="both"/>
        <w:rPr>
          <w:rFonts w:ascii="Arial" w:hAnsi="Arial" w:cs="Arial"/>
          <w:sz w:val="22"/>
          <w:szCs w:val="22"/>
        </w:rPr>
      </w:pPr>
      <w:r w:rsidRPr="00F10F41">
        <w:rPr>
          <w:rFonts w:ascii="Arial" w:hAnsi="Arial" w:cs="Arial"/>
          <w:sz w:val="22"/>
          <w:szCs w:val="22"/>
        </w:rPr>
        <w:t>f</w:t>
      </w:r>
      <w:r w:rsidR="003E4A76" w:rsidRPr="00F10F41">
        <w:rPr>
          <w:rFonts w:ascii="Arial" w:hAnsi="Arial" w:cs="Arial"/>
          <w:sz w:val="22"/>
          <w:szCs w:val="22"/>
        </w:rPr>
        <w:t>km24</w:t>
      </w:r>
      <w:r w:rsidR="00E0073C" w:rsidRPr="00F10F41">
        <w:rPr>
          <w:rFonts w:ascii="Arial" w:hAnsi="Arial" w:cs="Arial"/>
          <w:sz w:val="22"/>
          <w:szCs w:val="22"/>
        </w:rPr>
        <w:t xml:space="preserve">@medschl.cam.ac.uk  </w:t>
      </w:r>
    </w:p>
    <w:p w14:paraId="059A6602" w14:textId="77777777" w:rsidR="006B241F" w:rsidRPr="00F10F41" w:rsidRDefault="006B241F" w:rsidP="00AB1AE7">
      <w:pPr>
        <w:spacing w:line="360" w:lineRule="auto"/>
        <w:jc w:val="both"/>
        <w:rPr>
          <w:rFonts w:ascii="Arial" w:hAnsi="Arial" w:cs="Arial"/>
          <w:color w:val="000000" w:themeColor="text1"/>
          <w:sz w:val="22"/>
          <w:szCs w:val="22"/>
        </w:rPr>
        <w:sectPr w:rsidR="006B241F" w:rsidRPr="00F10F41" w:rsidSect="00432F89">
          <w:headerReference w:type="default" r:id="rId8"/>
          <w:footerReference w:type="even" r:id="rId9"/>
          <w:footerReference w:type="default" r:id="rId10"/>
          <w:pgSz w:w="11900" w:h="16840"/>
          <w:pgMar w:top="1440" w:right="1440" w:bottom="1440" w:left="1440" w:header="708" w:footer="708" w:gutter="0"/>
          <w:cols w:space="708"/>
          <w:docGrid w:linePitch="360"/>
        </w:sectPr>
      </w:pPr>
    </w:p>
    <w:p w14:paraId="5567F911" w14:textId="77777777" w:rsidR="00092EA7" w:rsidRPr="00F10F41" w:rsidRDefault="00092EA7" w:rsidP="00AB1AE7">
      <w:pPr>
        <w:spacing w:line="360" w:lineRule="auto"/>
        <w:jc w:val="both"/>
        <w:rPr>
          <w:rFonts w:ascii="Arial" w:hAnsi="Arial" w:cs="Arial"/>
          <w:b/>
          <w:bCs/>
          <w:color w:val="000000" w:themeColor="text1"/>
          <w:sz w:val="30"/>
          <w:szCs w:val="30"/>
        </w:rPr>
      </w:pPr>
      <w:bookmarkStart w:id="3" w:name="OLE_LINK109"/>
      <w:bookmarkStart w:id="4" w:name="OLE_LINK110"/>
      <w:r w:rsidRPr="00F10F41">
        <w:rPr>
          <w:rFonts w:ascii="Arial" w:hAnsi="Arial" w:cs="Arial"/>
          <w:b/>
          <w:bCs/>
          <w:color w:val="000000" w:themeColor="text1"/>
          <w:sz w:val="30"/>
          <w:szCs w:val="30"/>
        </w:rPr>
        <w:lastRenderedPageBreak/>
        <w:t>ABSTRACT</w:t>
      </w:r>
    </w:p>
    <w:p w14:paraId="5A09AF33" w14:textId="6C06D7F7" w:rsidR="004E1577" w:rsidRPr="00FB42D8" w:rsidRDefault="004E1577" w:rsidP="004E1577">
      <w:pPr>
        <w:spacing w:line="360" w:lineRule="auto"/>
        <w:jc w:val="both"/>
        <w:rPr>
          <w:rFonts w:ascii="Arial" w:hAnsi="Arial" w:cs="Arial"/>
          <w:color w:val="000000" w:themeColor="text1"/>
          <w:sz w:val="22"/>
          <w:szCs w:val="22"/>
        </w:rPr>
      </w:pPr>
      <w:bookmarkStart w:id="5" w:name="OLE_LINK114"/>
      <w:bookmarkStart w:id="6" w:name="OLE_LINK115"/>
      <w:r w:rsidRPr="00FB42D8">
        <w:rPr>
          <w:rFonts w:ascii="Arial" w:hAnsi="Arial" w:cs="Arial"/>
          <w:i/>
          <w:iCs/>
          <w:color w:val="000000" w:themeColor="text1"/>
          <w:sz w:val="22"/>
          <w:szCs w:val="22"/>
        </w:rPr>
        <w:t>Background</w:t>
      </w:r>
      <w:r w:rsidRPr="00FB42D8">
        <w:rPr>
          <w:rFonts w:ascii="Arial" w:hAnsi="Arial" w:cs="Arial"/>
          <w:color w:val="000000" w:themeColor="text1"/>
          <w:sz w:val="22"/>
          <w:szCs w:val="22"/>
        </w:rPr>
        <w:t xml:space="preserve">: First-degree relatives of people with dementia (FH+) are at increased risk of developing Alzheimer’s disease (AD). Here, we investigate “estimated years to onset of dementia” (EYO) as a surrogate marker of preclinical </w:t>
      </w:r>
      <w:r w:rsidR="00FE2DBA">
        <w:rPr>
          <w:rFonts w:ascii="Arial" w:hAnsi="Arial" w:cs="Arial"/>
          <w:color w:val="000000" w:themeColor="text1"/>
          <w:sz w:val="22"/>
          <w:szCs w:val="22"/>
        </w:rPr>
        <w:t xml:space="preserve">disease </w:t>
      </w:r>
      <w:r w:rsidRPr="00FB42D8">
        <w:rPr>
          <w:rFonts w:ascii="Arial" w:hAnsi="Arial" w:cs="Arial"/>
          <w:color w:val="000000" w:themeColor="text1"/>
          <w:sz w:val="22"/>
          <w:szCs w:val="22"/>
        </w:rPr>
        <w:t xml:space="preserve">progression and assess its </w:t>
      </w:r>
      <w:r w:rsidR="0025350C">
        <w:rPr>
          <w:rFonts w:ascii="Arial" w:hAnsi="Arial" w:cs="Arial"/>
          <w:color w:val="000000" w:themeColor="text1"/>
          <w:sz w:val="22"/>
          <w:szCs w:val="22"/>
        </w:rPr>
        <w:t>associations</w:t>
      </w:r>
      <w:r w:rsidRPr="00FB42D8">
        <w:rPr>
          <w:rFonts w:ascii="Arial" w:hAnsi="Arial" w:cs="Arial"/>
          <w:color w:val="000000" w:themeColor="text1"/>
          <w:sz w:val="22"/>
          <w:szCs w:val="22"/>
        </w:rPr>
        <w:t xml:space="preserve"> with multi-modal </w:t>
      </w:r>
      <w:r w:rsidR="00530D28">
        <w:rPr>
          <w:rFonts w:ascii="Arial" w:hAnsi="Arial" w:cs="Arial"/>
          <w:color w:val="000000" w:themeColor="text1"/>
          <w:sz w:val="22"/>
          <w:szCs w:val="22"/>
        </w:rPr>
        <w:t>neuroimaging</w:t>
      </w:r>
      <w:r w:rsidRPr="00FB42D8">
        <w:rPr>
          <w:rFonts w:ascii="Arial" w:hAnsi="Arial" w:cs="Arial"/>
          <w:color w:val="000000" w:themeColor="text1"/>
          <w:sz w:val="22"/>
          <w:szCs w:val="22"/>
        </w:rPr>
        <w:t xml:space="preserve"> </w:t>
      </w:r>
      <w:r w:rsidR="002867D6">
        <w:rPr>
          <w:rFonts w:ascii="Arial" w:hAnsi="Arial" w:cs="Arial"/>
          <w:color w:val="000000" w:themeColor="text1"/>
          <w:sz w:val="22"/>
          <w:szCs w:val="22"/>
        </w:rPr>
        <w:t>biomarkers</w:t>
      </w:r>
      <w:r w:rsidRPr="00FB42D8">
        <w:rPr>
          <w:rFonts w:ascii="Arial" w:hAnsi="Arial" w:cs="Arial"/>
          <w:color w:val="000000" w:themeColor="text1"/>
          <w:sz w:val="22"/>
          <w:szCs w:val="22"/>
        </w:rPr>
        <w:t>.</w:t>
      </w:r>
    </w:p>
    <w:p w14:paraId="56C5327C" w14:textId="40D160EF" w:rsidR="004E1577" w:rsidRPr="00F10F41" w:rsidRDefault="00D805AF" w:rsidP="00FB42D8">
      <w:pPr>
        <w:tabs>
          <w:tab w:val="left" w:pos="3310"/>
        </w:tabs>
        <w:spacing w:line="360" w:lineRule="auto"/>
        <w:jc w:val="both"/>
        <w:rPr>
          <w:rFonts w:ascii="Arial" w:hAnsi="Arial" w:cs="Arial"/>
          <w:i/>
          <w:iCs/>
          <w:color w:val="000000" w:themeColor="text1"/>
          <w:sz w:val="22"/>
          <w:szCs w:val="22"/>
        </w:rPr>
      </w:pPr>
      <w:r>
        <w:rPr>
          <w:rFonts w:ascii="Arial" w:hAnsi="Arial" w:cs="Arial"/>
          <w:i/>
          <w:iCs/>
          <w:color w:val="000000" w:themeColor="text1"/>
          <w:sz w:val="22"/>
          <w:szCs w:val="22"/>
        </w:rPr>
        <w:tab/>
      </w:r>
    </w:p>
    <w:p w14:paraId="40931ACF" w14:textId="49CD1578" w:rsidR="004E1577" w:rsidRPr="00FB42D8" w:rsidRDefault="004E1577" w:rsidP="004E1577">
      <w:pPr>
        <w:spacing w:line="360" w:lineRule="auto"/>
        <w:jc w:val="both"/>
        <w:rPr>
          <w:rFonts w:ascii="Arial" w:hAnsi="Arial" w:cs="Arial"/>
          <w:color w:val="000000" w:themeColor="text1"/>
          <w:sz w:val="22"/>
          <w:szCs w:val="22"/>
        </w:rPr>
      </w:pPr>
      <w:r w:rsidRPr="00FB42D8">
        <w:rPr>
          <w:rFonts w:ascii="Arial" w:hAnsi="Arial" w:cs="Arial"/>
          <w:i/>
          <w:iCs/>
          <w:color w:val="000000" w:themeColor="text1"/>
          <w:sz w:val="22"/>
          <w:szCs w:val="22"/>
        </w:rPr>
        <w:t>Methods</w:t>
      </w:r>
      <w:r w:rsidRPr="00FB42D8">
        <w:rPr>
          <w:rFonts w:ascii="Arial" w:hAnsi="Arial" w:cs="Arial"/>
          <w:color w:val="000000" w:themeColor="text1"/>
          <w:sz w:val="22"/>
          <w:szCs w:val="22"/>
        </w:rPr>
        <w:t xml:space="preserve">: 89 FH+ participants in the PREVENT-Dementia study underwent longitudinal MR imaging over 2 years. EYO was calculated as the difference between the parental age of dementia diagnosis and the current age of the participant (mean EYO = </w:t>
      </w:r>
      <w:r w:rsidR="008345B5">
        <w:rPr>
          <w:rFonts w:ascii="Arial" w:hAnsi="Arial" w:cs="Arial"/>
          <w:color w:val="000000" w:themeColor="text1"/>
          <w:sz w:val="22"/>
          <w:szCs w:val="22"/>
        </w:rPr>
        <w:t>23.9 years</w:t>
      </w:r>
      <w:r w:rsidRPr="00FB42D8">
        <w:rPr>
          <w:rFonts w:ascii="Arial" w:hAnsi="Arial" w:cs="Arial"/>
          <w:color w:val="000000" w:themeColor="text1"/>
          <w:sz w:val="22"/>
          <w:szCs w:val="22"/>
        </w:rPr>
        <w:t xml:space="preserve">). MPRAGE, ASL and DWI data were processed using </w:t>
      </w:r>
      <w:proofErr w:type="spellStart"/>
      <w:r w:rsidRPr="00FB42D8">
        <w:rPr>
          <w:rFonts w:ascii="Arial" w:hAnsi="Arial" w:cs="Arial"/>
          <w:color w:val="000000" w:themeColor="text1"/>
          <w:sz w:val="22"/>
          <w:szCs w:val="22"/>
        </w:rPr>
        <w:t>Freesurfer</w:t>
      </w:r>
      <w:proofErr w:type="spellEnd"/>
      <w:r w:rsidRPr="00FB42D8">
        <w:rPr>
          <w:rFonts w:ascii="Arial" w:hAnsi="Arial" w:cs="Arial"/>
          <w:color w:val="000000" w:themeColor="text1"/>
          <w:sz w:val="22"/>
          <w:szCs w:val="22"/>
        </w:rPr>
        <w:t>, FSL-BASIL and DTI-TK. White matter lesion maps were segmented from FLAIR scans. The SPM Sandwich Estimator Toolbox was used to test for the main effects of EYO and interactions between EYO, Time, and APOE-ε4+</w:t>
      </w:r>
      <w:r w:rsidR="00ED4744">
        <w:rPr>
          <w:rFonts w:ascii="Arial" w:hAnsi="Arial" w:cs="Arial"/>
          <w:color w:val="000000" w:themeColor="text1"/>
          <w:sz w:val="22"/>
          <w:szCs w:val="22"/>
        </w:rPr>
        <w:t>.</w:t>
      </w:r>
      <w:r w:rsidR="00020FB2">
        <w:rPr>
          <w:rFonts w:ascii="Arial" w:hAnsi="Arial" w:cs="Arial"/>
          <w:color w:val="000000" w:themeColor="text1"/>
          <w:sz w:val="22"/>
          <w:szCs w:val="22"/>
        </w:rPr>
        <w:t xml:space="preserve"> Threshold free cluster enhancement and family wise error rate correction </w:t>
      </w:r>
      <w:r w:rsidR="004A223A">
        <w:rPr>
          <w:rFonts w:ascii="Arial" w:hAnsi="Arial" w:cs="Arial"/>
          <w:color w:val="000000" w:themeColor="text1"/>
          <w:sz w:val="22"/>
          <w:szCs w:val="22"/>
        </w:rPr>
        <w:t xml:space="preserve">(TFCE </w:t>
      </w:r>
      <w:r w:rsidR="004A223A" w:rsidRPr="00FB42D8">
        <w:rPr>
          <w:rFonts w:ascii="Arial" w:hAnsi="Arial" w:cs="Arial"/>
          <w:color w:val="000000" w:themeColor="text1"/>
          <w:sz w:val="22"/>
          <w:szCs w:val="22"/>
          <w:vertAlign w:val="subscript"/>
        </w:rPr>
        <w:t>FWER</w:t>
      </w:r>
      <w:r w:rsidR="004A223A">
        <w:rPr>
          <w:rFonts w:ascii="Arial" w:hAnsi="Arial" w:cs="Arial"/>
          <w:color w:val="000000" w:themeColor="text1"/>
          <w:sz w:val="22"/>
          <w:szCs w:val="22"/>
        </w:rPr>
        <w:t xml:space="preserve">) </w:t>
      </w:r>
      <w:r w:rsidR="00020FB2">
        <w:rPr>
          <w:rFonts w:ascii="Arial" w:hAnsi="Arial" w:cs="Arial"/>
          <w:color w:val="000000" w:themeColor="text1"/>
          <w:sz w:val="22"/>
          <w:szCs w:val="22"/>
        </w:rPr>
        <w:t xml:space="preserve">was performed on </w:t>
      </w:r>
      <w:proofErr w:type="spellStart"/>
      <w:r w:rsidR="00020FB2">
        <w:rPr>
          <w:rFonts w:ascii="Arial" w:hAnsi="Arial" w:cs="Arial"/>
          <w:color w:val="000000" w:themeColor="text1"/>
          <w:sz w:val="22"/>
          <w:szCs w:val="22"/>
        </w:rPr>
        <w:t>voxelwise</w:t>
      </w:r>
      <w:proofErr w:type="spellEnd"/>
      <w:r w:rsidR="00020FB2">
        <w:rPr>
          <w:rFonts w:ascii="Arial" w:hAnsi="Arial" w:cs="Arial"/>
          <w:color w:val="000000" w:themeColor="text1"/>
          <w:sz w:val="22"/>
          <w:szCs w:val="22"/>
        </w:rPr>
        <w:t xml:space="preserve"> statistical maps.</w:t>
      </w:r>
    </w:p>
    <w:p w14:paraId="0CD9D97B" w14:textId="77777777" w:rsidR="004E1577" w:rsidRPr="00F10F41" w:rsidRDefault="004E1577" w:rsidP="004E1577">
      <w:pPr>
        <w:spacing w:line="360" w:lineRule="auto"/>
        <w:jc w:val="both"/>
        <w:rPr>
          <w:rFonts w:ascii="Arial" w:hAnsi="Arial" w:cs="Arial"/>
          <w:i/>
          <w:iCs/>
          <w:color w:val="000000" w:themeColor="text1"/>
          <w:sz w:val="22"/>
          <w:szCs w:val="22"/>
        </w:rPr>
      </w:pPr>
    </w:p>
    <w:p w14:paraId="66784486" w14:textId="73AB9833" w:rsidR="004E1577" w:rsidRPr="00FB42D8" w:rsidRDefault="004E1577" w:rsidP="004E1577">
      <w:pPr>
        <w:spacing w:line="360" w:lineRule="auto"/>
        <w:jc w:val="both"/>
        <w:rPr>
          <w:rFonts w:ascii="Arial" w:hAnsi="Arial" w:cs="Arial"/>
          <w:color w:val="000000" w:themeColor="text1"/>
          <w:sz w:val="22"/>
          <w:szCs w:val="22"/>
        </w:rPr>
      </w:pPr>
      <w:r w:rsidRPr="00FB42D8">
        <w:rPr>
          <w:rFonts w:ascii="Arial" w:hAnsi="Arial" w:cs="Arial"/>
          <w:i/>
          <w:iCs/>
          <w:color w:val="000000" w:themeColor="text1"/>
          <w:sz w:val="22"/>
          <w:szCs w:val="22"/>
        </w:rPr>
        <w:t>Results</w:t>
      </w:r>
      <w:r w:rsidRPr="00FB42D8">
        <w:rPr>
          <w:rFonts w:ascii="Arial" w:hAnsi="Arial" w:cs="Arial"/>
          <w:color w:val="000000" w:themeColor="text1"/>
          <w:sz w:val="22"/>
          <w:szCs w:val="22"/>
        </w:rPr>
        <w:t xml:space="preserve">: There were no significant effects of EYO on </w:t>
      </w:r>
      <w:r w:rsidR="003D55A6">
        <w:rPr>
          <w:rFonts w:ascii="Arial" w:hAnsi="Arial" w:cs="Arial"/>
          <w:color w:val="000000" w:themeColor="text1"/>
          <w:sz w:val="22"/>
          <w:szCs w:val="22"/>
        </w:rPr>
        <w:t xml:space="preserve">regional </w:t>
      </w:r>
      <w:r w:rsidRPr="00FB42D8">
        <w:rPr>
          <w:rFonts w:ascii="Arial" w:hAnsi="Arial" w:cs="Arial"/>
          <w:color w:val="000000" w:themeColor="text1"/>
          <w:sz w:val="22"/>
          <w:szCs w:val="22"/>
        </w:rPr>
        <w:t>grey matter atrophy or white matter hyperintensities. However, a shorter EYO was associated</w:t>
      </w:r>
      <w:r w:rsidR="00EE4304">
        <w:rPr>
          <w:rFonts w:ascii="Arial" w:hAnsi="Arial" w:cs="Arial"/>
          <w:color w:val="000000" w:themeColor="text1"/>
          <w:sz w:val="22"/>
          <w:szCs w:val="22"/>
        </w:rPr>
        <w:t xml:space="preserve"> with</w:t>
      </w:r>
      <w:r w:rsidRPr="00FB42D8">
        <w:rPr>
          <w:rFonts w:ascii="Arial" w:hAnsi="Arial" w:cs="Arial"/>
          <w:color w:val="000000" w:themeColor="text1"/>
          <w:sz w:val="22"/>
          <w:szCs w:val="22"/>
        </w:rPr>
        <w:t xml:space="preserve"> lower white matter Fractional Anisotropy and </w:t>
      </w:r>
      <w:r w:rsidR="00C858C0">
        <w:rPr>
          <w:rFonts w:ascii="Arial" w:hAnsi="Arial" w:cs="Arial"/>
          <w:color w:val="000000" w:themeColor="text1"/>
          <w:sz w:val="22"/>
          <w:szCs w:val="22"/>
        </w:rPr>
        <w:t>elevated</w:t>
      </w:r>
      <w:r w:rsidRPr="00FB42D8">
        <w:rPr>
          <w:rFonts w:ascii="Arial" w:hAnsi="Arial" w:cs="Arial"/>
          <w:color w:val="000000" w:themeColor="text1"/>
          <w:sz w:val="22"/>
          <w:szCs w:val="22"/>
        </w:rPr>
        <w:t xml:space="preserve"> Mean / Radial Diffusivity, particularly in the corpus callosum (TFCE </w:t>
      </w:r>
      <w:r w:rsidRPr="00FB42D8">
        <w:rPr>
          <w:rFonts w:ascii="Arial" w:hAnsi="Arial" w:cs="Arial"/>
          <w:color w:val="000000" w:themeColor="text1"/>
          <w:sz w:val="22"/>
          <w:szCs w:val="22"/>
          <w:vertAlign w:val="subscript"/>
        </w:rPr>
        <w:t>FWER</w:t>
      </w:r>
      <w:r w:rsidRPr="00FB42D8">
        <w:rPr>
          <w:rFonts w:ascii="Arial" w:hAnsi="Arial" w:cs="Arial"/>
          <w:color w:val="000000" w:themeColor="text1"/>
          <w:sz w:val="22"/>
          <w:szCs w:val="22"/>
        </w:rPr>
        <w:t xml:space="preserve"> p &lt; 0.05). The influence of EYO on white matter deficits were significantly stronger compared to </w:t>
      </w:r>
      <w:r w:rsidR="006A4EA2">
        <w:rPr>
          <w:rFonts w:ascii="Arial" w:hAnsi="Arial" w:cs="Arial"/>
          <w:color w:val="000000" w:themeColor="text1"/>
          <w:sz w:val="22"/>
          <w:szCs w:val="22"/>
        </w:rPr>
        <w:t xml:space="preserve">that of </w:t>
      </w:r>
      <w:r w:rsidRPr="00FB42D8">
        <w:rPr>
          <w:rFonts w:ascii="Arial" w:hAnsi="Arial" w:cs="Arial"/>
          <w:color w:val="000000" w:themeColor="text1"/>
          <w:sz w:val="22"/>
          <w:szCs w:val="22"/>
        </w:rPr>
        <w:t xml:space="preserve">normal ageing. APOE-ε4 carriers exhibited </w:t>
      </w:r>
      <w:proofErr w:type="spellStart"/>
      <w:r w:rsidRPr="00FB42D8">
        <w:rPr>
          <w:rFonts w:ascii="Arial" w:hAnsi="Arial" w:cs="Arial"/>
          <w:color w:val="000000" w:themeColor="text1"/>
          <w:sz w:val="22"/>
          <w:szCs w:val="22"/>
        </w:rPr>
        <w:t>hyperperfusion</w:t>
      </w:r>
      <w:proofErr w:type="spellEnd"/>
      <w:r w:rsidRPr="00FB42D8">
        <w:rPr>
          <w:rFonts w:ascii="Arial" w:hAnsi="Arial" w:cs="Arial"/>
          <w:color w:val="000000" w:themeColor="text1"/>
          <w:sz w:val="22"/>
          <w:szCs w:val="22"/>
        </w:rPr>
        <w:t xml:space="preserve"> with nearer proximity to estimated onset in </w:t>
      </w:r>
      <w:r w:rsidR="0047375C">
        <w:rPr>
          <w:rFonts w:ascii="Arial" w:hAnsi="Arial" w:cs="Arial"/>
          <w:color w:val="000000" w:themeColor="text1"/>
          <w:sz w:val="22"/>
          <w:szCs w:val="22"/>
        </w:rPr>
        <w:t xml:space="preserve">temporo-parietal regions. </w:t>
      </w:r>
      <w:r w:rsidRPr="00FB42D8">
        <w:rPr>
          <w:rFonts w:ascii="Arial" w:hAnsi="Arial" w:cs="Arial"/>
          <w:color w:val="000000" w:themeColor="text1"/>
          <w:sz w:val="22"/>
          <w:szCs w:val="22"/>
        </w:rPr>
        <w:t xml:space="preserve">There were no interactions between EYO and time, suggesting that EYO </w:t>
      </w:r>
      <w:r w:rsidR="00591237">
        <w:rPr>
          <w:rFonts w:ascii="Arial" w:hAnsi="Arial" w:cs="Arial"/>
          <w:color w:val="000000" w:themeColor="text1"/>
          <w:sz w:val="22"/>
          <w:szCs w:val="22"/>
        </w:rPr>
        <w:t>was</w:t>
      </w:r>
      <w:r w:rsidRPr="00FB42D8">
        <w:rPr>
          <w:rFonts w:ascii="Arial" w:hAnsi="Arial" w:cs="Arial"/>
          <w:color w:val="000000" w:themeColor="text1"/>
          <w:sz w:val="22"/>
          <w:szCs w:val="22"/>
        </w:rPr>
        <w:t xml:space="preserve"> not associated with accelerated imaging changes in this sample.</w:t>
      </w:r>
    </w:p>
    <w:p w14:paraId="0090FDA5" w14:textId="77777777" w:rsidR="009E564D" w:rsidRPr="00F10F41" w:rsidRDefault="009E564D" w:rsidP="004E1577">
      <w:pPr>
        <w:spacing w:line="360" w:lineRule="auto"/>
        <w:jc w:val="both"/>
        <w:rPr>
          <w:rFonts w:ascii="Arial" w:hAnsi="Arial" w:cs="Arial"/>
          <w:i/>
          <w:iCs/>
          <w:color w:val="000000" w:themeColor="text1"/>
          <w:sz w:val="22"/>
          <w:szCs w:val="22"/>
        </w:rPr>
      </w:pPr>
    </w:p>
    <w:p w14:paraId="2EE9B3E7" w14:textId="0C059804" w:rsidR="004E1577" w:rsidRDefault="004E1577" w:rsidP="004E1577">
      <w:pPr>
        <w:spacing w:line="360" w:lineRule="auto"/>
        <w:jc w:val="both"/>
        <w:rPr>
          <w:rFonts w:ascii="Arial" w:hAnsi="Arial" w:cs="Arial"/>
          <w:color w:val="000000" w:themeColor="text1"/>
          <w:sz w:val="22"/>
          <w:szCs w:val="22"/>
        </w:rPr>
      </w:pPr>
      <w:r w:rsidRPr="00FB42D8">
        <w:rPr>
          <w:rFonts w:ascii="Arial" w:hAnsi="Arial" w:cs="Arial"/>
          <w:i/>
          <w:iCs/>
          <w:color w:val="000000" w:themeColor="text1"/>
          <w:sz w:val="22"/>
          <w:szCs w:val="22"/>
        </w:rPr>
        <w:t>Conclusions</w:t>
      </w:r>
      <w:r w:rsidRPr="00FB42D8">
        <w:rPr>
          <w:rFonts w:ascii="Arial" w:hAnsi="Arial" w:cs="Arial"/>
          <w:color w:val="000000" w:themeColor="text1"/>
          <w:sz w:val="22"/>
          <w:szCs w:val="22"/>
        </w:rPr>
        <w:t xml:space="preserve">: Amongst cognitively normal midlife adults with a family history of dementia, a shorter hypothetical proximity to dementia onset may be associated with incipient brain abnormalities, characterised by white matter disruptions and perfusion abnormalities, particularly amongst APOE-ε4 carriers. Our findings also confer biological validity to the construct of EYO as a </w:t>
      </w:r>
      <w:r w:rsidR="00752192">
        <w:rPr>
          <w:rFonts w:ascii="Arial" w:hAnsi="Arial" w:cs="Arial"/>
          <w:color w:val="000000" w:themeColor="text1"/>
          <w:sz w:val="22"/>
          <w:szCs w:val="22"/>
        </w:rPr>
        <w:t xml:space="preserve">potential </w:t>
      </w:r>
      <w:r w:rsidRPr="00FB42D8">
        <w:rPr>
          <w:rFonts w:ascii="Arial" w:hAnsi="Arial" w:cs="Arial"/>
          <w:color w:val="000000" w:themeColor="text1"/>
          <w:sz w:val="22"/>
          <w:szCs w:val="22"/>
        </w:rPr>
        <w:t>stage marker of preclinical progression in the context of sporadic dementia. Further clinical follow-up of our longitudinal sample would provide critical validation of these findings.</w:t>
      </w:r>
    </w:p>
    <w:p w14:paraId="65F32ED1" w14:textId="00905661" w:rsidR="006E3583" w:rsidRDefault="006E3583" w:rsidP="004E1577">
      <w:pPr>
        <w:spacing w:line="360" w:lineRule="auto"/>
        <w:jc w:val="both"/>
        <w:rPr>
          <w:rFonts w:ascii="Arial" w:hAnsi="Arial" w:cs="Arial"/>
          <w:color w:val="000000" w:themeColor="text1"/>
          <w:sz w:val="22"/>
          <w:szCs w:val="22"/>
        </w:rPr>
      </w:pPr>
    </w:p>
    <w:p w14:paraId="3C4E69EE" w14:textId="608A3456" w:rsidR="006E3583" w:rsidRPr="00FB42D8" w:rsidRDefault="006E3583" w:rsidP="004E1577">
      <w:pPr>
        <w:spacing w:line="360" w:lineRule="auto"/>
        <w:jc w:val="both"/>
        <w:rPr>
          <w:rFonts w:ascii="Arial" w:hAnsi="Arial" w:cs="Arial"/>
          <w:color w:val="000000" w:themeColor="text1"/>
          <w:sz w:val="22"/>
          <w:szCs w:val="22"/>
        </w:rPr>
      </w:pPr>
      <w:r w:rsidRPr="00FB42D8">
        <w:rPr>
          <w:rFonts w:ascii="Arial" w:hAnsi="Arial" w:cs="Arial"/>
          <w:b/>
          <w:bCs/>
          <w:color w:val="000000" w:themeColor="text1"/>
          <w:sz w:val="22"/>
          <w:szCs w:val="22"/>
        </w:rPr>
        <w:t>KEYWORDS</w:t>
      </w:r>
      <w:r>
        <w:rPr>
          <w:rFonts w:ascii="Arial" w:hAnsi="Arial" w:cs="Arial"/>
          <w:color w:val="000000" w:themeColor="text1"/>
          <w:sz w:val="22"/>
          <w:szCs w:val="22"/>
        </w:rPr>
        <w:t xml:space="preserve">: Dementia, Neuroimaging, Biomarkers, </w:t>
      </w:r>
      <w:r w:rsidRPr="00D144D7">
        <w:rPr>
          <w:rFonts w:ascii="Arial" w:hAnsi="Arial" w:cs="Arial"/>
          <w:color w:val="000000" w:themeColor="text1"/>
          <w:sz w:val="22"/>
          <w:szCs w:val="22"/>
        </w:rPr>
        <w:t>APOE</w:t>
      </w:r>
      <w:r>
        <w:rPr>
          <w:rFonts w:ascii="Arial" w:hAnsi="Arial" w:cs="Arial"/>
          <w:color w:val="000000" w:themeColor="text1"/>
          <w:sz w:val="22"/>
          <w:szCs w:val="22"/>
        </w:rPr>
        <w:t xml:space="preserve">4, </w:t>
      </w:r>
      <w:r w:rsidR="00723A5D">
        <w:rPr>
          <w:rFonts w:ascii="Arial" w:hAnsi="Arial" w:cs="Arial"/>
          <w:color w:val="000000" w:themeColor="text1"/>
          <w:sz w:val="22"/>
          <w:szCs w:val="22"/>
        </w:rPr>
        <w:t>MRI, DTI</w:t>
      </w:r>
      <w:r w:rsidR="001A1421">
        <w:rPr>
          <w:rFonts w:ascii="Arial" w:hAnsi="Arial" w:cs="Arial"/>
          <w:color w:val="000000" w:themeColor="text1"/>
          <w:sz w:val="22"/>
          <w:szCs w:val="22"/>
        </w:rPr>
        <w:t>.</w:t>
      </w:r>
    </w:p>
    <w:p w14:paraId="2DAC3016" w14:textId="77777777" w:rsidR="0033736B" w:rsidRPr="00F10F41" w:rsidRDefault="0033736B" w:rsidP="00AB1AE7">
      <w:pPr>
        <w:spacing w:line="360" w:lineRule="auto"/>
        <w:jc w:val="both"/>
        <w:rPr>
          <w:rFonts w:ascii="Arial" w:hAnsi="Arial" w:cs="Arial"/>
          <w:color w:val="000000" w:themeColor="text1"/>
          <w:sz w:val="22"/>
          <w:szCs w:val="22"/>
        </w:rPr>
      </w:pPr>
    </w:p>
    <w:bookmarkEnd w:id="3"/>
    <w:bookmarkEnd w:id="4"/>
    <w:bookmarkEnd w:id="5"/>
    <w:bookmarkEnd w:id="6"/>
    <w:p w14:paraId="63614A19" w14:textId="77777777" w:rsidR="006519AB" w:rsidRPr="00F10F41" w:rsidRDefault="006519AB" w:rsidP="00AB1AE7">
      <w:pPr>
        <w:spacing w:line="360" w:lineRule="auto"/>
        <w:jc w:val="both"/>
        <w:rPr>
          <w:rFonts w:ascii="Arial" w:hAnsi="Arial" w:cs="Arial"/>
          <w:b/>
          <w:bCs/>
          <w:color w:val="000000" w:themeColor="text1"/>
          <w:sz w:val="22"/>
          <w:szCs w:val="22"/>
        </w:rPr>
      </w:pPr>
    </w:p>
    <w:p w14:paraId="79B80B4A" w14:textId="77777777" w:rsidR="006519AB" w:rsidRPr="00F10F41" w:rsidRDefault="006519AB" w:rsidP="00AB1AE7">
      <w:pPr>
        <w:spacing w:line="360" w:lineRule="auto"/>
        <w:ind w:firstLine="720"/>
        <w:jc w:val="both"/>
        <w:rPr>
          <w:rFonts w:ascii="Arial" w:hAnsi="Arial" w:cs="Arial"/>
          <w:b/>
          <w:bCs/>
          <w:color w:val="000000" w:themeColor="text1"/>
          <w:sz w:val="22"/>
          <w:szCs w:val="22"/>
        </w:rPr>
      </w:pPr>
    </w:p>
    <w:p w14:paraId="5B257DB5" w14:textId="619D100C" w:rsidR="001A40FE" w:rsidRPr="00F10F41" w:rsidRDefault="001A40FE" w:rsidP="00AB1AE7">
      <w:pPr>
        <w:spacing w:line="360" w:lineRule="auto"/>
        <w:jc w:val="both"/>
        <w:rPr>
          <w:rFonts w:ascii="Arial" w:hAnsi="Arial" w:cs="Arial"/>
          <w:b/>
          <w:bCs/>
          <w:color w:val="000000" w:themeColor="text1"/>
          <w:sz w:val="30"/>
          <w:szCs w:val="30"/>
        </w:rPr>
      </w:pPr>
      <w:r w:rsidRPr="00F10F41">
        <w:rPr>
          <w:rFonts w:ascii="Arial" w:hAnsi="Arial" w:cs="Arial"/>
          <w:b/>
          <w:bCs/>
          <w:color w:val="000000" w:themeColor="text1"/>
          <w:sz w:val="30"/>
          <w:szCs w:val="30"/>
        </w:rPr>
        <w:lastRenderedPageBreak/>
        <w:t>INTRODUCTION</w:t>
      </w:r>
    </w:p>
    <w:p w14:paraId="485468BD" w14:textId="24B0AF34" w:rsidR="00A72ED8" w:rsidRPr="00F10F41" w:rsidRDefault="00A72ED8" w:rsidP="00AB1AE7">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It is now established</w:t>
      </w:r>
      <w:r w:rsidR="000F4D2A" w:rsidRPr="00F10F41">
        <w:rPr>
          <w:rFonts w:ascii="Arial" w:hAnsi="Arial" w:cs="Arial"/>
          <w:color w:val="000000" w:themeColor="text1"/>
          <w:sz w:val="22"/>
          <w:szCs w:val="22"/>
        </w:rPr>
        <w:t xml:space="preserve"> from clinicopathological and </w:t>
      </w:r>
      <w:r w:rsidR="000F4D2A" w:rsidRPr="00F10F41">
        <w:rPr>
          <w:rFonts w:ascii="Arial" w:hAnsi="Arial" w:cs="Arial"/>
          <w:i/>
          <w:iCs/>
          <w:color w:val="000000" w:themeColor="text1"/>
          <w:sz w:val="22"/>
          <w:szCs w:val="22"/>
        </w:rPr>
        <w:t>in vivo</w:t>
      </w:r>
      <w:r w:rsidR="000F4D2A" w:rsidRPr="00F10F41">
        <w:rPr>
          <w:rFonts w:ascii="Arial" w:hAnsi="Arial" w:cs="Arial"/>
          <w:color w:val="000000" w:themeColor="text1"/>
          <w:sz w:val="22"/>
          <w:szCs w:val="22"/>
        </w:rPr>
        <w:t xml:space="preserve"> imaging studies t</w:t>
      </w:r>
      <w:r w:rsidRPr="00F10F41">
        <w:rPr>
          <w:rFonts w:ascii="Arial" w:hAnsi="Arial" w:cs="Arial"/>
          <w:color w:val="000000" w:themeColor="text1"/>
          <w:sz w:val="22"/>
          <w:szCs w:val="22"/>
        </w:rPr>
        <w:t xml:space="preserve">hat the neuropathological process of Alzheimer’s disease (AD) and dementia begins </w:t>
      </w:r>
      <w:r w:rsidR="00B95706" w:rsidRPr="00F10F41">
        <w:rPr>
          <w:rFonts w:ascii="Arial" w:hAnsi="Arial" w:cs="Arial"/>
          <w:color w:val="000000" w:themeColor="text1"/>
          <w:sz w:val="22"/>
          <w:szCs w:val="22"/>
        </w:rPr>
        <w:t>decades</w:t>
      </w:r>
      <w:r w:rsidRPr="00F10F41">
        <w:rPr>
          <w:rFonts w:ascii="Arial" w:hAnsi="Arial" w:cs="Arial"/>
          <w:color w:val="000000" w:themeColor="text1"/>
          <w:sz w:val="22"/>
          <w:szCs w:val="22"/>
        </w:rPr>
        <w:t xml:space="preserve"> before the earliest manifestation of cognitive </w:t>
      </w:r>
      <w:r w:rsidR="002C2FAD" w:rsidRPr="00F10F41">
        <w:rPr>
          <w:rFonts w:ascii="Arial" w:hAnsi="Arial" w:cs="Arial"/>
          <w:color w:val="000000" w:themeColor="text1"/>
          <w:sz w:val="22"/>
          <w:szCs w:val="22"/>
        </w:rPr>
        <w:t xml:space="preserve">or behavioural </w:t>
      </w:r>
      <w:r w:rsidRPr="00F10F41">
        <w:rPr>
          <w:rFonts w:ascii="Arial" w:hAnsi="Arial" w:cs="Arial"/>
          <w:color w:val="000000" w:themeColor="text1"/>
          <w:sz w:val="22"/>
          <w:szCs w:val="22"/>
        </w:rPr>
        <w:t xml:space="preserve">symptoms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{"citationItems":[{"id":"ITEM-1","itemData":{"DOI":"10.4088/JCP.15m09989","ISSN":"1555-2101","PMID":"26891108","abstract":"OBJECTIVE: Increasing evidence suggests that Alzheimer's disease begins at least a decade before the diagnosis of dementia. Earlier identification of the disease will have important implications for intervention; however, current models of preclinical changes are theoretical and require verification from empirical observations. Furthermore, these models have not incorporated psychiatric features.\n\nMETHOD: Clinical and biological markers were examined at baseline (1999-2001) in 9,076 people aged 65 years and older. A nested case-control study included 830 cases with Alzheimer's disease diagnosed by DSM-IV criteria during the 10-year follow-up and twice as many controls. By taking the distance between baseline and diagnosis as the length of the preclinical period, disease marker trajectories were estimated using nonparametric locally weighted smoothing analysis.\n\nRESULTS: Significant differences for the cases compared to the controls were observed on both intercept and slope for truncated amyloid β40 (P = .006; P = .003, respectively), C-reactive protein (P = .03; P = .05), verbal fluency (P &lt; .0001; P &lt; .0001), visual recall (P &lt; .0001; P = .007), and hippocampal volume (P = .0002; P = .04) and on the slope only for truncated amyloid β42 (P = .01). The cases showed higher levels of depressive symptoms (P = .003), which remained stable over the 10 years to diagnosis.\n\nCONCLUSIONS: As hypothesized by existing theoretical models, changes in plasma amyloid β levels, hippocampal atrophy, cognitive loss, and C-reactive protein are already observed up to 10 years before diagnosis. An acceleration in cognitive decline appears to follow a significant increase in amyloid accumulation, and depressive symptomatology remains at a constantly higher level. Overall, clinical and biological markers do not follow the same trajectories; the clinical picture changes according to distance from dementia.","author":[{"dropping-particle":"","family":"Ritchie","given":"Karen","non-dropping-particle":"","parse-names":false,"suffix":""},{"dropping-particle":"","family":"Carrière","given":"Isabelle","non-dropping-particle":"","parse-names":false,"suffix":""},{"dropping-particle":"","family":"Berr","given":"Claudine","non-dropping-particle":"","parse-names":false,"suffix":""},{"dropping-particle":"","family":"Amieva","given":"Hélène","non-dropping-particle":"","parse-names":false,"suffix":""},{"dropping-particle":"","family":"Dartigues","given":"Jean-François","non-dropping-particle":"","parse-names":false,"suffix":""},{"dropping-particle":"","family":"Ancelin","given":"Marie-Laure","non-dropping-particle":"","parse-names":false,"suffix":""},{"dropping-particle":"","family":"Ritchie","given":"Craig W","non-dropping-particle":"","parse-names":false,"suffix":""}],"container-title":"The Journal of clinical psychiatry","id":"ITEM-1","issue":"3","issued":{"date-parts":[["2016","3"]]},"page":"e305-11","title":"The clinical picture of alzheimer's disease in the decade before diagnosis: clinical and biomarker trajectories.","type":"article-journal","volume":"77"},"uris":["http://www.mendeley.com/documents/?uuid=c17b6624-227e-480f-acb6-1b21dbb46f04"]}],"mendeley":{"formattedCitation":"(Ritchie et al., 2016)","plainTextFormattedCitation":"(Ritchie et al., 2016)","previouslyFormattedCitation":"(Ritchie et al., 2016)"},"properties":{"noteIndex":0},"schema":"https://github.com/citation-style-language/schema/raw/master/csl-citation.json"}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(Ritchie et al., 2016)</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w:t>
      </w:r>
      <w:r w:rsidR="00B356E0" w:rsidRPr="00F10F41">
        <w:rPr>
          <w:rFonts w:ascii="Arial" w:hAnsi="Arial" w:cs="Arial"/>
          <w:color w:val="000000" w:themeColor="text1"/>
          <w:sz w:val="22"/>
          <w:szCs w:val="22"/>
        </w:rPr>
        <w:t xml:space="preserve"> </w:t>
      </w:r>
      <w:r w:rsidR="002E685D"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A greater understanding of brain alterations </w:t>
      </w:r>
      <w:r w:rsidR="008525B0" w:rsidRPr="00F10F41">
        <w:rPr>
          <w:rFonts w:ascii="Arial" w:hAnsi="Arial" w:cs="Arial"/>
          <w:color w:val="000000" w:themeColor="text1"/>
          <w:sz w:val="22"/>
          <w:szCs w:val="22"/>
        </w:rPr>
        <w:t>occurring in the</w:t>
      </w:r>
      <w:r w:rsidRPr="00F10F41">
        <w:rPr>
          <w:rFonts w:ascii="Arial" w:hAnsi="Arial" w:cs="Arial"/>
          <w:color w:val="000000" w:themeColor="text1"/>
          <w:sz w:val="22"/>
          <w:szCs w:val="22"/>
        </w:rPr>
        <w:t xml:space="preserve"> preclinical phase might </w:t>
      </w:r>
      <w:r w:rsidR="001A453B" w:rsidRPr="00F10F41">
        <w:rPr>
          <w:rFonts w:ascii="Arial" w:hAnsi="Arial" w:cs="Arial"/>
          <w:color w:val="000000" w:themeColor="text1"/>
          <w:sz w:val="22"/>
          <w:szCs w:val="22"/>
        </w:rPr>
        <w:t xml:space="preserve">identify novel biomarkers, aid </w:t>
      </w:r>
      <w:r w:rsidRPr="00F10F41">
        <w:rPr>
          <w:rFonts w:ascii="Arial" w:hAnsi="Arial" w:cs="Arial"/>
          <w:color w:val="000000" w:themeColor="text1"/>
          <w:sz w:val="22"/>
          <w:szCs w:val="22"/>
        </w:rPr>
        <w:t xml:space="preserve">earlier detection and </w:t>
      </w:r>
      <w:r w:rsidR="008525B0" w:rsidRPr="00F10F41">
        <w:rPr>
          <w:rFonts w:ascii="Arial" w:hAnsi="Arial" w:cs="Arial"/>
          <w:color w:val="000000" w:themeColor="text1"/>
          <w:sz w:val="22"/>
          <w:szCs w:val="22"/>
        </w:rPr>
        <w:t xml:space="preserve">assist in </w:t>
      </w:r>
      <w:r w:rsidR="001A453B" w:rsidRPr="00F10F41">
        <w:rPr>
          <w:rFonts w:ascii="Arial" w:hAnsi="Arial" w:cs="Arial"/>
          <w:color w:val="000000" w:themeColor="text1"/>
          <w:sz w:val="22"/>
          <w:szCs w:val="22"/>
        </w:rPr>
        <w:t>establishing</w:t>
      </w:r>
      <w:r w:rsidR="008525B0"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treatment</w:t>
      </w:r>
      <w:r w:rsidR="008525B0" w:rsidRPr="00F10F41">
        <w:rPr>
          <w:rFonts w:ascii="Arial" w:hAnsi="Arial" w:cs="Arial"/>
          <w:color w:val="000000" w:themeColor="text1"/>
          <w:sz w:val="22"/>
          <w:szCs w:val="22"/>
        </w:rPr>
        <w:t xml:space="preserve"> targets</w:t>
      </w:r>
      <w:r w:rsidRPr="00F10F41">
        <w:rPr>
          <w:rFonts w:ascii="Arial" w:hAnsi="Arial" w:cs="Arial"/>
          <w:color w:val="000000" w:themeColor="text1"/>
          <w:sz w:val="22"/>
          <w:szCs w:val="22"/>
        </w:rPr>
        <w:t xml:space="preserve"> </w:t>
      </w:r>
      <w:r w:rsidR="008525B0" w:rsidRPr="00F10F41">
        <w:rPr>
          <w:rFonts w:ascii="Arial" w:hAnsi="Arial" w:cs="Arial"/>
          <w:color w:val="000000" w:themeColor="text1"/>
          <w:sz w:val="22"/>
          <w:szCs w:val="22"/>
        </w:rPr>
        <w:t xml:space="preserve">for </w:t>
      </w:r>
      <w:r w:rsidR="00AE278A" w:rsidRPr="00F10F41">
        <w:rPr>
          <w:rFonts w:ascii="Arial" w:hAnsi="Arial" w:cs="Arial"/>
          <w:color w:val="000000" w:themeColor="text1"/>
          <w:sz w:val="22"/>
          <w:szCs w:val="22"/>
        </w:rPr>
        <w:t>AD</w:t>
      </w:r>
      <w:r w:rsidRPr="00F10F41">
        <w:rPr>
          <w:rFonts w:ascii="Arial" w:hAnsi="Arial" w:cs="Arial"/>
          <w:color w:val="000000" w:themeColor="text1"/>
          <w:sz w:val="22"/>
          <w:szCs w:val="22"/>
        </w:rPr>
        <w:t xml:space="preserve">. One approach to delineate early alterations is to evaluate longitudinal </w:t>
      </w:r>
      <w:r w:rsidRPr="00F10F41">
        <w:rPr>
          <w:rFonts w:ascii="Arial" w:hAnsi="Arial" w:cs="Arial"/>
          <w:i/>
          <w:iCs/>
          <w:color w:val="000000" w:themeColor="text1"/>
          <w:sz w:val="22"/>
          <w:szCs w:val="22"/>
        </w:rPr>
        <w:t>in vivo</w:t>
      </w:r>
      <w:r w:rsidRPr="00F10F41">
        <w:rPr>
          <w:rFonts w:ascii="Arial" w:hAnsi="Arial" w:cs="Arial"/>
          <w:color w:val="000000" w:themeColor="text1"/>
          <w:sz w:val="22"/>
          <w:szCs w:val="22"/>
        </w:rPr>
        <w:t xml:space="preserve"> </w:t>
      </w:r>
      <w:r w:rsidR="0051172B" w:rsidRPr="00F10F41">
        <w:rPr>
          <w:rFonts w:ascii="Arial" w:hAnsi="Arial" w:cs="Arial"/>
          <w:color w:val="000000" w:themeColor="text1"/>
          <w:sz w:val="22"/>
          <w:szCs w:val="22"/>
        </w:rPr>
        <w:t xml:space="preserve">neuroimaging </w:t>
      </w:r>
      <w:r w:rsidRPr="00F10F41">
        <w:rPr>
          <w:rFonts w:ascii="Arial" w:hAnsi="Arial" w:cs="Arial"/>
          <w:color w:val="000000" w:themeColor="text1"/>
          <w:sz w:val="22"/>
          <w:szCs w:val="22"/>
        </w:rPr>
        <w:t xml:space="preserve">markers </w:t>
      </w:r>
      <w:r w:rsidR="0051172B" w:rsidRPr="00F10F41">
        <w:rPr>
          <w:rFonts w:ascii="Arial" w:hAnsi="Arial" w:cs="Arial"/>
          <w:color w:val="000000" w:themeColor="text1"/>
          <w:sz w:val="22"/>
          <w:szCs w:val="22"/>
        </w:rPr>
        <w:t xml:space="preserve">in asymptomatic </w:t>
      </w:r>
      <w:r w:rsidRPr="00F10F41">
        <w:rPr>
          <w:rFonts w:ascii="Arial" w:hAnsi="Arial" w:cs="Arial"/>
          <w:color w:val="000000" w:themeColor="text1"/>
          <w:sz w:val="22"/>
          <w:szCs w:val="22"/>
        </w:rPr>
        <w:t xml:space="preserve">individuals who are at increased risk for </w:t>
      </w:r>
      <w:r w:rsidR="0051172B" w:rsidRPr="00F10F41">
        <w:rPr>
          <w:rFonts w:ascii="Arial" w:hAnsi="Arial" w:cs="Arial"/>
          <w:color w:val="000000" w:themeColor="text1"/>
          <w:sz w:val="22"/>
          <w:szCs w:val="22"/>
        </w:rPr>
        <w:t>developing dementia</w:t>
      </w:r>
      <w:r w:rsidRPr="00F10F41">
        <w:rPr>
          <w:rFonts w:ascii="Arial" w:hAnsi="Arial" w:cs="Arial"/>
          <w:color w:val="000000" w:themeColor="text1"/>
          <w:sz w:val="22"/>
          <w:szCs w:val="22"/>
        </w:rPr>
        <w:t xml:space="preserve">. </w:t>
      </w:r>
    </w:p>
    <w:p w14:paraId="6DF4D46B" w14:textId="77777777" w:rsidR="00545AF6" w:rsidRPr="00F10F41" w:rsidRDefault="00545AF6" w:rsidP="00AB1AE7">
      <w:pPr>
        <w:spacing w:line="360" w:lineRule="auto"/>
        <w:jc w:val="both"/>
        <w:rPr>
          <w:rFonts w:ascii="Arial" w:hAnsi="Arial" w:cs="Arial"/>
          <w:color w:val="000000" w:themeColor="text1"/>
          <w:sz w:val="22"/>
          <w:szCs w:val="22"/>
        </w:rPr>
      </w:pPr>
    </w:p>
    <w:p w14:paraId="340D5B79" w14:textId="25881168" w:rsidR="00A270AB" w:rsidRPr="00F10F41" w:rsidRDefault="00A72ED8" w:rsidP="00AB1AE7">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Parental family history of dementia (FH+) is</w:t>
      </w:r>
      <w:r w:rsidR="008525B0" w:rsidRPr="00F10F41">
        <w:rPr>
          <w:rFonts w:ascii="Arial" w:hAnsi="Arial" w:cs="Arial"/>
          <w:color w:val="000000" w:themeColor="text1"/>
          <w:sz w:val="22"/>
          <w:szCs w:val="22"/>
        </w:rPr>
        <w:t xml:space="preserve"> a </w:t>
      </w:r>
      <w:r w:rsidR="00752241" w:rsidRPr="00F10F41">
        <w:rPr>
          <w:rFonts w:ascii="Arial" w:hAnsi="Arial" w:cs="Arial"/>
          <w:color w:val="000000" w:themeColor="text1"/>
          <w:sz w:val="22"/>
          <w:szCs w:val="22"/>
        </w:rPr>
        <w:t xml:space="preserve">recognised </w:t>
      </w:r>
      <w:r w:rsidRPr="00F10F41">
        <w:rPr>
          <w:rFonts w:ascii="Arial" w:hAnsi="Arial" w:cs="Arial"/>
          <w:color w:val="000000" w:themeColor="text1"/>
          <w:sz w:val="22"/>
          <w:szCs w:val="22"/>
        </w:rPr>
        <w:t xml:space="preserve">risk factor linked with increased cumulative lifetime risk for dementia, earlier age of onset as well as cognitive impairment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{"citationItems":[{"id":"ITEM-1","itemData":{"DOI":"10.1002/ajmg.b.32399","ISSN":"15524841","PMID":"26531229","abstract":"Family history of dementia (FH) is a recognized risk factor for developing late-onset Alzheimer's disease (AD). We asked whether having FH increases AD risk and influences disease severity (age at onset and cognitive impairment) in 420 AD patients and 109 controls with (FH+) or without (FH-). The relationships of APOE and other AD risk genes with FH were analyzed as well. The proportion of APOE e4 allele carriers was higher among the FH+ than the FH- AD patients (49.6% vs. 38.9%; P = 0.04). The distribution of the risk genotypes of nine AD susceptibility genes previously examined (CHAT, CYP17, CYP19, ESR1, FSHR, P53, P73, P21, PPARG) did not differ between the FH+ and the FH- AD patients, indicating that none contributed significantly to familial clustering of disease. FH was associated with an increased AD risk (odds ratio [OR] 2.71, 95% confidence interval [CI] 1.44-5.09; P = 0.002) independent of carrying the APOE e4 allele (OR 2.61, 95%CI 1.53-4.44; P = 0.0004). Having a first-degree relative or a parent with dementia was significantly associated with AD risk (OR 2.9, 95%CI 1.3-6.4; P = 0.009 and OR 2.7, 95%CI 1.1-6.2; P = 0.02) but having a sibling with dementia was not (OR 1.7, 95%CI 0.2 to 14.7; P = 0.6). Among the FH+ AD patients, having one or both parents affected seemed to raise the risk of earlier onset age (P = 0.02) and greater cognitive impairment (P = 0.02) than having only an affected sibling, whereas having two or more affected relatives did not.","author":[{"dropping-particle":"","family":"Scarabino","given":"Daniela","non-dropping-particle":"","parse-names":false,"suffix":""},{"dropping-particle":"","family":"Gambina","given":"Giuseppe","non-dropping-particle":"","parse-names":false,"suffix":""},{"dropping-particle":"","family":"Broggio","given":"Elisabetta","non-dropping-particle":"","parse-names":false,"suffix":""},{"dropping-particle":"","family":"Pelliccia","given":"Franca","non-dropping-particle":"","parse-names":false,"suffix":""},{"dropping-particle":"","family":"Corbo","given":"Rosa Maria","non-dropping-particle":"","parse-names":false,"suffix":""}],"container-title":"American Journal of Medical Genetics Part B: Neuropsychiatric Genetics","id":"ITEM-1","issue":"2","issued":{"date-parts":[["2016","3"]]},"page":"250-256","title":"Influence of family history of dementia in the development and progression of late-onset Alzheimer's disease","type":"article-journal","volume":"171"},"uris":["http://www.mendeley.com/documents/?uuid=307361a8-9514-308f-b420-46698f9301da"]}],"mendeley":{"formattedCitation":"(Scarabino et al., 2016)","plainTextFormattedCitation":"(Scarabino et al., 2016)","previouslyFormattedCitation":"(Scarabino et al., 2016)"},"properties":{"noteIndex":0},"schema":"https://github.com/citation-style-language/schema/raw/master/csl-citation.json"}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(Scarabino et al., 2016)</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w:t>
      </w:r>
      <w:bookmarkStart w:id="7" w:name="OLE_LINK17"/>
      <w:bookmarkStart w:id="8" w:name="OLE_LINK18"/>
      <w:r w:rsidR="008A26E3" w:rsidRPr="00F10F41">
        <w:rPr>
          <w:rFonts w:ascii="Arial" w:hAnsi="Arial" w:cs="Arial"/>
          <w:color w:val="000000" w:themeColor="text1"/>
          <w:sz w:val="22"/>
          <w:szCs w:val="22"/>
        </w:rPr>
        <w:t xml:space="preserve"> </w:t>
      </w:r>
      <w:r w:rsidR="008A18C5" w:rsidRPr="00F10F41">
        <w:rPr>
          <w:rFonts w:ascii="Arial" w:hAnsi="Arial" w:cs="Arial"/>
          <w:color w:val="000000" w:themeColor="text1"/>
          <w:sz w:val="22"/>
          <w:szCs w:val="22"/>
        </w:rPr>
        <w:t>P</w:t>
      </w:r>
      <w:r w:rsidR="00992BB8" w:rsidRPr="00F10F41">
        <w:rPr>
          <w:rFonts w:ascii="Arial" w:hAnsi="Arial" w:cs="Arial"/>
          <w:color w:val="000000" w:themeColor="text1"/>
          <w:sz w:val="22"/>
          <w:szCs w:val="22"/>
        </w:rPr>
        <w:t>revious</w:t>
      </w:r>
      <w:r w:rsidR="00AB5F6B" w:rsidRPr="00F10F41">
        <w:rPr>
          <w:rFonts w:ascii="Arial" w:hAnsi="Arial" w:cs="Arial"/>
          <w:color w:val="000000" w:themeColor="text1"/>
          <w:sz w:val="22"/>
          <w:szCs w:val="22"/>
        </w:rPr>
        <w:t xml:space="preserve"> </w:t>
      </w:r>
      <w:r w:rsidR="008A18C5" w:rsidRPr="00F10F41">
        <w:rPr>
          <w:rFonts w:ascii="Arial" w:hAnsi="Arial" w:cs="Arial"/>
          <w:color w:val="000000" w:themeColor="text1"/>
          <w:sz w:val="22"/>
          <w:szCs w:val="22"/>
        </w:rPr>
        <w:t xml:space="preserve">neuroimaging </w:t>
      </w:r>
      <w:r w:rsidR="00AB5F6B" w:rsidRPr="00F10F41">
        <w:rPr>
          <w:rFonts w:ascii="Arial" w:hAnsi="Arial" w:cs="Arial"/>
          <w:color w:val="000000" w:themeColor="text1"/>
          <w:sz w:val="22"/>
          <w:szCs w:val="22"/>
        </w:rPr>
        <w:t xml:space="preserve">studies have hinted </w:t>
      </w:r>
      <w:r w:rsidR="008A18C5" w:rsidRPr="00F10F41">
        <w:rPr>
          <w:rFonts w:ascii="Arial" w:hAnsi="Arial" w:cs="Arial"/>
          <w:color w:val="000000" w:themeColor="text1"/>
          <w:sz w:val="22"/>
          <w:szCs w:val="22"/>
        </w:rPr>
        <w:t>at</w:t>
      </w:r>
      <w:r w:rsidR="00AB5F6B" w:rsidRPr="00F10F41">
        <w:rPr>
          <w:rFonts w:ascii="Arial" w:hAnsi="Arial" w:cs="Arial"/>
          <w:color w:val="000000" w:themeColor="text1"/>
          <w:sz w:val="22"/>
          <w:szCs w:val="22"/>
        </w:rPr>
        <w:t xml:space="preserve"> the presence of brain abnormalities</w:t>
      </w:r>
      <w:r w:rsidR="008A18C5" w:rsidRPr="00F10F41">
        <w:rPr>
          <w:rFonts w:ascii="Arial" w:hAnsi="Arial" w:cs="Arial"/>
          <w:color w:val="000000" w:themeColor="text1"/>
          <w:sz w:val="22"/>
          <w:szCs w:val="22"/>
        </w:rPr>
        <w:t xml:space="preserve"> in FH+</w:t>
      </w:r>
      <w:r w:rsidR="0050502F" w:rsidRPr="00F10F41">
        <w:rPr>
          <w:rFonts w:ascii="Arial" w:hAnsi="Arial" w:cs="Arial"/>
          <w:color w:val="000000" w:themeColor="text1"/>
          <w:sz w:val="22"/>
          <w:szCs w:val="22"/>
        </w:rPr>
        <w:t xml:space="preserve"> individuals</w:t>
      </w:r>
      <w:r w:rsidR="008A18C5" w:rsidRPr="00F10F41">
        <w:rPr>
          <w:rFonts w:ascii="Arial" w:hAnsi="Arial" w:cs="Arial"/>
          <w:color w:val="000000" w:themeColor="text1"/>
          <w:sz w:val="22"/>
          <w:szCs w:val="22"/>
        </w:rPr>
        <w:t>, such as</w:t>
      </w:r>
      <w:r w:rsidR="00AB5F6B" w:rsidRPr="00F10F41">
        <w:rPr>
          <w:rFonts w:ascii="Arial" w:hAnsi="Arial" w:cs="Arial"/>
          <w:color w:val="000000" w:themeColor="text1"/>
          <w:sz w:val="22"/>
          <w:szCs w:val="22"/>
        </w:rPr>
        <w:t xml:space="preserve"> reduced functional connectivity, hypoperfusion and </w:t>
      </w:r>
      <w:r w:rsidR="00D97CBA" w:rsidRPr="00F10F41">
        <w:rPr>
          <w:rFonts w:ascii="Arial" w:hAnsi="Arial" w:cs="Arial"/>
          <w:color w:val="000000" w:themeColor="text1"/>
          <w:sz w:val="22"/>
          <w:szCs w:val="22"/>
        </w:rPr>
        <w:t>grey matter</w:t>
      </w:r>
      <w:r w:rsidR="00AB5F6B" w:rsidRPr="00F10F41">
        <w:rPr>
          <w:rFonts w:ascii="Arial" w:hAnsi="Arial" w:cs="Arial"/>
          <w:color w:val="000000" w:themeColor="text1"/>
          <w:sz w:val="22"/>
          <w:szCs w:val="22"/>
        </w:rPr>
        <w:t xml:space="preserve"> atroph</w:t>
      </w:r>
      <w:r w:rsidR="00D97CBA" w:rsidRPr="00F10F41">
        <w:rPr>
          <w:rFonts w:ascii="Arial" w:hAnsi="Arial" w:cs="Arial"/>
          <w:color w:val="000000" w:themeColor="text1"/>
          <w:sz w:val="22"/>
          <w:szCs w:val="22"/>
        </w:rPr>
        <w:t>y</w:t>
      </w:r>
      <w:r w:rsidR="004E6090" w:rsidRPr="00F10F41">
        <w:rPr>
          <w:rFonts w:ascii="Arial" w:hAnsi="Arial" w:cs="Arial"/>
          <w:color w:val="000000" w:themeColor="text1"/>
          <w:sz w:val="22"/>
          <w:szCs w:val="22"/>
        </w:rPr>
        <w:t xml:space="preserve"> </w:t>
      </w:r>
      <w:r w:rsidR="004E6090" w:rsidRPr="00F10F41">
        <w:rPr>
          <w:rFonts w:ascii="Arial" w:hAnsi="Arial" w:cs="Arial"/>
          <w:color w:val="000000" w:themeColor="text1"/>
          <w:sz w:val="22"/>
          <w:szCs w:val="22"/>
        </w:rPr>
        <w:fldChar w:fldCharType="begin" w:fldLock="1"/>
      </w:r>
      <w:r w:rsidR="004834BE">
        <w:rPr>
          <w:rFonts w:ascii="Arial" w:hAnsi="Arial" w:cs="Arial"/>
          <w:color w:val="000000" w:themeColor="text1"/>
          <w:sz w:val="22"/>
          <w:szCs w:val="22"/>
        </w:rPr>
        <w:instrText>ADDIN CSL_CITATION {"citationItems":[{"id":"ITEM-1","itemData":{"DOI":"10.1212/WNL.0b013e3181c918cb","ISBN":"1526-632X (Electronic)\\r0028-3878 (Linking)","ISSN":"00283878","PMID":"20065246","abstract":"A consistently identified risk factor for Alzheimer disease (AD) is family history of dementia, with maternal transmission significantly more frequent than paternal transmission. A history of maternal AD may be related to AD-like glucose consumption in cognitively healthy subjects. In this cross-sectional study, we tested whether cognitively healthy people with a family history of AD have less gray matter volume (GMV), an endophenotype for late-onset AD, than individuals with no family history, and whether decreases in GMV are different in subjects with a maternal family history.","author":[{"dropping-particle":"","family":"Honea","given":"R. A.","non-dropping-particle":"","parse-names":false,"suffix":""},{"dropping-particle":"","family":"Swerdlow","given":"R. H.","non-dropping-particle":"","parse-names":false,"suffix":""},{"dropping-particle":"","family":"Vidoni","given":"E. D.","non-dropping-particle":"","parse-names":false,"suffix":""},{"dropping-particle":"","family":"Goodwin","given":"J.","non-dropping-particle":"","parse-names":false,"suffix":""},{"dropping-particle":"","family":"Burns","given":"J. M.","non-dropping-particle":"","parse-names":false,"suffix":""}],"container-title":"Neurology","id":"ITEM-1","issue":"2","issued":{"date-parts":[["2010"]]},"page":"113-120","title":"Reduced gray matter volume in normal adults with a maternal family history of Alzheimer disease","type":"article-journal","volume":"74"},"uris":["http://www.mendeley.com/documents/?uuid=2d3ee07b-5ed0-481c-801a-032853d948bb","http://www.mendeley.com/documents/?uuid=e3fcb785-5660-4558-9b23-9ba094d4c2af","http://www.mendeley.com/documents/?uuid=7f467f28-5b2d-4a84-ba6e-d1b26a224ebc"]},{"id":"ITEM-2","itemData":{"DOI":"10.1016/j.nicl.2014.04.008","ISBN":"2213-1582","ISSN":"22131582","PMID":"24936424","abstract":"Introduction Little is still known about the effects of risk factors for Alzheimer's disease (AD) on white matter microstructure in cognitively healthy adults. The purpose of this cross-sectional study was to assess the effect of two well-known risk factors for AD, parental family history and APOE4 genotype. Methods This study included 343 participants from the Wisconsin Registry for Alzheimer's Prevention, who underwent diffusion tensor imaging (DTI). A region of interest analysis was performed on fractional anisotropy maps, in addition to mean, radial, and axial diffusivity maps, aligned to a common template space using a diffeomorphic, tensor-based registration method. The analysis focused on brain regions known to be affected in AD including the corpus callosum, superior longitudinal fasciculus, fornix, cingulum, and uncinate fasciculus. Analyses assessed the impact of APOE4, parental family history of AD, age, and sex on white matter microstructure in late middle-aged participants (aged 47-76 years). Results Both APOE4 and parental family history were associated with microstructural white matter differences. Participants with parental family history of AD had higher FA in the genu of the corpus callosum and the superior longitudinal fasciculus. We observed an interaction between family history and APOE4, where participants who were family history positive but APOE4 negative had lower axial diffusivity in the uncinate fasciculus, and participants who were both family history positive and APOE4 positive had higher axial diffusivity in this region. We also observed an interaction between APOE4 and age, whereby older participants (≥65 years of age) who were APOE4 carriers, had higher MD in the superior longitudinal fasciculus and in the portion of the cingulum bundle running adjacent to the cingulate cortex, compared to non-carriers. Older participants who were APOE4 carriers also showed higher radial diffusivity in the genu compared to non-carriers. Across all participants, age had an effect on FA, MD, and axial and radial diffusivities. Sex differences were observed in FA and radial diffusivity. Conclusion APOE4 genotype, parental family history of AD, age, and sex are all associated with microstructural white matter differences in late middle-aged adults. In participants at risk for AD, alterations in diffusion characteristics - both expected and unexpected - may represent cellular changes occurring at the earliest disease stages, but further work i…","author":[{"dropping-particle":"","family":"Adluru","given":"Nagesh","non-dropping-particle":"","parse-names":false,"suffix":""},{"dropping-particle":"","family":"Destiche","given":"Daniel J.","non-dropping-particle":"","parse-names":false,"suffix":""},{"dropping-particle":"","family":"Lu","given":"Sharon Yuan Fu","non-dropping-particle":"","parse-names":false,"suffix":""},{"dropping-particle":"","family":"Doran","given":"Samuel T.","non-dropping-particle":"","parse-names":false,"suffix":""},{"dropping-particle":"","family":"Birdsill","given":"Alex C.","non-dropping-particle":"","parse-names":false,"suffix":""},{"dropping-particle":"","family":"Melah","given":"Kelsey E.","non-dropping-particle":"","parse-names":false,"suffix":""},{"dropping-particle":"","family":"Okonkwo","given":"Ozioma C.","non-dropping-particle":"","parse-names":false,"suffix":""},{"dropping-particle":"","family":"Alexander","given":"Andrew L.","non-dropping-particle":"","parse-names":false,"suffix":""},{"dropping-particle":"","family":"Dowling","given":"N. Maritza","non-dropping-particle":"","parse-names":false,"suffix":""},{"dropping-particle":"","family":"Johnson","given":"Sterling C.","non-dropping-particle":"","parse-names":false,"suffix":""},{"dropping-particle":"","family":"Sager","given":"Mark A.","non-dropping-particle":"","parse-names":false,"suffix":""},{"dropping-particle":"","family":"Bendlin","given":"Barbara B.","non-dropping-particle":"","parse-names":false,"suffix":""}],"container-title":"NeuroImage: Clinical","id":"ITEM-2","issued":{"date-parts":[["2014"]]},"page":"730-742","publisher":"The Authors","title":"White matter microstructure in late middle-age: Effects of apolipoprotein E4 and parental family history of Alzheimer's disease","type":"article-journal","volume":"4"},"uris":["http://www.mendeley.com/documents/?uuid=300733ac-8a91-4907-93c1-1cc042ea27c6"]}],"mendeley":{"formattedCitation":"(Adluru et al., 2014; Honea et al., 2010)","plainTextFormattedCitation":"(Adluru et al., 2014; Honea et al., 2010)","previouslyFormattedCitation":"(Adluru et al., 2014; Honea et al., 2010)"},"properties":{"noteIndex":0},"schema":"https://github.com/citation-style-language/schema/raw/master/csl-citation.json"}</w:instrText>
      </w:r>
      <w:r w:rsidR="004E6090" w:rsidRPr="00F10F41">
        <w:rPr>
          <w:rFonts w:ascii="Arial" w:hAnsi="Arial" w:cs="Arial"/>
          <w:color w:val="000000" w:themeColor="text1"/>
          <w:sz w:val="22"/>
          <w:szCs w:val="22"/>
        </w:rPr>
        <w:fldChar w:fldCharType="separate"/>
      </w:r>
      <w:r w:rsidR="00877B2A" w:rsidRPr="00877B2A">
        <w:rPr>
          <w:rFonts w:ascii="Arial" w:hAnsi="Arial" w:cs="Arial"/>
          <w:noProof/>
          <w:color w:val="000000" w:themeColor="text1"/>
          <w:sz w:val="22"/>
          <w:szCs w:val="22"/>
        </w:rPr>
        <w:t>(Adluru et al., 2014; Honea et al., 2010)</w:t>
      </w:r>
      <w:r w:rsidR="004E6090" w:rsidRPr="00F10F41">
        <w:rPr>
          <w:rFonts w:ascii="Arial" w:hAnsi="Arial" w:cs="Arial"/>
          <w:color w:val="000000" w:themeColor="text1"/>
          <w:sz w:val="22"/>
          <w:szCs w:val="22"/>
        </w:rPr>
        <w:fldChar w:fldCharType="end"/>
      </w:r>
      <w:r w:rsidR="002E685D" w:rsidRPr="00F10F41">
        <w:rPr>
          <w:rFonts w:ascii="Arial" w:hAnsi="Arial" w:cs="Arial"/>
          <w:color w:val="000000" w:themeColor="text1"/>
          <w:sz w:val="22"/>
          <w:szCs w:val="22"/>
        </w:rPr>
        <w:t xml:space="preserve">. </w:t>
      </w:r>
      <w:r w:rsidR="00AB5F6B" w:rsidRPr="00F10F41">
        <w:rPr>
          <w:rFonts w:ascii="Arial" w:hAnsi="Arial" w:cs="Arial"/>
          <w:color w:val="000000" w:themeColor="text1"/>
          <w:sz w:val="22"/>
          <w:szCs w:val="22"/>
        </w:rPr>
        <w:t xml:space="preserve">However, </w:t>
      </w:r>
      <w:r w:rsidR="00D97CBA" w:rsidRPr="00F10F41">
        <w:rPr>
          <w:rFonts w:ascii="Arial" w:hAnsi="Arial" w:cs="Arial"/>
          <w:color w:val="000000" w:themeColor="text1"/>
          <w:sz w:val="22"/>
          <w:szCs w:val="22"/>
        </w:rPr>
        <w:t xml:space="preserve">our systematic reviews of structural and functional imaging studies in preclinical dementia have highlighted numerous discordant findings </w:t>
      </w:r>
      <w:r w:rsidR="00AB5F6B" w:rsidRPr="00F10F41">
        <w:rPr>
          <w:rFonts w:ascii="Arial" w:hAnsi="Arial" w:cs="Arial"/>
          <w:color w:val="000000" w:themeColor="text1"/>
          <w:sz w:val="22"/>
          <w:szCs w:val="22"/>
        </w:rPr>
        <w:t>in the literature</w:t>
      </w:r>
      <w:r w:rsidR="00D97CBA" w:rsidRPr="00F10F41">
        <w:rPr>
          <w:rFonts w:ascii="Arial" w:hAnsi="Arial" w:cs="Arial"/>
          <w:color w:val="000000" w:themeColor="text1"/>
          <w:sz w:val="22"/>
          <w:szCs w:val="22"/>
        </w:rPr>
        <w:t xml:space="preserve"> </w:t>
      </w:r>
      <w:r w:rsidR="00D97CBA"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{"citationItems":[{"id":"ITEM-1","itemData":{"DOI":"10.1016/j.arr.2017.03.004","ISSN":"15681637","abstract":"It is well established that the neurodegenerative process of Alzheimer's disease (AD) begins many years before symptom onset. This preclinical phase provides a crucial time-window for therapeutic intervention, though this requires biomarkers that could evaluate the efficacy of future disease-modification treatments in asymptomatic individuals. The last decade has witnessed a proliferation of studies characterizing the temporal sequence of the earliest functional and structural brain imaging changes in AD. These efforts have focused on studying individuals who are highly vulnerable to develop AD, such as those with familial genetic mutations, susceptibility genes (i.e. apolipoprotein epsilon-4 allele), and/or a positive family history of AD. In this paper, we review the rapidly growing literature of functional imaging changes in cognitively intact individuals who are middle-aged: positron emission tomography (PET) studies of amyloid deposition, glucose metabolism, as well as arterial spin labeling (ASL), task-dependent, resting-state functional magnetic resonance imaging (fMRI) and magnetic resonance spectroscopy (MRS) studies. The prevailing evidence points to early brain functional changes in the relative absence of cognitive impairment and structural atrophy, although there is marked variability in the directionality of the changes, which could, in turn, be related to antagonistic pleiotropy early in life. A common theme across studies relates to the spatial extent of these changes, most of which overlap with brain regions that are implicated in established AD. Notwithstanding several methodological caveats, functional imaging techniques could be preferentially sensitive to the earliest events of AD pathology prior to macroscopic grey matter loss and clinical manifestations of AD. We conclude that while these techniques have great potential to serve as biomarkers to identify at-risk individuals, more longitudinal studies with greater sample size and robust correction for multiple comparisons are still warranted to establish their utility.","author":[{"dropping-particle":"","family":"Habib","given":"Mirette","non-dropping-particle":"","parse-names":false,"suffix":""},{"dropping-particle":"","family":"Mak","given":"Elijah","non-dropping-particle":"","parse-names":false,"suffix":""},{"dropping-particle":"","family":"Gabel","given":"Silvy","non-dropping-particle":"","parse-names":false,"suffix":""},{"dropping-particle":"","family":"Su","given":"Li","non-dropping-particle":"","parse-names":false,"suffix":""},{"dropping-particle":"","family":"Williams","given":"Guy","non-dropping-particle":"","parse-names":false,"suffix":""},{"dropping-particle":"","family":"Waldman","given":"Adam","non-dropping-particle":"","parse-names":false,"suffix":""},{"dropping-particle":"","family":"Wells","given":"Katie","non-dropping-particle":"","parse-names":false,"suffix":""},{"dropping-particle":"","family":"Ritchie","given":"Karen","non-dropping-particle":"","parse-names":false,"suffix":""},{"dropping-particle":"","family":"Ritchie","given":"Craig","non-dropping-particle":"","parse-names":false,"suffix":""},{"dropping-particle":"","family":"O’Brien","given":"John T.","non-dropping-particle":"","parse-names":false,"suffix":""}],"container-title":"Ageing Research Reviews","id":"ITEM-1","issued":{"date-parts":[["2017"]]},"title":"Functional neuroimaging findings in healthy middle-aged adults at risk of alzheimer’s disease","type":"article-journal"},"uris":["http://www.mendeley.com/documents/?uuid=e430518c-b4cf-3c66-955b-6d00823ff54d"]},{"id":"ITEM-2","itemData":{"DOI":"10.1016/j.arr.2016.10.001","ISSN":"15681637","author":[{"dropping-particle":"","family":"Mak","given":"Elijah","non-dropping-particle":"","parse-names":false,"suffix":""},{"dropping-particle":"","family":"Gabel","given":"Silvy","non-dropping-particle":"","parse-names":false,"suffix":""},{"dropping-particle":"","family":"Mirette","given":"Habib","non-dropping-particle":"","parse-names":false,"suffix":""},{"dropping-particle":"","family":"Su","given":"Li","non-dropping-particle":"","parse-names":false,"suffix":""},{"dropping-particle":"","family":"Williams","given":"Guy B","non-dropping-particle":"","parse-names":false,"suffix":""},{"dropping-particle":"","family":"Waldman","given":"Adam","non-dropping-particle":"","parse-names":false,"suffix":""},{"dropping-particle":"","family":"Wells","given":"Katie","non-dropping-particle":"","parse-names":false,"suffix":""},{"dropping-particle":"","family":"Ritchie","given":"Karen","non-dropping-particle":"","parse-names":false,"suffix":""},{"dropping-particle":"","family":"Ritchie","given":"Craig","non-dropping-particle":"","parse-names":false,"suffix":""},{"dropping-particle":"","family":"O’Brien","given":"John","non-dropping-particle":"","parse-names":false,"suffix":""}],"container-title":"Ageing Research Reviews","id":"ITEM-2","issued":{"date-parts":[["2017","5"]]},"page":"250-264","title":"Structural neuroimaging in preclinical dementia: From microstructural deficits and grey matter atrophy to macroscale connectomic changes","type":"article-journal","volume":"35"},"uris":["http://www.mendeley.com/documents/?uuid=19209d9a-bfbf-3cbc-8797-17456a2bf4b4"]}],"mendeley":{"formattedCitation":"(Habib et al., 2017; Mak et al., 2017)","plainTextFormattedCitation":"(Habib et al., 2017; Mak et al., 2017)","previouslyFormattedCitation":"(Habib et al., 2017; Mak et al., 2017)"},"properties":{"noteIndex":0},"schema":"https://github.com/citation-style-language/schema/raw/master/csl-citation.json"}</w:instrText>
      </w:r>
      <w:r w:rsidR="00D97CBA"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(Habib et al., 2017; Mak et al., 2017)</w:t>
      </w:r>
      <w:r w:rsidR="00D97CBA" w:rsidRPr="00F10F41">
        <w:rPr>
          <w:rFonts w:ascii="Arial" w:hAnsi="Arial" w:cs="Arial"/>
          <w:color w:val="000000" w:themeColor="text1"/>
          <w:sz w:val="22"/>
          <w:szCs w:val="22"/>
        </w:rPr>
        <w:fldChar w:fldCharType="end"/>
      </w:r>
      <w:r w:rsidR="00D97CBA" w:rsidRPr="00F10F41">
        <w:rPr>
          <w:rFonts w:ascii="Arial" w:hAnsi="Arial" w:cs="Arial"/>
          <w:color w:val="000000" w:themeColor="text1"/>
          <w:sz w:val="22"/>
          <w:szCs w:val="22"/>
        </w:rPr>
        <w:t xml:space="preserve">. </w:t>
      </w:r>
      <w:bookmarkStart w:id="9" w:name="OLE_LINK15"/>
      <w:bookmarkStart w:id="10" w:name="OLE_LINK16"/>
      <w:bookmarkEnd w:id="7"/>
      <w:bookmarkEnd w:id="8"/>
      <w:r w:rsidR="004E6090" w:rsidRPr="00F10F41">
        <w:rPr>
          <w:rFonts w:ascii="Arial" w:hAnsi="Arial" w:cs="Arial"/>
          <w:color w:val="000000" w:themeColor="text1"/>
          <w:sz w:val="22"/>
          <w:szCs w:val="22"/>
        </w:rPr>
        <w:t>M</w:t>
      </w:r>
      <w:r w:rsidR="006D13E1" w:rsidRPr="00F10F41">
        <w:rPr>
          <w:rFonts w:ascii="Arial" w:hAnsi="Arial" w:cs="Arial"/>
          <w:color w:val="000000" w:themeColor="text1"/>
          <w:sz w:val="22"/>
          <w:szCs w:val="22"/>
        </w:rPr>
        <w:t xml:space="preserve">ethodological differences, study designs and </w:t>
      </w:r>
      <w:r w:rsidR="001C5CA9" w:rsidRPr="00F10F41">
        <w:rPr>
          <w:rFonts w:ascii="Arial" w:hAnsi="Arial" w:cs="Arial"/>
          <w:color w:val="000000" w:themeColor="text1"/>
          <w:sz w:val="22"/>
          <w:szCs w:val="22"/>
        </w:rPr>
        <w:t xml:space="preserve">different </w:t>
      </w:r>
      <w:r w:rsidR="006D13E1" w:rsidRPr="00F10F41">
        <w:rPr>
          <w:rFonts w:ascii="Arial" w:hAnsi="Arial" w:cs="Arial"/>
          <w:color w:val="000000" w:themeColor="text1"/>
          <w:sz w:val="22"/>
          <w:szCs w:val="22"/>
        </w:rPr>
        <w:t>age ranges are all plausible explanations</w:t>
      </w:r>
      <w:r w:rsidR="00355218" w:rsidRPr="00F10F41">
        <w:rPr>
          <w:rFonts w:ascii="Arial" w:hAnsi="Arial" w:cs="Arial"/>
          <w:color w:val="000000" w:themeColor="text1"/>
          <w:sz w:val="22"/>
          <w:szCs w:val="22"/>
        </w:rPr>
        <w:t xml:space="preserve"> </w:t>
      </w:r>
      <w:r w:rsidR="001C5CA9" w:rsidRPr="00F10F41">
        <w:rPr>
          <w:rFonts w:ascii="Arial" w:hAnsi="Arial" w:cs="Arial"/>
          <w:color w:val="000000" w:themeColor="text1"/>
          <w:sz w:val="22"/>
          <w:szCs w:val="22"/>
        </w:rPr>
        <w:t xml:space="preserve">for the discrepancy </w:t>
      </w:r>
      <w:r w:rsidR="00C5068E" w:rsidRPr="00F10F41">
        <w:rPr>
          <w:rFonts w:ascii="Arial" w:hAnsi="Arial" w:cs="Arial"/>
          <w:color w:val="000000" w:themeColor="text1"/>
          <w:sz w:val="22"/>
          <w:szCs w:val="22"/>
        </w:rPr>
        <w:t>of</w:t>
      </w:r>
      <w:r w:rsidR="001C5CA9" w:rsidRPr="00F10F41">
        <w:rPr>
          <w:rFonts w:ascii="Arial" w:hAnsi="Arial" w:cs="Arial"/>
          <w:color w:val="000000" w:themeColor="text1"/>
          <w:sz w:val="22"/>
          <w:szCs w:val="22"/>
        </w:rPr>
        <w:t xml:space="preserve"> findings</w:t>
      </w:r>
      <w:r w:rsidR="00C5068E" w:rsidRPr="00F10F41">
        <w:rPr>
          <w:rFonts w:ascii="Arial" w:hAnsi="Arial" w:cs="Arial"/>
          <w:color w:val="000000" w:themeColor="text1"/>
          <w:sz w:val="22"/>
          <w:szCs w:val="22"/>
        </w:rPr>
        <w:t xml:space="preserve"> in the FH literature. Yet</w:t>
      </w:r>
      <w:r w:rsidR="006646B7" w:rsidRPr="00F10F41">
        <w:rPr>
          <w:rFonts w:ascii="Arial" w:hAnsi="Arial" w:cs="Arial"/>
          <w:color w:val="000000" w:themeColor="text1"/>
          <w:sz w:val="22"/>
          <w:szCs w:val="22"/>
        </w:rPr>
        <w:t xml:space="preserve"> an </w:t>
      </w:r>
      <w:r w:rsidR="00C5068E" w:rsidRPr="00F10F41">
        <w:rPr>
          <w:rFonts w:ascii="Arial" w:hAnsi="Arial" w:cs="Arial"/>
          <w:color w:val="000000" w:themeColor="text1"/>
          <w:sz w:val="22"/>
          <w:szCs w:val="22"/>
        </w:rPr>
        <w:t xml:space="preserve">alternative possibility is that the </w:t>
      </w:r>
      <w:r w:rsidR="009A5B04" w:rsidRPr="00F10F41">
        <w:rPr>
          <w:rFonts w:ascii="Arial" w:hAnsi="Arial" w:cs="Arial"/>
          <w:color w:val="000000" w:themeColor="text1"/>
          <w:sz w:val="22"/>
          <w:szCs w:val="22"/>
        </w:rPr>
        <w:t xml:space="preserve">presence </w:t>
      </w:r>
      <w:r w:rsidR="0013279C" w:rsidRPr="00F10F41">
        <w:rPr>
          <w:rFonts w:ascii="Arial" w:hAnsi="Arial" w:cs="Arial"/>
          <w:color w:val="000000" w:themeColor="text1"/>
          <w:sz w:val="22"/>
          <w:szCs w:val="22"/>
        </w:rPr>
        <w:t xml:space="preserve">of brain abnormalities </w:t>
      </w:r>
      <w:r w:rsidR="009A5B04" w:rsidRPr="00F10F41">
        <w:rPr>
          <w:rFonts w:ascii="Arial" w:hAnsi="Arial" w:cs="Arial"/>
          <w:color w:val="000000" w:themeColor="text1"/>
          <w:sz w:val="22"/>
          <w:szCs w:val="22"/>
        </w:rPr>
        <w:t>may only</w:t>
      </w:r>
      <w:r w:rsidR="0013279C" w:rsidRPr="00F10F41">
        <w:rPr>
          <w:rFonts w:ascii="Arial" w:hAnsi="Arial" w:cs="Arial"/>
          <w:color w:val="000000" w:themeColor="text1"/>
          <w:sz w:val="22"/>
          <w:szCs w:val="22"/>
        </w:rPr>
        <w:t xml:space="preserve"> be</w:t>
      </w:r>
      <w:r w:rsidR="00841E7A" w:rsidRPr="00F10F41">
        <w:rPr>
          <w:rFonts w:ascii="Arial" w:hAnsi="Arial" w:cs="Arial"/>
          <w:color w:val="000000" w:themeColor="text1"/>
          <w:sz w:val="22"/>
          <w:szCs w:val="22"/>
        </w:rPr>
        <w:t xml:space="preserve"> reliably</w:t>
      </w:r>
      <w:r w:rsidR="009A5B04" w:rsidRPr="00F10F41">
        <w:rPr>
          <w:rFonts w:ascii="Arial" w:hAnsi="Arial" w:cs="Arial"/>
          <w:color w:val="000000" w:themeColor="text1"/>
          <w:sz w:val="22"/>
          <w:szCs w:val="22"/>
        </w:rPr>
        <w:t xml:space="preserve"> detected amongst</w:t>
      </w:r>
      <w:r w:rsidR="003E13C2" w:rsidRPr="00F10F41">
        <w:rPr>
          <w:rFonts w:ascii="Arial" w:hAnsi="Arial" w:cs="Arial"/>
          <w:color w:val="000000" w:themeColor="text1"/>
          <w:sz w:val="22"/>
          <w:szCs w:val="22"/>
        </w:rPr>
        <w:t xml:space="preserve"> </w:t>
      </w:r>
      <w:r w:rsidR="009A5B04" w:rsidRPr="00F10F41">
        <w:rPr>
          <w:rFonts w:ascii="Arial" w:hAnsi="Arial" w:cs="Arial"/>
          <w:color w:val="000000" w:themeColor="text1"/>
          <w:sz w:val="22"/>
          <w:szCs w:val="22"/>
        </w:rPr>
        <w:t xml:space="preserve">individuals </w:t>
      </w:r>
      <w:r w:rsidR="0013279C" w:rsidRPr="00F10F41">
        <w:rPr>
          <w:rFonts w:ascii="Arial" w:hAnsi="Arial" w:cs="Arial"/>
          <w:color w:val="000000" w:themeColor="text1"/>
          <w:sz w:val="22"/>
          <w:szCs w:val="22"/>
        </w:rPr>
        <w:t xml:space="preserve">who are </w:t>
      </w:r>
      <w:r w:rsidR="009A5B04" w:rsidRPr="00F10F41">
        <w:rPr>
          <w:rFonts w:ascii="Arial" w:hAnsi="Arial" w:cs="Arial"/>
          <w:color w:val="000000" w:themeColor="text1"/>
          <w:sz w:val="22"/>
          <w:szCs w:val="22"/>
        </w:rPr>
        <w:t xml:space="preserve">on the </w:t>
      </w:r>
      <w:r w:rsidR="0013279C" w:rsidRPr="00F10F41">
        <w:rPr>
          <w:rFonts w:ascii="Arial" w:hAnsi="Arial" w:cs="Arial"/>
          <w:color w:val="000000" w:themeColor="text1"/>
          <w:sz w:val="22"/>
          <w:szCs w:val="22"/>
        </w:rPr>
        <w:t>precipice of</w:t>
      </w:r>
      <w:r w:rsidR="009A5B04" w:rsidRPr="00F10F41">
        <w:rPr>
          <w:rFonts w:ascii="Arial" w:hAnsi="Arial" w:cs="Arial"/>
          <w:color w:val="000000" w:themeColor="text1"/>
          <w:sz w:val="22"/>
          <w:szCs w:val="22"/>
        </w:rPr>
        <w:t xml:space="preserve"> symptom onse</w:t>
      </w:r>
      <w:bookmarkEnd w:id="9"/>
      <w:bookmarkEnd w:id="10"/>
      <w:r w:rsidR="0086771C" w:rsidRPr="00F10F41">
        <w:rPr>
          <w:rFonts w:ascii="Arial" w:hAnsi="Arial" w:cs="Arial"/>
          <w:color w:val="000000" w:themeColor="text1"/>
          <w:sz w:val="22"/>
          <w:szCs w:val="22"/>
        </w:rPr>
        <w:t>t</w:t>
      </w:r>
      <w:r w:rsidR="00A1152F" w:rsidRPr="00F10F41">
        <w:rPr>
          <w:rFonts w:ascii="Arial" w:hAnsi="Arial" w:cs="Arial"/>
          <w:color w:val="000000" w:themeColor="text1"/>
          <w:sz w:val="22"/>
          <w:szCs w:val="22"/>
        </w:rPr>
        <w:t>.</w:t>
      </w:r>
      <w:r w:rsidR="00D1608A" w:rsidRPr="00F10F41">
        <w:rPr>
          <w:rFonts w:ascii="Arial" w:hAnsi="Arial" w:cs="Arial"/>
          <w:color w:val="000000" w:themeColor="text1"/>
          <w:sz w:val="22"/>
          <w:szCs w:val="22"/>
        </w:rPr>
        <w:t xml:space="preserve"> </w:t>
      </w:r>
      <w:r w:rsidR="00841E7A" w:rsidRPr="00F10F41">
        <w:rPr>
          <w:rFonts w:ascii="Arial" w:hAnsi="Arial" w:cs="Arial"/>
          <w:color w:val="000000" w:themeColor="text1"/>
          <w:sz w:val="22"/>
          <w:szCs w:val="22"/>
        </w:rPr>
        <w:t>Indeed, studies in cohorts of persons with familial AD mutations have proposed the estimated years to onset (EYO) as a stage marker of preclinical severity</w:t>
      </w:r>
      <w:r w:rsidR="00A1152F" w:rsidRPr="00F10F41">
        <w:rPr>
          <w:rFonts w:ascii="Arial" w:hAnsi="Arial" w:cs="Arial"/>
          <w:color w:val="000000" w:themeColor="text1"/>
          <w:sz w:val="22"/>
          <w:szCs w:val="22"/>
        </w:rPr>
        <w:t xml:space="preserve"> </w:t>
      </w:r>
      <w:r w:rsidR="00A1152F"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{"citationItems":[{"id":"ITEM-1","itemData":{"DOI":"10.1056/NEJMoa1202753","ISBN":"1533-4406 (Electronic)\\r0028-4793 (Linking)","ISSN":"1533-4406","PMID":"22784036","abstract":"BACKGROUND: The order and magnitude of pathologic processes in Alzheimer's disease are not well understood, partly because the disease develops over many years. Autosomal dominant Alzheimer's disease has a predictable age at onset and provides an opportunity to determine the sequence and magnitude of pathologic changes that culminate in symptomatic disease.\\n\\nMETHODS: In this prospective, longitudinal study, we analyzed data from 128 participants who underwent baseline clinical and cognitive assessments, brain imaging, and cerebrospinal fluid (CSF) and blood tests. We used the participant's age at baseline assessment and the parent's age at the onset of symptoms of Alzheimer's disease to calculate the estimated years from expected symptom onset (age of the participant minus parent's age at symptom onset). We conducted cross-sectional analyses of baseline data in relation to estimated years from expected symptom onset in order to determine the relative order and magnitude of pathophysiological changes.\\n\\nRESULTS: Concentrations of amyloid-beta (Aβ)(42) in the CSF appeared to decline 25 years before expected symptom onset. Aβ deposition, as measured by positron-emission tomography with the use of Pittsburgh compound B, was detected 15 years before expected symptom onset. Increased concentrations of tau protein in the CSF and an increase in brain atrophy were detected 15 years before expected symptom onset. Cerebral hypometabolism and impaired episodic memory were observed 10 years before expected symptom onset. Global cognitive impairment, as measured by the Mini-Mental State Examination and the Clinical Dementia Rating scale, was detected 5 years before expected symptom onset, and patients met diagnostic criteria for dementia at an average of 3 years after expected symptom onset.\\n\\nCONCLUSIONS: We found that autosomal dominant Alzheimer's disease was associated with a series of pathophysiological changes over decades in CSF biochemical markers of Alzheimer's disease, brain amyloid deposition, and brain metabolism as well as progressive cognitive impairment. Our results require confirmation with the use of longitudinal data and may not apply to patients with sporadic Alzheimer's disease. (Funded by the National Institute on Aging and others; DIAN ClinicalTrials.gov number, NCT00869817.).","author":[{"dropping-particle":"","family":"Bateman","given":"Randall J","non-dropping-particle":"","parse-names":false,"suffix":""},{"dropping-particle":"","family":"Xiong","given":"Chengjie","non-dropping-particle":"","parse-names":false,"suffix":""},{"dropping-particle":"","family":"Benzinger","given":"Tammie L S","non-dropping-particle":"","parse-names":false,"suffix":""},{"dropping-particle":"","family":"Fagan","given":"Anne M","non-dropping-particle":"","parse-names":false,"suffix":""},{"dropping-particle":"","family":"Goate","given":"Alison","non-dropping-particle":"","parse-names":false,"suffix":""},{"dropping-particle":"","family":"Fox","given":"Nick C","non-dropping-particle":"","parse-names":false,"suffix":""},{"dropping-particle":"","family":"Marcus","given":"Daniel S","non-dropping-particle":"","parse-names":false,"suffix":""},{"dropping-particle":"","family":"Cairns","given":"Nigel J","non-dropping-particle":"","parse-names":false,"suffix":""},{"dropping-particle":"","family":"Xie","given":"Xianyun","non-dropping-particle":"","parse-names":false,"suffix":""},{"dropping-particle":"","family":"Blazey","given":"Tyler M","non-dropping-particle":"","parse-names":false,"suffix":""},{"dropping-particle":"","family":"Holtzman","given":"David M","non-dropping-particle":"","parse-names":false,"suffix":""},{"dropping-particle":"","family":"Santacruz","given":"Anna","non-dropping-particle":"","parse-names":false,"suffix":""},{"dropping-particle":"","family":"Buckles","given":"Virginia","non-dropping-particle":"","parse-names":false,"suffix":""},{"dropping-particle":"","family":"Oliver","given":"Angela","non-dropping-particle":"","parse-names":false,"suffix":""},{"dropping-particle":"","family":"Moulder","given":"Krista","non-dropping-particle":"","parse-names":false,"suffix":""},{"dropping-particle":"","family":"Aisen","given":"Paul S","non-dropping-particle":"","parse-names":false,"suffix":""},{"dropping-particle":"","family":"Ghetti","given":"Bernardino","non-dropping-particle":"","parse-names":false,"suffix":""},{"dropping-particle":"","family":"Klunk","given":"William E","non-dropping-particle":"","parse-names":false,"suffix":""},{"dropping-particle":"","family":"McDade","given":"Eric","non-dropping-particle":"","parse-names":false,"suffix":""},{"dropping-particle":"","family":"Martins","given":"Ralph N","non-dropping-particle":"","parse-names":false,"suffix":""},{"dropping-particle":"","family":"Masters","given":"Colin L","non-dropping-particle":"","parse-names":false,"suffix":""},{"dropping-particle":"","family":"Mayeux","given":"Richard","non-dropping-particle":"","parse-names":false,"suffix":""},{"dropping-particle":"","family":"Ringman","given":"John M","non-dropping-particle":"","parse-names":false,"suffix":""},{"dropping-particle":"","family":"Rossor","given":"Martin N","non-dropping-particle":"","parse-names":false,"suffix":""},{"dropping-particle":"","family":"Schofield","given":"Peter R","non-dropping-particle":"","parse-names":false,"suffix":""},{"dropping-particle":"","family":"Sperling","given":"Reisa A","non-dropping-particle":"","parse-names":false,"suffix":""},{"dropping-particle":"","family":"Salloway","given":"Stephen","non-dropping-particle":"","parse-names":false,"suffix":""},{"dropping-particle":"","family":"Morris","given":"John C","non-dropping-particle":"","parse-names":false,"suffix":""}],"container-title":"The New England journal of medicine","id":"ITEM-1","issue":"9","issued":{"date-parts":[["2012"]]},"page":"795-804","title":"Clinical and biomarker changes in dominantly inherited Alzheimer's disease.","type":"article-journal","volume":"367"},"uris":["http://www.mendeley.com/documents/?uuid=f2e413fb-4105-4d73-806d-4f915cfb99f3"]}],"mendeley":{"formattedCitation":"(Bateman et al., 2012)","plainTextFormattedCitation":"(Bateman et al., 2012)","previouslyFormattedCitation":"(Bateman et al., 2012)"},"properties":{"noteIndex":0},"schema":"https://github.com/citation-style-language/schema/raw/master/csl-citation.json"}</w:instrText>
      </w:r>
      <w:r w:rsidR="00A1152F"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(Bateman et al., 2012)</w:t>
      </w:r>
      <w:r w:rsidR="00A1152F" w:rsidRPr="00F10F41">
        <w:rPr>
          <w:rFonts w:ascii="Arial" w:hAnsi="Arial" w:cs="Arial"/>
          <w:color w:val="000000" w:themeColor="text1"/>
          <w:sz w:val="22"/>
          <w:szCs w:val="22"/>
        </w:rPr>
        <w:fldChar w:fldCharType="end"/>
      </w:r>
      <w:r w:rsidR="00841E7A" w:rsidRPr="00F10F41">
        <w:rPr>
          <w:rFonts w:ascii="Arial" w:hAnsi="Arial" w:cs="Arial"/>
          <w:color w:val="000000" w:themeColor="text1"/>
          <w:sz w:val="22"/>
          <w:szCs w:val="22"/>
        </w:rPr>
        <w:t>.</w:t>
      </w:r>
      <w:r w:rsidR="00A5050C" w:rsidRPr="00F10F41">
        <w:rPr>
          <w:rFonts w:ascii="Arial" w:hAnsi="Arial" w:cs="Arial"/>
          <w:color w:val="000000" w:themeColor="text1"/>
          <w:sz w:val="22"/>
          <w:szCs w:val="22"/>
        </w:rPr>
        <w:t xml:space="preserve"> </w:t>
      </w:r>
      <w:r w:rsidR="00FA3612" w:rsidRPr="00F10F41">
        <w:rPr>
          <w:rFonts w:ascii="Arial" w:hAnsi="Arial" w:cs="Arial"/>
          <w:color w:val="000000" w:themeColor="text1"/>
          <w:sz w:val="22"/>
          <w:szCs w:val="22"/>
        </w:rPr>
        <w:t xml:space="preserve">By </w:t>
      </w:r>
      <w:r w:rsidR="00952923" w:rsidRPr="00F10F41">
        <w:rPr>
          <w:rFonts w:ascii="Arial" w:hAnsi="Arial" w:cs="Arial"/>
          <w:color w:val="000000" w:themeColor="text1"/>
          <w:sz w:val="22"/>
          <w:szCs w:val="22"/>
        </w:rPr>
        <w:t>exploiting</w:t>
      </w:r>
      <w:r w:rsidR="00FA3612" w:rsidRPr="00F10F41">
        <w:rPr>
          <w:rFonts w:ascii="Arial" w:hAnsi="Arial" w:cs="Arial"/>
          <w:color w:val="000000" w:themeColor="text1"/>
          <w:sz w:val="22"/>
          <w:szCs w:val="22"/>
        </w:rPr>
        <w:t xml:space="preserve"> the near certainty of dementia onset</w:t>
      </w:r>
      <w:r w:rsidR="002002F8" w:rsidRPr="00F10F41">
        <w:rPr>
          <w:rFonts w:ascii="Arial" w:hAnsi="Arial" w:cs="Arial"/>
          <w:color w:val="000000" w:themeColor="text1"/>
          <w:sz w:val="22"/>
          <w:szCs w:val="22"/>
        </w:rPr>
        <w:t xml:space="preserve"> in </w:t>
      </w:r>
      <w:r w:rsidR="00A5050C" w:rsidRPr="00F10F41">
        <w:rPr>
          <w:rFonts w:ascii="Arial" w:hAnsi="Arial" w:cs="Arial"/>
          <w:color w:val="000000" w:themeColor="text1"/>
          <w:sz w:val="22"/>
          <w:szCs w:val="22"/>
        </w:rPr>
        <w:t>carriers of familial AD mutation</w:t>
      </w:r>
      <w:r w:rsidR="00440252" w:rsidRPr="00F10F41">
        <w:rPr>
          <w:rFonts w:ascii="Arial" w:hAnsi="Arial" w:cs="Arial"/>
          <w:color w:val="000000" w:themeColor="text1"/>
          <w:sz w:val="22"/>
          <w:szCs w:val="22"/>
        </w:rPr>
        <w:t xml:space="preserve">s, EYO </w:t>
      </w:r>
      <w:r w:rsidR="000F4109" w:rsidRPr="00F10F41">
        <w:rPr>
          <w:rFonts w:ascii="Arial" w:hAnsi="Arial" w:cs="Arial"/>
          <w:color w:val="000000" w:themeColor="text1"/>
          <w:sz w:val="22"/>
          <w:szCs w:val="22"/>
        </w:rPr>
        <w:t>has been</w:t>
      </w:r>
      <w:r w:rsidR="00440252" w:rsidRPr="00F10F41">
        <w:rPr>
          <w:rFonts w:ascii="Arial" w:hAnsi="Arial" w:cs="Arial"/>
          <w:color w:val="000000" w:themeColor="text1"/>
          <w:sz w:val="22"/>
          <w:szCs w:val="22"/>
        </w:rPr>
        <w:t xml:space="preserve"> derived based on the difference between an individual’s age and the parental age of symptom onset</w:t>
      </w:r>
      <w:r w:rsidR="00EE1AEF" w:rsidRPr="00F10F41">
        <w:rPr>
          <w:rFonts w:ascii="Arial" w:hAnsi="Arial" w:cs="Arial"/>
          <w:color w:val="000000" w:themeColor="text1"/>
          <w:sz w:val="22"/>
          <w:szCs w:val="22"/>
        </w:rPr>
        <w:t>.</w:t>
      </w:r>
      <w:r w:rsidR="00EA30BB" w:rsidRPr="00F10F41">
        <w:rPr>
          <w:rFonts w:ascii="Arial" w:hAnsi="Arial" w:cs="Arial"/>
          <w:color w:val="000000" w:themeColor="text1"/>
          <w:sz w:val="22"/>
          <w:szCs w:val="22"/>
        </w:rPr>
        <w:t xml:space="preserve">  </w:t>
      </w:r>
      <w:r w:rsidR="00EE1AEF" w:rsidRPr="00F10F41">
        <w:rPr>
          <w:rFonts w:ascii="Arial" w:hAnsi="Arial" w:cs="Arial"/>
          <w:color w:val="000000" w:themeColor="text1"/>
          <w:sz w:val="22"/>
          <w:szCs w:val="22"/>
        </w:rPr>
        <w:t>Its association</w:t>
      </w:r>
      <w:r w:rsidR="00EA30BB" w:rsidRPr="00F10F41">
        <w:rPr>
          <w:rFonts w:ascii="Arial" w:hAnsi="Arial" w:cs="Arial"/>
          <w:color w:val="000000" w:themeColor="text1"/>
          <w:sz w:val="22"/>
          <w:szCs w:val="22"/>
        </w:rPr>
        <w:t xml:space="preserve"> with </w:t>
      </w:r>
      <w:r w:rsidR="002C1EAC" w:rsidRPr="00F10F41">
        <w:rPr>
          <w:rFonts w:ascii="Arial" w:hAnsi="Arial" w:cs="Arial"/>
          <w:color w:val="000000" w:themeColor="text1"/>
          <w:sz w:val="22"/>
          <w:szCs w:val="22"/>
        </w:rPr>
        <w:t>deficits</w:t>
      </w:r>
      <w:r w:rsidR="00523891" w:rsidRPr="00F10F41">
        <w:rPr>
          <w:rFonts w:ascii="Arial" w:hAnsi="Arial" w:cs="Arial"/>
          <w:color w:val="000000" w:themeColor="text1"/>
          <w:sz w:val="22"/>
          <w:szCs w:val="22"/>
        </w:rPr>
        <w:t xml:space="preserve"> in functional connectivity</w:t>
      </w:r>
      <w:r w:rsidR="00D85683" w:rsidRPr="00F10F41">
        <w:rPr>
          <w:rFonts w:ascii="Arial" w:hAnsi="Arial" w:cs="Arial"/>
          <w:color w:val="000000" w:themeColor="text1"/>
          <w:sz w:val="22"/>
          <w:szCs w:val="22"/>
        </w:rPr>
        <w:t xml:space="preserve"> </w:t>
      </w:r>
      <w:r w:rsidR="00D85683"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{"citationItems":[{"id":"ITEM-1","itemData":{"DOI":"10.1093/cercor/bhq158","ISBN":"1047-3211","ISSN":"10473211","PMID":"20729396","abstract":"Prior functional magnetic resonance imaging (fMRI) studies have found increased activity-related blood oxygen level-dependent (BOLD) signal in cognitively normal persons at genetic risk for Alzheimer's disease (AD). This has been interpreted as a compensatory response to incipient AD pathology. We studied the effects of fully penetrant familial Alzheimer's disease (FAD) mutations and apolipoprotein E (APOE) genotype on BOLD fMRI during a novelty encoding task in presymptomatic subjects. Twenty-three Mexican or Mexican-American persons at-risk for inheriting FAD mutations performed a block design novelty encoding task, and activation exhibited by FAD mutation carriers (MCs) was contrasted with that of noncarriers (NCs) and among APOE genotype groups. FAD MCs (n = 14) showed decreased BOLD activation in the anterior cingulate gyrus relative to 9 NCs. No increased activation was seen in MCs relative to NCs. Four APOE ε3/4 carriers demonstrated increased BOLD signal compared with 14 ε3/3 carriers in the occipital and perisylvian cortices bilaterally. There were no areas where ε3/3 carriers activated more than ε3/4 carriers. Our findings of increased fMRI activation associated with APOE genotype but not with FAD mutations suggest that APOE exerts an effect on the BOLD signal that is not readily explained as a compensatory phenomenon.","author":[{"dropping-particle":"","family":"Ringman","given":"John M.","non-dropping-particle":"","parse-names":false,"suffix":""},{"dropping-particle":"","family":"Medina","given":"Luis D.","non-dropping-particle":"","parse-names":false,"suffix":""},{"dropping-particle":"","family":"Braskie","given":"Meredith","non-dropping-particle":"","parse-names":false,"suffix":""},{"dropping-particle":"","family":"Rodriguez-Agudelo","given":"Yaneth","non-dropping-particle":"","parse-names":false,"suffix":""},{"dropping-particle":"","family":"Geschwind","given":"Daniel H.","non-dropping-particle":"","parse-names":false,"suffix":""},{"dropping-particle":"","family":"MacIas-Islas","given":"Miguel A.","non-dropping-particle":"","parse-names":false,"suffix":""},{"dropping-particle":"","family":"Cummings","given":"Jeffrey L.","non-dropping-particle":"","parse-names":false,"suffix":""},{"dropping-particle":"","family":"Bookheimer","given":"Susan","non-dropping-particle":"","parse-names":false,"suffix":""}],"container-title":"Cerebral Cortex","id":"ITEM-1","issue":"4","issued":{"date-parts":[["2011"]]},"page":"877-883","title":"Effects of risk genes on BOLD activation in presymptomatic carriers of familial alzheimer's disease mutations during a novelty encoding task","type":"article-journal","volume":"21"},"uris":["http://www.mendeley.com/documents/?uuid=d25ac857-7b50-4295-a90c-3d7de731fc2c","http://www.mendeley.com/documents/?uuid=9a80b855-02a3-4a49-9bd1-0264bea35d5c","http://www.mendeley.com/documents/?uuid=fc8ddfd2-3784-445c-9cef-f9df38d99319"]}],"mendeley":{"formattedCitation":"(Ringman et al., 2011)","plainTextFormattedCitation":"(Ringman et al., 2011)","previouslyFormattedCitation":"(Ringman et al., 2011)"},"properties":{"noteIndex":0},"schema":"https://github.com/citation-style-language/schema/raw/master/csl-citation.json"}</w:instrText>
      </w:r>
      <w:r w:rsidR="00D85683"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(Ringman et al., 2011)</w:t>
      </w:r>
      <w:r w:rsidR="00D85683" w:rsidRPr="00F10F41">
        <w:rPr>
          <w:rFonts w:ascii="Arial" w:hAnsi="Arial" w:cs="Arial"/>
          <w:color w:val="000000" w:themeColor="text1"/>
          <w:sz w:val="22"/>
          <w:szCs w:val="22"/>
        </w:rPr>
        <w:fldChar w:fldCharType="end"/>
      </w:r>
      <w:r w:rsidR="00523891" w:rsidRPr="00F10F41">
        <w:rPr>
          <w:rFonts w:ascii="Arial" w:hAnsi="Arial" w:cs="Arial"/>
          <w:color w:val="000000" w:themeColor="text1"/>
          <w:sz w:val="22"/>
          <w:szCs w:val="22"/>
        </w:rPr>
        <w:t xml:space="preserve">, </w:t>
      </w:r>
      <w:r w:rsidR="00DA20E9" w:rsidRPr="00F10F41">
        <w:rPr>
          <w:rFonts w:ascii="Arial" w:hAnsi="Arial" w:cs="Arial"/>
          <w:color w:val="000000" w:themeColor="text1"/>
          <w:sz w:val="22"/>
          <w:szCs w:val="22"/>
        </w:rPr>
        <w:t>alterations in white matter tracts</w:t>
      </w:r>
      <w:r w:rsidR="00192438" w:rsidRPr="00F10F41">
        <w:rPr>
          <w:rFonts w:ascii="Arial" w:hAnsi="Arial" w:cs="Arial"/>
          <w:color w:val="000000" w:themeColor="text1"/>
          <w:sz w:val="22"/>
          <w:szCs w:val="22"/>
        </w:rPr>
        <w:t xml:space="preserve"> </w:t>
      </w:r>
      <w:r w:rsidR="00192438"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{"citationItems":[{"id":"ITEM-1","itemData":{"DOI":"10.1093/brain/awm102","ISBN":"1460-2156","ISSN":"00068950","PMID":"17522104","abstract":"Measures are needed that identify persons that will develop Alzheimer's disease in order to target them for preventative interventions. There is evidence from animal, pathological and imaging studies that disruption of white matter occurs in the course of Alzheimer's disease and may be an early event. Prior studies have suggested that late-myelinating regions or white matter connecting limbic structures are particularly susceptible to degradation. Persons destined to develop the disease by virtue of fully penetrant genetic alterations (familial Alzheimer's disease or FAD) provide a model in which early and even presymptomatic changes of the disease may be identified. In this study we performed diffusion tensor imaging (DTI) on 2 demented and 21 subjects at-risk for inheriting an FAD mutation. We compared global and localized fractional anisotropy (FA) measures in white matter between FAD mutation carriers and non-carriers in the preclinical (clinical dementia rating &lt;1, n = 20) and presymptomatic (clinical dementia rating = 0, n = 15) stages of the disease. There were no significant differences between mutation carriers and non-carriers with regard to absolute age, age relative to the typical age of disease diagnosis in their family, gender or Mini-Mental Status Examination Score. Among preclinical FAD mutation carriers (n = 12), mean whole brain white-matter FA (P = 0.045), FA of the columns of the fornix (P = 0.012), area of the perforant pathways bilaterally (right side: P = 0.028, left side: P = 0.027) and left orbitofrontal lobe (P = 0.024) were decreased relative to that of non-carriers (n = 8). We also found that FA in the columns of the fornix (P = 0.008) and left orbitofrontal lobe white matter (P = 0.045) were decreased in the eight presymptomatic mutation carriers compared to seven non-carriers. Logistic regression demonstrated that FA of the columns of the fornix was a better predictor of mutation status than was cross-sectional area of the fornix, global mean white-matter FA and left frontal lobe white-matter FA. In a linear regression analysis, white-matter volume (P = 0.002), hippocampal volume (P = 0.023) and mutation status (P = 0.032) significantly predicted fornix FA. We conclude that FA is decreased in the white matter in preclinical and even presymptomatic FAD mutation carriers, particularly in the late-myelinating tracts connecting limbic structures. Decreased FA in of the columns of the fornix is particularly robust in early FAD a…","author":[{"dropping-particle":"","family":"Ringman","given":"John M.","non-dropping-particle":"","parse-names":false,"suffix":""},{"dropping-particle":"","family":"O'Neill","given":"Joseph","non-dropping-particle":"","parse-names":false,"suffix":""},{"dropping-particle":"","family":"Geschwind","given":"Daniel","non-dropping-particle":"","parse-names":false,"suffix":""},{"dropping-particle":"","family":"Medina","given":"Luis","non-dropping-particle":"","parse-names":false,"suffix":""},{"dropping-particle":"","family":"Apostolova","given":"Liana G.","non-dropping-particle":"","parse-names":false,"suffix":""},{"dropping-particle":"","family":"Rodriguez","given":"Yaneth","non-dropping-particle":"","parse-names":false,"suffix":""},{"dropping-particle":"","family":"Schaffer","given":"Barbara","non-dropping-particle":"","parse-names":false,"suffix":""},{"dropping-particle":"","family":"Varpetian","given":"Arousiak","non-dropping-particle":"","parse-names":false,"suffix":""},{"dropping-particle":"","family":"Tseng","given":"Benjamin","non-dropping-particle":"","parse-names":false,"suffix":""},{"dropping-particle":"","family":"Ortiz","given":"Freddy","non-dropping-particle":"","parse-names":false,"suffix":""},{"dropping-particle":"","family":"Fitten","given":"Jaime","non-dropping-particle":"","parse-names":false,"suffix":""},{"dropping-particle":"","family":"Cummings","given":"Jeffrey L.","non-dropping-particle":"","parse-names":false,"suffix":""},{"dropping-particle":"","family":"Bartzokis","given":"George","non-dropping-particle":"","parse-names":false,"suffix":""}],"container-title":"Brain","id":"ITEM-1","issue":"7","issued":{"date-parts":[["2007"]]},"page":"1767-1776","title":"Diffusion tensor imaging in preclinical and presymptomatic carriers of familial Alzheimer's disease mutations","type":"article-journal","volume":"130"},"uris":["http://www.mendeley.com/documents/?uuid=1999cad6-4569-47f0-b817-f45edf996436","http://www.mendeley.com/documents/?uuid=7af8b031-a553-46b8-9587-2b4f089d6984","http://www.mendeley.com/documents/?uuid=50782be2-a518-462c-ae7f-73e207d51cb8"]}],"mendeley":{"formattedCitation":"(Ringman et al., 2007)","plainTextFormattedCitation":"(Ringman et al., 2007)","previouslyFormattedCitation":"(Ringman et al., 2007)"},"properties":{"noteIndex":0},"schema":"https://github.com/citation-style-language/schema/raw/master/csl-citation.json"}</w:instrText>
      </w:r>
      <w:r w:rsidR="00192438"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(Ringman et al., 2007)</w:t>
      </w:r>
      <w:r w:rsidR="00192438" w:rsidRPr="00F10F41">
        <w:rPr>
          <w:rFonts w:ascii="Arial" w:hAnsi="Arial" w:cs="Arial"/>
          <w:color w:val="000000" w:themeColor="text1"/>
          <w:sz w:val="22"/>
          <w:szCs w:val="22"/>
        </w:rPr>
        <w:fldChar w:fldCharType="end"/>
      </w:r>
      <w:r w:rsidR="002C1EAC" w:rsidRPr="00F10F41">
        <w:rPr>
          <w:rFonts w:ascii="Arial" w:hAnsi="Arial" w:cs="Arial"/>
          <w:color w:val="000000" w:themeColor="text1"/>
          <w:sz w:val="22"/>
          <w:szCs w:val="22"/>
        </w:rPr>
        <w:t xml:space="preserve">, white matter lesions </w:t>
      </w:r>
      <w:r w:rsidR="002C1EAC"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{"citationItems":[{"id":"ITEM-1","itemData":{"DOI":"10.1002/ana.24647","ISBN":"1552-5260","ISSN":"03645134","PMID":"27016429","abstract":"Background: White matter hyperintensities (WMH) are areas of increased signal on T2-weighted magnetic resonance imaging (MRI) scans thought to reflect small vessel cerebrovascular disease. Previous work demonstrated that increased WMH volume is associated with risk and progression of AD. According to current pathogenic models, these observations are interpreted as evidence that vascular abnormalities play an additive, independent role contributing to symptom presentation, but not a core feature of AD. We examined the severity and distribution of WMH in presymptomatic presenilin 1, presenilin 2, and amyloid precursor protein mutation carriers to determine the extent towhich small vessel cerebrovascular disease manifests in individuals genetically determined to develop AD. Methods: Participants (n=299, mean age=39.03+10.13, 56% women) came from the Dominantly Inherited Alzheimer's Network (DIAN), where there is a 100% probability of developing AD if an autosomal dominant, fully penetrant mutation for AD is present. The DIAN study includes both symptomatic and asymptomatic participants; 61.5% carried a genetic mutation for AD. We calculated the estimated years from expected symptom onset by subtracting the parent's age at symptom onset from the participant's age. Baseline high-resolution T2-weighted MRI data were analyzed with inhouse developed software to determine the total and regional (by lobe) WMH volume. Mixed effects piecewise linear regression was used to examine the total and regional WMH volumes with respect to estimated years from symptom onset, controlling for participant age, APOE-epsilon4, and participant family as a random factor. Results: Total WMH volumes appeared to increase significantly approximately 6 years prior to expected symptom onset in mutation carriers (Mutation Status X estimated age of onset interaction, estimate=0.03, t=2.06, p=0.040, knot=-6). These effects were most dramatic in the parietal and occipital lobes, where there were changes in mutation carriers compared with non-carriers as much as 18 years prior to estimated symptom onset. Conclusions: Autosomal dominant AD is associated with increased small vessel cerebrovascular disease well before expected symptom onset. The findings highlight the possibility that small vessel cerebrovascular disease is a core feature of AD, a potential therapeutic target, and a factor that should be incorporated into pathogenic models of the disease.","author":[{"dropping-particle":"","family":"Viqar","given":"F","non-dropping-particle":"","parse-names":false,"suffix":""},{"dropping-particle":"","family":"S.","given":"Lee","non-dropping-particle":"","parse-names":false,"suffix":""},{"dropping-particle":"","family":"M.E.","given":"Zimmerman","non-dropping-particle":"","parse-names":false,"suffix":""},{"dropping-particle":"","family":"A.","given":"Narkhede","non-dropping-particle":"","parse-names":false,"suffix":""},{"dropping-particle":"","family":"G.","given":"Tosto","non-dropping-particle":"","parse-names":false,"suffix":""},{"dropping-particle":"","family":"T.L.S.","given":"Benzinger","non-dropping-particle":"","parse-names":false,"suffix":""},{"dropping-particle":"","family":"D.S.","given":"Marcus","non-dropping-particle":"","parse-names":false,"suffix":""},{"dropping-particle":"","family":"R.J.","given":"Bateman","non-dropping-particle":"","parse-names":false,"suffix":""},{"dropping-particle":"","family":"J.C.","given":"Morris","non-dropping-particle":"","parse-names":false,"suffix":""},{"dropping-particle":"","family":"R.","given":"Mayeux","non-dropping-particle":"","parse-names":false,"suffix":""}],"container-title":"Alzheimer's and Dementia","id":"ITEM-1","issue":"7 SUPPL. 1","issued":{"date-parts":[["2015"]]},"page":"P172-P173","title":"White matter hyperintensities are a core feature of Alzheimer's disease: Evidence from the dominantly inherited Alzheimer's network","type":"article-journal","volume":"11"},"uris":["http://www.mendeley.com/documents/?uuid=673a933f-80d6-4a7f-b42b-2a6989f293e1","http://www.mendeley.com/documents/?uuid=2288e355-e813-430b-bbf3-efc06ef5445c","http://www.mendeley.com/documents/?uuid=51826c5d-2cee-464c-bd91-eba219a61154"]}],"mendeley":{"formattedCitation":"(Viqar et al., 2015)","plainTextFormattedCitation":"(Viqar et al., 2015)","previouslyFormattedCitation":"(Viqar et al., 2015)"},"properties":{"noteIndex":0},"schema":"https://github.com/citation-style-language/schema/raw/master/csl-citation.json"}</w:instrText>
      </w:r>
      <w:r w:rsidR="002C1EAC"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(Viqar et al., 2015)</w:t>
      </w:r>
      <w:r w:rsidR="002C1EAC" w:rsidRPr="00F10F41">
        <w:rPr>
          <w:rFonts w:ascii="Arial" w:hAnsi="Arial" w:cs="Arial"/>
          <w:color w:val="000000" w:themeColor="text1"/>
          <w:sz w:val="22"/>
          <w:szCs w:val="22"/>
        </w:rPr>
        <w:fldChar w:fldCharType="end"/>
      </w:r>
      <w:r w:rsidR="002C1EAC" w:rsidRPr="00F10F41">
        <w:rPr>
          <w:rFonts w:ascii="Arial" w:hAnsi="Arial" w:cs="Arial"/>
          <w:color w:val="000000" w:themeColor="text1"/>
          <w:sz w:val="22"/>
          <w:szCs w:val="22"/>
        </w:rPr>
        <w:t xml:space="preserve"> and </w:t>
      </w:r>
      <w:r w:rsidR="00523891" w:rsidRPr="00F10F41">
        <w:rPr>
          <w:rFonts w:ascii="Arial" w:hAnsi="Arial" w:cs="Arial"/>
          <w:color w:val="000000" w:themeColor="text1"/>
          <w:sz w:val="22"/>
          <w:szCs w:val="22"/>
        </w:rPr>
        <w:t>grey matter atrophy</w:t>
      </w:r>
      <w:r w:rsidR="00D85683" w:rsidRPr="00F10F41">
        <w:rPr>
          <w:rFonts w:ascii="Arial" w:hAnsi="Arial" w:cs="Arial"/>
          <w:color w:val="000000" w:themeColor="text1"/>
          <w:sz w:val="22"/>
          <w:szCs w:val="22"/>
        </w:rPr>
        <w:t xml:space="preserve"> </w:t>
      </w:r>
      <w:r w:rsidR="00D85683"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{"citationItems":[{"id":"ITEM-1","itemData":{"DOI":"10.1212/WNL.0b013e3182a841c6","ISSN":"00283878","abstract":"Objective: To assess regional patterns of gray and white matter atrophy in familial Alzheimer disease (FAD) mutation carriers. Methods: A total of 192 participants with volumetric T1-weighted MRI, genotyping, and clinical diagnosis were available from the Dominantly Inherited Alzheimer Network. Of these, 69 were presymptomatic mutation carriers, 50 were symptomatic carriers (31 with Clinical Dementia Rating [CDR] = 0.5, 19 with CDR &gt; 0.5), and 73 were noncarriers from the same families. Voxelbased morphometry was used to identify cross-sectional group differences in gray matter and white matter volume. Results: Significant differences in gray matter (p &lt; 0.05, family-wise error-corrected) were observed between noncarriers and mildly symptomatic (CDR = 0.5) carriers in the thalamus and putamen, as well as in the temporal lobe, precuneus, and cingulate gyrus; the same pattern, but with more extensive changes, was seen in those with CDR &gt; 0.5. Significant white matter differences between noncarriers and symptomatic carriers were observed in the cingulum and fornix; these form input and output connections to the medial temporal lobe, cingulate, and precuneus. No differences between noncarriers and presymptomatic carriers survived correction for multiple comparisons, but there was a trend for decreased gray matter in the thalamus for carriers closer to their estimated age at onset. There were no significant increases of gray or white matter in asymptomatic or symptomatic carriers compared to noncarriers. Conclusions: Atrophy in FAD is observed early, both in areas commonly associated with sporadic Alzheimer disease and also in the putamen and thalamus, 2 regions associated with early amyloid deposition in FAD mutation carriers. © 2013 American Academy of Neurology.","author":[{"dropping-particle":"","family":"Cash","given":"David M.","non-dropping-particle":"","parse-names":false,"suffix":""},{"dropping-particle":"","family":"Ridgway","given":"Gerard R.","non-dropping-particle":"","parse-names":false,"suffix":""},{"dropping-particle":"","family":"Liang","given":"Yuying","non-dropping-particle":"","parse-names":false,"suffix":""},{"dropping-particle":"","family":"Ryan","given":"Natalie S.","non-dropping-particle":"","parse-names":false,"suffix":""},{"dropping-particle":"","family":"Kinnunen","given":"Kirsi M.","non-dropping-particle":"","parse-names":false,"suffix":""},{"dropping-particle":"","family":"Yeatman","given":"Thomas","non-dropping-particle":"","parse-names":false,"suffix":""},{"dropping-particle":"","family":"Malone","given":"Ian B.","non-dropping-particle":"","parse-names":false,"suffix":""},{"dropping-particle":"","family":"Benzinger","given":"Tammie L.S.","non-dropping-particle":"","parse-names":false,"suffix":""},{"dropping-particle":"","family":"Jack","given":"Clifford R.","non-dropping-particle":"","parse-names":false,"suffix":""},{"dropping-particle":"","family":"Thompson","given":"Paul M.","non-dropping-particle":"","parse-names":false,"suffix":""},{"dropping-particle":"","family":"Ghetti","given":"Bernardino F.","non-dropping-particle":"","parse-names":false,"suffix":""},{"dropping-particle":"","family":"Saykin","given":"Andrew J.","non-dropping-particle":"","parse-names":false,"suffix":""},{"dropping-particle":"","family":"Masters","given":"Colin L.","non-dropping-particle":"","parse-names":false,"suffix":""},{"dropping-particle":"","family":"Ringman","given":"John M.","non-dropping-particle":"","parse-names":false,"suffix":""},{"dropping-particle":"","family":"Salloway","given":"Stephen P.","non-dropping-particle":"","parse-names":false,"suffix":""},{"dropping-particle":"","family":"Schofield","given":"Peter R.","non-dropping-particle":"","parse-names":false,"suffix":""},{"dropping-particle":"","family":"Sperling","given":"Reisa A.","non-dropping-particle":"","parse-names":false,"suffix":""},{"dropping-particle":"","family":"Cairns","given":"Nigel J.","non-dropping-particle":"","parse-names":false,"suffix":""},{"dropping-particle":"","family":"Marcus","given":"Daniel S.","non-dropping-particle":"","parse-names":false,"suffix":""},{"dropping-particle":"","family":"Xiong","given":"Chengjie","non-dropping-particle":"","parse-names":false,"suffix":""},{"dropping-particle":"","family":"Bateman","given":"Randall J.","non-dropping-particle":"","parse-names":false,"suffix":""},{"dropping-particle":"","family":"Morris","given":"John C.","non-dropping-particle":"","parse-names":false,"suffix":""},{"dropping-particle":"","family":"Rossor","given":"Martin N.","non-dropping-particle":"","parse-names":false,"suffix":""},{"dropping-particle":"","family":"Ourselin","given":"Sébastien","non-dropping-particle":"","parse-names":false,"suffix":""},{"dropping-particle":"","family":"Fox","given":"Nick C.","non-dropping-particle":"","parse-names":false,"suffix":""}],"container-title":"Neurology","id":"ITEM-1","issue":"16","issued":{"date-parts":[["2013"]]},"page":"1425-1433","title":"The pattern of atrophy in familial alzheimer disease: Volumetric MRI results from the DIAN study","type":"article-journal","volume":"81"},"uris":["http://www.mendeley.com/documents/?uuid=1765c841-3e0e-4aab-8b19-4c8e0283e16b","http://www.mendeley.com/documents/?uuid=7e3a2fb0-6937-49b4-ad4c-6354e7d0de9f","http://www.mendeley.com/documents/?uuid=2e3bec81-0184-4874-a9a2-fa41fbe81006"]}],"mendeley":{"formattedCitation":"(Cash et al., 2013)","plainTextFormattedCitation":"(Cash et al., 2013)","previouslyFormattedCitation":"(Cash et al., 2013)"},"properties":{"noteIndex":0},"schema":"https://github.com/citation-style-language/schema/raw/master/csl-citation.json"}</w:instrText>
      </w:r>
      <w:r w:rsidR="00D85683"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(Cash et al., 2013)</w:t>
      </w:r>
      <w:r w:rsidR="00D85683" w:rsidRPr="00F10F41">
        <w:rPr>
          <w:rFonts w:ascii="Arial" w:hAnsi="Arial" w:cs="Arial"/>
          <w:color w:val="000000" w:themeColor="text1"/>
          <w:sz w:val="22"/>
          <w:szCs w:val="22"/>
        </w:rPr>
        <w:fldChar w:fldCharType="end"/>
      </w:r>
      <w:r w:rsidR="00EE1AEF" w:rsidRPr="00F10F41">
        <w:rPr>
          <w:rFonts w:ascii="Arial" w:hAnsi="Arial" w:cs="Arial"/>
          <w:color w:val="000000" w:themeColor="text1"/>
          <w:sz w:val="22"/>
          <w:szCs w:val="22"/>
        </w:rPr>
        <w:t xml:space="preserve"> has been investigated</w:t>
      </w:r>
      <w:r w:rsidR="00D85683" w:rsidRPr="00F10F41">
        <w:rPr>
          <w:rFonts w:ascii="Arial" w:hAnsi="Arial" w:cs="Arial"/>
          <w:color w:val="000000" w:themeColor="text1"/>
          <w:sz w:val="22"/>
          <w:szCs w:val="22"/>
        </w:rPr>
        <w:t>.</w:t>
      </w:r>
      <w:r w:rsidR="004E2A2E" w:rsidRPr="00F10F41">
        <w:rPr>
          <w:rFonts w:ascii="Arial" w:hAnsi="Arial" w:cs="Arial"/>
          <w:color w:val="000000" w:themeColor="text1"/>
          <w:sz w:val="22"/>
          <w:szCs w:val="22"/>
        </w:rPr>
        <w:t xml:space="preserve"> </w:t>
      </w:r>
      <w:r w:rsidR="00D85683" w:rsidRPr="00F10F41">
        <w:rPr>
          <w:rFonts w:ascii="Arial" w:hAnsi="Arial" w:cs="Arial"/>
          <w:color w:val="000000" w:themeColor="text1"/>
          <w:sz w:val="22"/>
          <w:szCs w:val="22"/>
        </w:rPr>
        <w:t xml:space="preserve">A </w:t>
      </w:r>
      <w:r w:rsidR="00752241" w:rsidRPr="00F10F41">
        <w:rPr>
          <w:rFonts w:ascii="Arial" w:hAnsi="Arial" w:cs="Arial"/>
          <w:color w:val="000000" w:themeColor="text1"/>
          <w:sz w:val="22"/>
          <w:szCs w:val="22"/>
        </w:rPr>
        <w:t xml:space="preserve">brief </w:t>
      </w:r>
      <w:r w:rsidR="00D85683" w:rsidRPr="00F10F41">
        <w:rPr>
          <w:rFonts w:ascii="Arial" w:hAnsi="Arial" w:cs="Arial"/>
          <w:color w:val="000000" w:themeColor="text1"/>
          <w:sz w:val="22"/>
          <w:szCs w:val="22"/>
        </w:rPr>
        <w:t>summary of</w:t>
      </w:r>
      <w:r w:rsidR="006B65D4" w:rsidRPr="00F10F41">
        <w:rPr>
          <w:rFonts w:ascii="Arial" w:hAnsi="Arial" w:cs="Arial"/>
          <w:color w:val="000000" w:themeColor="text1"/>
          <w:sz w:val="22"/>
          <w:szCs w:val="22"/>
        </w:rPr>
        <w:t xml:space="preserve"> key</w:t>
      </w:r>
      <w:r w:rsidR="00D85683" w:rsidRPr="00F10F41">
        <w:rPr>
          <w:rFonts w:ascii="Arial" w:hAnsi="Arial" w:cs="Arial"/>
          <w:color w:val="000000" w:themeColor="text1"/>
          <w:sz w:val="22"/>
          <w:szCs w:val="22"/>
        </w:rPr>
        <w:t xml:space="preserve"> imaging findings on </w:t>
      </w:r>
      <w:r w:rsidR="00752241" w:rsidRPr="00F10F41">
        <w:rPr>
          <w:rFonts w:ascii="Arial" w:hAnsi="Arial" w:cs="Arial"/>
          <w:color w:val="000000" w:themeColor="text1"/>
          <w:sz w:val="22"/>
          <w:szCs w:val="22"/>
        </w:rPr>
        <w:t xml:space="preserve">familial AD </w:t>
      </w:r>
      <w:r w:rsidR="00D85683" w:rsidRPr="00F10F41">
        <w:rPr>
          <w:rFonts w:ascii="Arial" w:hAnsi="Arial" w:cs="Arial"/>
          <w:color w:val="000000" w:themeColor="text1"/>
          <w:sz w:val="22"/>
          <w:szCs w:val="22"/>
        </w:rPr>
        <w:t xml:space="preserve">mutation carriers in relation to EYO is shown in </w:t>
      </w:r>
      <w:r w:rsidR="00573481" w:rsidRPr="00F10F41">
        <w:rPr>
          <w:rFonts w:ascii="Arial" w:hAnsi="Arial" w:cs="Arial"/>
          <w:color w:val="000000" w:themeColor="text1"/>
          <w:sz w:val="22"/>
          <w:szCs w:val="22"/>
        </w:rPr>
        <w:t xml:space="preserve">Supplementary </w:t>
      </w:r>
      <w:r w:rsidR="00D85683" w:rsidRPr="00F10F41">
        <w:rPr>
          <w:rFonts w:ascii="Arial" w:hAnsi="Arial" w:cs="Arial"/>
          <w:color w:val="000000" w:themeColor="text1"/>
          <w:sz w:val="22"/>
          <w:szCs w:val="22"/>
        </w:rPr>
        <w:t xml:space="preserve">Table 1. </w:t>
      </w:r>
    </w:p>
    <w:p w14:paraId="2F5F9A04" w14:textId="77777777" w:rsidR="00A270AB" w:rsidRPr="00F10F41" w:rsidRDefault="00A270AB" w:rsidP="00AB1AE7">
      <w:pPr>
        <w:spacing w:line="360" w:lineRule="auto"/>
        <w:jc w:val="both"/>
        <w:rPr>
          <w:rFonts w:ascii="Arial" w:hAnsi="Arial" w:cs="Arial"/>
          <w:color w:val="000000" w:themeColor="text1"/>
          <w:sz w:val="22"/>
          <w:szCs w:val="22"/>
        </w:rPr>
      </w:pPr>
    </w:p>
    <w:p w14:paraId="7923B713" w14:textId="611FC6E5" w:rsidR="00846182" w:rsidRPr="00F10F41" w:rsidRDefault="00A752A1" w:rsidP="00AB1AE7">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D</w:t>
      </w:r>
      <w:r w:rsidR="00BA0CC5" w:rsidRPr="00F10F41">
        <w:rPr>
          <w:rFonts w:ascii="Arial" w:hAnsi="Arial" w:cs="Arial"/>
          <w:color w:val="000000" w:themeColor="text1"/>
          <w:sz w:val="22"/>
          <w:szCs w:val="22"/>
        </w:rPr>
        <w:t xml:space="preserve">ata </w:t>
      </w:r>
      <w:r w:rsidR="0000051C" w:rsidRPr="00F10F41">
        <w:rPr>
          <w:rFonts w:ascii="Arial" w:hAnsi="Arial" w:cs="Arial"/>
          <w:color w:val="000000" w:themeColor="text1"/>
          <w:sz w:val="22"/>
          <w:szCs w:val="22"/>
        </w:rPr>
        <w:t xml:space="preserve">from the Swedish Twin Registry has demonstrated a strong heritable component </w:t>
      </w:r>
      <w:r w:rsidR="00483F54" w:rsidRPr="00F10F41">
        <w:rPr>
          <w:rFonts w:ascii="Arial" w:hAnsi="Arial" w:cs="Arial"/>
          <w:color w:val="000000" w:themeColor="text1"/>
          <w:sz w:val="22"/>
          <w:szCs w:val="22"/>
        </w:rPr>
        <w:t>of AD f</w:t>
      </w:r>
      <w:r w:rsidR="0000051C" w:rsidRPr="00F10F41">
        <w:rPr>
          <w:rFonts w:ascii="Arial" w:hAnsi="Arial" w:cs="Arial"/>
          <w:color w:val="000000" w:themeColor="text1"/>
          <w:sz w:val="22"/>
          <w:szCs w:val="22"/>
        </w:rPr>
        <w:t xml:space="preserve">or both men and women </w:t>
      </w:r>
      <w:r w:rsidR="0000051C"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{"citationItems":[{"id":"ITEM-1","itemData":{"DOI":"10.1001/archpsyc.63.2.168","ISSN":"0003990X","abstract":"Context: Twin studies using selected samples have shown high heritability for Alzheimer disease (AD). Objective: To evaluate genetic and environmental influences on AD in a fully ascertained population of older twins, including like- and unlike-sex pairs. Design: Five-group quantitative genetic model: male monozygotic twins, female monozygotic twins, male dizygotic twins, female dizygotic twins, and unlike-sex twins. Setting and Participants: All twins in the Swedish Twin Registry aged 65 years and older. The study included 11 884 twin pairs, among whom were 392 pairs in which 1 or both members had AD. Main Outcome Measures: All individuals were screened for cognitive dysfunction. Suspected cases of dementia and their co-twins received complete clinical diagnostic evaluations for AD. Estimates of heritability, shared environmental influences, and nonshared environmental influences, adjusting for age, were derived from the twin data. Results: Heritability for AD was estimated to be 58% in the full model and 79% in the best-fitting model, with the balance of variation explained by nonshared environmental influences. There were no significant differences between men and women in prevalence or heritability after controlling for age. Within pairs concordant for AD, intrapair difference in age at onset was significantly greater in dizygotic than in monozygotic pairs, suggesting genetic influences on timing of the disease. Conclusions: In the largest twin study to date, we confirmed that heritability for AD is high and that the same genetic factors are influential for both men and women. However, nongenetic risk factors also play an important role and might be the focus for interventions to reduce disease risk or delay disease onset. ©2006 American Medical Association. All rights reserved.","author":[{"dropping-particle":"","family":"Gatz","given":"Margaret","non-dropping-particle":"","parse-names":false,"suffix":""},{"dropping-particle":"","family":"Reynolds","given":"Chandra A.","non-dropping-particle":"","parse-names":false,"suffix":""},{"dropping-particle":"","family":"Fratiglioni","given":"Laura","non-dropping-particle":"","parse-names":false,"suffix":""},{"dropping-particle":"","family":"Johansson","given":"Boo","non-dropping-particle":"","parse-names":false,"suffix":""},{"dropping-particle":"","family":"Mortimer","given":"James A.","non-dropping-particle":"","parse-names":false,"suffix":""},{"dropping-particle":"","family":"Berg","given":"Stig","non-dropping-particle":"","parse-names":false,"suffix":""},{"dropping-particle":"","family":"Fiske","given":"Amy","non-dropping-particle":"","parse-names":false,"suffix":""},{"dropping-particle":"","family":"Pedersen","given":"Nancy L.","non-dropping-particle":"","parse-names":false,"suffix":""}],"container-title":"Archives of General Psychiatry","id":"ITEM-1","issued":{"date-parts":[["2006"]]},"title":"Role of genes and environments for explaining Alzheimer disease","type":"article-journal"},"uris":["http://www.mendeley.com/documents/?uuid=3f1bdff0-87c4-4a42-8aca-0cd004939dc4","http://www.mendeley.com/documents/?uuid=41127b2e-3fa7-41bf-ab23-31d320080f08","http://www.mendeley.com/documents/?uuid=f4d9d633-b72f-492c-8d62-5cf211b087e4"]},{"id":"ITEM-2","itemData":{"DOI":"10.1002/ana.10999","ISSN":"03645134","abstract":"Although genetic effects are known to be important for early onset Alzheimer's disease, little is known about the importance of genetic effects for late-onset disease. Furthermore, previous studies are based on prevalent cases. Our purpose was to characterize the relative importance of genetic and environmental factors for incident Alzheimer's disease late in life, and to test for differences in the importance of genetic effects at different ages. A cohort of 662 pairs of Swedish twins 52 to 98 years of age who were without symptoms of dementia was followed up for an average of 5 years. Incident dementia cases were detected through follow-up at 2 to 3-year intervals using either cognitive testing or telephone screening followed by dementia workups. A physician, psychologist, and nurse gave consensus diagnoses. During the follow-up period, 5.8% of the sample was diagnosed with Alzheimer's disease. Average age of onset was 83.9 years (standard deviation, 6.3). Of the 26 monozygotic pairs in which at least one twin developed Alzheimer's disease, 5 were concordant (probandwise concordance, 32.2%). The concordance rate for dizygotic pairs was 8.7% (2 of 44 pairs). Structural model fitting indicated that 48% of the variation in liability to Alzheimer's disease could be attributed to genetic variation. Estimates did not differ significantly between twins younger than age 80 years and those older than age 80 years at baseline. Although these genetic estimates for incident disease are lower than those for prevalent disease, the importance of genetic factors for liability to Alzheimer's disease is considerable even late in life.","author":[{"dropping-particle":"","family":"Pedersen","given":"Nancy L.","non-dropping-particle":"","parse-names":false,"suffix":""},{"dropping-particle":"","family":"Gatz","given":"Margaret","non-dropping-particle":"","parse-names":false,"suffix":""},{"dropping-particle":"","family":"Berg","given":"Stig","non-dropping-particle":"","parse-names":false,"suffix":""},{"dropping-particle":"","family":"Johansson","given":"Boo","non-dropping-particle":"","parse-names":false,"suffix":""}],"container-title":"Annals of Neurology","id":"ITEM-2","issued":{"date-parts":[["2004"]]},"title":"How Heritable Is Alzheimer's Disease Late in Life? Findings from Swedish Twins","type":"article-journal"},"uris":["http://www.mendeley.com/documents/?uuid=19bc5a11-9ece-43a7-8f91-1ee1128c2727","http://www.mendeley.com/documents/?uuid=a5851035-7dd0-4ca3-aab4-b05f078e6131","http://www.mendeley.com/documents/?uuid=14e023bc-067d-40dc-b664-2962e26de9ef"]}],"mendeley":{"formattedCitation":"(Gatz et al., 2006; Pedersen et al., 2004)","plainTextFormattedCitation":"(Gatz et al., 2006; Pedersen et al., 2004)","previouslyFormattedCitation":"(Gatz et al., 2006; Pedersen et al., 2004)"},"properties":{"noteIndex":0},"schema":"https://github.com/citation-style-language/schema/raw/master/csl-citation.json"}</w:instrText>
      </w:r>
      <w:r w:rsidR="0000051C"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(Gatz et al., 2006; Pedersen et al., 2004)</w:t>
      </w:r>
      <w:r w:rsidR="0000051C" w:rsidRPr="00F10F41">
        <w:rPr>
          <w:rFonts w:ascii="Arial" w:hAnsi="Arial" w:cs="Arial"/>
          <w:color w:val="000000" w:themeColor="text1"/>
          <w:sz w:val="22"/>
          <w:szCs w:val="22"/>
        </w:rPr>
        <w:fldChar w:fldCharType="end"/>
      </w:r>
      <w:r w:rsidR="0000051C" w:rsidRPr="00F10F41">
        <w:rPr>
          <w:rFonts w:ascii="Arial" w:hAnsi="Arial" w:cs="Arial"/>
          <w:color w:val="000000" w:themeColor="text1"/>
          <w:sz w:val="22"/>
          <w:szCs w:val="22"/>
        </w:rPr>
        <w:t>.</w:t>
      </w:r>
      <w:r w:rsidR="00823E4A" w:rsidRPr="00F10F41">
        <w:rPr>
          <w:rFonts w:ascii="Arial" w:hAnsi="Arial" w:cs="Arial"/>
          <w:color w:val="000000" w:themeColor="text1"/>
          <w:sz w:val="22"/>
          <w:szCs w:val="22"/>
        </w:rPr>
        <w:t xml:space="preserve"> </w:t>
      </w:r>
      <w:r w:rsidR="002376FC" w:rsidRPr="00F10F41">
        <w:rPr>
          <w:rFonts w:ascii="Arial" w:hAnsi="Arial" w:cs="Arial"/>
          <w:color w:val="000000" w:themeColor="text1"/>
          <w:sz w:val="22"/>
          <w:szCs w:val="22"/>
        </w:rPr>
        <w:t xml:space="preserve"> A previous study also showed</w:t>
      </w:r>
      <w:r w:rsidR="004D2CFA" w:rsidRPr="00F10F41">
        <w:rPr>
          <w:rFonts w:ascii="Arial" w:hAnsi="Arial" w:cs="Arial"/>
          <w:color w:val="000000" w:themeColor="text1"/>
          <w:sz w:val="22"/>
          <w:szCs w:val="22"/>
        </w:rPr>
        <w:t xml:space="preserve"> </w:t>
      </w:r>
      <w:r w:rsidR="000A5FF0" w:rsidRPr="00F10F41">
        <w:rPr>
          <w:rFonts w:ascii="Arial" w:hAnsi="Arial" w:cs="Arial"/>
          <w:color w:val="000000" w:themeColor="text1"/>
          <w:sz w:val="22"/>
          <w:szCs w:val="22"/>
        </w:rPr>
        <w:t xml:space="preserve">that heritable factors were associated </w:t>
      </w:r>
      <w:r w:rsidR="001C004A" w:rsidRPr="00F10F41">
        <w:rPr>
          <w:rFonts w:ascii="Arial" w:hAnsi="Arial" w:cs="Arial"/>
          <w:color w:val="000000" w:themeColor="text1"/>
          <w:sz w:val="22"/>
          <w:szCs w:val="22"/>
        </w:rPr>
        <w:t xml:space="preserve">with </w:t>
      </w:r>
      <w:r w:rsidR="000A5FF0" w:rsidRPr="00F10F41">
        <w:rPr>
          <w:rFonts w:ascii="Arial" w:hAnsi="Arial" w:cs="Arial"/>
          <w:color w:val="000000" w:themeColor="text1"/>
          <w:sz w:val="22"/>
          <w:szCs w:val="22"/>
        </w:rPr>
        <w:t xml:space="preserve">intergenerational age of symptom </w:t>
      </w:r>
      <w:r w:rsidR="007E74AB" w:rsidRPr="00F10F41">
        <w:rPr>
          <w:rFonts w:ascii="Arial" w:hAnsi="Arial" w:cs="Arial"/>
          <w:color w:val="000000" w:themeColor="text1"/>
          <w:sz w:val="22"/>
          <w:szCs w:val="22"/>
        </w:rPr>
        <w:t>on</w:t>
      </w:r>
      <w:r w:rsidR="000A5FF0" w:rsidRPr="00F10F41">
        <w:rPr>
          <w:rFonts w:ascii="Arial" w:hAnsi="Arial" w:cs="Arial"/>
          <w:color w:val="000000" w:themeColor="text1"/>
          <w:sz w:val="22"/>
          <w:szCs w:val="22"/>
        </w:rPr>
        <w:t>se</w:t>
      </w:r>
      <w:r w:rsidR="00823E4A" w:rsidRPr="00F10F41">
        <w:rPr>
          <w:rFonts w:ascii="Arial" w:hAnsi="Arial" w:cs="Arial"/>
          <w:color w:val="000000" w:themeColor="text1"/>
          <w:sz w:val="22"/>
          <w:szCs w:val="22"/>
        </w:rPr>
        <w:t xml:space="preserve">t </w:t>
      </w:r>
      <w:r w:rsidR="00823E4A"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{"citationItems":[{"id":"ITEM-1","itemData":{"DOI":"10.1001/jamanetworkopen.2019.13491","ISSN":"25743805","abstract":"Importance: Acquired and heritable traits are associated with dementia risk; however, how these traits are associated with age at symptomatic onset (AAO) of Alzheimer disease (AD) is unknown. Identifying the associations of acquired and heritable factors with variability in intergenerational AAO of AD could facilitate diagnosis, assessment, and counseling of the offspring of parents with AD. Objective: To quantify the associations of acquired and heritable factors with intergenerational differences in AAO of AD. Design, Setting, and Participants: This nested cohort study used data from the Knight Alzheimer Disease Research Center that included community-dwelling participants with symptomatic AD, parental history of dementia, and available DNA data who were enrolled in prospective studies of memory and aging from September 1, 2005, to August 31, 2016. Clinical, biomarker, and genetic data were extracted on January 17, 2017, and data analyses were conducted from July 1, 2017, to August 20, 2019. Main Outcomes and Measures: The associations of acquired (ie, years of education; body mass index; history of cardiovascular disease, hypertension, hypercholesterolemia, diabetes, active depression within 2 years, traumatic brain injury, tobacco use, and unhealthy alcohol use; and retrospective determination of AAO) and heritable factors (ie, ethnicity/race, paternal or maternal inheritance, parental history of early-onset dementia, APOE ε4 allele status, and AD polygenic risk scores) to intergenerational difference in AAO of AD were quantified using stepwise forward multivariable regression. Missense or frameshift variants within genes associated with AD pathogenesis were screened using whole-exome sequencing. Results: There were 164 participants with symptomatic AD, known parental history of dementia, and available DNA data (mean [SD] age, 70.9 [8.3] years; 90 [54.9%] women) included in this study. Offspring were diagnosed with symptomatic AD a mean (SD) 6.1 (10.7) years earlier than their parents (P &lt; .001). The adjusted R2 for measured acquired and heritable factors for intergenerational difference in AAO of AD was 0.29 (F8,155 = 9.13; P &lt; .001). Paternal (β = -9.52 [95% CI, -13.79 to -5.25]) and maternal (β = -6.68 [95% CI, -11.61 to -1.75]) history of dementia, more years of education (β = -0.58 [95% CI -1.08 to -0.09]), and retrospective determination of AAO (β = -3.46 [95% CI, -6.40 to -0.52]) were associated with earlier-than-expected intergenerational di…","author":[{"dropping-particle":"","family":"Day","given":"Gregory S.","non-dropping-particle":"","parse-names":false,"suffix":""},{"dropping-particle":"","family":"Cruchaga","given":"Carlos","non-dropping-particle":"","parse-names":false,"suffix":""},{"dropping-particle":"","family":"Wingo","given":"Thomas","non-dropping-particle":"","parse-names":false,"suffix":""},{"dropping-particle":"","family":"Schindler","given":"Suzanne E.","non-dropping-particle":"","parse-names":false,"suffix":""},{"dropping-particle":"","family":"Coble","given":"Dean","non-dropping-particle":"","parse-names":false,"suffix":""},{"dropping-particle":"","family":"Morris","given":"John C.","non-dropping-particle":"","parse-names":false,"suffix":""}],"container-title":"JAMA network open","id":"ITEM-1","issue":"10","issued":{"date-parts":[["2019"]]},"page":"e1913491","title":"Association of Acquired and Heritable Factors With Intergenerational Differences in Age at Symptomatic Onset of Alzheimer Disease Between Offspring and Parents With Dementia","type":"article-journal","volume":"2"},"uris":["http://www.mendeley.com/documents/?uuid=456d6163-e17e-4fad-8f75-6684b6e91a4e"]}],"mendeley":{"formattedCitation":"(Day et al., 2019)","plainTextFormattedCitation":"(Day et al., 2019)","previouslyFormattedCitation":"(Day et al., 2019)"},"properties":{"noteIndex":0},"schema":"https://github.com/citation-style-language/schema/raw/master/csl-citation.json"}</w:instrText>
      </w:r>
      <w:r w:rsidR="00823E4A" w:rsidRPr="00F10F41">
        <w:rPr>
          <w:rFonts w:ascii="Arial" w:hAnsi="Arial" w:cs="Arial"/>
          <w:color w:val="000000" w:themeColor="text1"/>
          <w:sz w:val="22"/>
          <w:szCs w:val="22"/>
        </w:rPr>
        <w:fldChar w:fldCharType="separate"/>
      </w:r>
      <w:r w:rsidR="00542A9E" w:rsidRPr="00F10F41">
        <w:rPr>
          <w:rFonts w:ascii="Arial" w:hAnsi="Arial" w:cs="Arial"/>
          <w:noProof/>
          <w:color w:val="000000" w:themeColor="text1"/>
          <w:sz w:val="22"/>
          <w:szCs w:val="22"/>
        </w:rPr>
        <w:t>(Day et al., 2019)</w:t>
      </w:r>
      <w:r w:rsidR="00823E4A" w:rsidRPr="00F10F41">
        <w:rPr>
          <w:rFonts w:ascii="Arial" w:hAnsi="Arial" w:cs="Arial"/>
          <w:color w:val="000000" w:themeColor="text1"/>
          <w:sz w:val="22"/>
          <w:szCs w:val="22"/>
        </w:rPr>
        <w:fldChar w:fldCharType="end"/>
      </w:r>
      <w:r w:rsidR="005B4CB6" w:rsidRPr="00F10F41">
        <w:rPr>
          <w:rFonts w:ascii="Arial" w:hAnsi="Arial" w:cs="Arial"/>
          <w:color w:val="000000" w:themeColor="text1"/>
          <w:sz w:val="22"/>
          <w:szCs w:val="22"/>
        </w:rPr>
        <w:t>. Collectively, these lines o</w:t>
      </w:r>
      <w:r w:rsidR="003F6231" w:rsidRPr="00F10F41">
        <w:rPr>
          <w:rFonts w:ascii="Arial" w:hAnsi="Arial" w:cs="Arial"/>
          <w:color w:val="000000" w:themeColor="text1"/>
          <w:sz w:val="22"/>
          <w:szCs w:val="22"/>
        </w:rPr>
        <w:t>f</w:t>
      </w:r>
      <w:r w:rsidR="00906EB6" w:rsidRPr="00F10F41">
        <w:rPr>
          <w:rFonts w:ascii="Arial" w:hAnsi="Arial" w:cs="Arial"/>
          <w:color w:val="000000" w:themeColor="text1"/>
          <w:sz w:val="22"/>
          <w:szCs w:val="22"/>
        </w:rPr>
        <w:t xml:space="preserve"> evidence</w:t>
      </w:r>
      <w:r w:rsidR="005B4CB6" w:rsidRPr="00F10F41">
        <w:rPr>
          <w:rFonts w:ascii="Arial" w:hAnsi="Arial" w:cs="Arial"/>
          <w:color w:val="000000" w:themeColor="text1"/>
          <w:sz w:val="22"/>
          <w:szCs w:val="22"/>
        </w:rPr>
        <w:t xml:space="preserve"> imply that EYO may be generalizable to some extent in sporadic AD and thus represent</w:t>
      </w:r>
      <w:r w:rsidR="00E63875" w:rsidRPr="00F10F41">
        <w:rPr>
          <w:rFonts w:ascii="Arial" w:hAnsi="Arial" w:cs="Arial"/>
          <w:color w:val="000000" w:themeColor="text1"/>
          <w:sz w:val="22"/>
          <w:szCs w:val="22"/>
        </w:rPr>
        <w:t>s</w:t>
      </w:r>
      <w:r w:rsidR="005B4CB6" w:rsidRPr="00F10F41">
        <w:rPr>
          <w:rFonts w:ascii="Arial" w:hAnsi="Arial" w:cs="Arial"/>
          <w:color w:val="000000" w:themeColor="text1"/>
          <w:sz w:val="22"/>
          <w:szCs w:val="22"/>
        </w:rPr>
        <w:t xml:space="preserve"> a surrogate index of preclinical disease </w:t>
      </w:r>
      <w:r w:rsidR="003F6231" w:rsidRPr="00F10F41">
        <w:rPr>
          <w:rFonts w:ascii="Arial" w:hAnsi="Arial" w:cs="Arial"/>
          <w:color w:val="000000" w:themeColor="text1"/>
          <w:sz w:val="22"/>
          <w:szCs w:val="22"/>
        </w:rPr>
        <w:t>progressio</w:t>
      </w:r>
      <w:r w:rsidR="006153F8" w:rsidRPr="00F10F41">
        <w:rPr>
          <w:rFonts w:ascii="Arial" w:hAnsi="Arial" w:cs="Arial"/>
          <w:color w:val="000000" w:themeColor="text1"/>
          <w:sz w:val="22"/>
          <w:szCs w:val="22"/>
        </w:rPr>
        <w:t xml:space="preserve">n. Our group first </w:t>
      </w:r>
      <w:r w:rsidR="003E13C2" w:rsidRPr="00F10F41">
        <w:rPr>
          <w:rFonts w:ascii="Arial" w:hAnsi="Arial" w:cs="Arial"/>
          <w:color w:val="000000" w:themeColor="text1"/>
          <w:sz w:val="22"/>
          <w:szCs w:val="22"/>
        </w:rPr>
        <w:t>extrapolated the construct of EYO to a longitudinal cohort of cognitively normal midlife</w:t>
      </w:r>
      <w:r w:rsidR="006153F8" w:rsidRPr="00F10F41">
        <w:rPr>
          <w:rFonts w:ascii="Arial" w:hAnsi="Arial" w:cs="Arial"/>
          <w:color w:val="000000" w:themeColor="text1"/>
          <w:sz w:val="22"/>
          <w:szCs w:val="22"/>
        </w:rPr>
        <w:t xml:space="preserve"> </w:t>
      </w:r>
      <w:r w:rsidR="00445A35" w:rsidRPr="00F10F41">
        <w:rPr>
          <w:rFonts w:ascii="Arial" w:hAnsi="Arial" w:cs="Arial"/>
          <w:color w:val="000000" w:themeColor="text1"/>
          <w:sz w:val="22"/>
          <w:szCs w:val="22"/>
        </w:rPr>
        <w:t>adults and</w:t>
      </w:r>
      <w:r w:rsidR="006153F8" w:rsidRPr="00F10F41">
        <w:rPr>
          <w:rFonts w:ascii="Arial" w:hAnsi="Arial" w:cs="Arial"/>
          <w:color w:val="000000" w:themeColor="text1"/>
          <w:sz w:val="22"/>
          <w:szCs w:val="22"/>
        </w:rPr>
        <w:t xml:space="preserve"> </w:t>
      </w:r>
      <w:r w:rsidR="003F6231" w:rsidRPr="00F10F41">
        <w:rPr>
          <w:rFonts w:ascii="Arial" w:hAnsi="Arial" w:cs="Arial"/>
          <w:color w:val="000000" w:themeColor="text1"/>
          <w:sz w:val="22"/>
          <w:szCs w:val="22"/>
        </w:rPr>
        <w:t xml:space="preserve">found that </w:t>
      </w:r>
      <w:r w:rsidR="00C75F3D" w:rsidRPr="00F10F41">
        <w:rPr>
          <w:rFonts w:ascii="Arial" w:hAnsi="Arial" w:cs="Arial"/>
          <w:color w:val="000000" w:themeColor="text1"/>
          <w:sz w:val="22"/>
          <w:szCs w:val="22"/>
        </w:rPr>
        <w:t>FH+ individuals with a shorter EYO</w:t>
      </w:r>
      <w:r w:rsidR="003F6231" w:rsidRPr="00F10F41">
        <w:rPr>
          <w:rFonts w:ascii="Arial" w:hAnsi="Arial" w:cs="Arial"/>
          <w:color w:val="000000" w:themeColor="text1"/>
          <w:sz w:val="22"/>
          <w:szCs w:val="22"/>
        </w:rPr>
        <w:t xml:space="preserve"> </w:t>
      </w:r>
      <w:r w:rsidR="00C75F3D" w:rsidRPr="00F10F41">
        <w:rPr>
          <w:rFonts w:ascii="Arial" w:hAnsi="Arial" w:cs="Arial"/>
          <w:color w:val="000000" w:themeColor="text1"/>
          <w:sz w:val="22"/>
          <w:szCs w:val="22"/>
        </w:rPr>
        <w:t>had</w:t>
      </w:r>
      <w:r w:rsidR="003F6231" w:rsidRPr="00F10F41">
        <w:rPr>
          <w:rFonts w:ascii="Arial" w:hAnsi="Arial" w:cs="Arial"/>
          <w:color w:val="000000" w:themeColor="text1"/>
          <w:sz w:val="22"/>
          <w:szCs w:val="22"/>
        </w:rPr>
        <w:t xml:space="preserve"> </w:t>
      </w:r>
      <w:r w:rsidR="009509EB" w:rsidRPr="00F10F41">
        <w:rPr>
          <w:rFonts w:ascii="Arial" w:hAnsi="Arial" w:cs="Arial"/>
          <w:color w:val="000000" w:themeColor="text1"/>
          <w:sz w:val="22"/>
          <w:szCs w:val="22"/>
        </w:rPr>
        <w:t xml:space="preserve">worse </w:t>
      </w:r>
      <w:r w:rsidR="003F6231" w:rsidRPr="00F10F41">
        <w:rPr>
          <w:rFonts w:ascii="Arial" w:hAnsi="Arial" w:cs="Arial"/>
          <w:color w:val="000000" w:themeColor="text1"/>
          <w:sz w:val="22"/>
          <w:szCs w:val="22"/>
        </w:rPr>
        <w:lastRenderedPageBreak/>
        <w:t xml:space="preserve">visual working memory </w:t>
      </w:r>
      <w:r w:rsidR="00810B7C" w:rsidRPr="00F10F41">
        <w:rPr>
          <w:rFonts w:ascii="Arial" w:hAnsi="Arial" w:cs="Arial"/>
          <w:color w:val="000000" w:themeColor="text1"/>
          <w:sz w:val="22"/>
          <w:szCs w:val="22"/>
        </w:rPr>
        <w:t xml:space="preserve">scores </w:t>
      </w:r>
      <w:r w:rsidR="003E13C2" w:rsidRPr="00F10F41">
        <w:rPr>
          <w:rFonts w:ascii="Arial" w:hAnsi="Arial" w:cs="Arial"/>
          <w:color w:val="000000" w:themeColor="text1"/>
          <w:sz w:val="22"/>
          <w:szCs w:val="22"/>
        </w:rPr>
        <w:t>(Ritchie et al., 2017</w:t>
      </w:r>
      <w:r w:rsidR="009F7A3D" w:rsidRPr="00F10F41">
        <w:rPr>
          <w:rFonts w:ascii="Arial" w:hAnsi="Arial" w:cs="Arial"/>
          <w:color w:val="000000" w:themeColor="text1"/>
          <w:sz w:val="22"/>
          <w:szCs w:val="22"/>
        </w:rPr>
        <w:t>).</w:t>
      </w:r>
      <w:r w:rsidR="00060146" w:rsidRPr="00F10F41">
        <w:rPr>
          <w:rFonts w:ascii="Arial" w:hAnsi="Arial" w:cs="Arial"/>
          <w:color w:val="000000" w:themeColor="text1"/>
          <w:sz w:val="22"/>
          <w:szCs w:val="22"/>
        </w:rPr>
        <w:t xml:space="preserve"> </w:t>
      </w:r>
      <w:r w:rsidR="00A270AB" w:rsidRPr="00F10F41">
        <w:rPr>
          <w:rFonts w:ascii="Arial" w:hAnsi="Arial" w:cs="Arial"/>
          <w:color w:val="000000" w:themeColor="text1"/>
          <w:sz w:val="22"/>
          <w:szCs w:val="22"/>
        </w:rPr>
        <w:t>R</w:t>
      </w:r>
      <w:r w:rsidR="00D301F2" w:rsidRPr="00F10F41">
        <w:rPr>
          <w:rFonts w:ascii="Arial" w:hAnsi="Arial" w:cs="Arial"/>
          <w:color w:val="000000" w:themeColor="text1"/>
          <w:sz w:val="22"/>
          <w:szCs w:val="22"/>
        </w:rPr>
        <w:t xml:space="preserve">ecent reports from </w:t>
      </w:r>
      <w:r w:rsidR="002C2FAD" w:rsidRPr="00F10F41">
        <w:rPr>
          <w:rFonts w:ascii="Arial" w:hAnsi="Arial" w:cs="Arial"/>
          <w:color w:val="000000" w:themeColor="text1"/>
          <w:sz w:val="22"/>
          <w:szCs w:val="22"/>
        </w:rPr>
        <w:t xml:space="preserve">an </w:t>
      </w:r>
      <w:r w:rsidR="002A7232" w:rsidRPr="00F10F41">
        <w:rPr>
          <w:rFonts w:ascii="Arial" w:hAnsi="Arial" w:cs="Arial"/>
          <w:color w:val="000000" w:themeColor="text1"/>
          <w:sz w:val="22"/>
          <w:szCs w:val="22"/>
        </w:rPr>
        <w:t>‘</w:t>
      </w:r>
      <w:r w:rsidR="002C2FAD" w:rsidRPr="00F10F41">
        <w:rPr>
          <w:rFonts w:ascii="Arial" w:hAnsi="Arial" w:cs="Arial"/>
          <w:color w:val="000000" w:themeColor="text1"/>
          <w:sz w:val="22"/>
          <w:szCs w:val="22"/>
        </w:rPr>
        <w:t>at</w:t>
      </w:r>
      <w:r w:rsidR="002A7232" w:rsidRPr="00F10F41">
        <w:rPr>
          <w:rFonts w:ascii="Arial" w:hAnsi="Arial" w:cs="Arial"/>
          <w:color w:val="000000" w:themeColor="text1"/>
          <w:sz w:val="22"/>
          <w:szCs w:val="22"/>
        </w:rPr>
        <w:t xml:space="preserve"> </w:t>
      </w:r>
      <w:r w:rsidR="002C2FAD" w:rsidRPr="00F10F41">
        <w:rPr>
          <w:rFonts w:ascii="Arial" w:hAnsi="Arial" w:cs="Arial"/>
          <w:color w:val="000000" w:themeColor="text1"/>
          <w:sz w:val="22"/>
          <w:szCs w:val="22"/>
        </w:rPr>
        <w:t>risk</w:t>
      </w:r>
      <w:r w:rsidR="002A7232" w:rsidRPr="00F10F41">
        <w:rPr>
          <w:rFonts w:ascii="Arial" w:hAnsi="Arial" w:cs="Arial"/>
          <w:color w:val="000000" w:themeColor="text1"/>
          <w:sz w:val="22"/>
          <w:szCs w:val="22"/>
        </w:rPr>
        <w:t>’</w:t>
      </w:r>
      <w:r w:rsidR="002C2FAD" w:rsidRPr="00F10F41">
        <w:rPr>
          <w:rFonts w:ascii="Arial" w:hAnsi="Arial" w:cs="Arial"/>
          <w:color w:val="000000" w:themeColor="text1"/>
          <w:sz w:val="22"/>
          <w:szCs w:val="22"/>
        </w:rPr>
        <w:t xml:space="preserve"> cohort h</w:t>
      </w:r>
      <w:r w:rsidR="00D301F2" w:rsidRPr="00F10F41">
        <w:rPr>
          <w:rFonts w:ascii="Arial" w:hAnsi="Arial" w:cs="Arial"/>
          <w:color w:val="000000" w:themeColor="text1"/>
          <w:sz w:val="22"/>
          <w:szCs w:val="22"/>
        </w:rPr>
        <w:t>ave revealed</w:t>
      </w:r>
      <w:r w:rsidR="00685A1A" w:rsidRPr="00F10F41">
        <w:rPr>
          <w:rFonts w:ascii="Arial" w:hAnsi="Arial" w:cs="Arial"/>
          <w:color w:val="000000" w:themeColor="text1"/>
          <w:sz w:val="22"/>
          <w:szCs w:val="22"/>
        </w:rPr>
        <w:t xml:space="preserve"> that EYO was associated with </w:t>
      </w:r>
      <w:r w:rsidR="00D301F2" w:rsidRPr="00F10F41">
        <w:rPr>
          <w:rFonts w:ascii="Arial" w:hAnsi="Arial" w:cs="Arial"/>
          <w:color w:val="000000" w:themeColor="text1"/>
          <w:sz w:val="22"/>
          <w:szCs w:val="22"/>
        </w:rPr>
        <w:t xml:space="preserve">temporo-parietal </w:t>
      </w:r>
      <w:r w:rsidR="00FC3C39" w:rsidRPr="00F10F41">
        <w:rPr>
          <w:rFonts w:ascii="Arial" w:hAnsi="Arial" w:cs="Arial"/>
          <w:color w:val="000000" w:themeColor="text1"/>
          <w:sz w:val="22"/>
          <w:szCs w:val="22"/>
        </w:rPr>
        <w:t xml:space="preserve">brain atrophy </w:t>
      </w:r>
      <w:r w:rsidR="00FC3C39"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{"citationItems":[{"id":"ITEM-1","itemData":{"DOI":"10.1093/brain/awy093","ISSN":"14602156","abstract":"See Tijms and Visser (doi:10.1093/brain/awy113) for a scientific commentary on this article. Alzheimer's disease is preceded by a lengthy 'preclinical' stage spanning many years, during which subtle brain changes occur in the absence of overt cognitive symptoms. Predicting when the onset of disease symptoms will occur is an unsolved challenge in individuals with sporadic Alzheimer's disease. In individuals with autosomal dominant genetic Alzheimer's disease, the age of symptom onset is similar across generations, allowing the prediction of individual onset times with some accuracy. We extend this concept to persons with a parental history of sporadic Alzheimer's disease to test whether an individual's symptom onset age can be informed by the onset age of their affected parent, and whether this estimated onset age can be predicted using only MRI. Structural and functional MRIs were acquired from 255 ageing cognitively healthy subjects with a parental history of sporadic Alzheimer's disease from the PREVENT-AD cohort. Years to estimated symptom onset was calculated as participant age minus age of parental symptom onset. Grey matter volume was extracted from T 1 -weighted images and whole-brain resting state functional connectivity was evaluated using degree count. Both modalities were summarized using a 444-region cortical-subcortical atlas. The entire sample was divided into training (n = 138) and testing (n = 68) sets. Within the training set, individuals closer to or beyond their parent's symptom onset demonstrated reduced grey matter volume and altered functional connectivity, specifically in regions known to be vulnerable in Alzheimer's disease. Machine learning was used to identify a weighted set of imaging features trained to predict years to estimated symptom onset. This feature set alone significantly predicted years to estimated symptom onset in the unseen testing data. This model, using only neuroimaging features, significantly outperformed a similar model instead trained with cognitive, genetic, imaging and demographic features used in a traditional clinical setting. We next tested if these brain properties could be generalized to predict time to clinical progression in a subgroup of 26 individuals from the Alzheimer's Disease Neuroimaging Initiative, who eventually converted either to mild cognitive impairment or to Alzheimer's dementia. The feature set trained on years to estimated symptom onset in the PREVENT-AD predicted variance in time t…","author":[{"dropping-particle":"","family":"Vogel","given":"Jacob W.","non-dropping-particle":"","parse-names":false,"suffix":""},{"dropping-particle":"","family":"Vachon-Presseau","given":"Etienne","non-dropping-particle":"","parse-names":false,"suffix":""},{"dropping-particle":"","family":"Pichet Binette","given":"Alexa","non-dropping-particle":"","parse-names":false,"suffix":""},{"dropping-particle":"","family":"Tam","given":"Angela","non-dropping-particle":"","parse-names":false,"suffix":""},{"dropping-particle":"","family":"Orban","given":"Pierre","non-dropping-particle":"","parse-names":false,"suffix":""},{"dropping-particle":"","family":"Joie","given":"Renaud","non-dropping-particle":"La","parse-names":false,"suffix":""},{"dropping-particle":"","family":"Savard","given":"Mélissa","non-dropping-particle":"","parse-names":false,"suffix":""},{"dropping-particle":"","family":"Picard","given":"Cynthia","non-dropping-particle":"","parse-names":false,"suffix":""},{"dropping-particle":"","family":"Poirier","given":"Judes","non-dropping-particle":"","parse-names":false,"suffix":""},{"dropping-particle":"","family":"Bellec","given":"Pierre","non-dropping-particle":"","parse-names":false,"suffix":""},{"dropping-particle":"","family":"Breitner","given":"John C.S.","non-dropping-particle":"","parse-names":false,"suffix":""},{"dropping-particle":"","family":"Villeneuve","given":"Sylvia","non-dropping-particle":"","parse-names":false,"suffix":""}],"container-title":"Brain","id":"ITEM-1","issue":"6","issued":{"date-parts":[["2018"]]},"page":"1871-1883","title":"Brain properties predict proximity to symptom onset in sporadic Alzheimer's disease","type":"article-journal","volume":"141"},"uris":["http://www.mendeley.com/documents/?uuid=69000f4f-030d-3175-a8df-eb557d689a04","http://www.mendeley.com/documents/?uuid=73a5bb7d-ee8d-4b89-ae3e-5307cde41c82","http://www.mendeley.com/documents/?uuid=f65368d0-9a82-4e5c-abee-c7bfa447f51a"]}],"mendeley":{"formattedCitation":"(Vogel et al., 2018)","manualFormatting":"(Vogel et al., 2018 )","plainTextFormattedCitation":"(Vogel et al., 2018)","previouslyFormattedCitation":"(Vogel et al., 2018)"},"properties":{"noteIndex":0},"schema":"https://github.com/citation-style-language/schema/raw/master/csl-citation.json"}</w:instrText>
      </w:r>
      <w:r w:rsidR="00FC3C39" w:rsidRPr="00F10F41">
        <w:rPr>
          <w:rFonts w:ascii="Arial" w:hAnsi="Arial" w:cs="Arial"/>
          <w:color w:val="000000" w:themeColor="text1"/>
          <w:sz w:val="22"/>
          <w:szCs w:val="22"/>
        </w:rPr>
        <w:fldChar w:fldCharType="separate"/>
      </w:r>
      <w:r w:rsidR="00FC3C39" w:rsidRPr="00F10F41">
        <w:rPr>
          <w:rFonts w:ascii="Arial" w:hAnsi="Arial" w:cs="Arial"/>
          <w:noProof/>
          <w:color w:val="000000" w:themeColor="text1"/>
          <w:sz w:val="22"/>
          <w:szCs w:val="22"/>
        </w:rPr>
        <w:t xml:space="preserve">(Vogel </w:t>
      </w:r>
      <w:r w:rsidR="00FC3C39" w:rsidRPr="00F10F41">
        <w:rPr>
          <w:rFonts w:ascii="Arial" w:hAnsi="Arial" w:cs="Arial"/>
          <w:i/>
          <w:noProof/>
          <w:color w:val="000000" w:themeColor="text1"/>
          <w:sz w:val="22"/>
          <w:szCs w:val="22"/>
        </w:rPr>
        <w:t>et al.</w:t>
      </w:r>
      <w:r w:rsidR="00FC3C39" w:rsidRPr="00F10F41">
        <w:rPr>
          <w:rFonts w:ascii="Arial" w:hAnsi="Arial" w:cs="Arial"/>
          <w:noProof/>
          <w:color w:val="000000" w:themeColor="text1"/>
          <w:sz w:val="22"/>
          <w:szCs w:val="22"/>
        </w:rPr>
        <w:t>, 2018</w:t>
      </w:r>
      <w:r w:rsidR="00D301F2" w:rsidRPr="00F10F41">
        <w:rPr>
          <w:rFonts w:ascii="Arial" w:hAnsi="Arial" w:cs="Arial"/>
          <w:noProof/>
          <w:color w:val="000000" w:themeColor="text1"/>
          <w:sz w:val="22"/>
          <w:szCs w:val="22"/>
        </w:rPr>
        <w:t xml:space="preserve"> </w:t>
      </w:r>
      <w:r w:rsidR="00FC3C39" w:rsidRPr="00F10F41">
        <w:rPr>
          <w:rFonts w:ascii="Arial" w:hAnsi="Arial" w:cs="Arial"/>
          <w:noProof/>
          <w:color w:val="000000" w:themeColor="text1"/>
          <w:sz w:val="22"/>
          <w:szCs w:val="22"/>
        </w:rPr>
        <w:t>)</w:t>
      </w:r>
      <w:r w:rsidR="00FC3C39" w:rsidRPr="00F10F41">
        <w:rPr>
          <w:rFonts w:ascii="Arial" w:hAnsi="Arial" w:cs="Arial"/>
          <w:color w:val="000000" w:themeColor="text1"/>
          <w:sz w:val="22"/>
          <w:szCs w:val="22"/>
        </w:rPr>
        <w:fldChar w:fldCharType="end"/>
      </w:r>
      <w:r w:rsidR="002737BC" w:rsidRPr="00F10F41">
        <w:rPr>
          <w:rFonts w:ascii="Arial" w:hAnsi="Arial" w:cs="Arial"/>
          <w:color w:val="000000" w:themeColor="text1"/>
          <w:sz w:val="22"/>
          <w:szCs w:val="22"/>
        </w:rPr>
        <w:t xml:space="preserve"> </w:t>
      </w:r>
      <w:r w:rsidR="00D301F2" w:rsidRPr="00F10F41">
        <w:rPr>
          <w:rFonts w:ascii="Arial" w:hAnsi="Arial" w:cs="Arial"/>
          <w:color w:val="000000" w:themeColor="text1"/>
          <w:sz w:val="22"/>
          <w:szCs w:val="22"/>
        </w:rPr>
        <w:t xml:space="preserve">and </w:t>
      </w:r>
      <w:r w:rsidR="00685A1A" w:rsidRPr="00F10F41">
        <w:rPr>
          <w:rFonts w:ascii="Arial" w:hAnsi="Arial" w:cs="Arial"/>
          <w:color w:val="000000" w:themeColor="text1"/>
          <w:sz w:val="22"/>
          <w:szCs w:val="22"/>
        </w:rPr>
        <w:t xml:space="preserve">lower levels of </w:t>
      </w:r>
      <w:r w:rsidR="0078015C" w:rsidRPr="00F10F41">
        <w:rPr>
          <w:rFonts w:ascii="Arial" w:hAnsi="Arial" w:cs="Arial"/>
          <w:color w:val="000000" w:themeColor="text1"/>
          <w:sz w:val="22"/>
          <w:szCs w:val="22"/>
        </w:rPr>
        <w:t>cerebrospinal fluid (</w:t>
      </w:r>
      <w:r w:rsidR="00685A1A" w:rsidRPr="00F10F41">
        <w:rPr>
          <w:rFonts w:ascii="Arial" w:hAnsi="Arial" w:cs="Arial"/>
          <w:color w:val="000000" w:themeColor="text1"/>
          <w:sz w:val="22"/>
          <w:szCs w:val="22"/>
        </w:rPr>
        <w:t>CSF</w:t>
      </w:r>
      <w:r w:rsidR="0078015C" w:rsidRPr="00F10F41">
        <w:rPr>
          <w:rFonts w:ascii="Arial" w:hAnsi="Arial" w:cs="Arial"/>
          <w:color w:val="000000" w:themeColor="text1"/>
          <w:sz w:val="22"/>
          <w:szCs w:val="22"/>
        </w:rPr>
        <w:t>)</w:t>
      </w:r>
      <w:r w:rsidR="00685A1A" w:rsidRPr="00F10F41">
        <w:rPr>
          <w:rFonts w:ascii="Arial" w:hAnsi="Arial" w:cs="Arial"/>
          <w:color w:val="000000" w:themeColor="text1"/>
          <w:sz w:val="22"/>
          <w:szCs w:val="22"/>
        </w:rPr>
        <w:t xml:space="preserve"> A</w:t>
      </w:r>
      <w:r w:rsidR="0078015C" w:rsidRPr="00F10F41">
        <w:rPr>
          <w:rFonts w:ascii="Arial" w:hAnsi="Arial" w:cs="Arial"/>
          <w:color w:val="000000" w:themeColor="text1"/>
          <w:sz w:val="22"/>
          <w:szCs w:val="22"/>
          <w:lang w:val="el-GR"/>
        </w:rPr>
        <w:t>β</w:t>
      </w:r>
      <w:r w:rsidR="00685A1A" w:rsidRPr="00F10F41">
        <w:rPr>
          <w:rFonts w:ascii="Arial" w:hAnsi="Arial" w:cs="Arial"/>
          <w:color w:val="000000" w:themeColor="text1"/>
          <w:sz w:val="22"/>
          <w:szCs w:val="22"/>
        </w:rPr>
        <w:t xml:space="preserve">1-42, particularly amongst </w:t>
      </w:r>
      <w:r w:rsidR="007F3C15" w:rsidRPr="00F10F41">
        <w:rPr>
          <w:rFonts w:ascii="Arial" w:hAnsi="Arial" w:cs="Arial"/>
          <w:color w:val="000000" w:themeColor="text1"/>
          <w:sz w:val="22"/>
          <w:szCs w:val="22"/>
        </w:rPr>
        <w:t>APOE-</w:t>
      </w:r>
      <w:r w:rsidR="007F3C15" w:rsidRPr="00F10F41">
        <w:rPr>
          <w:rFonts w:ascii="Arial" w:hAnsi="Arial" w:cs="Arial"/>
          <w:color w:val="000000" w:themeColor="text1"/>
          <w:sz w:val="22"/>
          <w:szCs w:val="22"/>
          <w:lang w:val="el-GR"/>
        </w:rPr>
        <w:t>ε</w:t>
      </w:r>
      <w:r w:rsidR="007F3C15" w:rsidRPr="00F10F41">
        <w:rPr>
          <w:rFonts w:ascii="Arial" w:hAnsi="Arial" w:cs="Arial"/>
          <w:color w:val="000000" w:themeColor="text1"/>
          <w:sz w:val="22"/>
          <w:szCs w:val="22"/>
        </w:rPr>
        <w:t xml:space="preserve">4 </w:t>
      </w:r>
      <w:r w:rsidR="00685A1A" w:rsidRPr="00F10F41">
        <w:rPr>
          <w:rFonts w:ascii="Arial" w:hAnsi="Arial" w:cs="Arial"/>
          <w:color w:val="000000" w:themeColor="text1"/>
          <w:sz w:val="22"/>
          <w:szCs w:val="22"/>
        </w:rPr>
        <w:t xml:space="preserve">carriers </w:t>
      </w:r>
      <w:r w:rsidR="00685A1A"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{"citationItems":[{"id":"ITEM-1","itemData":{"DOI":"10.1001/jamaneurol.2017.5135","ISSN":"21686149","abstract":"IMPORTANCE Alzheimer disease (AD) develops during several decades. Presymptomatic individuals might be the best candidates for clinical trials, but their identification is challenging because they have no symptoms. OBJECTIVE To assess whether a sporadic parental estimated years to symptom onset calculation could be used to identify information about amyloid-β (Aβ) levels in asymptomatic individuals with a parental history of AD dementia. DESIGN, SETTING, AND PARTICIPANTS This cohort study analyzed Aβ1-42 in cerebrospinal fluid (CSF) specimens from 101 cognitively normal individuals who had a lumbar puncture as part of the Presymptomatic Evaluation of Novel or Experimental Treatments for Alzheimer Disease (PREVENT-AD) cohort from September 1, 2011, through November 30, 2016 (374 participants were enrolled in the cohort during this period). The study estimated each participant's proximity to his/her parent's symptom onset by subtracting the index relative's onset age from his/her current age. The association between proximity to parental symptom onset and Aβ levels was then assessed using apolipoprotein E ϵ4 (APOE4) status and sex as interactive terms. These analyses were performed again in 2 independent cohorts using CSF and Pittsburgh compound B carbon 11-labeled positron emission tomography (PIB-PET) Aβ biomarkers: the Adult Children Study (ACS) and the Wisconsin Registry for Alzheimer Prevention (WRAP) cohorts. MAIN OUTCOMES AND MEASURES The association between proximity to parental symptom onset and Aβ burden in asymptomatic individuals with a parental history of sporadic AD. RESULTS The present analysis included a subset of 101 PREVENT-AD individuals (mean [SD] age, 61.8 [5.1] years; 30 [29.7%] male), 128 ACS participants (112 participants underwent CSF measurement: mean [SD] age, 63.4 [5.1] years; 31 [27.7%] male; and 107 underwent PIB-PET: mean [SD] age, 64.6 [5.3] years; 27 [25.2%] male), and 135 WRAP participants (85 participants underwent CSF measurement: mean [SD] age, 59.9 [6.0] years; 27 [31.8%] male; and 135 underwent PIB-PET: mean [SD] age, 59.6 [6.1] years; 43 [31.9%] male). In the PREVENT-AD cohort, individuals approaching their parent's onset age had lower CSF Aβ1-42 levels (range, 402-1597; B = -9.09, P = .04). This association was stronger in APOE4 carriers (B = -17.9, P = .03) and women (B = -19.8, P = .02). In the ACS cohort, the main association was replicated using PIB-PET data, and the sex interaction was replicated using CSF and…","author":[{"dropping-particle":"","family":"Villeneuve","given":"Sylvia","non-dropping-particle":"","parse-names":false,"suffix":""},{"dropping-particle":"","family":"Vogel","given":"Jacob W.","non-dropping-particle":"","parse-names":false,"suffix":""},{"dropping-particle":"","family":"Gonneaud","given":"Julie","non-dropping-particle":"","parse-names":false,"suffix":""},{"dropping-particle":"","family":"Pichet Binette","given":"Alexa","non-dropping-particle":"","parse-names":false,"suffix":""},{"dropping-particle":"","family":"Rosa-Neto","given":"Pedro","non-dropping-particle":"","parse-names":false,"suffix":""},{"dropping-particle":"","family":"Gauthier","given":"Serge","non-dropping-particle":"","parse-names":false,"suffix":""},{"dropping-particle":"","family":"Bateman","given":"Randall J.","non-dropping-particle":"","parse-names":false,"suffix":""},{"dropping-particle":"","family":"Fagan","given":"Anne M.","non-dropping-particle":"","parse-names":false,"suffix":""},{"dropping-particle":"","family":"Morris","given":"John C.","non-dropping-particle":"","parse-names":false,"suffix":""},{"dropping-particle":"","family":"Benzinger","given":"Tammie L.S.","non-dropping-particle":"","parse-names":false,"suffix":""},{"dropping-particle":"","family":"Johnson","given":"Sterling C.","non-dropping-particle":"","parse-names":false,"suffix":""},{"dropping-particle":"","family":"Breitner","given":"John C.S.","non-dropping-particle":"","parse-names":false,"suffix":""},{"dropping-particle":"","family":"Poirier","given":"Judes","non-dropping-particle":"","parse-names":false,"suffix":""},{"dropping-particle":"","family":"Barkun","given":"Alan","non-dropping-particle":"","parse-names":false,"suffix":""},{"dropping-particle":"","family":"Evans","given":"Alan","non-dropping-particle":"","parse-names":false,"suffix":""},{"dropping-particle":"","family":"Salaciak","given":"Alyssa","non-dropping-particle":"","parse-names":false,"suffix":""},{"dropping-particle":"","family":"Tam","given":"Angela","non-dropping-particle":"","parse-names":false,"suffix":""},{"dropping-particle":"","family":"Labonté","given":"Anne","non-dropping-particle":"","parse-names":false,"suffix":""},{"dropping-particle":"","family":"Faubert","given":"Anne Marie","non-dropping-particle":"","parse-names":false,"suffix":""},{"dropping-particle":"","family":"Mathieu","given":"Axel","non-dropping-particle":"","parse-names":false,"suffix":""},{"dropping-particle":"","family":"Courcot","given":"Blandine","non-dropping-particle":"","parse-names":false,"suffix":""},{"dropping-particle":"","family":"Hyman","given":"Bradley T.","non-dropping-particle":"","parse-names":false,"suffix":""},{"dropping-particle":"","family":"Madjar","given":"Cécile","non-dropping-particle":"","parse-names":false,"suffix":""},{"dropping-particle":"","family":"Carrier","given":"Charles Edouard","non-dropping-particle":"","parse-names":false,"suffix":""},{"dropping-particle":"","family":"Dansereau","given":"Christian","non-dropping-particle":"","parse-names":false,"suffix":""},{"dropping-particle":"","family":"Kazazian","given":"Christina","non-dropping-particle":"","parse-names":false,"suffix":""},{"dropping-particle":"","family":"Tardif","given":"Christine","non-dropping-particle":"","parse-names":false,"suffix":""},{"dropping-particle":"","family":"Lepage","given":"Claude","non-dropping-particle":"","parse-names":false,"suffix":""},{"dropping-particle":"","family":"Cuello","given":"Claudio","non-dropping-particle":"","parse-names":false,"suffix":""},{"dropping-particle":"","family":"Debacker","given":"Clément","non-dropping-particle":"","parse-names":false,"suffix":""},{"dropping-particle":"","family":"Jack","given":"Clifford R.","non-dropping-particle":"","parse-names":false,"suffix":""},{"dropping-particle":"","family":"Picard","given":"Cynthia","non-dropping-particle":"","parse-names":false,"suffix":""},{"dropping-particle":"","family":"Maillet","given":"David","non-dropping-particle":"","parse-names":false,"suffix":""},{"dropping-particle":"","family":"Fontaine","given":"David","non-dropping-particle":"","parse-names":false,"suffix":""},{"dropping-particle":"","family":"Knopman","given":"David S.","non-dropping-particle":"","parse-names":false,"suffix":""},{"dropping-particle":"","family":"Michaud","given":"Diane","non-dropping-particle":"","parse-names":false,"suffix":""},{"dropping-particle":"","family":"Couture","given":"Doris","non-dropping-particle":"","parse-names":false,"suffix":""},{"dropping-particle":"","family":"Dea","given":"Doris","non-dropping-particle":"","parse-names":false,"suffix":""},{"dropping-particle":"","family":"Teigner","given":"Eduard","non-dropping-particle":"","parse-names":false,"suffix":""},{"dropping-particle":"","family":"Anthal","given":"Elena","non-dropping-particle":"","parse-names":false,"suffix":""},{"dropping-particle":"","family":"Yu","given":"Elsa","non-dropping-particle":"","parse-names":false,"suffix":""},{"dropping-particle":"","family":"Vachon-Presseau","given":"Etienne","non-dropping-particle":"","parse-names":false,"suffix":""},{"dropping-particle":"","family":"Saint-Fort","given":"Eunice Farah","non-dropping-particle":"","parse-names":false,"suffix":""},{"dropping-particle":"","family":"Ferdinand","given":"Fabiola","non-dropping-particle":"","parse-names":false,"suffix":""},{"dropping-particle":"","family":"Benbouhoud","given":"Fatiha","non-dropping-particle":"","parse-names":false,"suffix":""},{"dropping-particle":"","family":"Pogossova","given":"Galina","non-dropping-particle":"","parse-names":false,"suffix":""},{"dropping-particle":"","family":"Maultaup","given":"Gerhard","non-dropping-particle":"","parse-names":false,"suffix":""},{"dropping-particle":"","family":"Mayrand","given":"Ginette","non-dropping-particle":"","parse-names":false,"suffix":""},{"dropping-particle":"","family":"Duclair","given":"Guerda","non-dropping-particle":"","parse-names":false,"suffix":""},{"dropping-particle":"","family":"Ayranci","given":"Gülebru","non-dropping-particle":"","parse-names":false,"suffix":""},{"dropping-particle":"","family":"Gagné","given":"Guylaine","non-dropping-particle":"","parse-names":false,"suffix":""},{"dropping-particle":"","family":"Newbold-Fox","given":"Holly","non-dropping-particle":"","parse-names":false,"suffix":""},{"dropping-particle":"","family":"Leppert","given":"Illana","non-dropping-particle":"","parse-names":false,"suffix":""},{"dropping-particle":"","family":"Vallée","given":"Isabelle","non-dropping-particle":"","parse-names":false,"suffix":""},{"dropping-particle":"","family":"Near","given":"Jamie","non-dropping-particle":"","parse-names":false,"suffix":""},{"dropping-particle":"","family":"Brandt","given":"Jason","non-dropping-particle":"","parse-names":false,"suffix":""},{"dropping-particle":"","family":"Maltais","given":"Jean Robert","non-dropping-particle":"","parse-names":false,"suffix":""},{"dropping-particle":"","family":"Leoutsakos","given":"Jeannie Marie","non-dropping-particle":"","parse-names":false,"suffix":""},{"dropping-particle":"","family":"Tremblay-Mercier","given":"Jennifer","non-dropping-particle":"","parse-names":false,"suffix":""},{"dropping-particle":"","family":"Pruessner","given":"Jens","non-dropping-particle":"","parse-names":false,"suffix":""},{"dropping-particle":"","family":"Frenette","given":"Joanne","non-dropping-particle":"","parse-names":false,"suffix":""},{"dropping-particle":"","family":"Frappier","given":"Josée","non-dropping-particle":"","parse-names":false,"suffix":""},{"dropping-particle":"","family":"Kat","given":"Justin","non-dropping-particle":"","parse-names":false,"suffix":""},{"dropping-particle":"","family":"Miron","given":"Justin","non-dropping-particle":"","parse-names":false,"suffix":""},{"dropping-particle":"","family":"Wan","given":"Karen","non-dropping-particle":"","parse-names":false,"suffix":""},{"dropping-particle":"","family":"Cheewakriengkrai","given":"Laksanun","non-dropping-particle":"","parse-names":false,"suffix":""},{"dropping-particle":"","family":"Mahar","given":"Laura","non-dropping-particle":"","parse-names":false,"suffix":""},{"dropping-particle":"","family":"Carmo","given":"Leopoldina","non-dropping-particle":"","parse-names":false,"suffix":""},{"dropping-particle":"","family":"Münter","given":"Lisa Marie","non-dropping-particle":"","parse-names":false,"suffix":""},{"dropping-particle":"","family":"Collins","given":"Louis","non-dropping-particle":"","parse-names":false,"suffix":""},{"dropping-particle":"","family":"Théroux","given":"Louise","non-dropping-particle":"","parse-names":false,"suffix":""},{"dropping-particle":"","family":"Dadar","given":"Mahsa","non-dropping-particle":"","parse-names":false,"suffix":""},{"dropping-particle":"","family":"Chakravarty","given":"Mallar","non-dropping-particle":"","parse-names":false,"suffix":""},{"dropping-particle":"","family":"Dufour","given":"Marianne","non-dropping-particle":"","parse-names":false,"suffix":""},{"dropping-particle":"","family":"Lafaille-Magnan","given":"Marie Elyse","non-dropping-particle":"","parse-names":false,"suffix":""},{"dropping-particle":"","family":"Dauar-Tedeschi","given":"Marina","non-dropping-particle":"","parse-names":false,"suffix":""},{"dropping-particle":"","family":"Sager","given":"Mark A.","non-dropping-particle":"","parse-names":false,"suffix":""},{"dropping-particle":"","family":"Eisenberg","given":"Mark","non-dropping-particle":"","parse-names":false,"suffix":""},{"dropping-particle":"","family":"Appleby","given":"Melissa","non-dropping-particle":"","parse-names":false,"suffix":""},{"dropping-particle":"","family":"Savard","given":"Mélissa","non-dropping-particle":"","parse-names":false,"suffix":""},{"dropping-particle":"","family":"Tuwaig","given":"Miranda","non-dropping-particle":"","parse-names":false,"suffix":""},{"dropping-particle":"","family":"Petkova","given":"Mirela","non-dropping-particle":"","parse-names":false,"suffix":""},{"dropping-particle":"","family":"Rajah","given":"Natasha","non-dropping-particle":"","parse-names":false,"suffix":""},{"dropping-particle":"","family":"Aisen","given":"Paul","non-dropping-particle":"","parse-names":false,"suffix":""},{"dropping-particle":"","family":"Toussaint","given":"Paule Joanne","non-dropping-particle":"","parse-names":false,"suffix":""},{"dropping-particle":"","family":"Kostopoulos","given":"Penelope","non-dropping-particle":"","parse-names":false,"suffix":""},{"dropping-particle":"","family":"Bellec","given":"Pierre","non-dropping-particle":"","parse-names":false,"suffix":""},{"dropping-particle":"","family":"Etienne","given":"Pierre","non-dropping-particle":"","parse-names":false,"suffix":""},{"dropping-particle":"","family":"Tariot","given":"Pierre N.","non-dropping-particle":"","parse-names":false,"suffix":""},{"dropping-particle":"","family":"Orban","given":"Pierre","non-dropping-particle":"","parse-names":false,"suffix":""},{"dropping-particle":"","family":"Rioux","given":"Pierre","non-dropping-particle":"","parse-names":false,"suffix":""},{"dropping-particle":"","family":"Meyer","given":"Pierre François","non-dropping-particle":"","parse-names":false,"suffix":""},{"dropping-particle":"","family":"El-Khoury","given":"Rana","non-dropping-particle":"","parse-names":false,"suffix":""},{"dropping-particle":"","family":"Sperling","given":"Reisa A.","non-dropping-particle":"","parse-names":false,"suffix":""},{"dropping-particle":"","family":"Desautels","given":"René","non-dropping-particle":"","parse-names":false,"suffix":""},{"dropping-particle":"","family":"Gordon","given":"Renee","non-dropping-particle":"","parse-names":false,"suffix":""},{"dropping-particle":"","family":"Giles","given":"Renuka","non-dropping-particle":"","parse-names":false,"suffix":""},{"dropping-particle":"","family":"Hoge","given":"Rick","non-dropping-particle":"","parse-names":false,"suffix":""},{"dropping-particle":"","family":"Thomas","given":"Ronald G.","non-dropping-particle":"","parse-names":false,"suffix":""},{"dropping-particle":"","family":"Das","given":"Samir","non-dropping-particle":"","parse-names":false,"suffix":""},{"dropping-particle":"","family":"Verfaillie","given":"Sander C.J.","non-dropping-particle":"","parse-names":false,"suffix":""},{"dropping-particle":"","family":"Farzin","given":"Sarah","non-dropping-particle":"","parse-names":false,"suffix":""},{"dropping-particle":"","family":"Wang","given":"Seqian","non-dropping-particle":"","parse-names":false,"suffix":""},{"dropping-particle":"","family":"Tabrizi","given":"Shirin","non-dropping-particle":"","parse-names":false,"suffix":""},{"dropping-particle":"","family":"Tullo","given":"Stephanie","non-dropping-particle":"","parse-names":false,"suffix":""},{"dropping-particle":"","family":"Mathotaarachchi","given":"Sulantha","non-dropping-particle":"","parse-names":false,"suffix":""},{"dropping-particle":"","family":"Craft","given":"Suzanne","non-dropping-particle":"","parse-names":false,"suffix":""},{"dropping-particle":"","family":"Dubuc","given":"Sylvie","non-dropping-particle":"","parse-names":false,"suffix":""},{"dropping-particle":"","family":"Lee","given":"Tanya","non-dropping-particle":"","parse-names":false,"suffix":""},{"dropping-particle":"","family":"Pascoal","given":"Tharick A.","non-dropping-particle":"","parse-names":false,"suffix":""},{"dropping-particle":"","family":"Montine","given":"Thomas J.","non-dropping-particle":"","parse-names":false,"suffix":""},{"dropping-particle":"","family":"Beaudry","given":"Thomas","non-dropping-particle":"","parse-names":false,"suffix":""},{"dropping-particle":"","family":"Gervais","given":"Valérie","non-dropping-particle":"","parse-names":false,"suffix":""},{"dropping-particle":"","family":"Nair","given":"Vasavan","non-dropping-particle":"","parse-names":false,"suffix":""},{"dropping-particle":"","family":"Bohbot","given":"Véronique","non-dropping-particle":"","parse-names":false,"suffix":""},{"dropping-particle":"","family":"Pagé","given":"Véronique","non-dropping-particle":"","parse-names":false,"suffix":""},{"dropping-particle":"","family":"Venugopalan","given":"Vinod","non-dropping-particle":"","parse-names":false,"suffix":""},{"dropping-particle":"","family":"Fonov","given":"Vladimir","non-dropping-particle":"","parse-names":false,"suffix":""},{"dropping-particle":"","family":"Ituria-Medina","given":"Yasser","non-dropping-particle":"","parse-names":false,"suffix":""},{"dropping-particle":"","family":"Khachaturian","given":"Zaven S.","non-dropping-particle":"","parse-names":false,"suffix":""}],"container-title":"JAMA Neurology","id":"ITEM-1","issue":"5","issued":{"date-parts":[["2018"]]},"page":"608-619","title":"Proximity to parental symptom onset and amyloid-β burden in sporadic Alzheimer disease","type":"article-journal","volume":"75"},"uris":["http://www.mendeley.com/documents/?uuid=546cfcbf-2cde-417a-89db-610bd0a3b821","http://www.mendeley.com/documents/?uuid=e76c7a76-5045-495c-badf-fbb429ccd211","http://www.mendeley.com/documents/?uuid=e52389ab-dca9-4d58-bbc9-7a741720c940"]}],"mendeley":{"formattedCitation":"(Villeneuve et al., 2018)","plainTextFormattedCitation":"(Villeneuve et al., 2018)","previouslyFormattedCitation":"(Villeneuve et al., 2018)"},"properties":{"noteIndex":0},"schema":"https://github.com/citation-style-language/schema/raw/master/csl-citation.json"}</w:instrText>
      </w:r>
      <w:r w:rsidR="00685A1A"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(Villeneuve et al., 2018)</w:t>
      </w:r>
      <w:r w:rsidR="00685A1A" w:rsidRPr="00F10F41">
        <w:rPr>
          <w:rFonts w:ascii="Arial" w:hAnsi="Arial" w:cs="Arial"/>
          <w:color w:val="000000" w:themeColor="text1"/>
          <w:sz w:val="22"/>
          <w:szCs w:val="22"/>
        </w:rPr>
        <w:fldChar w:fldCharType="end"/>
      </w:r>
      <w:r w:rsidR="00FC3C39" w:rsidRPr="00F10F41">
        <w:rPr>
          <w:rFonts w:ascii="Arial" w:hAnsi="Arial" w:cs="Arial"/>
          <w:color w:val="000000" w:themeColor="text1"/>
          <w:sz w:val="22"/>
          <w:szCs w:val="22"/>
        </w:rPr>
        <w:t>.</w:t>
      </w:r>
      <w:r w:rsidR="002737BC" w:rsidRPr="00F10F41">
        <w:rPr>
          <w:rFonts w:ascii="Arial" w:hAnsi="Arial" w:cs="Arial"/>
          <w:color w:val="000000" w:themeColor="text1"/>
          <w:sz w:val="22"/>
          <w:szCs w:val="22"/>
        </w:rPr>
        <w:t xml:space="preserve"> Nevertheless, the mean age of </w:t>
      </w:r>
      <w:r w:rsidR="002C2FAD" w:rsidRPr="00F10F41">
        <w:rPr>
          <w:rFonts w:ascii="Arial" w:hAnsi="Arial" w:cs="Arial"/>
          <w:color w:val="000000" w:themeColor="text1"/>
          <w:sz w:val="22"/>
          <w:szCs w:val="22"/>
        </w:rPr>
        <w:t>their cohort</w:t>
      </w:r>
      <w:r w:rsidR="00ED4E95" w:rsidRPr="00F10F41">
        <w:rPr>
          <w:rFonts w:ascii="Arial" w:hAnsi="Arial" w:cs="Arial"/>
          <w:color w:val="000000" w:themeColor="text1"/>
          <w:sz w:val="22"/>
          <w:szCs w:val="22"/>
        </w:rPr>
        <w:t xml:space="preserve"> </w:t>
      </w:r>
      <w:r w:rsidR="002737BC" w:rsidRPr="00F10F41">
        <w:rPr>
          <w:rFonts w:ascii="Arial" w:hAnsi="Arial" w:cs="Arial"/>
          <w:color w:val="000000" w:themeColor="text1"/>
          <w:sz w:val="22"/>
          <w:szCs w:val="22"/>
        </w:rPr>
        <w:t xml:space="preserve">was 63 years, and consequently the mean EYO was shorter (11 years to onset) relative to </w:t>
      </w:r>
      <w:r w:rsidR="00E63875" w:rsidRPr="00F10F41">
        <w:rPr>
          <w:rFonts w:ascii="Arial" w:hAnsi="Arial" w:cs="Arial"/>
          <w:color w:val="000000" w:themeColor="text1"/>
          <w:sz w:val="22"/>
          <w:szCs w:val="22"/>
        </w:rPr>
        <w:t xml:space="preserve">our </w:t>
      </w:r>
      <w:r w:rsidR="00170EC2" w:rsidRPr="00F10F41">
        <w:rPr>
          <w:rFonts w:ascii="Arial" w:hAnsi="Arial" w:cs="Arial"/>
          <w:color w:val="000000" w:themeColor="text1"/>
          <w:sz w:val="22"/>
          <w:szCs w:val="22"/>
        </w:rPr>
        <w:t xml:space="preserve">sample </w:t>
      </w:r>
      <w:r w:rsidR="00E63875" w:rsidRPr="00F10F41">
        <w:rPr>
          <w:rFonts w:ascii="Arial" w:hAnsi="Arial" w:cs="Arial"/>
          <w:color w:val="000000" w:themeColor="text1"/>
          <w:sz w:val="22"/>
          <w:szCs w:val="22"/>
        </w:rPr>
        <w:t xml:space="preserve">in the </w:t>
      </w:r>
      <w:r w:rsidR="002737BC" w:rsidRPr="00F10F41">
        <w:rPr>
          <w:rFonts w:ascii="Arial" w:hAnsi="Arial" w:cs="Arial"/>
          <w:color w:val="000000" w:themeColor="text1"/>
          <w:sz w:val="22"/>
          <w:szCs w:val="22"/>
        </w:rPr>
        <w:t>PREVENT-Dementia</w:t>
      </w:r>
      <w:r w:rsidR="00E63875" w:rsidRPr="00F10F41">
        <w:rPr>
          <w:rFonts w:ascii="Arial" w:hAnsi="Arial" w:cs="Arial"/>
          <w:color w:val="000000" w:themeColor="text1"/>
          <w:sz w:val="22"/>
          <w:szCs w:val="22"/>
        </w:rPr>
        <w:t xml:space="preserve"> study</w:t>
      </w:r>
      <w:r w:rsidR="002737BC" w:rsidRPr="00F10F41">
        <w:rPr>
          <w:rFonts w:ascii="Arial" w:hAnsi="Arial" w:cs="Arial"/>
          <w:color w:val="000000" w:themeColor="text1"/>
          <w:sz w:val="22"/>
          <w:szCs w:val="22"/>
        </w:rPr>
        <w:t xml:space="preserve"> </w:t>
      </w:r>
      <w:r w:rsidR="002737BC"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{"citationItems":[{"id":"ITEM-1","itemData":{"DOI":"10.1016/j.jalz.2017.02.008","ISSN":"15525279","abstract":"Introduction Although biomarker studies of late-onset Alzheimer's disease suggest pathology to be present decades before diagnosis, little is known about cognitive performance at this stage. Methods A sample of 210 adults (aged 40–59) of whom 103 have a parent diagnosed with dementia (family history subgroup) underwent computerized cognitive testing. Apolipoprotein E (apoE) status was determined, and 193 subjects had magnetic resonance imaging. Distance from dementia onset was estimated in relation to age of parental diagnosis, and Cardiovascular Risk Factors, Aging, and Incidence of Dementia Risk Scores were calculated. Results Lower hippocampal volumes (P =.04) were associated with poorer spatial location recall and higher Dementia Risk Scores with poorer visual recognition (P =.0005), and lower brain and hippocampal volume (P &lt;.0001, P =.04, respectively). Family history subgroup participants closer to dementia onset had lower scores on visual working memory (P =.05), whereas those with an APOE ε4 allele performed better on form perception (P =.005). Discussion Middle-aged adults at risk of dementia show evidence of poorer cognitive performance, principally in visuospatial functions.","author":[{"dropping-particle":"","family":"Ritchie","given":"Karen","non-dropping-particle":"","parse-names":false,"suffix":""},{"dropping-particle":"","family":"Carrière","given":"Isabelle","non-dropping-particle":"","parse-names":false,"suffix":""},{"dropping-particle":"","family":"Su","given":"Li","non-dropping-particle":"","parse-names":false,"suffix":""},{"dropping-particle":"","family":"O'Brien","given":"John T.","non-dropping-particle":"","parse-names":false,"suffix":""},{"dropping-particle":"","family":"Lovestone","given":"Simon","non-dropping-particle":"","parse-names":false,"suffix":""},{"dropping-particle":"","family":"Wells","given":"Katie","non-dropping-particle":"","parse-names":false,"suffix":""},{"dropping-particle":"","family":"Ritchie","given":"Craig W.","non-dropping-particle":"","parse-names":false,"suffix":""}],"container-title":"Alzheimer's and Dementia","id":"ITEM-1","issue":"10","issued":{"date-parts":[["2017"]]},"page":"1089-1097","title":"The midlife cognitive profiles of adults at high risk of late-onset Alzheimer's disease: The PREVENT study","type":"article-journal","volume":"13"},"uris":["http://www.mendeley.com/documents/?uuid=02fd49e9-cc1b-3b5f-8e1c-5b77f4e58e12"]},{"id":"ITEM-2","itemData":{"DOI":"10.3109/09540261.2013.869195","ISSN":"0954-0261","author":[{"dropping-particle":"","family":"Ritchie","given":"Craig W.","non-dropping-particle":"","parse-names":false,"suffix":""},{"dropping-particle":"","family":"Wells","given":"Katie","non-dropping-particle":"","parse-names":false,"suffix":""},{"dropping-particle":"","family":"Ritchie","given":"Karen","non-dropping-particle":"","parse-names":false,"suffix":""}],"container-title":"International Review of Psychiatry","id":"ITEM-2","issue":"6","issued":{"date-parts":[["2013","12","15"]]},"page":"748-754","title":"The PREVENT research programme – A novel research programme to identify and manage midlife risk for dementia: the conceptual framework","type":"article-journal","volume":"25"},"uris":["http://www.mendeley.com/documents/?uuid=6ae01d44-b4e9-315e-9880-b9396b3b50c9"]}],"mendeley":{"formattedCitation":"(Ritchie et al., 2013, 2017)","plainTextFormattedCitation":"(Ritchie et al., 2013, 2017)","previouslyFormattedCitation":"(Ritchie et al., 2013, 2017)"},"properties":{"noteIndex":0},"schema":"https://github.com/citation-style-language/schema/raw/master/csl-citation.json"}</w:instrText>
      </w:r>
      <w:r w:rsidR="002737BC"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(Ritchie et al., 2013, 2017)</w:t>
      </w:r>
      <w:r w:rsidR="002737BC" w:rsidRPr="00F10F41">
        <w:rPr>
          <w:rFonts w:ascii="Arial" w:hAnsi="Arial" w:cs="Arial"/>
          <w:color w:val="000000" w:themeColor="text1"/>
          <w:sz w:val="22"/>
          <w:szCs w:val="22"/>
        </w:rPr>
        <w:fldChar w:fldCharType="end"/>
      </w:r>
    </w:p>
    <w:p w14:paraId="56D711B9" w14:textId="77777777" w:rsidR="00846182" w:rsidRPr="00F10F41" w:rsidRDefault="00846182" w:rsidP="00AB1AE7">
      <w:pPr>
        <w:spacing w:line="360" w:lineRule="auto"/>
        <w:jc w:val="both"/>
        <w:rPr>
          <w:rFonts w:ascii="Arial" w:hAnsi="Arial" w:cs="Arial"/>
          <w:color w:val="000000" w:themeColor="text1"/>
          <w:sz w:val="22"/>
          <w:szCs w:val="22"/>
        </w:rPr>
      </w:pPr>
    </w:p>
    <w:p w14:paraId="08487FE7" w14:textId="1BC9F3C6" w:rsidR="003223B8" w:rsidRPr="00F10F41" w:rsidRDefault="00D40AB2" w:rsidP="00AB1AE7">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 xml:space="preserve">To extend previous cross-sectional studies </w:t>
      </w:r>
      <w:r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{"citationItems":[{"id":"ITEM-1","itemData":{"DOI":"10.1093/brain/awy229","ISSN":"14602156","abstract":"White matter alterations are present in the majority of patients with Alzheimer's disease type dementia. However, the spatiotemporal pattern of white matter changes preceding dementia symptoms in Alzheimer's disease remains unclear, largely due to the inherent diagnostic uncertainty in the preclinical phase and increased risk of confounding age-related vascular disease and stroke in late-onset Alzheimer's disease. In early-onset autosomal-dominantly inherited Alzheimer's disease, participants are destined to develop dementia, which provides the opportunity to assess brain changes years before the onset of symptoms, and in the absence of ageing-related vascular disease. Here, we assessed mean diffusivity alterations in the white matter in 64 mutation carriers compared to 45 non-carrier family non-carriers. Using tract-based spatial statistics, we mapped the interaction of mutation status by estimated years from symptom onset on mean diffusivity. For major atlas-derived fibre tracts, we determined the earliest time point at which abnormal mean diffusivity changes in the mutation carriers were detectable. Lastly, we assessed the association between mean diffusivity and cerebrospinal fluid biomarkers of amyloid, tau, phosphorylated-tau, and soluble TREM2, i.e. a marker of microglia activity. Results showed a significant interaction of mutations status by estimated years from symptom onset, i.e. a stronger increase of mean diffusivity, within the posterior parietal and medial frontal white matter in mutation carriers compared with non-carriers. The earliest increase of mean diffusivity was observed in the forceps major, forceps minor and long projecting fibres-many connecting default mode network regions-between 5 to 10 years before estimated symptom onset. Higher mean diffusivity in fibre tracts was associated with lower grey matter volume in the tracts' projection zones. Global mean diffusivity was correlated with lower cerebrospinal fluid levels of amyloid-β 1-42 but higher levels of tau, phosphorylated-tau and soluble TREM2. Together, these results suggest that regionally selective white matter degeneration occurs years before the estimated symptom onset. Such white matter alterations are associated with primary Alzheimer's disease pathology and microglia activity in the brain.","author":[{"dropping-particle":"","family":"Caballero","given":"Miguel Ángel Araque","non-dropping-particle":"","parse-names":false,"suffix":""},{"dropping-particle":"","family":"Suárez-Calvet","given":"Marc","non-dropping-particle":"","parse-names":false,"suffix":""},{"dropping-particle":"","family":"Duering","given":"Marco","non-dropping-particle":"","parse-names":false,"suffix":""},{"dropping-particle":"","family":"Franzmeier","given":"Nicolai","non-dropping-particle":"","parse-names":false,"suffix":""},{"dropping-particle":"","family":"Benzinger","given":"Tammie","non-dropping-particle":"","parse-names":false,"suffix":""},{"dropping-particle":"","family":"Fagan","given":"Anne M.","non-dropping-particle":"","parse-names":false,"suffix":""},{"dropping-particle":"","family":"Bateman","given":"Randall J.","non-dropping-particle":"","parse-names":false,"suffix":""},{"dropping-particle":"","family":"Jack","given":"Clifford R.","non-dropping-particle":"","parse-names":false,"suffix":""},{"dropping-particle":"","family":"Levin","given":"Johannes","non-dropping-particle":"","parse-names":false,"suffix":""},{"dropping-particle":"","family":"Dichgans","given":"Martin","non-dropping-particle":"","parse-names":false,"suffix":""},{"dropping-particle":"","family":"Jucker","given":"Mathias","non-dropping-particle":"","parse-names":false,"suffix":""},{"dropping-particle":"","family":"Karch","given":"Celeste","non-dropping-particle":"","parse-names":false,"suffix":""},{"dropping-particle":"","family":"Masters","given":"Colin L.","non-dropping-particle":"","parse-names":false,"suffix":""},{"dropping-particle":"","family":"Morris","given":"John C.","non-dropping-particle":"","parse-names":false,"suffix":""},{"dropping-particle":"","family":"Weiner","given":"Michael","non-dropping-particle":"","parse-names":false,"suffix":""},{"dropping-particle":"","family":"Rossor","given":"Martin","non-dropping-particle":"","parse-names":false,"suffix":""},{"dropping-particle":"","family":"Fox","given":"Nick C.","non-dropping-particle":"","parse-names":false,"suffix":""},{"dropping-particle":"","family":"Lee","given":"Jae Hong","non-dropping-particle":"","parse-names":false,"suffix":""},{"dropping-particle":"","family":"Salloway","given":"Stephen","non-dropping-particle":"","parse-names":false,"suffix":""},{"dropping-particle":"","family":"Danek","given":"Adrian","non-dropping-particle":"","parse-names":false,"suffix":""},{"dropping-particle":"","family":"Goate","given":"Alison","non-dropping-particle":"","parse-names":false,"suffix":""},{"dropping-particle":"","family":"Yakushev","given":"Igor","non-dropping-particle":"","parse-names":false,"suffix":""},{"dropping-particle":"","family":"Hassenstab","given":"Jason","non-dropping-particle":"","parse-names":false,"suffix":""},{"dropping-particle":"","family":"Schofield","given":"Peter R.","non-dropping-particle":"","parse-names":false,"suffix":""},{"dropping-particle":"","family":"Haass","given":"Christian","non-dropping-particle":"","parse-names":false,"suffix":""},{"dropping-particle":"","family":"Ewers","given":"Michael","non-dropping-particle":"","parse-names":false,"suffix":""}],"container-title":"Brain","id":"ITEM-1","issue":"10","issued":{"date-parts":[["2018"]]},"page":"3065-3080","title":"White matter diffusion alterations precede symptom onset in autosomal dominant Alzheimer's disease","type":"article-journal","volume":"141"},"uris":["http://www.mendeley.com/documents/?uuid=6479d321-2ed4-39c1-967f-3bedb596edbb","http://www.mendeley.com/documents/?uuid=d8c903bc-6b9e-4e46-ad9c-a828f3607529","http://www.mendeley.com/documents/?uuid=d0e265eb-6e19-4b29-9415-52530b254f2e"]},{"id":"ITEM-2","itemData":{"DOI":"10.1001/jamaneurol.2017.5135","ISSN":"21686149","abstract":"IMPORTANCE Alzheimer disease (AD) develops during several decades. Presymptomatic individuals might be the best candidates for clinical trials, but their identification is challenging because they have no symptoms. OBJECTIVE To assess whether a sporadic parental estimated years to symptom onset calculation could be used to identify information about amyloid-β (Aβ) levels in asymptomatic individuals with a parental history of AD dementia. DESIGN, SETTING, AND PARTICIPANTS This cohort study analyzed Aβ1-42 in cerebrospinal fluid (CSF) specimens from 101 cognitively normal individuals who had a lumbar puncture as part of the Presymptomatic Evaluation of Novel or Experimental Treatments for Alzheimer Disease (PREVENT-AD) cohort from September 1, 2011, through November 30, 2016 (374 participants were enrolled in the cohort during this period). The study estimated each participant's proximity to his/her parent's symptom onset by subtracting the index relative's onset age from his/her current age. The association between proximity to parental symptom onset and Aβ levels was then assessed using apolipoprotein E ϵ4 (APOE4) status and sex as interactive terms. These analyses were performed again in 2 independent cohorts using CSF and Pittsburgh compound B carbon 11-labeled positron emission tomography (PIB-PET) Aβ biomarkers: the Adult Children Study (ACS) and the Wisconsin Registry for Alzheimer Prevention (WRAP) cohorts. MAIN OUTCOMES AND MEASURES The association between proximity to parental symptom onset and Aβ burden in asymptomatic individuals with a parental history of sporadic AD. RESULTS The present analysis included a subset of 101 PREVENT-AD individuals (mean [SD] age, 61.8 [5.1] years; 30 [29.7%] male), 128 ACS participants (112 participants underwent CSF measurement: mean [SD] age, 63.4 [5.1] years; 31 [27.7%] male; and 107 underwent PIB-PET: mean [SD] age, 64.6 [5.3] years; 27 [25.2%] male), and 135 WRAP participants (85 participants underwent CSF measurement: mean [SD] age, 59.9 [6.0] years; 27 [31.8%] male; and 135 underwent PIB-PET: mean [SD] age, 59.6 [6.1] years; 43 [31.9%] male). In the PREVENT-AD cohort, individuals approaching their parent's onset age had lower CSF Aβ1-42 levels (range, 402-1597; B = -9.09, P = .04). This association was stronger in APOE4 carriers (B = -17.9, P = .03) and women (B = -19.8, P = .02). In the ACS cohort, the main association was replicated using PIB-PET data, and the sex interaction was replicated using CSF and…","author":[{"dropping-particle":"","family":"Villeneuve","given":"Sylvia","non-dropping-particle":"","parse-names":false,"suffix":""},{"dropping-particle":"","family":"Vogel","given":"Jacob W.","non-dropping-particle":"","parse-names":false,"suffix":""},{"dropping-particle":"","family":"Gonneaud","given":"Julie","non-dropping-particle":"","parse-names":false,"suffix":""},{"dropping-particle":"","family":"Pichet Binette","given":"Alexa","non-dropping-particle":"","parse-names":false,"suffix":""},{"dropping-particle":"","family":"Rosa-Neto","given":"Pedro","non-dropping-particle":"","parse-names":false,"suffix":""},{"dropping-particle":"","family":"Gauthier","given":"Serge","non-dropping-particle":"","parse-names":false,"suffix":""},{"dropping-particle":"","family":"Bateman","given":"Randall J.","non-dropping-particle":"","parse-names":false,"suffix":""},{"dropping-particle":"","family":"Fagan","given":"Anne M.","non-dropping-particle":"","parse-names":false,"suffix":""},{"dropping-particle":"","family":"Morris","given":"John C.","non-dropping-particle":"","parse-names":false,"suffix":""},{"dropping-particle":"","family":"Benzinger","given":"Tammie L.S.","non-dropping-particle":"","parse-names":false,"suffix":""},{"dropping-particle":"","family":"Johnson","given":"Sterling C.","non-dropping-particle":"","parse-names":false,"suffix":""},{"dropping-particle":"","family":"Breitner","given":"John C.S.","non-dropping-particle":"","parse-names":false,"suffix":""},{"dropping-particle":"","family":"Poirier","given":"Judes","non-dropping-particle":"","parse-names":false,"suffix":""},{"dropping-particle":"","family":"Barkun","given":"Alan","non-dropping-particle":"","parse-names":false,"suffix":""},{"dropping-particle":"","family":"Evans","given":"Alan","non-dropping-particle":"","parse-names":false,"suffix":""},{"dropping-particle":"","family":"Salaciak","given":"Alyssa","non-dropping-particle":"","parse-names":false,"suffix":""},{"dropping-particle":"","family":"Tam","given":"Angela","non-dropping-particle":"","parse-names":false,"suffix":""},{"dropping-particle":"","family":"Labonté","given":"Anne","non-dropping-particle":"","parse-names":false,"suffix":""},{"dropping-particle":"","family":"Faubert","given":"Anne Marie","non-dropping-particle":"","parse-names":false,"suffix":""},{"dropping-particle":"","family":"Mathieu","given":"Axel","non-dropping-particle":"","parse-names":false,"suffix":""},{"dropping-particle":"","family":"Courcot","given":"Blandine","non-dropping-particle":"","parse-names":false,"suffix":""},{"dropping-particle":"","family":"Hyman","given":"Bradley T.","non-dropping-particle":"","parse-names":false,"suffix":""},{"dropping-particle":"","family":"Madjar","given":"Cécile","non-dropping-particle":"","parse-names":false,"suffix":""},{"dropping-particle":"","family":"Carrier","given":"Charles Edouard","non-dropping-particle":"","parse-names":false,"suffix":""},{"dropping-particle":"","family":"Dansereau","given":"Christian","non-dropping-particle":"","parse-names":false,"suffix":""},{"dropping-particle":"","family":"Kazazian","given":"Christina","non-dropping-particle":"","parse-names":false,"suffix":""},{"dropping-particle":"","family":"Tardif","given":"Christine","non-dropping-particle":"","parse-names":false,"suffix":""},{"dropping-particle":"","family":"Lepage","given":"Claude","non-dropping-particle":"","parse-names":false,"suffix":""},{"dropping-particle":"","family":"Cuello","given":"Claudio","non-dropping-particle":"","parse-names":false,"suffix":""},{"dropping-particle":"","family":"Debacker","given":"Clément","non-dropping-particle":"","parse-names":false,"suffix":""},{"dropping-particle":"","family":"Jack","given":"Clifford R.","non-dropping-particle":"","parse-names":false,"suffix":""},{"dropping-particle":"","family":"Picard","given":"Cynthia","non-dropping-particle":"","parse-names":false,"suffix":""},{"dropping-particle":"","family":"Maillet","given":"David","non-dropping-particle":"","parse-names":false,"suffix":""},{"dropping-particle":"","family":"Fontaine","given":"David","non-dropping-particle":"","parse-names":false,"suffix":""},{"dropping-particle":"","family":"Knopman","given":"David S.","non-dropping-particle":"","parse-names":false,"suffix":""},{"dropping-particle":"","family":"Michaud","given":"Diane","non-dropping-particle":"","parse-names":false,"suffix":""},{"dropping-particle":"","family":"Couture","given":"Doris","non-dropping-particle":"","parse-names":false,"suffix":""},{"dropping-particle":"","family":"Dea","given":"Doris","non-dropping-particle":"","parse-names":false,"suffix":""},{"dropping-particle":"","family":"Teigner","given":"Eduard","non-dropping-particle":"","parse-names":false,"suffix":""},{"dropping-particle":"","family":"Anthal","given":"Elena","non-dropping-particle":"","parse-names":false,"suffix":""},{"dropping-particle":"","family":"Yu","given":"Elsa","non-dropping-particle":"","parse-names":false,"suffix":""},{"dropping-particle":"","family":"Vachon-Presseau","given":"Etienne","non-dropping-particle":"","parse-names":false,"suffix":""},{"dropping-particle":"","family":"Saint-Fort","given":"Eunice Farah","non-dropping-particle":"","parse-names":false,"suffix":""},{"dropping-particle":"","family":"Ferdinand","given":"Fabiola","non-dropping-particle":"","parse-names":false,"suffix":""},{"dropping-particle":"","family":"Benbouhoud","given":"Fatiha","non-dropping-particle":"","parse-names":false,"suffix":""},{"dropping-particle":"","family":"Pogossova","given":"Galina","non-dropping-particle":"","parse-names":false,"suffix":""},{"dropping-particle":"","family":"Maultaup","given":"Gerhard","non-dropping-particle":"","parse-names":false,"suffix":""},{"dropping-particle":"","family":"Mayrand","given":"Ginette","non-dropping-particle":"","parse-names":false,"suffix":""},{"dropping-particle":"","family":"Duclair","given":"Guerda","non-dropping-particle":"","parse-names":false,"suffix":""},{"dropping-particle":"","family":"Ayranci","given":"Gülebru","non-dropping-particle":"","parse-names":false,"suffix":""},{"dropping-particle":"","family":"Gagné","given":"Guylaine","non-dropping-particle":"","parse-names":false,"suffix":""},{"dropping-particle":"","family":"Newbold-Fox","given":"Holly","non-dropping-particle":"","parse-names":false,"suffix":""},{"dropping-particle":"","family":"Leppert","given":"Illana","non-dropping-particle":"","parse-names":false,"suffix":""},{"dropping-particle":"","family":"Vallée","given":"Isabelle","non-dropping-particle":"","parse-names":false,"suffix":""},{"dropping-particle":"","family":"Near","given":"Jamie","non-dropping-particle":"","parse-names":false,"suffix":""},{"dropping-particle":"","family":"Brandt","given":"Jason","non-dropping-particle":"","parse-names":false,"suffix":""},{"dropping-particle":"","family":"Maltais","given":"Jean Robert","non-dropping-particle":"","parse-names":false,"suffix":""},{"dropping-particle":"","family":"Leoutsakos","given":"Jeannie Marie","non-dropping-particle":"","parse-names":false,"suffix":""},{"dropping-particle":"","family":"Tremblay-Mercier","given":"Jennifer","non-dropping-particle":"","parse-names":false,"suffix":""},{"dropping-particle":"","family":"Pruessner","given":"Jens","non-dropping-particle":"","parse-names":false,"suffix":""},{"dropping-particle":"","family":"Frenette","given":"Joanne","non-dropping-particle":"","parse-names":false,"suffix":""},{"dropping-particle":"","family":"Frappier","given":"Josée","non-dropping-particle":"","parse-names":false,"suffix":""},{"dropping-particle":"","family":"Kat","given":"Justin","non-dropping-particle":"","parse-names":false,"suffix":""},{"dropping-particle":"","family":"Miron","given":"Justin","non-dropping-particle":"","parse-names":false,"suffix":""},{"dropping-particle":"","family":"Wan","given":"Karen","non-dropping-particle":"","parse-names":false,"suffix":""},{"dropping-particle":"","family":"Cheewakriengkrai","given":"Laksanun","non-dropping-particle":"","parse-names":false,"suffix":""},{"dropping-particle":"","family":"Mahar","given":"Laura","non-dropping-particle":"","parse-names":false,"suffix":""},{"dropping-particle":"","family":"Carmo","given":"Leopoldina","non-dropping-particle":"","parse-names":false,"suffix":""},{"dropping-particle":"","family":"Münter","given":"Lisa Marie","non-dropping-particle":"","parse-names":false,"suffix":""},{"dropping-particle":"","family":"Collins","given":"Louis","non-dropping-particle":"","parse-names":false,"suffix":""},{"dropping-particle":"","family":"Théroux","given":"Louise","non-dropping-particle":"","parse-names":false,"suffix":""},{"dropping-particle":"","family":"Dadar","given":"Mahsa","non-dropping-particle":"","parse-names":false,"suffix":""},{"dropping-particle":"","family":"Chakravarty","given":"Mallar","non-dropping-particle":"","parse-names":false,"suffix":""},{"dropping-particle":"","family":"Dufour","given":"Marianne","non-dropping-particle":"","parse-names":false,"suffix":""},{"dropping-particle":"","family":"Lafaille-Magnan","given":"Marie Elyse","non-dropping-particle":"","parse-names":false,"suffix":""},{"dropping-particle":"","family":"Dauar-Tedeschi","given":"Marina","non-dropping-particle":"","parse-names":false,"suffix":""},{"dropping-particle":"","family":"Sager","given":"Mark A.","non-dropping-particle":"","parse-names":false,"suffix":""},{"dropping-particle":"","family":"Eisenberg","given":"Mark","non-dropping-particle":"","parse-names":false,"suffix":""},{"dropping-particle":"","family":"Appleby","given":"Melissa","non-dropping-particle":"","parse-names":false,"suffix":""},{"dropping-particle":"","family":"Savard","given":"Mélissa","non-dropping-particle":"","parse-names":false,"suffix":""},{"dropping-particle":"","family":"Tuwaig","given":"Miranda","non-dropping-particle":"","parse-names":false,"suffix":""},{"dropping-particle":"","family":"Petkova","given":"Mirela","non-dropping-particle":"","parse-names":false,"suffix":""},{"dropping-particle":"","family":"Rajah","given":"Natasha","non-dropping-particle":"","parse-names":false,"suffix":""},{"dropping-particle":"","family":"Aisen","given":"Paul","non-dropping-particle":"","parse-names":false,"suffix":""},{"dropping-particle":"","family":"Toussaint","given":"Paule Joanne","non-dropping-particle":"","parse-names":false,"suffix":""},{"dropping-particle":"","family":"Kostopoulos","given":"Penelope","non-dropping-particle":"","parse-names":false,"suffix":""},{"dropping-particle":"","family":"Bellec","given":"Pierre","non-dropping-particle":"","parse-names":false,"suffix":""},{"dropping-particle":"","family":"Etienne","given":"Pierre","non-dropping-particle":"","parse-names":false,"suffix":""},{"dropping-particle":"","family":"Tariot","given":"Pierre N.","non-dropping-particle":"","parse-names":false,"suffix":""},{"dropping-particle":"","family":"Orban","given":"Pierre","non-dropping-particle":"","parse-names":false,"suffix":""},{"dropping-particle":"","family":"Rioux","given":"Pierre","non-dropping-particle":"","parse-names":false,"suffix":""},{"dropping-particle":"","family":"Meyer","given":"Pierre François","non-dropping-particle":"","parse-names":false,"suffix":""},{"dropping-particle":"","family":"El-Khoury","given":"Rana","non-dropping-particle":"","parse-names":false,"suffix":""},{"dropping-particle":"","family":"Sperling","given":"Reisa A.","non-dropping-particle":"","parse-names":false,"suffix":""},{"dropping-particle":"","family":"Desautels","given":"René","non-dropping-particle":"","parse-names":false,"suffix":""},{"dropping-particle":"","family":"Gordon","given":"Renee","non-dropping-particle":"","parse-names":false,"suffix":""},{"dropping-particle":"","family":"Giles","given":"Renuka","non-dropping-particle":"","parse-names":false,"suffix":""},{"dropping-particle":"","family":"Hoge","given":"Rick","non-dropping-particle":"","parse-names":false,"suffix":""},{"dropping-particle":"","family":"Thomas","given":"Ronald G.","non-dropping-particle":"","parse-names":false,"suffix":""},{"dropping-particle":"","family":"Das","given":"Samir","non-dropping-particle":"","parse-names":false,"suffix":""},{"dropping-particle":"","family":"Verfaillie","given":"Sander C.J.","non-dropping-particle":"","parse-names":false,"suffix":""},{"dropping-particle":"","family":"Farzin","given":"Sarah","non-dropping-particle":"","parse-names":false,"suffix":""},{"dropping-particle":"","family":"Wang","given":"Seqian","non-dropping-particle":"","parse-names":false,"suffix":""},{"dropping-particle":"","family":"Tabrizi","given":"Shirin","non-dropping-particle":"","parse-names":false,"suffix":""},{"dropping-particle":"","family":"Tullo","given":"Stephanie","non-dropping-particle":"","parse-names":false,"suffix":""},{"dropping-particle":"","family":"Mathotaarachchi","given":"Sulantha","non-dropping-particle":"","parse-names":false,"suffix":""},{"dropping-particle":"","family":"Craft","given":"Suzanne","non-dropping-particle":"","parse-names":false,"suffix":""},{"dropping-particle":"","family":"Dubuc","given":"Sylvie","non-dropping-particle":"","parse-names":false,"suffix":""},{"dropping-particle":"","family":"Lee","given":"Tanya","non-dropping-particle":"","parse-names":false,"suffix":""},{"dropping-particle":"","family":"Pascoal","given":"Tharick A.","non-dropping-particle":"","parse-names":false,"suffix":""},{"dropping-particle":"","family":"Montine","given":"Thomas J.","non-dropping-particle":"","parse-names":false,"suffix":""},{"dropping-particle":"","family":"Beaudry","given":"Thomas","non-dropping-particle":"","parse-names":false,"suffix":""},{"dropping-particle":"","family":"Gervais","given":"Valérie","non-dropping-particle":"","parse-names":false,"suffix":""},{"dropping-particle":"","family":"Nair","given":"Vasavan","non-dropping-particle":"","parse-names":false,"suffix":""},{"dropping-particle":"","family":"Bohbot","given":"Véronique","non-dropping-particle":"","parse-names":false,"suffix":""},{"dropping-particle":"","family":"Pagé","given":"Véronique","non-dropping-particle":"","parse-names":false,"suffix":""},{"dropping-particle":"","family":"Venugopalan","given":"Vinod","non-dropping-particle":"","parse-names":false,"suffix":""},{"dropping-particle":"","family":"Fonov","given":"Vladimir","non-dropping-particle":"","parse-names":false,"suffix":""},{"dropping-particle":"","family":"Ituria-Medina","given":"Yasser","non-dropping-particle":"","parse-names":false,"suffix":""},{"dropping-particle":"","family":"Khachaturian","given":"Zaven S.","non-dropping-particle":"","parse-names":false,"suffix":""}],"container-title":"JAMA Neurology","id":"ITEM-2","issue":"5","issued":{"date-parts":[["2018"]]},"page":"608-619","title":"Proximity to parental symptom onset and amyloid-β burden in sporadic Alzheimer disease","type":"article-journal","volume":"75"},"uris":["http://www.mendeley.com/documents/?uuid=e52389ab-dca9-4d58-bbc9-7a741720c940","http://www.mendeley.com/documents/?uuid=e76c7a76-5045-495c-badf-fbb429ccd211","http://www.mendeley.com/documents/?uuid=546cfcbf-2cde-417a-89db-610bd0a3b821"]},{"id":"ITEM-3","itemData":{"DOI":"10.1093/brain/awy093","ISSN":"14602156","abstract":"See Tijms and Visser (doi:10.1093/brain/awy113) for a scientific commentary on this article. Alzheimer's disease is preceded by a lengthy 'preclinical' stage spanning many years, during which subtle brain changes occur in the absence of overt cognitive symptoms. Predicting when the onset of disease symptoms will occur is an unsolved challenge in individuals with sporadic Alzheimer's disease. In individuals with autosomal dominant genetic Alzheimer's disease, the age of symptom onset is similar across generations, allowing the prediction of individual onset times with some accuracy. We extend this concept to persons with a parental history of sporadic Alzheimer's disease to test whether an individual's symptom onset age can be informed by the onset age of their affected parent, and whether this estimated onset age can be predicted using only MRI. Structural and functional MRIs were acquired from 255 ageing cognitively healthy subjects with a parental history of sporadic Alzheimer's disease from the PREVENT-AD cohort. Years to estimated symptom onset was calculated as participant age minus age of parental symptom onset. Grey matter volume was extracted from T 1 -weighted images and whole-brain resting state functional connectivity was evaluated using degree count. Both modalities were summarized using a 444-region cortical-subcortical atlas. The entire sample was divided into training (n = 138) and testing (n = 68) sets. Within the training set, individuals closer to or beyond their parent's symptom onset demonstrated reduced grey matter volume and altered functional connectivity, specifically in regions known to be vulnerable in Alzheimer's disease. Machine learning was used to identify a weighted set of imaging features trained to predict years to estimated symptom onset. This feature set alone significantly predicted years to estimated symptom onset in the unseen testing data. This model, using only neuroimaging features, significantly outperformed a similar model instead trained with cognitive, genetic, imaging and demographic features used in a traditional clinical setting. We next tested if these brain properties could be generalized to predict time to clinical progression in a subgroup of 26 individuals from the Alzheimer's Disease Neuroimaging Initiative, who eventually converted either to mild cognitive impairment or to Alzheimer's dementia. The feature set trained on years to estimated symptom onset in the PREVENT-AD predicted variance in time t…","author":[{"dropping-particle":"","family":"Vogel","given":"Jacob W.","non-dropping-particle":"","parse-names":false,"suffix":""},{"dropping-particle":"","family":"Vachon-Presseau","given":"Etienne","non-dropping-particle":"","parse-names":false,"suffix":""},{"dropping-particle":"","family":"Pichet Binette","given":"Alexa","non-dropping-particle":"","parse-names":false,"suffix":""},{"dropping-particle":"","family":"Tam","given":"Angela","non-dropping-particle":"","parse-names":false,"suffix":""},{"dropping-particle":"","family":"Orban","given":"Pierre","non-dropping-particle":"","parse-names":false,"suffix":""},{"dropping-particle":"","family":"Joie","given":"Renaud","non-dropping-particle":"La","parse-names":false,"suffix":""},{"dropping-particle":"","family":"Savard","given":"Mélissa","non-dropping-particle":"","parse-names":false,"suffix":""},{"dropping-particle":"","family":"Picard","given":"Cynthia","non-dropping-particle":"","parse-names":false,"suffix":""},{"dropping-particle":"","family":"Poirier","given":"Judes","non-dropping-particle":"","parse-names":false,"suffix":""},{"dropping-particle":"","family":"Bellec","given":"Pierre","non-dropping-particle":"","parse-names":false,"suffix":""},{"dropping-particle":"","family":"Breitner","given":"John C.S.","non-dropping-particle":"","parse-names":false,"suffix":""},{"dropping-particle":"","family":"Villeneuve","given":"Sylvia","non-dropping-particle":"","parse-names":false,"suffix":""}],"container-title":"Brain","id":"ITEM-3","issue":"6","issued":{"date-parts":[["2018"]]},"page":"1871-1883","title":"Brain properties predict proximity to symptom onset in sporadic Alzheimer's disease","type":"article-journal","volume":"141"},"uris":["http://www.mendeley.com/documents/?uuid=f65368d0-9a82-4e5c-abee-c7bfa447f51a","http://www.mendeley.com/documents/?uuid=73a5bb7d-ee8d-4b89-ae3e-5307cde41c82","http://www.mendeley.com/documents/?uuid=69000f4f-030d-3175-a8df-eb557d689a04","http://www.mendeley.com/documents/?uuid=5fbab9ac-f21e-485f-a78c-2b5b0a6348c9","http://www.mendeley.com/documents/?uuid=95e58465-83c8-4b97-b86c-a1f79e151e59"]}],"mendeley":{"formattedCitation":"(Caballero et al., 2018; Villeneuve et al., 2018; Vogel et al., 2018)","plainTextFormattedCitation":"(Caballero et al., 2018; Villeneuve et al., 2018; Vogel et al., 2018)","previouslyFormattedCitation":"(Caballero et al., 2018; Villeneuve et al., 2018; Vogel et al., 2018)"},"properties":{"noteIndex":0},"schema":"https://github.com/citation-style-language/schema/raw/master/csl-citation.json"}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(Caballero et al., 2018; Villeneuve et al., 2018; Vogel et al., 2018)</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and address the current gaps in our understanding of </w:t>
      </w:r>
      <w:r w:rsidR="00EE1AEF" w:rsidRPr="00F10F41">
        <w:rPr>
          <w:rFonts w:ascii="Arial" w:hAnsi="Arial" w:cs="Arial"/>
          <w:color w:val="000000" w:themeColor="text1"/>
          <w:sz w:val="22"/>
          <w:szCs w:val="22"/>
        </w:rPr>
        <w:t>brain changes occurring during the preclinical stage</w:t>
      </w:r>
      <w:r w:rsidR="00B80A2B">
        <w:rPr>
          <w:rFonts w:ascii="Arial" w:hAnsi="Arial" w:cs="Arial"/>
          <w:color w:val="000000" w:themeColor="text1"/>
          <w:sz w:val="22"/>
          <w:szCs w:val="22"/>
        </w:rPr>
        <w:t>s</w:t>
      </w:r>
      <w:r w:rsidRPr="00F10F41">
        <w:rPr>
          <w:rFonts w:ascii="Arial" w:hAnsi="Arial" w:cs="Arial"/>
          <w:color w:val="000000" w:themeColor="text1"/>
          <w:sz w:val="22"/>
          <w:szCs w:val="22"/>
        </w:rPr>
        <w:t xml:space="preserve">, we </w:t>
      </w:r>
      <w:r w:rsidR="00804496" w:rsidRPr="00F10F41">
        <w:rPr>
          <w:rFonts w:ascii="Arial" w:hAnsi="Arial" w:cs="Arial"/>
          <w:color w:val="000000" w:themeColor="text1"/>
          <w:sz w:val="22"/>
          <w:szCs w:val="22"/>
        </w:rPr>
        <w:t>mapped out</w:t>
      </w:r>
      <w:r w:rsidRPr="00F10F41">
        <w:rPr>
          <w:rFonts w:ascii="Arial" w:hAnsi="Arial" w:cs="Arial"/>
          <w:color w:val="000000" w:themeColor="text1"/>
          <w:sz w:val="22"/>
          <w:szCs w:val="22"/>
        </w:rPr>
        <w:t xml:space="preserve"> </w:t>
      </w:r>
      <w:r w:rsidR="00ED4E95" w:rsidRPr="00F10F41">
        <w:rPr>
          <w:rFonts w:ascii="Arial" w:hAnsi="Arial" w:cs="Arial"/>
          <w:color w:val="000000" w:themeColor="text1"/>
          <w:sz w:val="22"/>
          <w:szCs w:val="22"/>
        </w:rPr>
        <w:t xml:space="preserve">an </w:t>
      </w:r>
      <w:r w:rsidR="004B1394" w:rsidRPr="00F10F41">
        <w:rPr>
          <w:rFonts w:ascii="Arial" w:hAnsi="Arial" w:cs="Arial"/>
          <w:color w:val="000000" w:themeColor="text1"/>
          <w:sz w:val="22"/>
          <w:szCs w:val="22"/>
        </w:rPr>
        <w:t xml:space="preserve">in-depth characterisation </w:t>
      </w:r>
      <w:r w:rsidR="00282D6B" w:rsidRPr="00F10F41">
        <w:rPr>
          <w:rFonts w:ascii="Arial" w:hAnsi="Arial" w:cs="Arial"/>
          <w:color w:val="000000" w:themeColor="text1"/>
          <w:sz w:val="22"/>
          <w:szCs w:val="22"/>
        </w:rPr>
        <w:t xml:space="preserve">of </w:t>
      </w:r>
      <w:r w:rsidR="00B028FF" w:rsidRPr="00F10F41">
        <w:rPr>
          <w:rFonts w:ascii="Arial" w:hAnsi="Arial" w:cs="Arial"/>
          <w:color w:val="000000" w:themeColor="text1"/>
          <w:sz w:val="22"/>
          <w:szCs w:val="22"/>
        </w:rPr>
        <w:t>EYO-related</w:t>
      </w:r>
      <w:r w:rsidR="00282D6B" w:rsidRPr="00F10F41">
        <w:rPr>
          <w:rFonts w:ascii="Arial" w:hAnsi="Arial" w:cs="Arial"/>
          <w:color w:val="000000" w:themeColor="text1"/>
          <w:sz w:val="22"/>
          <w:szCs w:val="22"/>
        </w:rPr>
        <w:t xml:space="preserve"> </w:t>
      </w:r>
      <w:r w:rsidR="00B028FF" w:rsidRPr="00F10F41">
        <w:rPr>
          <w:rFonts w:ascii="Arial" w:hAnsi="Arial" w:cs="Arial"/>
          <w:color w:val="000000" w:themeColor="text1"/>
          <w:sz w:val="22"/>
          <w:szCs w:val="22"/>
        </w:rPr>
        <w:t>changes</w:t>
      </w:r>
      <w:r w:rsidR="00282D6B" w:rsidRPr="00F10F41">
        <w:rPr>
          <w:rFonts w:ascii="Arial" w:hAnsi="Arial" w:cs="Arial"/>
          <w:color w:val="000000" w:themeColor="text1"/>
          <w:sz w:val="22"/>
          <w:szCs w:val="22"/>
        </w:rPr>
        <w:t xml:space="preserve"> in</w:t>
      </w:r>
      <w:r w:rsidR="003E7555" w:rsidRPr="00F10F41">
        <w:rPr>
          <w:rFonts w:ascii="Arial" w:hAnsi="Arial" w:cs="Arial"/>
          <w:color w:val="000000" w:themeColor="text1"/>
          <w:sz w:val="22"/>
          <w:szCs w:val="22"/>
        </w:rPr>
        <w:t xml:space="preserve"> (1) </w:t>
      </w:r>
      <w:r w:rsidR="00780F51" w:rsidRPr="00F10F41">
        <w:rPr>
          <w:rFonts w:ascii="Arial" w:hAnsi="Arial" w:cs="Arial"/>
          <w:color w:val="000000" w:themeColor="text1"/>
          <w:sz w:val="22"/>
          <w:szCs w:val="22"/>
        </w:rPr>
        <w:t>grey matter</w:t>
      </w:r>
      <w:r w:rsidR="003E7555" w:rsidRPr="00F10F41">
        <w:rPr>
          <w:rFonts w:ascii="Arial" w:hAnsi="Arial" w:cs="Arial"/>
          <w:color w:val="000000" w:themeColor="text1"/>
          <w:sz w:val="22"/>
          <w:szCs w:val="22"/>
        </w:rPr>
        <w:t>,</w:t>
      </w:r>
      <w:r w:rsidR="00E439A7" w:rsidRPr="00F10F41">
        <w:rPr>
          <w:rFonts w:ascii="Arial" w:hAnsi="Arial" w:cs="Arial"/>
          <w:color w:val="000000" w:themeColor="text1"/>
          <w:sz w:val="22"/>
          <w:szCs w:val="22"/>
        </w:rPr>
        <w:t xml:space="preserve"> </w:t>
      </w:r>
      <w:r w:rsidR="003E7555" w:rsidRPr="00F10F41">
        <w:rPr>
          <w:rFonts w:ascii="Arial" w:hAnsi="Arial" w:cs="Arial"/>
          <w:color w:val="000000" w:themeColor="text1"/>
          <w:sz w:val="22"/>
          <w:szCs w:val="22"/>
        </w:rPr>
        <w:t>(</w:t>
      </w:r>
      <w:r w:rsidR="00E67CCC" w:rsidRPr="00F10F41">
        <w:rPr>
          <w:rFonts w:ascii="Arial" w:hAnsi="Arial" w:cs="Arial"/>
          <w:color w:val="000000" w:themeColor="text1"/>
          <w:sz w:val="22"/>
          <w:szCs w:val="22"/>
        </w:rPr>
        <w:t>2</w:t>
      </w:r>
      <w:r w:rsidR="003E7555" w:rsidRPr="00F10F41">
        <w:rPr>
          <w:rFonts w:ascii="Arial" w:hAnsi="Arial" w:cs="Arial"/>
          <w:color w:val="000000" w:themeColor="text1"/>
          <w:sz w:val="22"/>
          <w:szCs w:val="22"/>
        </w:rPr>
        <w:t>) white matter microstructure</w:t>
      </w:r>
      <w:r w:rsidR="009376DD" w:rsidRPr="00F10F41">
        <w:rPr>
          <w:rFonts w:ascii="Arial" w:hAnsi="Arial" w:cs="Arial"/>
          <w:color w:val="000000" w:themeColor="text1"/>
          <w:sz w:val="22"/>
          <w:szCs w:val="22"/>
        </w:rPr>
        <w:t xml:space="preserve">, (3) white matter lesions, </w:t>
      </w:r>
      <w:r w:rsidR="003E7555" w:rsidRPr="00F10F41">
        <w:rPr>
          <w:rFonts w:ascii="Arial" w:hAnsi="Arial" w:cs="Arial"/>
          <w:color w:val="000000" w:themeColor="text1"/>
          <w:sz w:val="22"/>
          <w:szCs w:val="22"/>
        </w:rPr>
        <w:t>and (</w:t>
      </w:r>
      <w:r w:rsidR="009376DD" w:rsidRPr="00F10F41">
        <w:rPr>
          <w:rFonts w:ascii="Arial" w:hAnsi="Arial" w:cs="Arial"/>
          <w:color w:val="000000" w:themeColor="text1"/>
          <w:sz w:val="22"/>
          <w:szCs w:val="22"/>
        </w:rPr>
        <w:t>4</w:t>
      </w:r>
      <w:r w:rsidR="003E7555" w:rsidRPr="00F10F41">
        <w:rPr>
          <w:rFonts w:ascii="Arial" w:hAnsi="Arial" w:cs="Arial"/>
          <w:color w:val="000000" w:themeColor="text1"/>
          <w:sz w:val="22"/>
          <w:szCs w:val="22"/>
        </w:rPr>
        <w:t>) cerebral perfusion</w:t>
      </w:r>
      <w:r w:rsidRPr="00F10F41">
        <w:rPr>
          <w:rFonts w:ascii="Arial" w:hAnsi="Arial" w:cs="Arial"/>
          <w:color w:val="000000" w:themeColor="text1"/>
          <w:sz w:val="22"/>
          <w:szCs w:val="22"/>
        </w:rPr>
        <w:t xml:space="preserve"> in a </w:t>
      </w:r>
      <w:r w:rsidR="00382532" w:rsidRPr="00F10F41">
        <w:rPr>
          <w:rFonts w:ascii="Arial" w:hAnsi="Arial" w:cs="Arial"/>
          <w:color w:val="000000" w:themeColor="text1"/>
          <w:sz w:val="22"/>
          <w:szCs w:val="22"/>
        </w:rPr>
        <w:t xml:space="preserve">longitudinal </w:t>
      </w:r>
      <w:r w:rsidRPr="00F10F41">
        <w:rPr>
          <w:rFonts w:ascii="Arial" w:hAnsi="Arial" w:cs="Arial"/>
          <w:color w:val="000000" w:themeColor="text1"/>
          <w:sz w:val="22"/>
          <w:szCs w:val="22"/>
        </w:rPr>
        <w:t>cohort of FH+ individuals</w:t>
      </w:r>
      <w:r w:rsidR="00382532" w:rsidRPr="00F10F41">
        <w:rPr>
          <w:rFonts w:ascii="Arial" w:hAnsi="Arial" w:cs="Arial"/>
          <w:color w:val="000000" w:themeColor="text1"/>
          <w:sz w:val="22"/>
          <w:szCs w:val="22"/>
        </w:rPr>
        <w:t xml:space="preserve"> (mean follow-up of 2 years</w:t>
      </w:r>
      <w:r w:rsidR="00EE1AEF" w:rsidRPr="00F10F41">
        <w:rPr>
          <w:rFonts w:ascii="Arial" w:hAnsi="Arial" w:cs="Arial"/>
          <w:color w:val="000000" w:themeColor="text1"/>
          <w:sz w:val="22"/>
          <w:szCs w:val="22"/>
        </w:rPr>
        <w:t>)</w:t>
      </w:r>
      <w:r w:rsidR="0000462D" w:rsidRPr="00F10F41">
        <w:rPr>
          <w:rFonts w:ascii="Arial" w:hAnsi="Arial" w:cs="Arial"/>
          <w:color w:val="000000" w:themeColor="text1"/>
          <w:sz w:val="22"/>
          <w:szCs w:val="22"/>
        </w:rPr>
        <w:t>. W</w:t>
      </w:r>
      <w:r w:rsidR="00373D99" w:rsidRPr="00F10F41">
        <w:rPr>
          <w:rFonts w:ascii="Arial" w:hAnsi="Arial" w:cs="Arial"/>
          <w:color w:val="000000" w:themeColor="text1"/>
          <w:sz w:val="22"/>
          <w:szCs w:val="22"/>
        </w:rPr>
        <w:t>e tested the</w:t>
      </w:r>
      <w:r w:rsidR="00036F7C" w:rsidRPr="00F10F41">
        <w:rPr>
          <w:rFonts w:ascii="Arial" w:hAnsi="Arial" w:cs="Arial"/>
          <w:color w:val="000000" w:themeColor="text1"/>
          <w:sz w:val="22"/>
          <w:szCs w:val="22"/>
        </w:rPr>
        <w:t xml:space="preserve"> </w:t>
      </w:r>
      <w:r w:rsidR="00373D99" w:rsidRPr="00F10F41">
        <w:rPr>
          <w:rFonts w:ascii="Arial" w:hAnsi="Arial" w:cs="Arial"/>
          <w:color w:val="000000" w:themeColor="text1"/>
          <w:sz w:val="22"/>
          <w:szCs w:val="22"/>
        </w:rPr>
        <w:t>hypothes</w:t>
      </w:r>
      <w:r w:rsidR="00D535DD" w:rsidRPr="00F10F41">
        <w:rPr>
          <w:rFonts w:ascii="Arial" w:hAnsi="Arial" w:cs="Arial"/>
          <w:color w:val="000000" w:themeColor="text1"/>
          <w:sz w:val="22"/>
          <w:szCs w:val="22"/>
        </w:rPr>
        <w:t>es</w:t>
      </w:r>
      <w:r w:rsidR="00296707" w:rsidRPr="00F10F41">
        <w:rPr>
          <w:rFonts w:ascii="Arial" w:hAnsi="Arial" w:cs="Arial"/>
          <w:color w:val="000000" w:themeColor="text1"/>
          <w:sz w:val="22"/>
          <w:szCs w:val="22"/>
        </w:rPr>
        <w:t xml:space="preserve"> that </w:t>
      </w:r>
      <w:r w:rsidR="00A6111F" w:rsidRPr="00F10F41">
        <w:rPr>
          <w:rFonts w:ascii="Arial" w:hAnsi="Arial" w:cs="Arial"/>
          <w:color w:val="000000" w:themeColor="text1"/>
          <w:sz w:val="22"/>
          <w:szCs w:val="22"/>
        </w:rPr>
        <w:t>individuals approaching their</w:t>
      </w:r>
      <w:r w:rsidR="00257635" w:rsidRPr="00F10F41">
        <w:rPr>
          <w:rFonts w:ascii="Arial" w:hAnsi="Arial" w:cs="Arial"/>
          <w:color w:val="000000" w:themeColor="text1"/>
          <w:sz w:val="22"/>
          <w:szCs w:val="22"/>
        </w:rPr>
        <w:t xml:space="preserve"> parental age of dementia diagnosis</w:t>
      </w:r>
      <w:r w:rsidR="00A6111F" w:rsidRPr="00F10F41">
        <w:rPr>
          <w:rFonts w:ascii="Arial" w:hAnsi="Arial" w:cs="Arial"/>
          <w:color w:val="000000" w:themeColor="text1"/>
          <w:sz w:val="22"/>
          <w:szCs w:val="22"/>
        </w:rPr>
        <w:t xml:space="preserve"> would </w:t>
      </w:r>
      <w:r w:rsidR="00457C2B" w:rsidRPr="00F10F41">
        <w:rPr>
          <w:rFonts w:ascii="Arial" w:hAnsi="Arial" w:cs="Arial"/>
          <w:color w:val="000000" w:themeColor="text1"/>
          <w:sz w:val="22"/>
          <w:szCs w:val="22"/>
        </w:rPr>
        <w:t xml:space="preserve">show </w:t>
      </w:r>
      <w:r w:rsidR="00724B68" w:rsidRPr="00F10F41">
        <w:rPr>
          <w:rFonts w:ascii="Arial" w:hAnsi="Arial" w:cs="Arial"/>
          <w:color w:val="000000" w:themeColor="text1"/>
          <w:sz w:val="22"/>
          <w:szCs w:val="22"/>
        </w:rPr>
        <w:t>more severe deficit</w:t>
      </w:r>
      <w:r w:rsidR="00BD09F9" w:rsidRPr="00F10F41">
        <w:rPr>
          <w:rFonts w:ascii="Arial" w:hAnsi="Arial" w:cs="Arial"/>
          <w:color w:val="000000" w:themeColor="text1"/>
          <w:sz w:val="22"/>
          <w:szCs w:val="22"/>
        </w:rPr>
        <w:t>s on multi-modal neuroimaging</w:t>
      </w:r>
      <w:r w:rsidR="00EE1AEF" w:rsidRPr="00F10F41">
        <w:rPr>
          <w:rFonts w:ascii="Arial" w:hAnsi="Arial" w:cs="Arial"/>
          <w:color w:val="000000" w:themeColor="text1"/>
          <w:sz w:val="22"/>
          <w:szCs w:val="22"/>
        </w:rPr>
        <w:t xml:space="preserve"> measure</w:t>
      </w:r>
      <w:r w:rsidR="00CB22CC" w:rsidRPr="00F10F41">
        <w:rPr>
          <w:rFonts w:ascii="Arial" w:hAnsi="Arial" w:cs="Arial"/>
          <w:color w:val="000000" w:themeColor="text1"/>
          <w:sz w:val="22"/>
          <w:szCs w:val="22"/>
        </w:rPr>
        <w:t xml:space="preserve">s, expressed by a lower FA, higher MD and RD, </w:t>
      </w:r>
      <w:r w:rsidR="0043719B" w:rsidRPr="00F10F41">
        <w:rPr>
          <w:rFonts w:ascii="Arial" w:hAnsi="Arial" w:cs="Arial"/>
          <w:color w:val="000000" w:themeColor="text1"/>
          <w:sz w:val="22"/>
          <w:szCs w:val="22"/>
        </w:rPr>
        <w:t xml:space="preserve">more </w:t>
      </w:r>
      <w:r w:rsidR="00472DF2" w:rsidRPr="00F10F41">
        <w:rPr>
          <w:rFonts w:ascii="Arial" w:hAnsi="Arial" w:cs="Arial"/>
          <w:color w:val="000000" w:themeColor="text1"/>
          <w:sz w:val="22"/>
          <w:szCs w:val="22"/>
        </w:rPr>
        <w:t xml:space="preserve">severe burden of </w:t>
      </w:r>
      <w:r w:rsidR="0043719B" w:rsidRPr="00F10F41">
        <w:rPr>
          <w:rFonts w:ascii="Arial" w:hAnsi="Arial" w:cs="Arial"/>
          <w:color w:val="000000" w:themeColor="text1"/>
          <w:sz w:val="22"/>
          <w:szCs w:val="22"/>
        </w:rPr>
        <w:t xml:space="preserve">white matter </w:t>
      </w:r>
      <w:r w:rsidR="00454397" w:rsidRPr="00F10F41">
        <w:rPr>
          <w:rFonts w:ascii="Arial" w:hAnsi="Arial" w:cs="Arial"/>
          <w:color w:val="000000" w:themeColor="text1"/>
          <w:sz w:val="22"/>
          <w:szCs w:val="22"/>
        </w:rPr>
        <w:t>lesion</w:t>
      </w:r>
      <w:r w:rsidR="00065507" w:rsidRPr="00F10F41">
        <w:rPr>
          <w:rFonts w:ascii="Arial" w:hAnsi="Arial" w:cs="Arial"/>
          <w:color w:val="000000" w:themeColor="text1"/>
          <w:sz w:val="22"/>
          <w:szCs w:val="22"/>
        </w:rPr>
        <w:t>s</w:t>
      </w:r>
      <w:r w:rsidR="0043719B" w:rsidRPr="00F10F41">
        <w:rPr>
          <w:rFonts w:ascii="Arial" w:hAnsi="Arial" w:cs="Arial"/>
          <w:color w:val="000000" w:themeColor="text1"/>
          <w:sz w:val="22"/>
          <w:szCs w:val="22"/>
        </w:rPr>
        <w:t xml:space="preserve">, </w:t>
      </w:r>
      <w:r w:rsidR="00C819AB" w:rsidRPr="00F10F41">
        <w:rPr>
          <w:rFonts w:ascii="Arial" w:hAnsi="Arial" w:cs="Arial"/>
          <w:color w:val="000000" w:themeColor="text1"/>
          <w:sz w:val="22"/>
          <w:szCs w:val="22"/>
        </w:rPr>
        <w:t xml:space="preserve">cortical and hippocampal atrophy, </w:t>
      </w:r>
      <w:r w:rsidR="00CB22CC" w:rsidRPr="00F10F41">
        <w:rPr>
          <w:rFonts w:ascii="Arial" w:hAnsi="Arial" w:cs="Arial"/>
          <w:color w:val="000000" w:themeColor="text1"/>
          <w:sz w:val="22"/>
          <w:szCs w:val="22"/>
        </w:rPr>
        <w:t xml:space="preserve">as well as </w:t>
      </w:r>
      <w:r w:rsidR="009E4F1B" w:rsidRPr="00F10F41">
        <w:rPr>
          <w:rFonts w:ascii="Arial" w:hAnsi="Arial" w:cs="Arial"/>
          <w:color w:val="000000" w:themeColor="text1"/>
          <w:sz w:val="22"/>
          <w:szCs w:val="22"/>
        </w:rPr>
        <w:t xml:space="preserve">reduced cerebral perfusion. </w:t>
      </w:r>
    </w:p>
    <w:p w14:paraId="4A4E895C" w14:textId="77777777" w:rsidR="00CC4203" w:rsidRPr="00F10F41" w:rsidRDefault="00CC4203" w:rsidP="00AB1AE7">
      <w:pPr>
        <w:tabs>
          <w:tab w:val="left" w:pos="3428"/>
        </w:tabs>
        <w:spacing w:line="360" w:lineRule="auto"/>
        <w:jc w:val="both"/>
        <w:outlineLvl w:val="0"/>
        <w:rPr>
          <w:rFonts w:ascii="Arial" w:hAnsi="Arial" w:cs="Arial"/>
          <w:color w:val="000000" w:themeColor="text1"/>
          <w:sz w:val="22"/>
          <w:szCs w:val="22"/>
        </w:rPr>
      </w:pPr>
    </w:p>
    <w:p w14:paraId="41F87C7E" w14:textId="77777777" w:rsidR="00CC4203" w:rsidRPr="00F10F41" w:rsidRDefault="00CC4203" w:rsidP="00AB1AE7">
      <w:pPr>
        <w:tabs>
          <w:tab w:val="left" w:pos="3428"/>
        </w:tabs>
        <w:spacing w:line="360" w:lineRule="auto"/>
        <w:jc w:val="both"/>
        <w:outlineLvl w:val="0"/>
        <w:rPr>
          <w:rFonts w:ascii="Arial" w:hAnsi="Arial" w:cs="Arial"/>
          <w:b/>
          <w:bCs/>
          <w:color w:val="000000" w:themeColor="text1"/>
          <w:sz w:val="30"/>
          <w:szCs w:val="30"/>
        </w:rPr>
      </w:pPr>
      <w:r w:rsidRPr="00F10F41">
        <w:rPr>
          <w:rFonts w:ascii="Arial" w:hAnsi="Arial" w:cs="Arial"/>
          <w:b/>
          <w:bCs/>
          <w:color w:val="000000" w:themeColor="text1"/>
          <w:sz w:val="30"/>
          <w:szCs w:val="30"/>
        </w:rPr>
        <w:t>MATERIALS AND METHODS</w:t>
      </w:r>
    </w:p>
    <w:p w14:paraId="74CCC117" w14:textId="77777777" w:rsidR="00CC4203" w:rsidRPr="00F10F41" w:rsidRDefault="00CC4203" w:rsidP="00AB1AE7">
      <w:pPr>
        <w:tabs>
          <w:tab w:val="left" w:pos="3428"/>
        </w:tabs>
        <w:spacing w:line="360" w:lineRule="auto"/>
        <w:jc w:val="both"/>
        <w:outlineLvl w:val="0"/>
        <w:rPr>
          <w:rFonts w:ascii="Arial" w:hAnsi="Arial" w:cs="Arial"/>
          <w:b/>
          <w:bCs/>
          <w:color w:val="000000" w:themeColor="text1"/>
          <w:sz w:val="26"/>
          <w:szCs w:val="26"/>
        </w:rPr>
      </w:pPr>
      <w:r w:rsidRPr="00F10F41">
        <w:rPr>
          <w:rFonts w:ascii="Arial" w:hAnsi="Arial" w:cs="Arial"/>
          <w:b/>
          <w:bCs/>
          <w:color w:val="000000" w:themeColor="text1"/>
          <w:sz w:val="26"/>
          <w:szCs w:val="26"/>
        </w:rPr>
        <w:t>Participants and clinical data</w:t>
      </w:r>
    </w:p>
    <w:p w14:paraId="656291D6" w14:textId="77777777" w:rsidR="00BE0BB0" w:rsidRDefault="00CC4203" w:rsidP="00AB1AE7">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t>The protocol for the PREVENT study has been described in detail previously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{"citationItems":[{"id":"ITEM-1","itemData":{"DOI":"10.1136/bmjopen-2012-001893","ISSN":"2044-6055","PMID":"23166135","abstract":"INTRODUCTION: Epidemiological studies indicate that significant decreases in the incidence of Alzheimer's disease (AD) may be obtained by targeting multiple middle-age risk factors. However, as dementia is unlikely to be diagnosed for decades, short-term outcome measures are required. AD biomarker changes precede clinical symptoms by many years, but their sensitivity to mid-life change remains unknown. METHODS AND ANALYSIS: PREVENT is a prospective cohort study examining biomarker status at mid-life in at least 150 individuals genetically at high, medium or low risk of late-onset AD. Participants are children of individuals with or without a diagnosed AD allocated to high, medium and low-risk groups according to parental clinical status and ApoE genotype. The biomarkers examined over 2 years are plasma and CSF Aβ42 amyloid, Tau and pTau, proinflammatory cytokines, acute-phase proteins, medial temporal-lobe atrophy, white matter lesion volume, cognitive performance related to transentorhinal and hippocampal functioning and hypothalamic-pituitary-adrenal and sympathetic axes regulation. ETHICS AND DISSEMINATION: Detected pathologies are communicated to the participant's general practitioner with their permission. Risk status by genotype would not be revealed. The results of the study would be published in peer-reviewed journals and validated biomarkers used to construct a randomised controlled intervention study.","author":[{"dropping-particle":"","family":"Ritchie","given":"Craig W","non-dropping-particle":"","parse-names":false,"suffix":""},{"dropping-particle":"","family":"Ritchie","given":"Karen","non-dropping-particle":"","parse-names":false,"suffix":""}],"container-title":"BMJ open","id":"ITEM-1","issue":"6","issued":{"date-parts":[["2012"]]},"page":"1-6","title":"The PREVENT study: a prospective cohort study to identify mid-life biomarkers of late-onset Alzheimer's disease.","type":"article-journal","volume":"2"},"uris":["http://www.mendeley.com/documents/?uuid=05711092-4bc3-4189-b350-5507cbaf06ec"]}],"mendeley":{"formattedCitation":"(Ritchie and Ritchie, 2012)","plainTextFormattedCitation":"(Ritchie and Ritchie, 2012)","previouslyFormattedCitation":"(Ritchie and Ritchie, 2012)"},"properties":{"noteIndex":0},"schema":"https://github.com/citation-style-language/schema/raw/master/csl-citation.json"}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(Ritchie and Ritchie, 2012)</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Participants aged 40 to 59</w:t>
      </w:r>
      <w:r w:rsidR="00251065" w:rsidRPr="00F10F41">
        <w:rPr>
          <w:rFonts w:ascii="Arial" w:hAnsi="Arial" w:cs="Arial"/>
          <w:color w:val="000000" w:themeColor="text1"/>
          <w:sz w:val="22"/>
          <w:szCs w:val="22"/>
        </w:rPr>
        <w:t xml:space="preserve"> years old</w:t>
      </w:r>
      <w:r w:rsidRPr="00F10F41">
        <w:rPr>
          <w:rFonts w:ascii="Arial" w:hAnsi="Arial" w:cs="Arial"/>
          <w:color w:val="000000" w:themeColor="text1"/>
          <w:sz w:val="22"/>
          <w:szCs w:val="22"/>
        </w:rPr>
        <w:t xml:space="preserve"> with or without a parent with dementia were recruited through multiple sources, such as the register database held at West London Mental Health National Health Service Trust, part of the UK National Health Service. Other participants were recruited via the Join Dementia Research website through information about the study on the Internet and public presentations.</w:t>
      </w:r>
      <w:r w:rsidR="00A270AB"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Consented participants were seen at the West London Cognitive Disorders Treatment and Research Unit, West London Mental Health NHS Trust, where they were given a standardised neuropsychiatric interview and life-style questionnaires. Cognitive assessments were performed with the Addenbrooke’s Cognitive Examination (ACE-III) during the follow-up visit. Blood was taken for APOE-</w:t>
      </w:r>
      <w:r w:rsidRPr="00F10F41">
        <w:rPr>
          <w:rFonts w:ascii="Arial" w:hAnsi="Arial" w:cs="Arial"/>
          <w:color w:val="000000" w:themeColor="text1"/>
          <w:sz w:val="22"/>
          <w:szCs w:val="22"/>
        </w:rPr>
        <w:sym w:font="Symbol" w:char="F065"/>
      </w:r>
      <w:r w:rsidRPr="00F10F41">
        <w:rPr>
          <w:rFonts w:ascii="Arial" w:hAnsi="Arial" w:cs="Arial"/>
          <w:color w:val="000000" w:themeColor="text1"/>
          <w:sz w:val="22"/>
          <w:szCs w:val="22"/>
        </w:rPr>
        <w:t xml:space="preserve">4 genotyping with all members of the research and clinical teams remaining blind to the results. </w:t>
      </w:r>
    </w:p>
    <w:p w14:paraId="746EB303" w14:textId="77777777" w:rsidR="00BE0BB0" w:rsidRDefault="00BE0BB0" w:rsidP="00AB1AE7">
      <w:pPr>
        <w:tabs>
          <w:tab w:val="left" w:pos="3428"/>
        </w:tabs>
        <w:spacing w:line="360" w:lineRule="auto"/>
        <w:jc w:val="both"/>
        <w:outlineLvl w:val="0"/>
        <w:rPr>
          <w:rFonts w:ascii="Arial" w:hAnsi="Arial" w:cs="Arial"/>
          <w:color w:val="000000" w:themeColor="text1"/>
          <w:sz w:val="22"/>
          <w:szCs w:val="22"/>
        </w:rPr>
      </w:pPr>
    </w:p>
    <w:p w14:paraId="2EA2FB00" w14:textId="4ECDB6A5" w:rsidR="00BE0BB0" w:rsidRPr="00FB42D8" w:rsidRDefault="00BE0BB0" w:rsidP="00AB1AE7">
      <w:pPr>
        <w:tabs>
          <w:tab w:val="left" w:pos="3428"/>
        </w:tabs>
        <w:spacing w:line="360" w:lineRule="auto"/>
        <w:jc w:val="both"/>
        <w:outlineLvl w:val="0"/>
        <w:rPr>
          <w:rFonts w:ascii="Arial" w:hAnsi="Arial" w:cs="Arial"/>
          <w:b/>
          <w:bCs/>
          <w:color w:val="000000" w:themeColor="text1"/>
          <w:sz w:val="26"/>
          <w:szCs w:val="26"/>
        </w:rPr>
      </w:pPr>
      <w:r>
        <w:rPr>
          <w:rFonts w:ascii="Arial" w:hAnsi="Arial" w:cs="Arial"/>
          <w:b/>
          <w:bCs/>
          <w:color w:val="000000" w:themeColor="text1"/>
          <w:sz w:val="26"/>
          <w:szCs w:val="26"/>
        </w:rPr>
        <w:t>Ethics statement</w:t>
      </w:r>
    </w:p>
    <w:p w14:paraId="67E21A6A" w14:textId="0C52B044" w:rsidR="002B0653" w:rsidRPr="00F10F41" w:rsidRDefault="00CC4203" w:rsidP="00AB1AE7">
      <w:pPr>
        <w:tabs>
          <w:tab w:val="left" w:pos="3428"/>
        </w:tabs>
        <w:spacing w:line="360" w:lineRule="auto"/>
        <w:jc w:val="both"/>
        <w:outlineLvl w:val="0"/>
        <w:rPr>
          <w:rFonts w:ascii="Arial" w:hAnsi="Arial" w:cs="Arial"/>
          <w:color w:val="000000" w:themeColor="text1"/>
          <w:sz w:val="22"/>
          <w:szCs w:val="22"/>
          <w:lang w:val="en-SG"/>
        </w:rPr>
      </w:pPr>
      <w:r w:rsidRPr="00F10F41">
        <w:rPr>
          <w:rFonts w:ascii="Arial" w:hAnsi="Arial" w:cs="Arial"/>
          <w:color w:val="000000" w:themeColor="text1"/>
          <w:sz w:val="22"/>
          <w:szCs w:val="22"/>
        </w:rPr>
        <w:t>Approval for the study has been given by the NHS Research Ethics Committee London Camberwell St-Giles.</w:t>
      </w:r>
      <w:r w:rsidR="00BB2C64"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EYO was estimated as the difference between the age of the participant and the age of dementia diagnosis of the earliest affected parent (if more than one parent had </w:t>
      </w:r>
      <w:r w:rsidRPr="00F10F41">
        <w:rPr>
          <w:rFonts w:ascii="Arial" w:hAnsi="Arial" w:cs="Arial"/>
          <w:color w:val="000000" w:themeColor="text1"/>
          <w:sz w:val="22"/>
          <w:szCs w:val="22"/>
        </w:rPr>
        <w:lastRenderedPageBreak/>
        <w:t>dementia</w:t>
      </w:r>
      <w:r w:rsidR="00BB2C64" w:rsidRPr="00F10F41">
        <w:rPr>
          <w:rFonts w:ascii="Arial" w:hAnsi="Arial" w:cs="Arial"/>
          <w:color w:val="000000" w:themeColor="text1"/>
          <w:sz w:val="22"/>
          <w:szCs w:val="22"/>
        </w:rPr>
        <w:t>)</w:t>
      </w:r>
      <w:r w:rsidR="00FA56AF" w:rsidRPr="00F10F41">
        <w:rPr>
          <w:rFonts w:ascii="Arial" w:hAnsi="Arial" w:cs="Arial"/>
          <w:color w:val="000000" w:themeColor="text1"/>
          <w:sz w:val="22"/>
          <w:szCs w:val="22"/>
        </w:rPr>
        <w:t xml:space="preserve"> </w:t>
      </w:r>
      <w:r w:rsidR="00FA56AF"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{"citationItems":[{"id":"ITEM-1","itemData":{"DOI":"10.1016/j.jalz.2017.02.008","ISSN":"15525279","abstract":"Introduction Although biomarker studies of late-onset Alzheimer's disease suggest pathology to be present decades before diagnosis, little is known about cognitive performance at this stage. Methods A sample of 210 adults (aged 40–59) of whom 103 have a parent diagnosed with dementia (family history subgroup) underwent computerized cognitive testing. Apolipoprotein E (apoE) status was determined, and 193 subjects had magnetic resonance imaging. Distance from dementia onset was estimated in relation to age of parental diagnosis, and Cardiovascular Risk Factors, Aging, and Incidence of Dementia Risk Scores were calculated. Results Lower hippocampal volumes (P =.04) were associated with poorer spatial location recall and higher Dementia Risk Scores with poorer visual recognition (P =.0005), and lower brain and hippocampal volume (P &lt;.0001, P =.04, respectively). Family history subgroup participants closer to dementia onset had lower scores on visual working memory (P =.05), whereas those with an APOE ε4 allele performed better on form perception (P =.005). Discussion Middle-aged adults at risk of dementia show evidence of poorer cognitive performance, principally in visuospatial functions.","author":[{"dropping-particle":"","family":"Ritchie","given":"Karen","non-dropping-particle":"","parse-names":false,"suffix":""},{"dropping-particle":"","family":"Carrière","given":"Isabelle","non-dropping-particle":"","parse-names":false,"suffix":""},{"dropping-particle":"","family":"Su","given":"Li","non-dropping-particle":"","parse-names":false,"suffix":""},{"dropping-particle":"","family":"O'Brien","given":"John T.","non-dropping-particle":"","parse-names":false,"suffix":""},{"dropping-particle":"","family":"Lovestone","given":"Simon","non-dropping-particle":"","parse-names":false,"suffix":""},{"dropping-particle":"","family":"Wells","given":"Katie","non-dropping-particle":"","parse-names":false,"suffix":""},{"dropping-particle":"","family":"Ritchie","given":"Craig W.","non-dropping-particle":"","parse-names":false,"suffix":""}],"container-title":"Alzheimer's and Dementia","id":"ITEM-1","issue":"10","issued":{"date-parts":[["2017"]]},"page":"1089-1097","title":"The midlife cognitive profiles of adults at high risk of late-onset Alzheimer's disease: The PREVENT study","type":"article-journal","volume":"13"},"uris":["http://www.mendeley.com/documents/?uuid=02fd49e9-cc1b-3b5f-8e1c-5b77f4e58e12"]}],"mendeley":{"formattedCitation":"(Ritchie et al., 2017)","plainTextFormattedCitation":"(Ritchie et al., 2017)","previouslyFormattedCitation":"(Ritchie et al., 2017)"},"properties":{"noteIndex":0},"schema":"https://github.com/citation-style-language/schema/raw/master/csl-citation.json"}</w:instrText>
      </w:r>
      <w:r w:rsidR="00FA56AF"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(Ritchie et al., 2017)</w:t>
      </w:r>
      <w:r w:rsidR="00FA56AF" w:rsidRPr="00F10F41">
        <w:rPr>
          <w:rFonts w:ascii="Arial" w:hAnsi="Arial" w:cs="Arial"/>
          <w:color w:val="000000" w:themeColor="text1"/>
          <w:sz w:val="22"/>
          <w:szCs w:val="22"/>
        </w:rPr>
        <w:fldChar w:fldCharType="end"/>
      </w:r>
      <w:r w:rsidR="002B0653" w:rsidRPr="00F10F41">
        <w:rPr>
          <w:rFonts w:ascii="Arial" w:hAnsi="Arial" w:cs="Arial"/>
          <w:color w:val="000000" w:themeColor="text1"/>
          <w:sz w:val="22"/>
          <w:szCs w:val="22"/>
        </w:rPr>
        <w:t>.</w:t>
      </w:r>
      <w:r w:rsidR="001D6372" w:rsidRPr="00F10F41">
        <w:rPr>
          <w:rFonts w:ascii="Arial" w:hAnsi="Arial" w:cs="Arial"/>
          <w:b/>
          <w:bCs/>
          <w:color w:val="000000" w:themeColor="text1"/>
          <w:sz w:val="26"/>
          <w:szCs w:val="26"/>
        </w:rPr>
        <w:t xml:space="preserve"> </w:t>
      </w:r>
      <w:r w:rsidR="007B62BB" w:rsidRPr="00F10F41">
        <w:rPr>
          <w:rFonts w:ascii="Arial" w:hAnsi="Arial" w:cs="Arial"/>
          <w:color w:val="000000" w:themeColor="text1"/>
          <w:sz w:val="22"/>
          <w:szCs w:val="22"/>
          <w:lang w:val="en-SG"/>
        </w:rPr>
        <w:t xml:space="preserve">Global cognition </w:t>
      </w:r>
      <w:r w:rsidR="00327048" w:rsidRPr="00F10F41">
        <w:rPr>
          <w:rFonts w:ascii="Arial" w:hAnsi="Arial" w:cs="Arial"/>
          <w:color w:val="000000" w:themeColor="text1"/>
          <w:sz w:val="22"/>
          <w:szCs w:val="22"/>
          <w:lang w:val="en-SG"/>
        </w:rPr>
        <w:t xml:space="preserve">and domain-specific cognition </w:t>
      </w:r>
      <w:r w:rsidR="007B62BB" w:rsidRPr="00F10F41">
        <w:rPr>
          <w:rFonts w:ascii="Arial" w:hAnsi="Arial" w:cs="Arial"/>
          <w:color w:val="000000" w:themeColor="text1"/>
          <w:sz w:val="22"/>
          <w:szCs w:val="22"/>
          <w:lang w:val="en-SG"/>
        </w:rPr>
        <w:t>was also evaluated using the</w:t>
      </w:r>
      <w:r w:rsidR="0079308B" w:rsidRPr="00F10F41">
        <w:rPr>
          <w:rFonts w:ascii="Arial" w:hAnsi="Arial" w:cs="Arial"/>
          <w:color w:val="000000" w:themeColor="text1"/>
          <w:sz w:val="22"/>
          <w:szCs w:val="22"/>
          <w:lang w:val="en-SG"/>
        </w:rPr>
        <w:t xml:space="preserve"> Addenbrooke’s </w:t>
      </w:r>
      <w:r w:rsidR="00E45B27" w:rsidRPr="00F10F41">
        <w:rPr>
          <w:rFonts w:ascii="Arial" w:hAnsi="Arial" w:cs="Arial"/>
          <w:color w:val="000000" w:themeColor="text1"/>
          <w:sz w:val="22"/>
          <w:szCs w:val="22"/>
          <w:lang w:val="en-SG"/>
        </w:rPr>
        <w:t>Cognitive</w:t>
      </w:r>
      <w:r w:rsidR="0079308B" w:rsidRPr="00F10F41">
        <w:rPr>
          <w:rFonts w:ascii="Arial" w:hAnsi="Arial" w:cs="Arial"/>
          <w:color w:val="000000" w:themeColor="text1"/>
          <w:sz w:val="22"/>
          <w:szCs w:val="22"/>
          <w:lang w:val="en-SG"/>
        </w:rPr>
        <w:t xml:space="preserve"> Examination (ACE</w:t>
      </w:r>
      <w:r w:rsidR="00023E90" w:rsidRPr="00F10F41">
        <w:rPr>
          <w:rFonts w:ascii="Arial" w:hAnsi="Arial" w:cs="Arial"/>
          <w:color w:val="000000" w:themeColor="text1"/>
          <w:sz w:val="22"/>
          <w:szCs w:val="22"/>
          <w:lang w:val="en-SG"/>
        </w:rPr>
        <w:t>-III</w:t>
      </w:r>
      <w:r w:rsidR="0079308B" w:rsidRPr="00F10F41">
        <w:rPr>
          <w:rFonts w:ascii="Arial" w:hAnsi="Arial" w:cs="Arial"/>
          <w:color w:val="000000" w:themeColor="text1"/>
          <w:sz w:val="22"/>
          <w:szCs w:val="22"/>
          <w:lang w:val="en-SG"/>
        </w:rPr>
        <w:t>) at Visit 2</w:t>
      </w:r>
      <w:r w:rsidR="000655C8" w:rsidRPr="00F10F41">
        <w:rPr>
          <w:rFonts w:ascii="Arial" w:hAnsi="Arial" w:cs="Arial"/>
          <w:color w:val="000000" w:themeColor="text1"/>
          <w:sz w:val="22"/>
          <w:szCs w:val="22"/>
          <w:lang w:val="en-SG"/>
        </w:rPr>
        <w:t>.</w:t>
      </w:r>
    </w:p>
    <w:p w14:paraId="1C1E5810" w14:textId="77777777" w:rsidR="00A270AB" w:rsidRPr="00F10F41" w:rsidRDefault="00A270AB" w:rsidP="00AB1AE7">
      <w:pPr>
        <w:tabs>
          <w:tab w:val="left" w:pos="3428"/>
        </w:tabs>
        <w:spacing w:line="360" w:lineRule="auto"/>
        <w:jc w:val="both"/>
        <w:outlineLvl w:val="0"/>
        <w:rPr>
          <w:rFonts w:ascii="Arial" w:hAnsi="Arial" w:cs="Arial"/>
          <w:color w:val="000000" w:themeColor="text1"/>
          <w:sz w:val="22"/>
          <w:szCs w:val="22"/>
        </w:rPr>
      </w:pPr>
    </w:p>
    <w:p w14:paraId="60895640" w14:textId="77777777" w:rsidR="00CC4203" w:rsidRPr="00F10F41" w:rsidRDefault="00CC4203" w:rsidP="00AB1AE7">
      <w:pPr>
        <w:tabs>
          <w:tab w:val="left" w:pos="3428"/>
        </w:tabs>
        <w:spacing w:line="360" w:lineRule="auto"/>
        <w:jc w:val="both"/>
        <w:outlineLvl w:val="0"/>
        <w:rPr>
          <w:rFonts w:ascii="Arial" w:hAnsi="Arial" w:cs="Arial"/>
          <w:b/>
          <w:bCs/>
          <w:color w:val="000000" w:themeColor="text1"/>
          <w:sz w:val="26"/>
          <w:szCs w:val="26"/>
        </w:rPr>
      </w:pPr>
      <w:r w:rsidRPr="00F10F41">
        <w:rPr>
          <w:rFonts w:ascii="Arial" w:hAnsi="Arial" w:cs="Arial"/>
          <w:b/>
          <w:bCs/>
          <w:color w:val="000000" w:themeColor="text1"/>
          <w:sz w:val="26"/>
          <w:szCs w:val="26"/>
        </w:rPr>
        <w:t>Multi-modal imaging acquisition</w:t>
      </w:r>
    </w:p>
    <w:p w14:paraId="0FBEB0E4" w14:textId="6ED37EA2" w:rsidR="00CC4203" w:rsidRPr="00F10F41" w:rsidRDefault="00CC4203" w:rsidP="00291F72">
      <w:pPr>
        <w:tabs>
          <w:tab w:val="left" w:pos="3428"/>
        </w:tabs>
        <w:spacing w:line="360" w:lineRule="auto"/>
        <w:jc w:val="both"/>
        <w:outlineLvl w:val="0"/>
        <w:rPr>
          <w:rFonts w:ascii="Arial" w:hAnsi="Arial" w:cs="Arial"/>
          <w:b/>
          <w:bCs/>
          <w:color w:val="000000" w:themeColor="text1"/>
          <w:sz w:val="22"/>
          <w:szCs w:val="22"/>
        </w:rPr>
      </w:pPr>
      <w:r w:rsidRPr="00F10F41">
        <w:rPr>
          <w:rFonts w:ascii="Arial" w:hAnsi="Arial" w:cs="Arial"/>
          <w:color w:val="000000" w:themeColor="text1"/>
          <w:sz w:val="22"/>
          <w:szCs w:val="22"/>
        </w:rPr>
        <w:t xml:space="preserve">All subjects were scanned using a 3T Siemens </w:t>
      </w:r>
      <w:proofErr w:type="spellStart"/>
      <w:r w:rsidRPr="00F10F41">
        <w:rPr>
          <w:rFonts w:ascii="Arial" w:hAnsi="Arial" w:cs="Arial"/>
          <w:color w:val="000000" w:themeColor="text1"/>
          <w:sz w:val="22"/>
          <w:szCs w:val="22"/>
        </w:rPr>
        <w:t>Verio</w:t>
      </w:r>
      <w:proofErr w:type="spellEnd"/>
      <w:r w:rsidRPr="00F10F41">
        <w:rPr>
          <w:rFonts w:ascii="Arial" w:hAnsi="Arial" w:cs="Arial"/>
          <w:color w:val="000000" w:themeColor="text1"/>
          <w:sz w:val="22"/>
          <w:szCs w:val="22"/>
        </w:rPr>
        <w:t xml:space="preserve"> scanner. The following MR scans were acquired: A 3D T1-weighted magnetization prepared rapid gradient-echo (MPRAGE) image (TR = 2.3 s, TE = 2.98 </w:t>
      </w:r>
      <w:proofErr w:type="spellStart"/>
      <w:r w:rsidRPr="00F10F41">
        <w:rPr>
          <w:rFonts w:ascii="Arial" w:hAnsi="Arial" w:cs="Arial"/>
          <w:color w:val="000000" w:themeColor="text1"/>
          <w:sz w:val="22"/>
          <w:szCs w:val="22"/>
        </w:rPr>
        <w:t>ms</w:t>
      </w:r>
      <w:proofErr w:type="spellEnd"/>
      <w:r w:rsidRPr="00F10F41">
        <w:rPr>
          <w:rFonts w:ascii="Arial" w:hAnsi="Arial" w:cs="Arial"/>
          <w:color w:val="000000" w:themeColor="text1"/>
          <w:sz w:val="22"/>
          <w:szCs w:val="22"/>
        </w:rPr>
        <w:t>, 160 slices, flip angle = 9</w:t>
      </w:r>
      <w:r w:rsidRPr="00F10F41">
        <w:rPr>
          <w:rFonts w:ascii="Arial" w:hAnsi="Arial" w:cs="Arial"/>
          <w:color w:val="000000" w:themeColor="text1"/>
          <w:sz w:val="22"/>
          <w:szCs w:val="22"/>
          <w:vertAlign w:val="superscript"/>
        </w:rPr>
        <w:t>o</w:t>
      </w:r>
      <w:r w:rsidRPr="00F10F41">
        <w:rPr>
          <w:rFonts w:ascii="Arial" w:hAnsi="Arial" w:cs="Arial"/>
          <w:color w:val="000000" w:themeColor="text1"/>
          <w:sz w:val="22"/>
          <w:szCs w:val="22"/>
        </w:rPr>
        <w:t>, voxel size = 1 mm</w:t>
      </w:r>
      <w:r w:rsidRPr="00F10F41">
        <w:rPr>
          <w:rFonts w:ascii="Arial" w:hAnsi="Arial" w:cs="Arial"/>
          <w:color w:val="000000" w:themeColor="text1"/>
          <w:sz w:val="22"/>
          <w:szCs w:val="22"/>
          <w:vertAlign w:val="superscript"/>
        </w:rPr>
        <w:t>3</w:t>
      </w:r>
      <w:r w:rsidRPr="00F10F41">
        <w:rPr>
          <w:rFonts w:ascii="Arial" w:hAnsi="Arial" w:cs="Arial"/>
          <w:color w:val="000000" w:themeColor="text1"/>
          <w:sz w:val="22"/>
          <w:szCs w:val="22"/>
        </w:rPr>
        <w:t xml:space="preserve"> isotropic); a diffusion weighted image (DWI) with 64 directions (b = 1000 s/mm</w:t>
      </w:r>
      <w:r w:rsidRPr="00F10F41">
        <w:rPr>
          <w:rFonts w:ascii="Arial" w:hAnsi="Arial" w:cs="Arial"/>
          <w:color w:val="000000" w:themeColor="text1"/>
          <w:sz w:val="22"/>
          <w:szCs w:val="22"/>
          <w:vertAlign w:val="superscript"/>
        </w:rPr>
        <w:t>2</w:t>
      </w:r>
      <w:r w:rsidRPr="00F10F41">
        <w:rPr>
          <w:rFonts w:ascii="Arial" w:hAnsi="Arial" w:cs="Arial"/>
          <w:color w:val="000000" w:themeColor="text1"/>
          <w:sz w:val="22"/>
          <w:szCs w:val="22"/>
        </w:rPr>
        <w:t xml:space="preserve">) in addition to a single non-diffusion weighted volume (TR = 11.7 s, TE = 90 </w:t>
      </w:r>
      <w:proofErr w:type="spellStart"/>
      <w:r w:rsidRPr="00F10F41">
        <w:rPr>
          <w:rFonts w:ascii="Arial" w:hAnsi="Arial" w:cs="Arial"/>
          <w:color w:val="000000" w:themeColor="text1"/>
          <w:sz w:val="22"/>
          <w:szCs w:val="22"/>
        </w:rPr>
        <w:t>ms</w:t>
      </w:r>
      <w:proofErr w:type="spellEnd"/>
      <w:r w:rsidRPr="00F10F41">
        <w:rPr>
          <w:rFonts w:ascii="Arial" w:hAnsi="Arial" w:cs="Arial"/>
          <w:color w:val="000000" w:themeColor="text1"/>
          <w:sz w:val="22"/>
          <w:szCs w:val="22"/>
        </w:rPr>
        <w:t xml:space="preserve">, 63 slices, voxel size = 2 x 2 x 2 mm, flip angle = 90°); a Fluid-attenuated inversion recovery (FLAIR) scan (TR = 9 s; TE = 94 </w:t>
      </w:r>
      <w:proofErr w:type="spellStart"/>
      <w:r w:rsidRPr="00F10F41">
        <w:rPr>
          <w:rFonts w:ascii="Arial" w:hAnsi="Arial" w:cs="Arial"/>
          <w:color w:val="000000" w:themeColor="text1"/>
          <w:sz w:val="22"/>
          <w:szCs w:val="22"/>
        </w:rPr>
        <w:t>ms</w:t>
      </w:r>
      <w:proofErr w:type="spellEnd"/>
      <w:r w:rsidRPr="00F10F41">
        <w:rPr>
          <w:rFonts w:ascii="Arial" w:hAnsi="Arial" w:cs="Arial"/>
          <w:color w:val="000000" w:themeColor="text1"/>
          <w:sz w:val="22"/>
          <w:szCs w:val="22"/>
        </w:rPr>
        <w:t xml:space="preserve">, 27 slices, voxel size=0.4 x 0.4 x 4 mm, TI = 2500 </w:t>
      </w:r>
      <w:proofErr w:type="spellStart"/>
      <w:r w:rsidRPr="00F10F41">
        <w:rPr>
          <w:rFonts w:ascii="Arial" w:hAnsi="Arial" w:cs="Arial"/>
          <w:color w:val="000000" w:themeColor="text1"/>
          <w:sz w:val="22"/>
          <w:szCs w:val="22"/>
        </w:rPr>
        <w:t>ms</w:t>
      </w:r>
      <w:proofErr w:type="spellEnd"/>
      <w:r w:rsidRPr="00F10F41">
        <w:rPr>
          <w:rFonts w:ascii="Arial" w:hAnsi="Arial" w:cs="Arial"/>
          <w:color w:val="000000" w:themeColor="text1"/>
          <w:sz w:val="22"/>
          <w:szCs w:val="22"/>
        </w:rPr>
        <w:t xml:space="preserve">; flip angle = 150°) and an arterial spin labelling (ASL) dataset (PICORE Q2TIPS, 50 pairs of control/ tag images, one calibration image, TR = 2.5 s / TE = 11ms, inversion time = 1.8 s, bolus duration = 700 </w:t>
      </w:r>
      <w:proofErr w:type="spellStart"/>
      <w:r w:rsidRPr="00F10F41">
        <w:rPr>
          <w:rFonts w:ascii="Arial" w:hAnsi="Arial" w:cs="Arial"/>
          <w:color w:val="000000" w:themeColor="text1"/>
          <w:sz w:val="22"/>
          <w:szCs w:val="22"/>
        </w:rPr>
        <w:t>ms</w:t>
      </w:r>
      <w:proofErr w:type="spellEnd"/>
      <w:r w:rsidRPr="00F10F41">
        <w:rPr>
          <w:rFonts w:ascii="Arial" w:hAnsi="Arial" w:cs="Arial"/>
          <w:color w:val="000000" w:themeColor="text1"/>
          <w:sz w:val="22"/>
          <w:szCs w:val="22"/>
        </w:rPr>
        <w:t>, voxel size 3.0 x 3.0 x 6.0 mm, 14 slices, flip angle = 90</w:t>
      </w:r>
      <w:r w:rsidRPr="00F10F41">
        <w:rPr>
          <w:rFonts w:ascii="Arial" w:hAnsi="Arial" w:cs="Arial"/>
          <w:color w:val="000000" w:themeColor="text1"/>
          <w:sz w:val="22"/>
          <w:szCs w:val="22"/>
          <w:vertAlign w:val="superscript"/>
        </w:rPr>
        <w:t>o</w:t>
      </w:r>
      <w:r w:rsidRPr="00F10F41">
        <w:rPr>
          <w:rFonts w:ascii="Arial" w:hAnsi="Arial" w:cs="Arial"/>
          <w:color w:val="000000" w:themeColor="text1"/>
          <w:sz w:val="22"/>
          <w:szCs w:val="22"/>
        </w:rPr>
        <w:t>). Details about the number of utilised scans per modality can be found in</w:t>
      </w:r>
      <w:r w:rsidR="00B4285C" w:rsidRPr="00F10F41">
        <w:rPr>
          <w:rFonts w:ascii="Arial" w:hAnsi="Arial" w:cs="Arial"/>
          <w:color w:val="000000" w:themeColor="text1"/>
          <w:sz w:val="22"/>
          <w:szCs w:val="22"/>
        </w:rPr>
        <w:t xml:space="preserve"> Supplementary</w:t>
      </w:r>
      <w:r w:rsidRPr="00F10F41">
        <w:rPr>
          <w:rFonts w:ascii="Arial" w:hAnsi="Arial" w:cs="Arial"/>
          <w:color w:val="000000" w:themeColor="text1"/>
          <w:sz w:val="22"/>
          <w:szCs w:val="22"/>
        </w:rPr>
        <w:t xml:space="preserve"> Figure </w:t>
      </w:r>
      <w:r w:rsidR="00486070" w:rsidRPr="00F10F41">
        <w:rPr>
          <w:rFonts w:ascii="Arial" w:hAnsi="Arial" w:cs="Arial"/>
          <w:color w:val="000000" w:themeColor="text1"/>
          <w:sz w:val="22"/>
          <w:szCs w:val="22"/>
        </w:rPr>
        <w:t>1</w:t>
      </w:r>
      <w:r w:rsidRPr="00F10F41">
        <w:rPr>
          <w:rFonts w:ascii="Arial" w:hAnsi="Arial" w:cs="Arial"/>
          <w:color w:val="000000" w:themeColor="text1"/>
          <w:sz w:val="22"/>
          <w:szCs w:val="22"/>
        </w:rPr>
        <w:t>.</w:t>
      </w:r>
    </w:p>
    <w:p w14:paraId="0AF21EE2" w14:textId="10DF9CFA" w:rsidR="0006080C" w:rsidRPr="00F10F41" w:rsidRDefault="0006080C" w:rsidP="00AB1AE7">
      <w:pPr>
        <w:tabs>
          <w:tab w:val="left" w:pos="3428"/>
        </w:tabs>
        <w:spacing w:line="360" w:lineRule="auto"/>
        <w:jc w:val="both"/>
        <w:outlineLvl w:val="0"/>
        <w:rPr>
          <w:rFonts w:ascii="Arial" w:hAnsi="Arial" w:cs="Arial"/>
          <w:b/>
          <w:bCs/>
          <w:color w:val="000000" w:themeColor="text1"/>
          <w:sz w:val="22"/>
          <w:szCs w:val="22"/>
        </w:rPr>
      </w:pPr>
    </w:p>
    <w:p w14:paraId="0A10EADB" w14:textId="5B40DB85" w:rsidR="008120F4" w:rsidRDefault="00CC4203" w:rsidP="008120F4">
      <w:r w:rsidRPr="00F10F41">
        <w:rPr>
          <w:rFonts w:ascii="Arial" w:hAnsi="Arial" w:cs="Arial"/>
          <w:b/>
          <w:bCs/>
          <w:i/>
          <w:iCs/>
          <w:color w:val="000000" w:themeColor="text1"/>
          <w:sz w:val="26"/>
          <w:szCs w:val="26"/>
        </w:rPr>
        <w:t xml:space="preserve">Image </w:t>
      </w:r>
      <w:proofErr w:type="spellStart"/>
      <w:r w:rsidRPr="00F10F41">
        <w:rPr>
          <w:rFonts w:ascii="Arial" w:hAnsi="Arial" w:cs="Arial"/>
          <w:b/>
          <w:bCs/>
          <w:i/>
          <w:iCs/>
          <w:color w:val="000000" w:themeColor="text1"/>
          <w:sz w:val="26"/>
          <w:szCs w:val="26"/>
        </w:rPr>
        <w:t>preprocessing</w:t>
      </w:r>
      <w:proofErr w:type="spellEnd"/>
    </w:p>
    <w:p w14:paraId="18C5AEE4" w14:textId="77777777" w:rsidR="008120F4" w:rsidRPr="00FB42D8" w:rsidRDefault="008120F4" w:rsidP="00FB42D8">
      <w:pPr>
        <w:rPr>
          <w:i/>
          <w:iCs/>
        </w:rPr>
      </w:pPr>
    </w:p>
    <w:p w14:paraId="68E7B254" w14:textId="77777777" w:rsidR="00CC4203" w:rsidRPr="00FB42D8" w:rsidRDefault="00CC4203" w:rsidP="00FB42D8">
      <w:pPr>
        <w:pStyle w:val="Caption"/>
        <w:spacing w:after="0" w:line="360" w:lineRule="auto"/>
        <w:jc w:val="both"/>
        <w:rPr>
          <w:rFonts w:ascii="Arial" w:hAnsi="Arial" w:cs="Arial"/>
          <w:b/>
          <w:bCs/>
          <w:color w:val="000000" w:themeColor="text1"/>
          <w:sz w:val="24"/>
          <w:szCs w:val="24"/>
        </w:rPr>
      </w:pPr>
      <w:r w:rsidRPr="00FB42D8">
        <w:rPr>
          <w:rFonts w:ascii="Arial" w:hAnsi="Arial" w:cs="Arial"/>
          <w:b/>
          <w:bCs/>
          <w:color w:val="000000" w:themeColor="text1"/>
          <w:sz w:val="24"/>
          <w:szCs w:val="24"/>
        </w:rPr>
        <w:t xml:space="preserve">Cortical thickness </w:t>
      </w:r>
    </w:p>
    <w:p w14:paraId="786D851A" w14:textId="43A7A447" w:rsidR="001A053F" w:rsidRPr="00F10F41" w:rsidRDefault="00CC4203" w:rsidP="008120F4">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t xml:space="preserve">The </w:t>
      </w:r>
      <w:r w:rsidR="00370FF7" w:rsidRPr="00F10F41">
        <w:rPr>
          <w:rFonts w:ascii="Arial" w:hAnsi="Arial" w:cs="Arial"/>
          <w:color w:val="000000" w:themeColor="text1"/>
          <w:sz w:val="22"/>
          <w:szCs w:val="22"/>
        </w:rPr>
        <w:t>T1-</w:t>
      </w:r>
      <w:r w:rsidRPr="00F10F41">
        <w:rPr>
          <w:rFonts w:ascii="Arial" w:hAnsi="Arial" w:cs="Arial"/>
          <w:color w:val="000000" w:themeColor="text1"/>
          <w:sz w:val="22"/>
          <w:szCs w:val="22"/>
        </w:rPr>
        <w:t xml:space="preserve">MPRAGE scans were analysed using the automated longitudinal stream of </w:t>
      </w:r>
      <w:proofErr w:type="spellStart"/>
      <w:r w:rsidRPr="00F10F41">
        <w:rPr>
          <w:rFonts w:ascii="Arial" w:hAnsi="Arial" w:cs="Arial"/>
          <w:color w:val="000000" w:themeColor="text1"/>
          <w:sz w:val="22"/>
          <w:szCs w:val="22"/>
        </w:rPr>
        <w:t>Freesurfer</w:t>
      </w:r>
      <w:proofErr w:type="spellEnd"/>
      <w:r w:rsidRPr="00F10F41">
        <w:rPr>
          <w:rFonts w:ascii="Arial" w:hAnsi="Arial" w:cs="Arial"/>
          <w:color w:val="000000" w:themeColor="text1"/>
          <w:sz w:val="22"/>
          <w:szCs w:val="22"/>
        </w:rPr>
        <w:t xml:space="preserve"> version 6.0 (</w:t>
      </w:r>
      <w:hyperlink r:id="rId11" w:history="1">
        <w:r w:rsidRPr="00F10F41">
          <w:rPr>
            <w:rStyle w:val="Hyperlink"/>
            <w:rFonts w:ascii="Arial" w:hAnsi="Arial" w:cs="Arial"/>
            <w:color w:val="000000" w:themeColor="text1"/>
            <w:sz w:val="22"/>
            <w:szCs w:val="22"/>
          </w:rPr>
          <w:t>http://surfer.nmr.mgh.harvard.edu/</w:t>
        </w:r>
      </w:hyperlink>
      <w:r w:rsidRPr="00F10F41">
        <w:rPr>
          <w:rFonts w:ascii="Arial" w:hAnsi="Arial" w:cs="Arial"/>
          <w:color w:val="000000" w:themeColor="text1"/>
          <w:sz w:val="22"/>
          <w:szCs w:val="22"/>
        </w:rPr>
        <w:t xml:space="preserve">) pipeline. The full details have been previously described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{"citationItems":[{"id":"ITEM-1","itemData":{"abstract":"Longitudinal image processing algorithms aim to increase the reliability of automatic measurements in sequential imaging data by incorporating the knowledge that images come from the same subject. When transferring information across time great care needs to be taken to treat all time points the same in order to avoid introducing a system- atic processing bias. We have presented an unbiased longitudinal pro- cessing framework previously. Here we discuss an extension to improve results in subjects with large ventricles. Furthermore, we demonstrate methods to investigate longitudinal data via scatter plots, as well as lin- ear modles and non-linear flow lines. Using normalized brain volume to estimate disease progression, we find increased atrophy rates in several structures in advanced disease stages. We also highlight how linear fits into percent volume changes of different structures can help identify out- liers and detect early disease effects. Finally we show improved surface placement accuracy when using longitudinal image processing in cases with low image quality relative to independent processing. 1","author":[{"dropping-particle":"","family":"Reuter","given":"Martin","non-dropping-particle":"","parse-names":false,"suffix":""},{"dropping-particle":"","family":"Rosas","given":"H Diana","non-dropping-particle":"","parse-names":false,"suffix":""},{"dropping-particle":"","family":"Fischl","given":"Bruce","non-dropping-particle":"","parse-names":false,"suffix":""}],"container-title":"Proceedings of the MICCAI Novel Neuroimaging Biomarkers for Alzheimer's Disease and Related Disorders Workshop and Challenge (NIBAD'12)","id":"ITEM-1","issued":{"date-parts":[["2012"]]},"page":"12","title":"Longitudinal FreeSurfer for Reliable Imaging Biomarkers","type":"article-journal"},"uris":["http://www.mendeley.com/documents/?uuid=6a7c373a-bd51-4d1b-8fce-790cc2abf140"]},{"id":"ITEM-2","itemData":{"DOI":"10.1016/j.neuroimage.2010.07.020","ISSN":"1095-9572","PMID":"20637289","abstract":"The registration of images is a task that is at the core of many applications in computer vision. In computational neuroimaging where the automated segmentation of brain structures is frequently used to quantify change, a highly accurate registration is necessary for motion correction of images taken in the same session, or across time in longitudinal studies where changes in the images can be expected. This paper, inspired by Nestares and Heeger (2000), presents a method based on robust statistics to register images in the presence of differences, such as jaw movement, differential MR distortions and true anatomical change. The approach we present guarantees inverse consistency (symmetry), can deal with different intensity scales and automatically estimates a sensitivity parameter to detect outlier regions in the images. The resulting registrations are highly accurate due to their ability to ignore outlier regions and show superior robustness with respect to noise, to intensity scaling and outliers when compared to state-of-the-art registration tools such as FLIRT (in FSL) or the coregistration tool in SPM.","author":[{"dropping-particle":"","family":"Reuter","given":"Martin","non-dropping-particle":"","parse-names":false,"suffix":""},{"dropping-particle":"","family":"Rosas","given":"H Diana","non-dropping-particle":"","parse-names":false,"suffix":""},{"dropping-particle":"","family":"Fischl","given":"Bruce","non-dropping-particle":"","parse-names":false,"suffix":""}],"container-title":"NeuroImage","id":"ITEM-2","issue":"4","issued":{"date-parts":[["2010","12"]]},"page":"1181-96","title":"Highly accurate inverse consistent registration: a robust approach.","type":"article-journal","volume":"53"},"uris":["http://www.mendeley.com/documents/?uuid=7494f1bd-7e38-4a8f-8cf5-b3529015bd06"]}],"mendeley":{"formattedCitation":"(Reuter et al., 2012, 2010)","plainTextFormattedCitation":"(Reuter et al., 2012, 2010)","previouslyFormattedCitation":"(Reuter et al., 2012, 2010)"},"properties":{"noteIndex":0},"schema":"https://github.com/citation-style-language/schema/raw/master/csl-citation.json"}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(Reuter et al., 2012, 2010)</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Briefly, the pipeline applies motion correction, skull stripping, correction for field inhomogeneities, registration to and from the </w:t>
      </w:r>
      <w:proofErr w:type="spellStart"/>
      <w:r w:rsidRPr="00F10F41">
        <w:rPr>
          <w:rFonts w:ascii="Arial" w:hAnsi="Arial" w:cs="Arial"/>
          <w:color w:val="000000" w:themeColor="text1"/>
          <w:sz w:val="22"/>
          <w:szCs w:val="22"/>
        </w:rPr>
        <w:t>Talairach</w:t>
      </w:r>
      <w:proofErr w:type="spellEnd"/>
      <w:r w:rsidRPr="00F10F41">
        <w:rPr>
          <w:rFonts w:ascii="Arial" w:hAnsi="Arial" w:cs="Arial"/>
          <w:color w:val="000000" w:themeColor="text1"/>
          <w:sz w:val="22"/>
          <w:szCs w:val="22"/>
        </w:rPr>
        <w:t xml:space="preserve"> coordinate space, cortical parcellation and subcortical structure segmentation </w:t>
      </w:r>
      <w:r w:rsidRPr="00F10F41">
        <w:rPr>
          <w:rFonts w:ascii="Arial" w:hAnsi="Arial" w:cs="Arial"/>
          <w:color w:val="000000" w:themeColor="text1"/>
          <w:sz w:val="22"/>
          <w:szCs w:val="22"/>
        </w:rPr>
        <w:fldChar w:fldCharType="begin" w:fldLock="1"/>
      </w:r>
      <w:r w:rsidR="00762C0A" w:rsidRPr="00F10F41">
        <w:rPr>
          <w:rFonts w:ascii="Arial" w:hAnsi="Arial" w:cs="Arial"/>
          <w:color w:val="000000" w:themeColor="text1"/>
          <w:sz w:val="22"/>
          <w:szCs w:val="22"/>
        </w:rPr>
        <w:instrText>ADDIN CSL_CITATION {"citationItems":[{"id":"ITEM-1","itemData":{"DOI":"10.1016/j.neuroimage.2012.01.021.FreeSurfer","abstract":"FreeSurfer is a suite of tools for the analysis of neuroimaging data that provides an array of algorithms to quantify the functional, connectional and structural properties of the human brain. It has evolved from a package primarily aimed at generating surface representations of the cerebral cortex into one that automatically creates models of most macroscopically visible structures in the human brain given any reasonable T1-weighted input image. It is freely available, runs on a wide variety of hardware and software platforms, and is open source. Keywords","author":[{"dropping-particle":"","family":"Fischl","given":"Bruce","non-dropping-particle":"","parse-names":false,"suffix":""}],"container-title":"NeuroImage","id":"ITEM-1","issue":"2","issued":{"date-parts":[["2012"]]},"page":"774-781","title":"FreeSurfer","type":"article-journal","volume":"62"},"uris":["http://www.mendeley.com/documents/?uuid=e4b10be4-b18b-45df-a941-18bf9d9c8388","http://www.mendeley.com/documents/?uuid=f2a19235-9f50-4703-9bd1-773ddffa0f6d"]}],"mendeley":{"formattedCitation":"(Fischl, 2012)","plainTextFormattedCitation":"(Fischl, 2012)","previouslyFormattedCitation":"(Fischl, 2012)"},"properties":{"noteIndex":0},"schema":"https://github.com/citation-style-language/schema/raw/master/csl-citation.json"}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(Fischl, 2012)</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w:t>
      </w:r>
      <w:r w:rsidR="00BB0C18">
        <w:rPr>
          <w:rFonts w:ascii="Arial" w:hAnsi="Arial" w:cs="Arial"/>
          <w:color w:val="000000" w:themeColor="text1"/>
          <w:sz w:val="22"/>
          <w:szCs w:val="22"/>
        </w:rPr>
        <w:t xml:space="preserve"> </w:t>
      </w:r>
      <w:r w:rsidR="001A053F" w:rsidRPr="00F10F41">
        <w:rPr>
          <w:rFonts w:ascii="Arial" w:hAnsi="Arial" w:cs="Arial"/>
          <w:color w:val="000000" w:themeColor="text1"/>
          <w:sz w:val="22"/>
          <w:szCs w:val="22"/>
        </w:rPr>
        <w:t xml:space="preserve">Three subjects were excluded due to failure of pre-processing steps of the </w:t>
      </w:r>
      <w:proofErr w:type="spellStart"/>
      <w:r w:rsidR="001A053F" w:rsidRPr="00F10F41">
        <w:rPr>
          <w:rFonts w:ascii="Arial" w:hAnsi="Arial" w:cs="Arial"/>
          <w:color w:val="000000" w:themeColor="text1"/>
          <w:sz w:val="22"/>
          <w:szCs w:val="22"/>
        </w:rPr>
        <w:t>Freesurfer</w:t>
      </w:r>
      <w:proofErr w:type="spellEnd"/>
      <w:r w:rsidR="001A053F" w:rsidRPr="00F10F41">
        <w:rPr>
          <w:rFonts w:ascii="Arial" w:hAnsi="Arial" w:cs="Arial"/>
          <w:color w:val="000000" w:themeColor="text1"/>
          <w:sz w:val="22"/>
          <w:szCs w:val="22"/>
        </w:rPr>
        <w:t xml:space="preserve"> recon-all pipeline (</w:t>
      </w:r>
      <w:proofErr w:type="gramStart"/>
      <w:r w:rsidR="001A053F" w:rsidRPr="00F10F41">
        <w:rPr>
          <w:rFonts w:ascii="Arial" w:hAnsi="Arial" w:cs="Arial"/>
          <w:color w:val="000000" w:themeColor="text1"/>
          <w:sz w:val="22"/>
          <w:szCs w:val="22"/>
        </w:rPr>
        <w:t>i.e.</w:t>
      </w:r>
      <w:proofErr w:type="gramEnd"/>
      <w:r w:rsidR="001A053F" w:rsidRPr="00F10F41">
        <w:rPr>
          <w:rFonts w:ascii="Arial" w:hAnsi="Arial" w:cs="Arial"/>
          <w:color w:val="000000" w:themeColor="text1"/>
          <w:sz w:val="22"/>
          <w:szCs w:val="22"/>
        </w:rPr>
        <w:t xml:space="preserve"> excessive misclassification of pial and white matter surfaces </w:t>
      </w:r>
      <w:r w:rsidR="00251065" w:rsidRPr="00F10F41">
        <w:rPr>
          <w:rFonts w:ascii="Arial" w:hAnsi="Arial" w:cs="Arial"/>
          <w:color w:val="000000" w:themeColor="text1"/>
          <w:sz w:val="22"/>
          <w:szCs w:val="22"/>
        </w:rPr>
        <w:t xml:space="preserve">or </w:t>
      </w:r>
      <w:r w:rsidR="001A053F" w:rsidRPr="00F10F41">
        <w:rPr>
          <w:rFonts w:ascii="Arial" w:hAnsi="Arial" w:cs="Arial"/>
          <w:color w:val="000000" w:themeColor="text1"/>
          <w:sz w:val="22"/>
          <w:szCs w:val="22"/>
        </w:rPr>
        <w:t>severe skull stripping errors).</w:t>
      </w:r>
      <w:r w:rsidR="00AF5724" w:rsidRPr="00F10F41">
        <w:rPr>
          <w:rFonts w:ascii="Arial" w:hAnsi="Arial" w:cs="Arial"/>
          <w:color w:val="000000" w:themeColor="text1"/>
          <w:sz w:val="22"/>
          <w:szCs w:val="22"/>
        </w:rPr>
        <w:t xml:space="preserve"> </w:t>
      </w:r>
    </w:p>
    <w:p w14:paraId="5001C72D" w14:textId="77777777" w:rsidR="005E550A" w:rsidRPr="00F10F41" w:rsidRDefault="005E550A" w:rsidP="00AB1AE7">
      <w:pPr>
        <w:tabs>
          <w:tab w:val="left" w:pos="3428"/>
        </w:tabs>
        <w:spacing w:line="360" w:lineRule="auto"/>
        <w:jc w:val="both"/>
        <w:outlineLvl w:val="0"/>
        <w:rPr>
          <w:rFonts w:ascii="Arial" w:hAnsi="Arial" w:cs="Arial"/>
          <w:i/>
          <w:iCs/>
          <w:color w:val="000000" w:themeColor="text1"/>
          <w:sz w:val="22"/>
          <w:szCs w:val="22"/>
        </w:rPr>
      </w:pPr>
    </w:p>
    <w:p w14:paraId="7AEF49CE" w14:textId="03D06958" w:rsidR="00AF5724" w:rsidRPr="00FB42D8" w:rsidRDefault="00AF5724" w:rsidP="00AF5724">
      <w:pPr>
        <w:tabs>
          <w:tab w:val="left" w:pos="3428"/>
        </w:tabs>
        <w:spacing w:line="360" w:lineRule="auto"/>
        <w:jc w:val="both"/>
        <w:outlineLvl w:val="0"/>
        <w:rPr>
          <w:rFonts w:ascii="Arial" w:hAnsi="Arial" w:cs="Arial"/>
          <w:b/>
          <w:bCs/>
          <w:i/>
          <w:iCs/>
          <w:color w:val="000000" w:themeColor="text1"/>
        </w:rPr>
      </w:pPr>
      <w:r w:rsidRPr="00FB42D8">
        <w:rPr>
          <w:rFonts w:ascii="Arial" w:hAnsi="Arial" w:cs="Arial"/>
          <w:b/>
          <w:bCs/>
          <w:i/>
          <w:iCs/>
          <w:color w:val="000000" w:themeColor="text1"/>
        </w:rPr>
        <w:t>MNI normalisation</w:t>
      </w:r>
    </w:p>
    <w:p w14:paraId="48EF59FF" w14:textId="743E389D" w:rsidR="00AF5724" w:rsidRPr="00F10F41" w:rsidRDefault="00AF5724" w:rsidP="00AF5724">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t xml:space="preserve">The individual T1-MPRAGE images were segmented with SPM12 to generate </w:t>
      </w:r>
      <w:r w:rsidR="009B17D8">
        <w:rPr>
          <w:rFonts w:ascii="Arial" w:hAnsi="Arial" w:cs="Arial"/>
          <w:color w:val="000000" w:themeColor="text1"/>
          <w:sz w:val="22"/>
          <w:szCs w:val="22"/>
        </w:rPr>
        <w:t>grey</w:t>
      </w:r>
      <w:r w:rsidRPr="00F10F41">
        <w:rPr>
          <w:rFonts w:ascii="Arial" w:hAnsi="Arial" w:cs="Arial"/>
          <w:color w:val="000000" w:themeColor="text1"/>
          <w:sz w:val="22"/>
          <w:szCs w:val="22"/>
        </w:rPr>
        <w:t xml:space="preserve"> matter</w:t>
      </w:r>
      <w:r w:rsidR="002F7CEA" w:rsidRPr="00F10F41">
        <w:rPr>
          <w:rFonts w:ascii="Arial" w:hAnsi="Arial" w:cs="Arial"/>
          <w:color w:val="000000" w:themeColor="text1"/>
          <w:sz w:val="22"/>
          <w:szCs w:val="22"/>
        </w:rPr>
        <w:t>,</w:t>
      </w:r>
      <w:r w:rsidRPr="00F10F41">
        <w:rPr>
          <w:rFonts w:ascii="Arial" w:hAnsi="Arial" w:cs="Arial"/>
          <w:color w:val="000000" w:themeColor="text1"/>
          <w:sz w:val="22"/>
          <w:szCs w:val="22"/>
        </w:rPr>
        <w:t xml:space="preserve"> white matte</w:t>
      </w:r>
      <w:r w:rsidR="002F7CEA" w:rsidRPr="00F10F41">
        <w:rPr>
          <w:rFonts w:ascii="Arial" w:hAnsi="Arial" w:cs="Arial"/>
          <w:color w:val="000000" w:themeColor="text1"/>
          <w:sz w:val="22"/>
          <w:szCs w:val="22"/>
        </w:rPr>
        <w:t>r</w:t>
      </w:r>
      <w:r w:rsidRPr="00F10F41">
        <w:rPr>
          <w:rFonts w:ascii="Arial" w:hAnsi="Arial" w:cs="Arial"/>
          <w:color w:val="000000" w:themeColor="text1"/>
          <w:sz w:val="22"/>
          <w:szCs w:val="22"/>
        </w:rPr>
        <w:t xml:space="preserve"> and CSF tissue probability maps. The generated </w:t>
      </w:r>
      <w:r w:rsidR="009B17D8">
        <w:rPr>
          <w:rFonts w:ascii="Arial" w:hAnsi="Arial" w:cs="Arial"/>
          <w:color w:val="000000" w:themeColor="text1"/>
          <w:sz w:val="22"/>
          <w:szCs w:val="22"/>
        </w:rPr>
        <w:t>grey</w:t>
      </w:r>
      <w:r w:rsidR="002F7CEA" w:rsidRPr="00F10F41">
        <w:rPr>
          <w:rFonts w:ascii="Arial" w:hAnsi="Arial" w:cs="Arial"/>
          <w:color w:val="000000" w:themeColor="text1"/>
          <w:sz w:val="22"/>
          <w:szCs w:val="22"/>
        </w:rPr>
        <w:t xml:space="preserve"> matter</w:t>
      </w:r>
      <w:r w:rsidR="002F7CEA" w:rsidRPr="00F10F41" w:rsidDel="002F7CEA">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images were inspected and when necessary manually corrected when parts of dura or residual skull were erroneously included in the </w:t>
      </w:r>
      <w:r w:rsidR="009B17D8">
        <w:rPr>
          <w:rFonts w:ascii="Arial" w:hAnsi="Arial" w:cs="Arial"/>
          <w:color w:val="000000" w:themeColor="text1"/>
          <w:sz w:val="22"/>
          <w:szCs w:val="22"/>
        </w:rPr>
        <w:t>grey</w:t>
      </w:r>
      <w:r w:rsidR="002F7CEA" w:rsidRPr="00F10F41">
        <w:rPr>
          <w:rFonts w:ascii="Arial" w:hAnsi="Arial" w:cs="Arial"/>
          <w:color w:val="000000" w:themeColor="text1"/>
          <w:sz w:val="22"/>
          <w:szCs w:val="22"/>
        </w:rPr>
        <w:t xml:space="preserve"> matter</w:t>
      </w:r>
      <w:r w:rsidR="002F7CEA" w:rsidRPr="00F10F41" w:rsidDel="002F7CEA">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cluster. Subsequently, the DARTEL pipeline was used to create a study specific template based on the </w:t>
      </w:r>
      <w:r w:rsidR="009B17D8">
        <w:rPr>
          <w:rFonts w:ascii="Arial" w:hAnsi="Arial" w:cs="Arial"/>
          <w:color w:val="000000" w:themeColor="text1"/>
          <w:sz w:val="22"/>
          <w:szCs w:val="22"/>
        </w:rPr>
        <w:t>grey</w:t>
      </w:r>
      <w:r w:rsidR="002F7CEA" w:rsidRPr="00F10F41">
        <w:rPr>
          <w:rFonts w:ascii="Arial" w:hAnsi="Arial" w:cs="Arial"/>
          <w:color w:val="000000" w:themeColor="text1"/>
          <w:sz w:val="22"/>
          <w:szCs w:val="22"/>
        </w:rPr>
        <w:t xml:space="preserve"> and white matter </w:t>
      </w:r>
      <w:r w:rsidRPr="00F10F41">
        <w:rPr>
          <w:rFonts w:ascii="Arial" w:hAnsi="Arial" w:cs="Arial"/>
          <w:color w:val="000000" w:themeColor="text1"/>
          <w:sz w:val="22"/>
          <w:szCs w:val="22"/>
        </w:rPr>
        <w:t xml:space="preserve">masks from both study time-points. DARTEL makes use of non-linear diffeomorphic registration to register individual </w:t>
      </w:r>
      <w:r w:rsidR="009B17D8">
        <w:rPr>
          <w:rFonts w:ascii="Arial" w:hAnsi="Arial" w:cs="Arial"/>
          <w:color w:val="000000" w:themeColor="text1"/>
          <w:sz w:val="22"/>
          <w:szCs w:val="22"/>
        </w:rPr>
        <w:t>grey</w:t>
      </w:r>
      <w:r w:rsidR="002F7CEA" w:rsidRPr="00F10F41">
        <w:rPr>
          <w:rFonts w:ascii="Arial" w:hAnsi="Arial" w:cs="Arial"/>
          <w:color w:val="000000" w:themeColor="text1"/>
          <w:sz w:val="22"/>
          <w:szCs w:val="22"/>
        </w:rPr>
        <w:t xml:space="preserve"> matter</w:t>
      </w:r>
      <w:r w:rsidR="002F7CEA" w:rsidRPr="00F10F41" w:rsidDel="002F7CEA">
        <w:rPr>
          <w:rFonts w:ascii="Arial" w:hAnsi="Arial" w:cs="Arial"/>
          <w:color w:val="000000" w:themeColor="text1"/>
          <w:sz w:val="22"/>
          <w:szCs w:val="22"/>
        </w:rPr>
        <w:t xml:space="preserve"> </w:t>
      </w:r>
      <w:r w:rsidRPr="00F10F41">
        <w:rPr>
          <w:rFonts w:ascii="Arial" w:hAnsi="Arial" w:cs="Arial"/>
          <w:color w:val="000000" w:themeColor="text1"/>
          <w:sz w:val="22"/>
          <w:szCs w:val="22"/>
        </w:rPr>
        <w:t>masks to the study-specific template and subsequently an affine registration to register the study specific template to</w:t>
      </w:r>
      <w:r w:rsidR="00292517" w:rsidRPr="00F10F41">
        <w:rPr>
          <w:rFonts w:ascii="Arial" w:hAnsi="Arial" w:cs="Arial"/>
          <w:color w:val="000000" w:themeColor="text1"/>
          <w:sz w:val="22"/>
          <w:szCs w:val="22"/>
        </w:rPr>
        <w:t xml:space="preserve"> the </w:t>
      </w:r>
      <w:r w:rsidRPr="00F10F41">
        <w:rPr>
          <w:rFonts w:ascii="Arial" w:hAnsi="Arial" w:cs="Arial"/>
          <w:color w:val="000000" w:themeColor="text1"/>
          <w:sz w:val="22"/>
          <w:szCs w:val="22"/>
        </w:rPr>
        <w:t xml:space="preserve">MNI space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{"citationItems":[{"id":"ITEM-1","itemData":{"DOI":"10.1016/j.neuroimage.2007.07.007","ISBN":"1053-8119 (Print)\\n1053-8119 (Linking)","ISSN":"10538119","PMID":"17761438","abstract":"This paper describes DARTEL, which is an algorithm for diffeomorphic image registration. It is implemented for both 2D and 3D image registration and has been formulated to include an option for estimating inverse consistent deformations. Nonlinear registration is considered as a local optimisation problem, which is solved using a Levenberg-Marquardt strategy. The necessary matrix solutions are obtained in reasonable time using a multigrid method. A constant Eulerian velocity framework is used, which allows a rapid scaling and squaring method to be used in the computations. DARTEL has been applied to intersubject registration of 471 whole brain images, and the resulting deformations were evaluated in terms of how well they encode the shape information necessary to separate male and female subjects and to predict the ages of the subjects. ?? 2007 Elsevier Inc. All rights reserved.","author":[{"dropping-particle":"","family":"Ashburner","given":"John","non-dropping-particle":"","parse-names":false,"suffix":""}],"container-title":"NeuroImage","id":"ITEM-1","issue":"1","issued":{"date-parts":[["2007"]]},"page":"95-113","title":"A fast diffeomorphic image registration algorithm","type":"article-journal","volume":"38"},"uris":["http://www.mendeley.com/documents/?uuid=495e0e40-3048-41be-a5a8-1e34ffa6e347"]}],"mendeley":{"formattedCitation":"(Ashburner, 2007)","plainTextFormattedCitation":"(Ashburner, 2007)","previouslyFormattedCitation":"(Ashburner, 2007)"},"properties":{"noteIndex":0},"schema":"https://github.com/citation-style-language/schema/raw/master/csl-citation.json"}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(Ashburner, 2007)</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The </w:t>
      </w:r>
      <w:r w:rsidR="00EA23F7" w:rsidRPr="00F10F41">
        <w:rPr>
          <w:rFonts w:ascii="Arial" w:hAnsi="Arial" w:cs="Arial"/>
          <w:color w:val="000000" w:themeColor="text1"/>
          <w:sz w:val="22"/>
          <w:szCs w:val="22"/>
        </w:rPr>
        <w:t xml:space="preserve">derived </w:t>
      </w:r>
      <w:r w:rsidRPr="00F10F41">
        <w:rPr>
          <w:rFonts w:ascii="Arial" w:hAnsi="Arial" w:cs="Arial"/>
          <w:color w:val="000000" w:themeColor="text1"/>
          <w:sz w:val="22"/>
          <w:szCs w:val="22"/>
        </w:rPr>
        <w:t xml:space="preserve">flow </w:t>
      </w:r>
      <w:r w:rsidRPr="00F10F41">
        <w:rPr>
          <w:rFonts w:ascii="Arial" w:hAnsi="Arial" w:cs="Arial"/>
          <w:color w:val="000000" w:themeColor="text1"/>
          <w:sz w:val="22"/>
          <w:szCs w:val="22"/>
        </w:rPr>
        <w:lastRenderedPageBreak/>
        <w:t xml:space="preserve">fields were </w:t>
      </w:r>
      <w:r w:rsidR="000F42F8" w:rsidRPr="00F10F41">
        <w:rPr>
          <w:rFonts w:ascii="Arial" w:hAnsi="Arial" w:cs="Arial"/>
          <w:color w:val="000000" w:themeColor="text1"/>
          <w:sz w:val="22"/>
          <w:szCs w:val="22"/>
        </w:rPr>
        <w:t xml:space="preserve">used </w:t>
      </w:r>
      <w:r w:rsidRPr="00F10F41">
        <w:rPr>
          <w:rFonts w:ascii="Arial" w:hAnsi="Arial" w:cs="Arial"/>
          <w:color w:val="000000" w:themeColor="text1"/>
          <w:sz w:val="22"/>
          <w:szCs w:val="22"/>
        </w:rPr>
        <w:t xml:space="preserve">in the subsequent analyses to </w:t>
      </w:r>
      <w:r w:rsidR="00DC2DE7" w:rsidRPr="00F10F41">
        <w:rPr>
          <w:rFonts w:ascii="Arial" w:hAnsi="Arial" w:cs="Arial"/>
          <w:color w:val="000000" w:themeColor="text1"/>
          <w:sz w:val="22"/>
          <w:szCs w:val="22"/>
        </w:rPr>
        <w:t xml:space="preserve">spatially </w:t>
      </w:r>
      <w:proofErr w:type="gramStart"/>
      <w:r w:rsidR="00DC2DE7" w:rsidRPr="00F10F41">
        <w:rPr>
          <w:rFonts w:ascii="Arial" w:hAnsi="Arial" w:cs="Arial"/>
          <w:color w:val="000000" w:themeColor="text1"/>
          <w:sz w:val="22"/>
          <w:szCs w:val="22"/>
        </w:rPr>
        <w:t>normalise  the</w:t>
      </w:r>
      <w:proofErr w:type="gramEnd"/>
      <w:r w:rsidR="00DC2DE7" w:rsidRPr="00F10F41">
        <w:rPr>
          <w:rFonts w:ascii="Arial" w:hAnsi="Arial" w:cs="Arial"/>
          <w:color w:val="000000" w:themeColor="text1"/>
          <w:sz w:val="22"/>
          <w:szCs w:val="22"/>
        </w:rPr>
        <w:t xml:space="preserve"> T1 MRI to the MNI space.</w:t>
      </w:r>
      <w:r w:rsidR="00A26029" w:rsidRPr="00F10F41">
        <w:rPr>
          <w:rFonts w:ascii="Arial" w:hAnsi="Arial" w:cs="Arial"/>
          <w:color w:val="000000" w:themeColor="text1"/>
          <w:sz w:val="22"/>
          <w:szCs w:val="22"/>
        </w:rPr>
        <w:t xml:space="preserve"> The grey matter mask for subsequent analyses was derived from t</w:t>
      </w:r>
      <w:r w:rsidRPr="00F10F41">
        <w:rPr>
          <w:rFonts w:ascii="Arial" w:hAnsi="Arial" w:cs="Arial"/>
          <w:color w:val="000000" w:themeColor="text1"/>
          <w:sz w:val="22"/>
          <w:szCs w:val="22"/>
        </w:rPr>
        <w:t xml:space="preserve">he </w:t>
      </w:r>
      <w:r w:rsidR="00A26029" w:rsidRPr="00F10F41">
        <w:rPr>
          <w:rFonts w:ascii="Arial" w:hAnsi="Arial" w:cs="Arial"/>
          <w:color w:val="000000" w:themeColor="text1"/>
          <w:sz w:val="22"/>
          <w:szCs w:val="22"/>
        </w:rPr>
        <w:t xml:space="preserve">average </w:t>
      </w:r>
      <w:r w:rsidR="009B17D8">
        <w:rPr>
          <w:rFonts w:ascii="Arial" w:hAnsi="Arial" w:cs="Arial"/>
          <w:color w:val="000000" w:themeColor="text1"/>
          <w:sz w:val="22"/>
          <w:szCs w:val="22"/>
        </w:rPr>
        <w:t>grey</w:t>
      </w:r>
      <w:r w:rsidR="00DC2DE7" w:rsidRPr="00F10F41">
        <w:rPr>
          <w:rFonts w:ascii="Arial" w:hAnsi="Arial" w:cs="Arial"/>
          <w:color w:val="000000" w:themeColor="text1"/>
          <w:sz w:val="22"/>
          <w:szCs w:val="22"/>
        </w:rPr>
        <w:t xml:space="preserve"> matter</w:t>
      </w:r>
      <w:r w:rsidR="00DC2DE7" w:rsidRPr="00F10F41" w:rsidDel="00DC2DE7">
        <w:rPr>
          <w:rFonts w:ascii="Arial" w:hAnsi="Arial" w:cs="Arial"/>
          <w:color w:val="000000" w:themeColor="text1"/>
          <w:sz w:val="22"/>
          <w:szCs w:val="22"/>
        </w:rPr>
        <w:t xml:space="preserve"> </w:t>
      </w:r>
      <w:r w:rsidRPr="00F10F41">
        <w:rPr>
          <w:rFonts w:ascii="Arial" w:hAnsi="Arial" w:cs="Arial"/>
          <w:color w:val="000000" w:themeColor="text1"/>
          <w:sz w:val="22"/>
          <w:szCs w:val="22"/>
        </w:rPr>
        <w:t>map</w:t>
      </w:r>
      <w:r w:rsidR="00A26029" w:rsidRPr="00F10F41">
        <w:rPr>
          <w:rFonts w:ascii="Arial" w:hAnsi="Arial" w:cs="Arial"/>
          <w:color w:val="000000" w:themeColor="text1"/>
          <w:sz w:val="22"/>
          <w:szCs w:val="22"/>
        </w:rPr>
        <w:t xml:space="preserve">s and </w:t>
      </w:r>
      <w:proofErr w:type="spellStart"/>
      <w:r w:rsidRPr="00F10F41">
        <w:rPr>
          <w:rFonts w:ascii="Arial" w:hAnsi="Arial" w:cs="Arial"/>
          <w:color w:val="000000" w:themeColor="text1"/>
          <w:sz w:val="22"/>
          <w:szCs w:val="22"/>
        </w:rPr>
        <w:t>thresholded</w:t>
      </w:r>
      <w:proofErr w:type="spellEnd"/>
      <w:r w:rsidR="00A26029" w:rsidRPr="00F10F41">
        <w:rPr>
          <w:rFonts w:ascii="Arial" w:hAnsi="Arial" w:cs="Arial"/>
          <w:color w:val="000000" w:themeColor="text1"/>
          <w:sz w:val="22"/>
          <w:szCs w:val="22"/>
        </w:rPr>
        <w:t xml:space="preserve"> at 25% probability.</w:t>
      </w:r>
    </w:p>
    <w:p w14:paraId="76D786A0" w14:textId="77777777" w:rsidR="004D4422" w:rsidRPr="00F10F41" w:rsidRDefault="004D4422" w:rsidP="00AB1AE7">
      <w:pPr>
        <w:tabs>
          <w:tab w:val="left" w:pos="3428"/>
        </w:tabs>
        <w:spacing w:line="360" w:lineRule="auto"/>
        <w:jc w:val="both"/>
        <w:outlineLvl w:val="0"/>
        <w:rPr>
          <w:rFonts w:ascii="Arial" w:hAnsi="Arial" w:cs="Arial"/>
          <w:i/>
          <w:iCs/>
          <w:color w:val="000000" w:themeColor="text1"/>
          <w:sz w:val="22"/>
          <w:szCs w:val="22"/>
        </w:rPr>
      </w:pPr>
    </w:p>
    <w:p w14:paraId="6584486A" w14:textId="07E7E900" w:rsidR="00CC4203" w:rsidRPr="00FB42D8" w:rsidRDefault="00CC4203" w:rsidP="00AB1AE7">
      <w:pPr>
        <w:tabs>
          <w:tab w:val="left" w:pos="3428"/>
        </w:tabs>
        <w:spacing w:line="360" w:lineRule="auto"/>
        <w:jc w:val="both"/>
        <w:outlineLvl w:val="0"/>
        <w:rPr>
          <w:rFonts w:ascii="Arial" w:hAnsi="Arial" w:cs="Arial"/>
          <w:b/>
          <w:bCs/>
          <w:i/>
          <w:iCs/>
          <w:color w:val="000000" w:themeColor="text1"/>
        </w:rPr>
      </w:pPr>
      <w:r w:rsidRPr="00FB42D8">
        <w:rPr>
          <w:rFonts w:ascii="Arial" w:hAnsi="Arial" w:cs="Arial"/>
          <w:b/>
          <w:bCs/>
          <w:i/>
          <w:iCs/>
          <w:color w:val="000000" w:themeColor="text1"/>
        </w:rPr>
        <w:t>Perfusion measures</w:t>
      </w:r>
    </w:p>
    <w:p w14:paraId="63D2AD60" w14:textId="586B29A0" w:rsidR="009E564D" w:rsidRPr="00F10F41" w:rsidRDefault="00CC4203" w:rsidP="009E564D">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t xml:space="preserve">ASL post-processing was performed using FSL’s Bayesian Inference for ASL MRI (BASIL) toolbox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10.1109/TSP.2008.2005752","ISSN":"1053-587X","author":[{"dropping-particle":"","family":"Chappell","given":"M.A.","non-dropping-particle":"","parse-names":false,"suffix":""},{"dropping-particle":"","family":"Groves","given":"A.R.","non-dropping-particle":"","parse-names":false,"suffix":""},{"dropping-particle":"","family":"Whitcher","given":"B.","non-dropping-particle":"","parse-names":false,"suffix":""},{"dropping-particle":"","family":"Woolrich","given":"M.W.","non-dropping-particle":"","parse-names":false,"suffix":""}],"container-title":"IEEE Transactions on Signal Processing","id":"ITEM-1","issue":"1","issued":{"date-parts":[["2009","1"]]},"page":"223-236","title":"Variational Bayesian Inference for a Nonlinear Forward Model","type":"article-journal","volume":"57"},"uris":["http://www.mendeley.com/documents/?uuid=d374f2f6-a0d4-4dd5-87a6-19b19734adb7"]}],"mendeley":{"formattedCitation":"(Chappell et al., 2009)","plainTextFormattedCitation":"(Chappell et al., 2009)","previouslyFormattedCitation":"(Chappell et al., 2009)"},"properties":{"noteIndex":0},"schema":"https://github.com/citation-style-language/schema/raw/master/csl-citation.json"}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(Chappell et al., 2009)</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The acquired ASL scans were motion corrected using FSL’s MCFLIRT and calibrated based on a proton density acquisition. Spatial regularization was applied prior to cerebral blood flow (CBF) calculation. CBF was quantified using the Buxton ASL kinetic model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{"citationItems":[{"id":"ITEM-1","itemData":{"DOI":"10.1002/mrm.1910400308","ISSN":"07403194","author":[{"dropping-particle":"","family":"Buxton","given":"Richard B.","non-dropping-particle":"","parse-names":false,"suffix":""},{"dropping-particle":"","family":"Frank","given":"Lawrence R.","non-dropping-particle":"","parse-names":false,"suffix":""},{"dropping-particle":"","family":"Wong","given":"Eric C.","non-dropping-particle":"","parse-names":false,"suffix":""},{"dropping-particle":"","family":"Siewert","given":"Bettina","non-dropping-particle":"","parse-names":false,"suffix":""},{"dropping-particle":"","family":"Warach","given":"Steven","non-dropping-particle":"","parse-names":false,"suffix":""},{"dropping-particle":"","family":"Edelman","given":"Robert R.","non-dropping-particle":"","parse-names":false,"suffix":""}],"container-title":"Magnetic Resonance in Medicine","id":"ITEM-1","issue":"3","issued":{"date-parts":[["1998","9"]]},"page":"383-396","title":"A general kinetic model for quantitative perfusion imaging with arterial spin labeling","type":"article-journal","volume":"40"},"uris":["http://www.mendeley.com/documents/?uuid=9581eaeb-ad60-4691-8940-79b5a998de0c"]}],"mendeley":{"formattedCitation":"(Buxton et al., 1998)","plainTextFormattedCitation":"(Buxton et al., 1998)","previouslyFormattedCitation":"(Buxton et al., 1998)"},"properties":{"noteIndex":0},"schema":"https://github.com/citation-style-language/schema/raw/master/csl-citation.json"}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(Buxton et al., 1998)</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according to the model suggested in the ASL white paper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{"citationItems":[{"id":"ITEM-1","itemData":{"DOI":"10.1002/mrm.25197","ISSN":"0740-3194","abstract":"This review provides a summary statement of recommended implementations of arterial spin labeling (ASL) for clinical applications. It is a consensus of the ISMRM Perfusion Study Group and the European ASL in Dementia consortium, both of whom met to reach this consensus in October 2012 in Amsterdam. Although ASL continues to undergo rapid technical development, we believe that current ASL methods are robust and ready to provide useful clinical information, and that a consensus statement on recommended implementations will help the clinical community to adopt a standardized approach. In this review, we describe the major considerations and trade-offs in implementing an ASL protocol and provide specific recommendations for a standard approach. Our conclusion is that as an optimal default implementation, we recommend pseudo-continuous labeling, background suppression, a segmented three-dimensional readout without vascular crushing gradients, and calculation and presentation of both label/control difference images and cerebral blood flow in absolute units using a simplified model. Magn Reson Med 73:102?116, 2015. ? 2014 Wiley Periodicals, Inc.","author":[{"dropping-particle":"","family":"Alsop","given":"David C","non-dropping-particle":"","parse-names":false,"suffix":""},{"dropping-particle":"","family":"Detre","given":"John A","non-dropping-particle":"","parse-names":false,"suffix":""},{"dropping-particle":"","family":"Golay","given":"Xavier","non-dropping-particle":"","parse-names":false,"suffix":""},{"dropping-particle":"","family":"Günther","given":"Matthias","non-dropping-particle":"","parse-names":false,"suffix":""},{"dropping-particle":"","family":"Hendrikse","given":"Jeroen","non-dropping-particle":"","parse-names":false,"suffix":""},{"dropping-particle":"","family":"Hernandez-Garcia","given":"Luis","non-dropping-particle":"","parse-names":false,"suffix":""},{"dropping-particle":"","family":"Lu","given":"Hanzhang","non-dropping-particle":"","parse-names":false,"suffix":""},{"dropping-particle":"","family":"MacIntosh","given":"Bradley J","non-dropping-particle":"","parse-names":false,"suffix":""},{"dropping-particle":"","family":"Parkes","given":"Laura M","non-dropping-particle":"","parse-names":false,"suffix":""},{"dropping-particle":"","family":"Smits","given":"Marion","non-dropping-particle":"","parse-names":false,"suffix":""},{"dropping-particle":"","family":"Osch","given":"Matthias J P","non-dropping-particle":"van","parse-names":false,"suffix":""},{"dropping-particle":"","family":"Wang","given":"Danny J J","non-dropping-particle":"","parse-names":false,"suffix":""},{"dropping-particle":"","family":"Wong","given":"Eric C","non-dropping-particle":"","parse-names":false,"suffix":""},{"dropping-particle":"","family":"Zaharchuk","given":"Greg","non-dropping-particle":"","parse-names":false,"suffix":""}],"container-title":"Magnetic Resonance in Medicine","id":"ITEM-1","issue":"1","issued":{"date-parts":[["2015","1"]]},"page":"102-116","publisher":"John Wiley &amp; Sons, Ltd","title":"Recommended implementation of arterial spin-labeled perfusion MRI for clinical applications: A consensus of the ISMRM perfusion study group and the European consortium for ASL in dementia","type":"article-journal","volume":"73"},"uris":["http://www.mendeley.com/documents/?uuid=dbadba78-68f1-4119-82d0-16ff5ec9b44e","http://www.mendeley.com/documents/?uuid=aa2cf4cd-bebb-437c-a852-460619b78f90"]}],"mendeley":{"formattedCitation":"(Alsop et al., 2015)","plainTextFormattedCitation":"(Alsop et al., 2015)","previouslyFormattedCitation":"(Alsop et al., 2015)"},"properties":{"noteIndex":0},"schema":"https://github.com/citation-style-language/schema/raw/master/csl-citation.json"}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(Alsop et al., 2015)</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 </w:t>
      </w:r>
      <w:r w:rsidR="00A90A3C" w:rsidRPr="00F10F41">
        <w:rPr>
          <w:rFonts w:ascii="Arial" w:hAnsi="Arial" w:cs="Arial"/>
          <w:color w:val="000000" w:themeColor="text1"/>
          <w:sz w:val="22"/>
          <w:szCs w:val="22"/>
        </w:rPr>
        <w:t>T</w:t>
      </w:r>
      <w:r w:rsidRPr="00F10F41">
        <w:rPr>
          <w:rFonts w:ascii="Arial" w:hAnsi="Arial" w:cs="Arial"/>
          <w:color w:val="000000" w:themeColor="text1"/>
          <w:sz w:val="22"/>
          <w:szCs w:val="22"/>
        </w:rPr>
        <w:t xml:space="preserve">he generated CBF images were corrected for the presence of partial volume effects using FSL BASIL’s adaptive spatial prior approach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{"citationItems":[{"id":"ITEM-1","itemData":{"DOI":"10.1002/mrm.22641","ISSN":"0740-3194","abstract":"Abstract The accuracy of cerebral blood flow (CBF) estimates from arterial spin labeling (ASL) is affected by the presence of both gray matter (GM) and white matter within any voxel. Recently a partial volume (PV) correction method for ASL has been demonstrated (Asllani et al. Magn Reson Med 2008; 60:1362?1371), where PV estimates were used with a local linear regression to separate the GM and white matter ASL signal. Here a new PV correction method for multi-inversion time ASL is proposed that exploits PV estimates within a spatially regularized kinetic curve model analysis. The proposed method exploits both PV estimates and the different kinetics of the ASL signal arising from GM and white matter. The new correction method is shown, on both simulated and real data, to provide correction of GM CBF comparable to a linear regression approach, whilst preserving greater spatial detail in the CBF image. On real data corrected GM CBF values were found to be largely independent of GM PV, implying that the correction had been successful. Increases of mean GM CBF after correction of 69?80% were observed. Magn Reson Med, 2011. ? 2011 Wiley-Liss, Inc.","author":[{"dropping-particle":"","family":"Chappell","given":"M A","non-dropping-particle":"","parse-names":false,"suffix":""},{"dropping-particle":"","family":"Groves","given":"A R","non-dropping-particle":"","parse-names":false,"suffix":""},{"dropping-particle":"","family":"MacIntosh","given":"B J","non-dropping-particle":"","parse-names":false,"suffix":""},{"dropping-particle":"","family":"Donahue","given":"M J","non-dropping-particle":"","parse-names":false,"suffix":""},{"dropping-particle":"","family":"Jezzard","given":"P","non-dropping-particle":"","parse-names":false,"suffix":""},{"dropping-particle":"","family":"Woolrich","given":"M W","non-dropping-particle":"","parse-names":false,"suffix":""}],"container-title":"Magnetic Resonance in Medicine","id":"ITEM-1","issue":"4","issued":{"date-parts":[["2011","4"]]},"page":"1173-1183","publisher":"John Wiley &amp; Sons, Ltd","title":"Partial volume correction of multiple inversion time arterial spin labeling MRI data","type":"article-journal","volume":"65"},"uris":["http://www.mendeley.com/documents/?uuid=bc344dff-4fbc-46b0-948a-9e6633d55f67"]}],"mendeley":{"formattedCitation":"(Chappell et al., 2011)","plainTextFormattedCitation":"(Chappell et al., 2011)","previouslyFormattedCitation":"(Chappell et al., 2011)"},"properties":{"noteIndex":0},"schema":"https://github.com/citation-style-language/schema/raw/master/csl-citation.json"}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(Chappell et al., 2011)</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To proceed to partial volume correction (PVC), the MPRAGE images were registered to the ASL calibration scan using FSL’s FLIRT. The same transformation was applied to </w:t>
      </w:r>
      <w:proofErr w:type="spellStart"/>
      <w:r w:rsidR="006C1161" w:rsidRPr="00F10F41">
        <w:rPr>
          <w:rFonts w:ascii="Arial" w:hAnsi="Arial" w:cs="Arial"/>
          <w:color w:val="000000" w:themeColor="text1"/>
          <w:sz w:val="22"/>
          <w:szCs w:val="22"/>
        </w:rPr>
        <w:t>co</w:t>
      </w:r>
      <w:r w:rsidRPr="00F10F41">
        <w:rPr>
          <w:rFonts w:ascii="Arial" w:hAnsi="Arial" w:cs="Arial"/>
          <w:color w:val="000000" w:themeColor="text1"/>
          <w:sz w:val="22"/>
          <w:szCs w:val="22"/>
        </w:rPr>
        <w:t>register</w:t>
      </w:r>
      <w:proofErr w:type="spellEnd"/>
      <w:r w:rsidRPr="00F10F41">
        <w:rPr>
          <w:rFonts w:ascii="Arial" w:hAnsi="Arial" w:cs="Arial"/>
          <w:color w:val="000000" w:themeColor="text1"/>
          <w:sz w:val="22"/>
          <w:szCs w:val="22"/>
        </w:rPr>
        <w:t xml:space="preserve"> the high-resolution partial volume maps to the ASL resolution. PVC </w:t>
      </w:r>
      <w:r w:rsidR="009B17D8">
        <w:rPr>
          <w:rFonts w:ascii="Arial" w:hAnsi="Arial" w:cs="Arial"/>
          <w:color w:val="000000" w:themeColor="text1"/>
          <w:sz w:val="22"/>
          <w:szCs w:val="22"/>
        </w:rPr>
        <w:t>grey</w:t>
      </w:r>
      <w:r w:rsidR="00B20D80" w:rsidRPr="00F10F41">
        <w:rPr>
          <w:rFonts w:ascii="Arial" w:hAnsi="Arial" w:cs="Arial"/>
          <w:color w:val="000000" w:themeColor="text1"/>
          <w:sz w:val="22"/>
          <w:szCs w:val="22"/>
        </w:rPr>
        <w:t xml:space="preserve"> matter</w:t>
      </w:r>
      <w:r w:rsidR="00B20D80" w:rsidRPr="00F10F41" w:rsidDel="00DC2DE7">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perfusion maps and </w:t>
      </w:r>
      <w:r w:rsidR="009B17D8">
        <w:rPr>
          <w:rFonts w:ascii="Arial" w:hAnsi="Arial" w:cs="Arial"/>
          <w:color w:val="000000" w:themeColor="text1"/>
          <w:sz w:val="22"/>
          <w:szCs w:val="22"/>
        </w:rPr>
        <w:t>grey</w:t>
      </w:r>
      <w:r w:rsidR="00B312DB" w:rsidRPr="00F10F41">
        <w:rPr>
          <w:rFonts w:ascii="Arial" w:hAnsi="Arial" w:cs="Arial"/>
          <w:color w:val="000000" w:themeColor="text1"/>
          <w:sz w:val="22"/>
          <w:szCs w:val="22"/>
        </w:rPr>
        <w:t xml:space="preserve"> matter</w:t>
      </w:r>
      <w:r w:rsidR="00B312DB" w:rsidRPr="00F10F41" w:rsidDel="00DC2DE7">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CBF mean values were recorded for voxels with </w:t>
      </w:r>
      <w:r w:rsidR="009B17D8">
        <w:rPr>
          <w:rFonts w:ascii="Arial" w:hAnsi="Arial" w:cs="Arial"/>
          <w:color w:val="000000" w:themeColor="text1"/>
          <w:sz w:val="22"/>
          <w:szCs w:val="22"/>
        </w:rPr>
        <w:t>grey</w:t>
      </w:r>
      <w:r w:rsidR="00B312DB" w:rsidRPr="00F10F41">
        <w:rPr>
          <w:rFonts w:ascii="Arial" w:hAnsi="Arial" w:cs="Arial"/>
          <w:color w:val="000000" w:themeColor="text1"/>
          <w:sz w:val="22"/>
          <w:szCs w:val="22"/>
        </w:rPr>
        <w:t xml:space="preserve"> matter</w:t>
      </w:r>
      <w:r w:rsidR="00B312DB" w:rsidRPr="00F10F41" w:rsidDel="00DC2DE7">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&gt; 10 %.  Subsequently, the </w:t>
      </w:r>
      <w:r w:rsidR="009B17D8">
        <w:rPr>
          <w:rFonts w:ascii="Arial" w:hAnsi="Arial" w:cs="Arial"/>
          <w:color w:val="000000" w:themeColor="text1"/>
          <w:sz w:val="22"/>
          <w:szCs w:val="22"/>
        </w:rPr>
        <w:t>grey</w:t>
      </w:r>
      <w:r w:rsidR="00B312DB" w:rsidRPr="00F10F41">
        <w:rPr>
          <w:rFonts w:ascii="Arial" w:hAnsi="Arial" w:cs="Arial"/>
          <w:color w:val="000000" w:themeColor="text1"/>
          <w:sz w:val="22"/>
          <w:szCs w:val="22"/>
        </w:rPr>
        <w:t xml:space="preserve"> matter</w:t>
      </w:r>
      <w:r w:rsidR="00B312DB" w:rsidRPr="00F10F41" w:rsidDel="00DC2DE7">
        <w:rPr>
          <w:rFonts w:ascii="Arial" w:hAnsi="Arial" w:cs="Arial"/>
          <w:color w:val="000000" w:themeColor="text1"/>
          <w:sz w:val="22"/>
          <w:szCs w:val="22"/>
        </w:rPr>
        <w:t xml:space="preserve"> </w:t>
      </w:r>
      <w:r w:rsidRPr="00F10F41">
        <w:rPr>
          <w:rFonts w:ascii="Arial" w:hAnsi="Arial" w:cs="Arial"/>
          <w:color w:val="000000" w:themeColor="text1"/>
          <w:sz w:val="22"/>
          <w:szCs w:val="22"/>
        </w:rPr>
        <w:t>CBF maps were registered to the T1 images using the inverse transform generated in the previous step and</w:t>
      </w:r>
      <w:r w:rsidR="00A90A3C" w:rsidRPr="00F10F41">
        <w:rPr>
          <w:rFonts w:ascii="Arial" w:hAnsi="Arial" w:cs="Arial"/>
          <w:color w:val="000000" w:themeColor="text1"/>
          <w:sz w:val="22"/>
          <w:szCs w:val="22"/>
        </w:rPr>
        <w:t xml:space="preserve"> normalized</w:t>
      </w:r>
      <w:r w:rsidRPr="00F10F41">
        <w:rPr>
          <w:rFonts w:ascii="Arial" w:hAnsi="Arial" w:cs="Arial"/>
          <w:color w:val="000000" w:themeColor="text1"/>
          <w:sz w:val="22"/>
          <w:szCs w:val="22"/>
        </w:rPr>
        <w:t xml:space="preserve"> to the MNI space using</w:t>
      </w:r>
      <w:r w:rsidR="00A90A3C" w:rsidRPr="00F10F41">
        <w:rPr>
          <w:rFonts w:ascii="Arial" w:hAnsi="Arial" w:cs="Arial"/>
          <w:color w:val="000000" w:themeColor="text1"/>
          <w:sz w:val="22"/>
          <w:szCs w:val="22"/>
        </w:rPr>
        <w:t xml:space="preserve"> SPM’s</w:t>
      </w:r>
      <w:r w:rsidRPr="00F10F41">
        <w:rPr>
          <w:rFonts w:ascii="Arial" w:hAnsi="Arial" w:cs="Arial"/>
          <w:color w:val="000000" w:themeColor="text1"/>
          <w:sz w:val="22"/>
          <w:szCs w:val="22"/>
        </w:rPr>
        <w:t xml:space="preserve"> </w:t>
      </w:r>
      <w:r w:rsidR="00A90A3C" w:rsidRPr="00F10F41">
        <w:rPr>
          <w:rFonts w:ascii="Arial" w:hAnsi="Arial" w:cs="Arial"/>
          <w:color w:val="000000" w:themeColor="text1"/>
          <w:sz w:val="22"/>
          <w:szCs w:val="22"/>
        </w:rPr>
        <w:t>DARTEL</w:t>
      </w:r>
      <w:r w:rsidR="00A270AB"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To proceed to voxel-wise comparisons a </w:t>
      </w:r>
      <w:r w:rsidR="009B17D8">
        <w:rPr>
          <w:rFonts w:ascii="Arial" w:hAnsi="Arial" w:cs="Arial"/>
          <w:color w:val="000000" w:themeColor="text1"/>
          <w:sz w:val="22"/>
          <w:szCs w:val="22"/>
        </w:rPr>
        <w:t>grey</w:t>
      </w:r>
      <w:r w:rsidR="00B312DB" w:rsidRPr="00F10F41">
        <w:rPr>
          <w:rFonts w:ascii="Arial" w:hAnsi="Arial" w:cs="Arial"/>
          <w:color w:val="000000" w:themeColor="text1"/>
          <w:sz w:val="22"/>
          <w:szCs w:val="22"/>
        </w:rPr>
        <w:t xml:space="preserve"> matter</w:t>
      </w:r>
      <w:r w:rsidR="00B312DB" w:rsidRPr="00F10F41" w:rsidDel="00DC2DE7">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CBF mask was created for each subject including voxels with at least 5 ml/ 100g /min. All individual masks were summed up and a threshold of 95% was used for voxel retention. Finally, this mask was multiplied by the </w:t>
      </w:r>
      <w:r w:rsidR="009B17D8">
        <w:rPr>
          <w:rFonts w:ascii="Arial" w:hAnsi="Arial" w:cs="Arial"/>
          <w:color w:val="000000" w:themeColor="text1"/>
          <w:sz w:val="22"/>
          <w:szCs w:val="22"/>
        </w:rPr>
        <w:t>grey</w:t>
      </w:r>
      <w:r w:rsidR="00B312DB" w:rsidRPr="00F10F41">
        <w:rPr>
          <w:rFonts w:ascii="Arial" w:hAnsi="Arial" w:cs="Arial"/>
          <w:color w:val="000000" w:themeColor="text1"/>
          <w:sz w:val="22"/>
          <w:szCs w:val="22"/>
        </w:rPr>
        <w:t xml:space="preserve"> matter</w:t>
      </w:r>
      <w:r w:rsidR="00B312DB" w:rsidRPr="00F10F41" w:rsidDel="00DC2DE7">
        <w:rPr>
          <w:rFonts w:ascii="Arial" w:hAnsi="Arial" w:cs="Arial"/>
          <w:color w:val="000000" w:themeColor="text1"/>
          <w:sz w:val="22"/>
          <w:szCs w:val="22"/>
        </w:rPr>
        <w:t xml:space="preserve"> </w:t>
      </w:r>
      <w:r w:rsidRPr="00F10F41">
        <w:rPr>
          <w:rFonts w:ascii="Arial" w:hAnsi="Arial" w:cs="Arial"/>
          <w:color w:val="000000" w:themeColor="text1"/>
          <w:sz w:val="22"/>
          <w:szCs w:val="22"/>
        </w:rPr>
        <w:t>mask generated in the previous step</w:t>
      </w:r>
      <w:r w:rsidR="00486070" w:rsidRPr="00F10F41">
        <w:rPr>
          <w:rFonts w:ascii="Arial" w:hAnsi="Arial" w:cs="Arial"/>
          <w:color w:val="000000" w:themeColor="text1"/>
          <w:sz w:val="22"/>
          <w:szCs w:val="22"/>
        </w:rPr>
        <w:t>.</w:t>
      </w:r>
      <w:r w:rsidR="00291F72" w:rsidRPr="00F10F41">
        <w:rPr>
          <w:rFonts w:ascii="Arial" w:hAnsi="Arial" w:cs="Arial"/>
          <w:color w:val="000000" w:themeColor="text1"/>
          <w:sz w:val="22"/>
          <w:szCs w:val="22"/>
        </w:rPr>
        <w:t xml:space="preserve"> Consistent with previous methodology </w:t>
      </w:r>
      <w:r w:rsidR="00291F72" w:rsidRPr="00F10F41">
        <w:rPr>
          <w:rFonts w:ascii="Arial" w:hAnsi="Arial" w:cs="Arial"/>
          <w:color w:val="000000" w:themeColor="text1"/>
          <w:sz w:val="22"/>
          <w:szCs w:val="22"/>
        </w:rPr>
        <w:fldChar w:fldCharType="begin" w:fldLock="1"/>
      </w:r>
      <w:r w:rsidR="00F57258">
        <w:rPr>
          <w:rFonts w:ascii="Arial" w:hAnsi="Arial" w:cs="Arial"/>
          <w:color w:val="000000" w:themeColor="text1"/>
          <w:sz w:val="22"/>
          <w:szCs w:val="22"/>
        </w:rPr>
        <w:instrText>ADDIN CSL_CITATION {"citationItems":[{"id":"ITEM-1","itemData":{"DOI":"10.1002/hbm.23732","ISSN":"10970193","PMID":"28737289","abstract":"We compared three implementations of single-shot arterial spin labeled (ASL) perfusion magnetic resonance imaging: two-dimensional (2D) pulsed ASL (PASL), 2D pseudocontinuous ASL (PCASL), and background-suppressed (BS) 3D PCASL obtained in a cohort of patients with mild cognitive impairment (MCI) and elderly controls. Study subjects also underwent 18F-fluorodeoxyglucose positron emission tomography (18F-FDG PET). While BS 3D PCASL showed the lowest (P &lt; 0.001) gray matter–white matter cerebral blood flow (CBF) contrast ratio, it provided the highest (P &lt; 0.001) temporal signal-to-noise ratio. Mean relative CBF estimated using the PCASL methods in posterior cingulate cortex (PCC), precuneus, and hippocampus showed hypoperfusion in the MCI cohort compared to the controls consistent with hypometabolism measured by 18F-FDG PET. BS 3D PCASL demonstrated the highest discrimination between controls and patients with effect size comparable to that seen with 18F-FDG PET. 2D PASL did not demonstrate group differentiation with relative CBF in any ROI, whereas 2D PCASL demonstrated significant differences only in PCC and hippocampus. Mean global CBF values did not differ across methods and were highly correlated; however, the correlations were significantly higher (P &lt; 0.001) when either the same labeling (PCASL) or the same acquisition strategy (2D) was used as compared to when both the labeling and readout methods differed. In addition, there were differences in regional distribution of CBF between the three modalities, which can be attributed to differences in sequence parameters. These results demonstrate the superiority of ASL with PCASL and BS 3D readout as a biomarker for regional brain function changes in MCI. Hum Brain Mapp 38:5260–5273, 2017. © 2017 Wiley Periodicals, Inc.","author":[{"dropping-particle":"","family":"Dolui","given":"Sudipto","non-dropping-particle":"","parse-names":false,"suffix":""},{"dropping-particle":"","family":"Vidorreta","given":"Marta","non-dropping-particle":"","parse-names":false,"suffix":""},{"dropping-particle":"","family":"Wang","given":"Ze","non-dropping-particle":"","parse-names":false,"suffix":""},{"dropping-particle":"","family":"Nasrallah","given":"Ilya M.","non-dropping-particle":"","parse-names":false,"suffix":""},{"dropping-particle":"","family":"Alavi","given":"Abass","non-dropping-particle":"","parse-names":false,"suffix":""},{"dropping-particle":"","family":"Wolk","given":"David A.","non-dropping-particle":"","parse-names":false,"suffix":""},{"dropping-particle":"","family":"Detre","given":"John A.","non-dropping-particle":"","parse-names":false,"suffix":""}],"container-title":"Human Brain Mapping","id":"ITEM-1","issue":"10","issued":{"date-parts":[["2017"]]},"page":"5260-5273","title":"Comparison of PASL, PCASL, and background-suppressed 3D PCASL in mild cognitive impairment","type":"article-journal","volume":"38"},"uris":["http://www.mendeley.com/documents/?uuid=6b87629c-69f0-40d0-9f01-66fc016bbcc0"]}],"mendeley":{"formattedCitation":"(Dolui et al., 2017)","plainTextFormattedCitation":"(Dolui et al., 2017)","previouslyFormattedCitation":"(Dolui et al., 2017)"},"properties":{"noteIndex":0},"schema":"https://github.com/citation-style-language/schema/raw/master/csl-citation.json"}</w:instrText>
      </w:r>
      <w:r w:rsidR="00291F72" w:rsidRPr="00F10F41">
        <w:rPr>
          <w:rFonts w:ascii="Arial" w:hAnsi="Arial" w:cs="Arial"/>
          <w:color w:val="000000" w:themeColor="text1"/>
          <w:sz w:val="22"/>
          <w:szCs w:val="22"/>
        </w:rPr>
        <w:fldChar w:fldCharType="separate"/>
      </w:r>
      <w:r w:rsidR="00291F72" w:rsidRPr="00F10F41">
        <w:rPr>
          <w:rFonts w:ascii="Arial" w:hAnsi="Arial" w:cs="Arial"/>
          <w:noProof/>
          <w:color w:val="000000" w:themeColor="text1"/>
          <w:sz w:val="22"/>
          <w:szCs w:val="22"/>
        </w:rPr>
        <w:t>(Dolui et al., 2017)</w:t>
      </w:r>
      <w:r w:rsidR="00291F72" w:rsidRPr="00F10F41">
        <w:rPr>
          <w:rFonts w:ascii="Arial" w:hAnsi="Arial" w:cs="Arial"/>
          <w:color w:val="000000" w:themeColor="text1"/>
          <w:sz w:val="22"/>
          <w:szCs w:val="22"/>
        </w:rPr>
        <w:fldChar w:fldCharType="end"/>
      </w:r>
      <w:r w:rsidR="00044E30" w:rsidRPr="00F10F41">
        <w:rPr>
          <w:rFonts w:ascii="Arial" w:hAnsi="Arial" w:cs="Arial"/>
          <w:color w:val="000000" w:themeColor="text1"/>
          <w:sz w:val="22"/>
          <w:szCs w:val="22"/>
        </w:rPr>
        <w:t>, t</w:t>
      </w:r>
      <w:r w:rsidR="006532B6" w:rsidRPr="00F10F41">
        <w:rPr>
          <w:rFonts w:ascii="Arial" w:hAnsi="Arial" w:cs="Arial"/>
          <w:color w:val="000000" w:themeColor="text1"/>
          <w:sz w:val="22"/>
          <w:szCs w:val="22"/>
        </w:rPr>
        <w:t>he temporal SNR (</w:t>
      </w:r>
      <w:proofErr w:type="spellStart"/>
      <w:r w:rsidR="006532B6" w:rsidRPr="00F10F41">
        <w:rPr>
          <w:rFonts w:ascii="Arial" w:hAnsi="Arial" w:cs="Arial"/>
          <w:color w:val="000000" w:themeColor="text1"/>
          <w:sz w:val="22"/>
          <w:szCs w:val="22"/>
        </w:rPr>
        <w:t>tSNR</w:t>
      </w:r>
      <w:proofErr w:type="spellEnd"/>
      <w:r w:rsidR="006532B6" w:rsidRPr="00F10F41">
        <w:rPr>
          <w:rFonts w:ascii="Arial" w:hAnsi="Arial" w:cs="Arial"/>
          <w:color w:val="000000" w:themeColor="text1"/>
          <w:sz w:val="22"/>
          <w:szCs w:val="22"/>
        </w:rPr>
        <w:t>) of the ASL acquisition was determined as follows: the time-series were motion corrected using FSL MCFLIRT. Subsequently</w:t>
      </w:r>
      <w:r w:rsidR="00C46683" w:rsidRPr="00F10F41">
        <w:rPr>
          <w:rFonts w:ascii="Arial" w:hAnsi="Arial" w:cs="Arial"/>
          <w:color w:val="000000" w:themeColor="text1"/>
          <w:sz w:val="22"/>
          <w:szCs w:val="22"/>
        </w:rPr>
        <w:t>,</w:t>
      </w:r>
      <w:r w:rsidR="006532B6" w:rsidRPr="00F10F41">
        <w:rPr>
          <w:rFonts w:ascii="Arial" w:hAnsi="Arial" w:cs="Arial"/>
          <w:color w:val="000000" w:themeColor="text1"/>
          <w:sz w:val="22"/>
          <w:szCs w:val="22"/>
        </w:rPr>
        <w:t xml:space="preserve"> individual perfusion weighted images (control-</w:t>
      </w:r>
      <w:r w:rsidR="003C5E10" w:rsidRPr="00F10F41">
        <w:rPr>
          <w:rFonts w:ascii="Arial" w:hAnsi="Arial" w:cs="Arial"/>
          <w:color w:val="000000" w:themeColor="text1"/>
          <w:sz w:val="22"/>
          <w:szCs w:val="22"/>
        </w:rPr>
        <w:t>labelled</w:t>
      </w:r>
      <w:r w:rsidR="006532B6" w:rsidRPr="00F10F41">
        <w:rPr>
          <w:rFonts w:ascii="Arial" w:hAnsi="Arial" w:cs="Arial"/>
          <w:color w:val="000000" w:themeColor="text1"/>
          <w:sz w:val="22"/>
          <w:szCs w:val="22"/>
        </w:rPr>
        <w:t xml:space="preserve">) were generated for all 50 repetitions. </w:t>
      </w:r>
      <w:r w:rsidR="009E564D" w:rsidRPr="00F10F41">
        <w:rPr>
          <w:rFonts w:ascii="Arial" w:hAnsi="Arial" w:cs="Arial"/>
          <w:color w:val="000000" w:themeColor="text1"/>
          <w:sz w:val="22"/>
          <w:szCs w:val="22"/>
        </w:rPr>
        <w:t xml:space="preserve">A mean value for each of the 50 perfusion weighted images within areas of </w:t>
      </w:r>
      <w:r w:rsidR="00BB0C18">
        <w:rPr>
          <w:rFonts w:ascii="Arial" w:hAnsi="Arial" w:cs="Arial"/>
          <w:color w:val="000000" w:themeColor="text1"/>
          <w:sz w:val="22"/>
          <w:szCs w:val="22"/>
        </w:rPr>
        <w:t xml:space="preserve">grey matter </w:t>
      </w:r>
      <w:r w:rsidR="009E564D" w:rsidRPr="00F10F41">
        <w:rPr>
          <w:rFonts w:ascii="Arial" w:hAnsi="Arial" w:cs="Arial"/>
          <w:color w:val="000000" w:themeColor="text1"/>
          <w:sz w:val="22"/>
          <w:szCs w:val="22"/>
        </w:rPr>
        <w:t xml:space="preserve">&gt;10% was calculated, </w:t>
      </w:r>
      <w:r w:rsidR="00114731">
        <w:rPr>
          <w:rFonts w:ascii="Arial" w:hAnsi="Arial" w:cs="Arial"/>
          <w:color w:val="000000" w:themeColor="text1"/>
          <w:sz w:val="22"/>
          <w:szCs w:val="22"/>
        </w:rPr>
        <w:t xml:space="preserve">and </w:t>
      </w:r>
      <w:proofErr w:type="spellStart"/>
      <w:r w:rsidR="009E564D" w:rsidRPr="00F10F41">
        <w:rPr>
          <w:rFonts w:ascii="Arial" w:hAnsi="Arial" w:cs="Arial"/>
          <w:color w:val="000000" w:themeColor="text1"/>
          <w:sz w:val="22"/>
          <w:szCs w:val="22"/>
        </w:rPr>
        <w:t>tSNR</w:t>
      </w:r>
      <w:proofErr w:type="spellEnd"/>
      <w:r w:rsidR="009E564D" w:rsidRPr="00F10F41">
        <w:rPr>
          <w:rFonts w:ascii="Arial" w:hAnsi="Arial" w:cs="Arial"/>
          <w:color w:val="000000" w:themeColor="text1"/>
          <w:sz w:val="22"/>
          <w:szCs w:val="22"/>
        </w:rPr>
        <w:t xml:space="preserve"> was measured as the mean over the standard deviation of these values (2.11 ± 0.9).</w:t>
      </w:r>
    </w:p>
    <w:p w14:paraId="1D5B9EA7" w14:textId="22262F58" w:rsidR="00A00D38" w:rsidRPr="00F10F41" w:rsidRDefault="00A00D38" w:rsidP="00291F72">
      <w:pPr>
        <w:tabs>
          <w:tab w:val="left" w:pos="3428"/>
        </w:tabs>
        <w:spacing w:line="360" w:lineRule="auto"/>
        <w:jc w:val="both"/>
        <w:outlineLvl w:val="0"/>
        <w:rPr>
          <w:rFonts w:ascii="Arial" w:hAnsi="Arial" w:cs="Arial"/>
          <w:color w:val="000000" w:themeColor="text1"/>
          <w:sz w:val="22"/>
          <w:szCs w:val="22"/>
        </w:rPr>
      </w:pPr>
    </w:p>
    <w:p w14:paraId="2D25A484" w14:textId="6556631D" w:rsidR="00CC4203" w:rsidRPr="00FB42D8" w:rsidRDefault="00CC4203" w:rsidP="00AB1AE7">
      <w:pPr>
        <w:tabs>
          <w:tab w:val="left" w:pos="3428"/>
        </w:tabs>
        <w:spacing w:line="360" w:lineRule="auto"/>
        <w:jc w:val="both"/>
        <w:outlineLvl w:val="0"/>
        <w:rPr>
          <w:rFonts w:ascii="Arial" w:hAnsi="Arial" w:cs="Arial"/>
          <w:b/>
          <w:bCs/>
          <w:i/>
          <w:iCs/>
          <w:color w:val="000000" w:themeColor="text1"/>
        </w:rPr>
      </w:pPr>
      <w:r w:rsidRPr="00FB42D8">
        <w:rPr>
          <w:rFonts w:ascii="Arial" w:hAnsi="Arial" w:cs="Arial"/>
          <w:b/>
          <w:bCs/>
          <w:i/>
          <w:iCs/>
          <w:color w:val="000000" w:themeColor="text1"/>
        </w:rPr>
        <w:t>White matter microstructure</w:t>
      </w:r>
    </w:p>
    <w:p w14:paraId="28AF6112" w14:textId="43AFC5F6" w:rsidR="00976683" w:rsidRPr="00FB42D8" w:rsidRDefault="00AE77C0" w:rsidP="00AB1AE7">
      <w:pPr>
        <w:tabs>
          <w:tab w:val="left" w:pos="3428"/>
        </w:tabs>
        <w:spacing w:line="360" w:lineRule="auto"/>
        <w:jc w:val="both"/>
        <w:outlineLvl w:val="0"/>
        <w:rPr>
          <w:rFonts w:ascii="Arial" w:hAnsi="Arial" w:cs="Arial"/>
          <w:sz w:val="22"/>
          <w:szCs w:val="22"/>
        </w:rPr>
      </w:pPr>
      <w:r w:rsidRPr="00FB42D8">
        <w:rPr>
          <w:rFonts w:ascii="Arial" w:hAnsi="Arial" w:cs="Arial"/>
          <w:sz w:val="22"/>
          <w:szCs w:val="22"/>
        </w:rPr>
        <w:t xml:space="preserve">The diffusion datasets were visually inspected for optimal coverage and to ensure minimal eddy-current distortions by 2 authors (EM and EMK). </w:t>
      </w:r>
      <w:r w:rsidR="009E564D" w:rsidRPr="00FB42D8">
        <w:rPr>
          <w:rFonts w:ascii="Arial" w:hAnsi="Arial" w:cs="Arial"/>
          <w:sz w:val="22"/>
          <w:szCs w:val="22"/>
        </w:rPr>
        <w:t xml:space="preserve">9 </w:t>
      </w:r>
      <w:r w:rsidRPr="00FB42D8">
        <w:rPr>
          <w:rFonts w:ascii="Arial" w:hAnsi="Arial" w:cs="Arial"/>
          <w:sz w:val="22"/>
          <w:szCs w:val="22"/>
        </w:rPr>
        <w:t xml:space="preserve">subjects were excluded due to excessive </w:t>
      </w:r>
      <w:r w:rsidR="00FD0A41" w:rsidRPr="00FB42D8">
        <w:rPr>
          <w:rFonts w:ascii="Arial" w:hAnsi="Arial" w:cs="Arial"/>
          <w:sz w:val="22"/>
          <w:szCs w:val="22"/>
        </w:rPr>
        <w:t xml:space="preserve">EPI </w:t>
      </w:r>
      <w:r w:rsidRPr="00FB42D8">
        <w:rPr>
          <w:rFonts w:ascii="Arial" w:hAnsi="Arial" w:cs="Arial"/>
          <w:sz w:val="22"/>
          <w:szCs w:val="22"/>
        </w:rPr>
        <w:t>distortions, while 1 subject was excluded due to poor field-of-view coverage.</w:t>
      </w:r>
      <w:r w:rsidR="00FD0A41" w:rsidRPr="00FB42D8">
        <w:rPr>
          <w:rFonts w:ascii="Arial" w:hAnsi="Arial" w:cs="Arial"/>
          <w:sz w:val="22"/>
          <w:szCs w:val="22"/>
        </w:rPr>
        <w:t xml:space="preserve"> </w:t>
      </w:r>
      <w:r w:rsidR="00CC4203" w:rsidRPr="00FB42D8">
        <w:rPr>
          <w:rFonts w:ascii="Arial" w:hAnsi="Arial" w:cs="Arial"/>
          <w:sz w:val="22"/>
          <w:szCs w:val="22"/>
        </w:rPr>
        <w:t xml:space="preserve">DWI data were stripped of nonbrain tissue using the Brain Extraction Tool (BET). Eddy currents and head movements were corrected with “eddy” in FSL (Version 6.0.1). Quantitative identification of slices with signal loss was performed in “eddy” and these volumes were </w:t>
      </w:r>
      <w:r w:rsidR="00CC4203" w:rsidRPr="00FB42D8">
        <w:rPr>
          <w:rFonts w:ascii="Arial" w:hAnsi="Arial" w:cs="Arial"/>
          <w:sz w:val="22"/>
          <w:szCs w:val="22"/>
        </w:rPr>
        <w:lastRenderedPageBreak/>
        <w:t xml:space="preserve">replaced by non-parametric predictions using the Gaussian process </w:t>
      </w:r>
      <w:r w:rsidR="00CC4203" w:rsidRPr="00FB42D8">
        <w:rPr>
          <w:rFonts w:ascii="Arial" w:hAnsi="Arial" w:cs="Arial"/>
          <w:sz w:val="22"/>
          <w:szCs w:val="22"/>
        </w:rPr>
        <w:fldChar w:fldCharType="begin" w:fldLock="1"/>
      </w:r>
      <w:r w:rsidR="00291F72" w:rsidRPr="00FB42D8">
        <w:rPr>
          <w:rFonts w:ascii="Arial" w:hAnsi="Arial" w:cs="Arial"/>
          <w:sz w:val="22"/>
          <w:szCs w:val="22"/>
        </w:rPr>
        <w:instrText>ADDIN CSL_CITATION {"citationItems":[{"id":"ITEM-1","itemData":{"DOI":"10.1016/j.neuroimage.2016.06.058","ISSN":"10959572","abstract":"Despite its great potential in studying brain anatomy and structure, diffusion magnetic resonance imaging (dMRI) is marred by artefacts more than any other commonly used MRI technique. In this paper we present a non-parametric framework for detecting and correcting dMRI outliers (signal loss) caused by subject motion. Signal loss (dropout) affecting a whole slice, or a large connected region of a slice, is frequently observed in diffusion weighted images, leading to a set of unusable measurements. This is caused by bulk (subject or physiological) motion during the diffusion encoding part of the imaging sequence. We suggest a method to detect slices affected by signal loss and replace them by a non-parametric prediction, in order to minimise their impact on subsequent analysis. The outlier detection and replacement, as well as correction of other dMRI distortions (susceptibility-induced distortions, eddy currents (EC) and subject motion) are performed within a single framework, allowing the use of an integrated approach for distortion correction. Highly realistic simulations have been used to evaluate the method with respect to its ability to detect outliers (types 1 and 2 errors), the impact of outliers on retrospective correction of movement and distortion and the impact on estimation of commonly used diffusion tensor metrics, such as fractional anisotropy (FA) and mean diffusivity (MD). Data from a large imaging project studying older adults (the Whitehall Imaging sub-study) was used to demonstrate the utility of the method when applied to datasets with severe subject movement. The results indicate high sensitivity and specificity for detecting outliers and that their deleterious effects on FA and MD can be almost completely corrected.","author":[{"dropping-particle":"","family":"Andersson","given":"Jesper L.R.","non-dropping-particle":"","parse-names":false,"suffix":""},{"dropping-particle":"","family":"Graham","given":"Mark S.","non-dropping-particle":"","parse-names":false,"suffix":""},{"dropping-particle":"","family":"Zsoldos","given":"Enikő","non-dropping-particle":"","parse-names":false,"suffix":""},{"dropping-particle":"","family":"Sotiropoulos","given":"Stamatios N.","non-dropping-particle":"","parse-names":false,"suffix":""}],"container-title":"NeuroImage","id":"ITEM-1","issued":{"date-parts":[["2016","11","1"]]},"page":"556-572","publisher":"Academic Press Inc.","title":"Incorporating outlier detection and replacement into a non-parametric framework for movement and distortion correction of diffusion MR images","type":"article-journal","volume":"141"},"uris":["http://www.mendeley.com/documents/?uuid=6a356cf5-0d66-3b9b-9c3c-878d1374f23d"]}],"mendeley":{"formattedCitation":"(Andersson et al., 2016)","plainTextFormattedCitation":"(Andersson et al., 2016)","previouslyFormattedCitation":"(Andersson et al., 2016)"},"properties":{"noteIndex":0},"schema":"https://github.com/citation-style-language/schema/raw/master/csl-citation.json"}</w:instrText>
      </w:r>
      <w:r w:rsidR="00CC4203" w:rsidRPr="00FB42D8">
        <w:rPr>
          <w:rFonts w:ascii="Arial" w:hAnsi="Arial" w:cs="Arial"/>
          <w:sz w:val="22"/>
          <w:szCs w:val="22"/>
        </w:rPr>
        <w:fldChar w:fldCharType="separate"/>
      </w:r>
      <w:r w:rsidR="00EB556F" w:rsidRPr="00FB42D8">
        <w:rPr>
          <w:rFonts w:ascii="Arial" w:hAnsi="Arial" w:cs="Arial"/>
          <w:noProof/>
          <w:sz w:val="22"/>
          <w:szCs w:val="22"/>
        </w:rPr>
        <w:t>(Andersson et al., 2016)</w:t>
      </w:r>
      <w:r w:rsidR="00CC4203" w:rsidRPr="00FB42D8">
        <w:rPr>
          <w:rFonts w:ascii="Arial" w:hAnsi="Arial" w:cs="Arial"/>
          <w:sz w:val="22"/>
          <w:szCs w:val="22"/>
        </w:rPr>
        <w:fldChar w:fldCharType="end"/>
      </w:r>
      <w:r w:rsidR="00CC4203" w:rsidRPr="00FB42D8">
        <w:rPr>
          <w:rFonts w:ascii="Arial" w:hAnsi="Arial" w:cs="Arial"/>
          <w:sz w:val="22"/>
          <w:szCs w:val="22"/>
        </w:rPr>
        <w:t xml:space="preserve">. In addition, we also corrected for intra-volume movement </w:t>
      </w:r>
      <w:r w:rsidR="00CC4203" w:rsidRPr="00FB42D8">
        <w:rPr>
          <w:rFonts w:ascii="Arial" w:hAnsi="Arial" w:cs="Arial"/>
          <w:sz w:val="22"/>
          <w:szCs w:val="22"/>
        </w:rPr>
        <w:fldChar w:fldCharType="begin" w:fldLock="1"/>
      </w:r>
      <w:r w:rsidR="00542A9E" w:rsidRPr="00FB42D8">
        <w:rPr>
          <w:rFonts w:ascii="Arial" w:hAnsi="Arial" w:cs="Arial"/>
          <w:sz w:val="22"/>
          <w:szCs w:val="22"/>
        </w:rPr>
        <w:instrText>ADDIN CSL_CITATION {"citationItems":[{"id":"ITEM-1","itemData":{"DOI":"10.1016/j.neuroimage.2017.02.085","ISSN":"10959572","abstract":"Most motion correction methods work by aligning a set of volumes together, or to a volume that represents a reference location. These are based on an implicit assumption that the subject remains motionless during the several seconds it takes to acquire all slices in a volume, and that any movement occurs in the brief moment between acquiring the last slice of one volume and the first slice of the next. This is clearly an approximation that can be more or less good depending on how long it takes to acquire one volume and in how rapidly the subject moves. In this paper we present a method that increases the temporal resolution of the motion correction by modelling movement as a piecewise continous function over time. This intra-volume movement correction is implemented within a previously presented framework that simultaneously estimates distortions, movement and movement-induced signal dropout. We validate the method on highly realistic simulated data containing all of these effects. It is demonstrated that we can estimate the true movement with high accuracy, and that scalar parameters derived from the data, such as fractional anisotropy, are estimated with greater fidelity when data has been corrected for intra-volume movement. Importantly, we also show that the difference in fidelity between data affected by different amounts of movement is much reduced when taking intra-volume movement into account. Additional validation was performed on data from a healthy volunteer scanned when lying still and when performing deliberate movements. We show an increased correspondence between the “still” and the “movement” data when the latter is corrected for intra-volume movement. Finally we demonstrate a big reduction in the telltale signs of intra-volume movement in data acquired on elderly subjects.","author":[{"dropping-particle":"","family":"Andersson","given":"Jesper L.R.","non-dropping-particle":"","parse-names":false,"suffix":""},{"dropping-particle":"","family":"Graham","given":"Mark S.","non-dropping-particle":"","parse-names":false,"suffix":""},{"dropping-particle":"","family":"Drobnjak","given":"Ivana","non-dropping-particle":"","parse-names":false,"suffix":""},{"dropping-particle":"","family":"Zhang","given":"Hui","non-dropping-particle":"","parse-names":false,"suffix":""},{"dropping-particle":"","family":"Filippini","given":"Nicola","non-dropping-particle":"","parse-names":false,"suffix":""},{"dropping-particle":"","family":"Bastiani","given":"Matteo","non-dropping-particle":"","parse-names":false,"suffix":""}],"container-title":"NeuroImage","id":"ITEM-1","issue":"March","issued":{"date-parts":[["2017"]]},"page":"450-466","publisher":"Elsevier","title":"Towards a comprehensive framework for movement and distortion correction of diffusion MR images: Within volume movement","type":"article-journal","volume":"152"},"uris":["http://www.mendeley.com/documents/?uuid=3ca0614d-4bff-4c09-909b-c540b1b07c5f","http://www.mendeley.com/documents/?uuid=07542664-61da-4c48-9f0f-17fea086ce6e","http://www.mendeley.com/documents/?uuid=265450cd-3481-4ddc-ada8-96cb470df0fb"]}],"mendeley":{"formattedCitation":"(Andersson et al., 2017)","plainTextFormattedCitation":"(Andersson et al., 2017)","previouslyFormattedCitation":"(Andersson et al., 2017)"},"properties":{"noteIndex":0},"schema":"https://github.com/citation-style-language/schema/raw/master/csl-citation.json"}</w:instrText>
      </w:r>
      <w:r w:rsidR="00CC4203" w:rsidRPr="00FB42D8">
        <w:rPr>
          <w:rFonts w:ascii="Arial" w:hAnsi="Arial" w:cs="Arial"/>
          <w:sz w:val="22"/>
          <w:szCs w:val="22"/>
        </w:rPr>
        <w:fldChar w:fldCharType="separate"/>
      </w:r>
      <w:r w:rsidR="00EB556F" w:rsidRPr="00FB42D8">
        <w:rPr>
          <w:rFonts w:ascii="Arial" w:hAnsi="Arial" w:cs="Arial"/>
          <w:noProof/>
          <w:sz w:val="22"/>
          <w:szCs w:val="22"/>
        </w:rPr>
        <w:t>(Andersson et al., 2017)</w:t>
      </w:r>
      <w:r w:rsidR="00CC4203" w:rsidRPr="00FB42D8">
        <w:rPr>
          <w:rFonts w:ascii="Arial" w:hAnsi="Arial" w:cs="Arial"/>
          <w:sz w:val="22"/>
          <w:szCs w:val="22"/>
        </w:rPr>
        <w:fldChar w:fldCharType="end"/>
      </w:r>
      <w:r w:rsidR="00CC4203" w:rsidRPr="00FB42D8">
        <w:rPr>
          <w:rFonts w:ascii="Arial" w:hAnsi="Arial" w:cs="Arial"/>
          <w:sz w:val="22"/>
          <w:szCs w:val="22"/>
        </w:rPr>
        <w:t xml:space="preserve">. The b-matrix was subsequently reoriented by applying the rotational part of the affine transformation used during eddy correction </w:t>
      </w:r>
      <w:r w:rsidR="00CC4203" w:rsidRPr="00FB42D8">
        <w:rPr>
          <w:rFonts w:ascii="Arial" w:hAnsi="Arial" w:cs="Arial"/>
          <w:sz w:val="22"/>
          <w:szCs w:val="22"/>
        </w:rPr>
        <w:fldChar w:fldCharType="begin" w:fldLock="1"/>
      </w:r>
      <w:r w:rsidR="00291F72" w:rsidRPr="00FB42D8">
        <w:rPr>
          <w:rFonts w:ascii="Arial" w:hAnsi="Arial" w:cs="Arial"/>
          <w:sz w:val="22"/>
          <w:szCs w:val="22"/>
        </w:rPr>
        <w:instrText>ADDIN CSL_CITATION {"citationItems":[{"id":"ITEM-1","itemData":{"DOI":"10.1002/mrm.21890","ISSN":"1522-2594","PMID":"19319973","abstract":"To estimate diffusion tensor MRI (DTI) measures, such as fractional anisotropy and fiber orientation, reliably, a large number of diffusion-encoded images is needed, preferably cardiac gated to reduce pulsation artifacts. However, the concomitant longer acquisition times increase the chances of subject motion adversely affecting the estimation of these measures. While correcting for motion artifacts improves the accuracy of DTI, an often overlooked step in realigning the images is to reorient the B-matrix so that orientational information is correctly preserved. To the best of our knowledge, most research groups and software packages currently omit this reorientation step. Given the recent explosion of DTI applications including, for example, neurosurgical planning (in which errors can have drastic consequences), it is important to investigate the impact of neglecting to perform the B-matrix reorientation. In this work, a systematic study to investigate the effect of neglecting to reorient the B-matrix on DTI data during motion correction is presented. The consequences for diffusion fiber tractography are also discussed.","author":[{"dropping-particle":"","family":"Leemans","given":"Alexander","non-dropping-particle":"","parse-names":false,"suffix":""},{"dropping-particle":"","family":"Jones","given":"Derek K","non-dropping-particle":"","parse-names":false,"suffix":""}],"container-title":"Magnetic resonance in medicine","id":"ITEM-1","issue":"6","issued":{"date-parts":[["2009","6"]]},"page":"1336-49","title":"The B-matrix must be rotated when correcting for subject motion in DTI data.","type":"article-journal","volume":"61"},"uris":["http://www.mendeley.com/documents/?uuid=e96b32d7-a28e-3135-8a95-88403143cb80"]}],"mendeley":{"formattedCitation":"(Leemans and Jones, 2009)","plainTextFormattedCitation":"(Leemans and Jones, 2009)","previouslyFormattedCitation":"(Leemans and Jones, 2009)"},"properties":{"noteIndex":0},"schema":"https://github.com/citation-style-language/schema/raw/master/csl-citation.json"}</w:instrText>
      </w:r>
      <w:r w:rsidR="00CC4203" w:rsidRPr="00FB42D8">
        <w:rPr>
          <w:rFonts w:ascii="Arial" w:hAnsi="Arial" w:cs="Arial"/>
          <w:sz w:val="22"/>
          <w:szCs w:val="22"/>
        </w:rPr>
        <w:fldChar w:fldCharType="separate"/>
      </w:r>
      <w:r w:rsidR="00EB556F" w:rsidRPr="00FB42D8">
        <w:rPr>
          <w:rFonts w:ascii="Arial" w:hAnsi="Arial" w:cs="Arial"/>
          <w:noProof/>
          <w:sz w:val="22"/>
          <w:szCs w:val="22"/>
        </w:rPr>
        <w:t>(Leemans and Jones, 2009)</w:t>
      </w:r>
      <w:r w:rsidR="00CC4203" w:rsidRPr="00FB42D8">
        <w:rPr>
          <w:rFonts w:ascii="Arial" w:hAnsi="Arial" w:cs="Arial"/>
          <w:sz w:val="22"/>
          <w:szCs w:val="22"/>
        </w:rPr>
        <w:fldChar w:fldCharType="end"/>
      </w:r>
      <w:r w:rsidR="00CC4203" w:rsidRPr="00FB42D8">
        <w:rPr>
          <w:rFonts w:ascii="Arial" w:hAnsi="Arial" w:cs="Arial"/>
          <w:sz w:val="22"/>
          <w:szCs w:val="22"/>
        </w:rPr>
        <w:t xml:space="preserve">. </w:t>
      </w:r>
      <w:r w:rsidR="00C81E7D" w:rsidRPr="00FB42D8">
        <w:rPr>
          <w:rFonts w:ascii="Arial" w:hAnsi="Arial" w:cs="Arial"/>
          <w:sz w:val="22"/>
          <w:szCs w:val="22"/>
        </w:rPr>
        <w:t xml:space="preserve">Diffusion </w:t>
      </w:r>
      <w:r w:rsidR="00CC4203" w:rsidRPr="00FB42D8">
        <w:rPr>
          <w:rFonts w:ascii="Arial" w:hAnsi="Arial" w:cs="Arial"/>
          <w:sz w:val="22"/>
          <w:szCs w:val="22"/>
        </w:rPr>
        <w:t xml:space="preserve">tensors were generated from the </w:t>
      </w:r>
      <w:proofErr w:type="gramStart"/>
      <w:r w:rsidR="00CC4203" w:rsidRPr="00FB42D8">
        <w:rPr>
          <w:rFonts w:ascii="Arial" w:hAnsi="Arial" w:cs="Arial"/>
          <w:sz w:val="22"/>
          <w:szCs w:val="22"/>
        </w:rPr>
        <w:t>eddy-corrected</w:t>
      </w:r>
      <w:proofErr w:type="gramEnd"/>
      <w:r w:rsidR="00CC4203" w:rsidRPr="00FB42D8">
        <w:rPr>
          <w:rFonts w:ascii="Arial" w:hAnsi="Arial" w:cs="Arial"/>
          <w:sz w:val="22"/>
          <w:szCs w:val="22"/>
        </w:rPr>
        <w:t xml:space="preserve"> DWI datasets using DTIFIT in FSL 6.0.1.</w:t>
      </w:r>
      <w:r w:rsidR="00C81E7D" w:rsidRPr="00FB42D8">
        <w:rPr>
          <w:rFonts w:ascii="Arial" w:hAnsi="Arial" w:cs="Arial"/>
          <w:sz w:val="22"/>
          <w:szCs w:val="22"/>
        </w:rPr>
        <w:t xml:space="preserve"> </w:t>
      </w:r>
      <w:r w:rsidR="00CC4203" w:rsidRPr="00FB42D8">
        <w:rPr>
          <w:rFonts w:ascii="Calibri" w:hAnsi="Calibri" w:cs="Calibri"/>
          <w:sz w:val="22"/>
          <w:szCs w:val="22"/>
        </w:rPr>
        <w:t>﻿</w:t>
      </w:r>
      <w:r w:rsidR="00CC4203" w:rsidRPr="00FB42D8">
        <w:rPr>
          <w:rFonts w:ascii="Arial" w:hAnsi="Arial" w:cs="Arial"/>
          <w:sz w:val="22"/>
          <w:szCs w:val="22"/>
        </w:rPr>
        <w:t>We pursued an unbiased longitudinal approach for the spatial normalisation of diffusion datasets using the Diffusion Tensor Imaging Toolkit (DTI-TK).</w:t>
      </w:r>
      <w:r w:rsidR="00C81E7D" w:rsidRPr="00FB42D8">
        <w:rPr>
          <w:rFonts w:ascii="Arial" w:hAnsi="Arial" w:cs="Arial"/>
          <w:sz w:val="22"/>
          <w:szCs w:val="22"/>
        </w:rPr>
        <w:t xml:space="preserve"> </w:t>
      </w:r>
      <w:r w:rsidR="00CC4203" w:rsidRPr="00FB42D8">
        <w:rPr>
          <w:rFonts w:ascii="Arial" w:hAnsi="Arial" w:cs="Arial"/>
          <w:sz w:val="22"/>
          <w:szCs w:val="22"/>
        </w:rPr>
        <w:t xml:space="preserve">Firstly, tensor images at baseline and follow-up were created by converting the diffusion eigenvectors and eigenvalues using the function </w:t>
      </w:r>
      <w:proofErr w:type="spellStart"/>
      <w:r w:rsidR="00CC4203" w:rsidRPr="00FB42D8">
        <w:rPr>
          <w:rFonts w:ascii="Arial" w:hAnsi="Arial" w:cs="Arial"/>
          <w:sz w:val="22"/>
          <w:szCs w:val="22"/>
        </w:rPr>
        <w:t>fsl_to_dtitk</w:t>
      </w:r>
      <w:proofErr w:type="spellEnd"/>
      <w:r w:rsidR="00CC4203" w:rsidRPr="00FB42D8">
        <w:rPr>
          <w:rFonts w:ascii="Arial" w:hAnsi="Arial" w:cs="Arial"/>
          <w:sz w:val="22"/>
          <w:szCs w:val="22"/>
        </w:rPr>
        <w:t xml:space="preserve"> in DTI-TK. Secondly, for each participant, an unbiased intra-subject template was generated using the tensor datasets from his or her baseline and follow-up after an iterative process of rigid, affine and non-linear diffeomorphic registrations</w:t>
      </w:r>
      <w:r w:rsidR="00CC4203" w:rsidRPr="00FB42D8">
        <w:rPr>
          <w:rFonts w:ascii="Arial" w:hAnsi="Arial" w:cs="Arial"/>
          <w:sz w:val="22"/>
          <w:szCs w:val="22"/>
          <w:shd w:val="clear" w:color="auto" w:fill="FFFFFF"/>
        </w:rPr>
        <w:t xml:space="preserve">. Next, </w:t>
      </w:r>
      <w:r w:rsidR="00CC4203" w:rsidRPr="00FB42D8">
        <w:rPr>
          <w:rFonts w:ascii="Arial" w:hAnsi="Arial" w:cs="Arial"/>
          <w:sz w:val="22"/>
          <w:szCs w:val="22"/>
        </w:rPr>
        <w:t>the within-subject templates were used to create a study-specific population template using the same iterative process</w:t>
      </w:r>
      <w:r w:rsidR="00C81E7D" w:rsidRPr="00FB42D8">
        <w:rPr>
          <w:rFonts w:ascii="Arial" w:hAnsi="Arial" w:cs="Arial"/>
          <w:sz w:val="22"/>
          <w:szCs w:val="22"/>
        </w:rPr>
        <w:t>.</w:t>
      </w:r>
      <w:r w:rsidR="00BF4340" w:rsidRPr="00FB42D8">
        <w:rPr>
          <w:rFonts w:ascii="Arial" w:hAnsi="Arial" w:cs="Arial"/>
          <w:sz w:val="22"/>
          <w:szCs w:val="22"/>
          <w:shd w:val="clear" w:color="auto" w:fill="FFFFFF"/>
        </w:rPr>
        <w:t xml:space="preserve"> E</w:t>
      </w:r>
      <w:r w:rsidR="00CC4203" w:rsidRPr="00FB42D8">
        <w:rPr>
          <w:rFonts w:ascii="Arial" w:hAnsi="Arial" w:cs="Arial"/>
          <w:sz w:val="22"/>
          <w:szCs w:val="22"/>
          <w:shd w:val="clear" w:color="auto" w:fill="FFFFFF"/>
        </w:rPr>
        <w:t xml:space="preserve">ach participant’s DWI data </w:t>
      </w:r>
      <w:r w:rsidR="00BF4340" w:rsidRPr="00FB42D8">
        <w:rPr>
          <w:rFonts w:ascii="Arial" w:hAnsi="Arial" w:cs="Arial"/>
          <w:sz w:val="22"/>
          <w:szCs w:val="22"/>
          <w:shd w:val="clear" w:color="auto" w:fill="FFFFFF"/>
        </w:rPr>
        <w:t>was normalised to</w:t>
      </w:r>
      <w:r w:rsidR="00CC4203" w:rsidRPr="00FB42D8">
        <w:rPr>
          <w:rFonts w:ascii="Arial" w:hAnsi="Arial" w:cs="Arial"/>
          <w:sz w:val="22"/>
          <w:szCs w:val="22"/>
          <w:shd w:val="clear" w:color="auto" w:fill="FFFFFF"/>
        </w:rPr>
        <w:t xml:space="preserve"> the group-specific template via a single interpolation step. </w:t>
      </w:r>
      <w:proofErr w:type="gramStart"/>
      <w:r w:rsidR="00210850" w:rsidRPr="00FB42D8">
        <w:rPr>
          <w:rFonts w:ascii="Arial" w:hAnsi="Arial" w:cs="Arial"/>
          <w:sz w:val="22"/>
          <w:szCs w:val="22"/>
          <w:shd w:val="clear" w:color="auto" w:fill="FFFFFF"/>
        </w:rPr>
        <w:t>F</w:t>
      </w:r>
      <w:r w:rsidR="00CC4203" w:rsidRPr="00FB42D8">
        <w:rPr>
          <w:rFonts w:ascii="Arial" w:hAnsi="Arial" w:cs="Arial"/>
          <w:sz w:val="22"/>
          <w:szCs w:val="22"/>
          <w:shd w:val="clear" w:color="auto" w:fill="FFFFFF"/>
        </w:rPr>
        <w:t>ractional anisotropy (FA),</w:t>
      </w:r>
      <w:proofErr w:type="gramEnd"/>
      <w:r w:rsidR="00CC4203" w:rsidRPr="00FB42D8">
        <w:rPr>
          <w:rFonts w:ascii="Arial" w:hAnsi="Arial" w:cs="Arial"/>
          <w:sz w:val="22"/>
          <w:szCs w:val="22"/>
          <w:shd w:val="clear" w:color="auto" w:fill="FFFFFF"/>
        </w:rPr>
        <w:t xml:space="preserve"> mean diffusivity (MD) and radial diffusivity (RD) maps were generated using the normalised tensor images. </w:t>
      </w:r>
      <w:r w:rsidR="00CC4203" w:rsidRPr="00FB42D8">
        <w:rPr>
          <w:rFonts w:ascii="Arial" w:hAnsi="Arial" w:cs="Arial"/>
          <w:sz w:val="22"/>
          <w:szCs w:val="22"/>
        </w:rPr>
        <w:t xml:space="preserve">Following the tensor-based registration, a mean FA map was derived from the group template and skeletonised using </w:t>
      </w:r>
      <w:proofErr w:type="spellStart"/>
      <w:r w:rsidR="00CC4203" w:rsidRPr="00FB42D8">
        <w:rPr>
          <w:rFonts w:ascii="Arial" w:hAnsi="Arial" w:cs="Arial"/>
          <w:i/>
          <w:sz w:val="22"/>
          <w:szCs w:val="22"/>
        </w:rPr>
        <w:t>tbss_skeleton</w:t>
      </w:r>
      <w:proofErr w:type="spellEnd"/>
      <w:r w:rsidR="00CC4203" w:rsidRPr="00FB42D8">
        <w:rPr>
          <w:rFonts w:ascii="Arial" w:hAnsi="Arial" w:cs="Arial"/>
          <w:sz w:val="22"/>
          <w:szCs w:val="22"/>
        </w:rPr>
        <w:t xml:space="preserve"> in FSL to create the mean FA </w:t>
      </w:r>
      <w:r w:rsidR="00C85844" w:rsidRPr="00FB42D8">
        <w:rPr>
          <w:rFonts w:ascii="Arial" w:hAnsi="Arial" w:cs="Arial"/>
          <w:sz w:val="22"/>
          <w:szCs w:val="22"/>
        </w:rPr>
        <w:t>skeleton (</w:t>
      </w:r>
      <w:proofErr w:type="spellStart"/>
      <w:r w:rsidR="00076A1C" w:rsidRPr="00FB42D8">
        <w:rPr>
          <w:rFonts w:ascii="Arial" w:hAnsi="Arial" w:cs="Arial"/>
          <w:sz w:val="22"/>
          <w:szCs w:val="22"/>
        </w:rPr>
        <w:t>thresholded</w:t>
      </w:r>
      <w:proofErr w:type="spellEnd"/>
      <w:r w:rsidR="00076A1C" w:rsidRPr="00FB42D8">
        <w:rPr>
          <w:rFonts w:ascii="Arial" w:hAnsi="Arial" w:cs="Arial"/>
          <w:sz w:val="22"/>
          <w:szCs w:val="22"/>
        </w:rPr>
        <w:t xml:space="preserve"> at </w:t>
      </w:r>
      <w:r w:rsidR="00CC4203" w:rsidRPr="00FB42D8">
        <w:rPr>
          <w:rFonts w:ascii="Arial" w:hAnsi="Arial" w:cs="Arial"/>
          <w:sz w:val="22"/>
          <w:szCs w:val="22"/>
        </w:rPr>
        <w:t>FA &gt; 0.2</w:t>
      </w:r>
      <w:r w:rsidR="004E5E9C" w:rsidRPr="00FB42D8">
        <w:rPr>
          <w:rFonts w:ascii="Arial" w:hAnsi="Arial" w:cs="Arial"/>
          <w:sz w:val="22"/>
          <w:szCs w:val="22"/>
        </w:rPr>
        <w:t>).</w:t>
      </w:r>
      <w:r w:rsidR="00076A1C" w:rsidRPr="00FB42D8">
        <w:rPr>
          <w:rFonts w:ascii="Arial" w:hAnsi="Arial" w:cs="Arial"/>
          <w:sz w:val="22"/>
          <w:szCs w:val="22"/>
        </w:rPr>
        <w:t xml:space="preserve"> </w:t>
      </w:r>
      <w:r w:rsidR="00444696" w:rsidRPr="00FB42D8">
        <w:rPr>
          <w:rFonts w:ascii="Arial" w:hAnsi="Arial" w:cs="Arial"/>
          <w:sz w:val="22"/>
          <w:szCs w:val="22"/>
        </w:rPr>
        <w:t xml:space="preserve">FA, MD and RD </w:t>
      </w:r>
      <w:r w:rsidR="00CC4203" w:rsidRPr="00FB42D8">
        <w:rPr>
          <w:rFonts w:ascii="Arial" w:hAnsi="Arial" w:cs="Arial"/>
          <w:sz w:val="22"/>
          <w:szCs w:val="22"/>
        </w:rPr>
        <w:t>images from each participant were projected onto the mean FA skeleton by searching for maximum FA values perpendicular to the skeleton.</w:t>
      </w:r>
      <w:r w:rsidR="006B2616" w:rsidRPr="00FB42D8">
        <w:rPr>
          <w:rFonts w:ascii="Arial" w:hAnsi="Arial" w:cs="Arial"/>
          <w:sz w:val="22"/>
          <w:szCs w:val="22"/>
        </w:rPr>
        <w:t xml:space="preserve"> </w:t>
      </w:r>
      <w:r w:rsidR="0029752D" w:rsidRPr="00FB42D8">
        <w:rPr>
          <w:rFonts w:ascii="Arial" w:hAnsi="Arial" w:cs="Arial"/>
          <w:sz w:val="22"/>
          <w:szCs w:val="22"/>
        </w:rPr>
        <w:t>To complement our voxel-wise analyses, mean global FA, RD and MD values were extracted at baseline and follow-up from each participant’s white matter skeleton</w:t>
      </w:r>
      <w:r w:rsidR="003B7560" w:rsidRPr="00FB42D8">
        <w:rPr>
          <w:rFonts w:ascii="Arial" w:hAnsi="Arial" w:cs="Arial"/>
          <w:sz w:val="22"/>
          <w:szCs w:val="22"/>
        </w:rPr>
        <w:t xml:space="preserve"> using </w:t>
      </w:r>
      <w:r w:rsidR="00274DCD" w:rsidRPr="00FB42D8">
        <w:rPr>
          <w:rFonts w:ascii="Arial" w:hAnsi="Arial" w:cs="Arial"/>
          <w:sz w:val="22"/>
          <w:szCs w:val="22"/>
        </w:rPr>
        <w:t xml:space="preserve">the </w:t>
      </w:r>
      <w:proofErr w:type="spellStart"/>
      <w:r w:rsidR="00274DCD" w:rsidRPr="00FB42D8">
        <w:rPr>
          <w:rFonts w:ascii="Arial" w:hAnsi="Arial" w:cs="Arial"/>
          <w:i/>
          <w:iCs/>
          <w:sz w:val="22"/>
          <w:szCs w:val="22"/>
        </w:rPr>
        <w:t>fslmaths</w:t>
      </w:r>
      <w:proofErr w:type="spellEnd"/>
      <w:r w:rsidR="00274DCD" w:rsidRPr="00FB42D8">
        <w:rPr>
          <w:rFonts w:ascii="Arial" w:hAnsi="Arial" w:cs="Arial"/>
          <w:sz w:val="22"/>
          <w:szCs w:val="22"/>
        </w:rPr>
        <w:t xml:space="preserve"> command.</w:t>
      </w:r>
      <w:r w:rsidR="006C6E7D" w:rsidRPr="00FB42D8">
        <w:rPr>
          <w:rFonts w:ascii="Arial" w:hAnsi="Arial" w:cs="Arial"/>
          <w:sz w:val="22"/>
          <w:szCs w:val="22"/>
        </w:rPr>
        <w:t xml:space="preserve"> </w:t>
      </w:r>
    </w:p>
    <w:p w14:paraId="326F8E57" w14:textId="0AF03C12" w:rsidR="00AA3ED1" w:rsidRPr="00F10F41" w:rsidRDefault="00AA3ED1" w:rsidP="00AB1AE7">
      <w:pPr>
        <w:tabs>
          <w:tab w:val="left" w:pos="3428"/>
        </w:tabs>
        <w:spacing w:line="360" w:lineRule="auto"/>
        <w:jc w:val="both"/>
        <w:outlineLvl w:val="0"/>
        <w:rPr>
          <w:rFonts w:ascii="Arial" w:hAnsi="Arial" w:cs="Arial"/>
          <w:color w:val="000000" w:themeColor="text1"/>
          <w:sz w:val="22"/>
          <w:szCs w:val="22"/>
        </w:rPr>
      </w:pPr>
    </w:p>
    <w:p w14:paraId="5CDFEE1F" w14:textId="32BC9908" w:rsidR="00CC4203" w:rsidRPr="00FB42D8" w:rsidRDefault="00CC4203" w:rsidP="00AB1AE7">
      <w:pPr>
        <w:spacing w:line="360" w:lineRule="auto"/>
        <w:jc w:val="both"/>
        <w:rPr>
          <w:rFonts w:ascii="Arial" w:hAnsi="Arial" w:cs="Arial"/>
          <w:b/>
          <w:bCs/>
          <w:i/>
          <w:iCs/>
          <w:color w:val="000000" w:themeColor="text1"/>
        </w:rPr>
      </w:pPr>
      <w:r w:rsidRPr="00FB42D8">
        <w:rPr>
          <w:rFonts w:ascii="Arial" w:hAnsi="Arial" w:cs="Arial"/>
          <w:b/>
          <w:bCs/>
          <w:i/>
          <w:iCs/>
          <w:color w:val="000000" w:themeColor="text1"/>
        </w:rPr>
        <w:t>Quantification of WMH</w:t>
      </w:r>
    </w:p>
    <w:p w14:paraId="25AA0375" w14:textId="101FBD0B" w:rsidR="00C45E17" w:rsidRPr="00F10F41" w:rsidRDefault="00C45E17" w:rsidP="00AB1AE7">
      <w:pPr>
        <w:spacing w:line="360" w:lineRule="auto"/>
        <w:jc w:val="both"/>
        <w:rPr>
          <w:rFonts w:ascii="Arial" w:hAnsi="Arial" w:cs="Arial"/>
          <w:color w:val="000000" w:themeColor="text1"/>
          <w:sz w:val="22"/>
          <w:szCs w:val="22"/>
          <w:lang w:val="en-SG"/>
        </w:rPr>
      </w:pPr>
      <w:r w:rsidRPr="00F10F41">
        <w:rPr>
          <w:rFonts w:ascii="Arial" w:hAnsi="Arial" w:cs="Arial"/>
          <w:sz w:val="22"/>
          <w:szCs w:val="22"/>
          <w:lang w:eastAsia="en-SG"/>
        </w:rPr>
        <w:t>WMH lesion maps were obtained using an automated script on the Statistical Parametric Mapping 8 (SPM8) suite (</w:t>
      </w:r>
      <w:hyperlink r:id="rId12" w:history="1">
        <w:r w:rsidRPr="00F10F41">
          <w:rPr>
            <w:rStyle w:val="Hyperlink"/>
            <w:rFonts w:ascii="Arial" w:hAnsi="Arial" w:cs="Arial"/>
            <w:sz w:val="22"/>
            <w:szCs w:val="22"/>
            <w:lang w:eastAsia="en-SG"/>
          </w:rPr>
          <w:t>http://www.fil.ion.ucl.ac.uk/spm/</w:t>
        </w:r>
      </w:hyperlink>
      <w:r w:rsidRPr="00F10F41">
        <w:rPr>
          <w:rFonts w:ascii="Arial" w:hAnsi="Arial" w:cs="Arial"/>
          <w:sz w:val="22"/>
          <w:szCs w:val="22"/>
          <w:lang w:eastAsia="en-SG"/>
        </w:rPr>
        <w:t>) on FLAIR MRI; details on the procedures involved have been described previously</w:t>
      </w:r>
      <w:r w:rsidR="00624D6F" w:rsidRPr="00F10F41">
        <w:rPr>
          <w:rFonts w:ascii="Arial" w:hAnsi="Arial" w:cs="Arial"/>
          <w:sz w:val="22"/>
          <w:szCs w:val="22"/>
          <w:lang w:eastAsia="en-SG"/>
        </w:rPr>
        <w:t xml:space="preserve"> </w:t>
      </w:r>
      <w:r w:rsidR="00624D6F" w:rsidRPr="00F10F41">
        <w:rPr>
          <w:rFonts w:ascii="Arial" w:hAnsi="Arial" w:cs="Arial"/>
          <w:color w:val="000000" w:themeColor="text1"/>
          <w:sz w:val="22"/>
          <w:szCs w:val="22"/>
          <w:lang w:val="en-SG"/>
        </w:rPr>
        <w:fldChar w:fldCharType="begin" w:fldLock="1"/>
      </w:r>
      <w:r w:rsidR="00291F72" w:rsidRPr="00F10F41">
        <w:rPr>
          <w:rFonts w:ascii="Arial" w:hAnsi="Arial" w:cs="Arial"/>
          <w:color w:val="000000" w:themeColor="text1"/>
          <w:sz w:val="22"/>
          <w:szCs w:val="22"/>
          <w:lang w:val="en-SG"/>
        </w:rPr>
        <w:instrText>ADDIN CSL_CITATION {"citationItems":[{"id":"ITEM-1","itemData":{"ISSN":"1526-632X (Electronic)","PMID":"14557566","abstract":"OBJECTIVE: To assess normal-appearing white matter (NAWM) characteristics by magnetic resonance spectroscopy (MRS) and diffusion-weighted imaging (DWI) in elderly subjects. METHODS: The authors studied 60 volunteers (mean age 72.6 years; SD 4.7; range 64 to 84 years) without signs of neurologic illness. They used DWI and spectroscopic imaging to investigate whether there were changes in the NAWM that related to the presence of white matter hyperintensities (WMH). RESULTS: The authors found a correlation (p &lt; 0.001) between the apparent diffusion coefficient in the NAWM and the total volume of WMH. The metabolite ratios N-acetylaspartate/creatine and N-acetylaspartate/choline of the NAWM also correlated significantly with total WMH volume. These correlations were independent of age. CONCLUSIONS: Damage associated with WMH is detectable in NAWM.","author":[{"dropping-particle":"","family":"Firbank","given":"M J","non-dropping-particle":"","parse-names":false,"suffix":""},{"dropping-particle":"","family":"Minett","given":"T","non-dropping-particle":"","parse-names":false,"suffix":""},{"dropping-particle":"","family":"O'Brien","given":"J T","non-dropping-particle":"","parse-names":false,"suffix":""}],"container-title":"Neurology","id":"ITEM-1","issue":"7","issued":{"date-parts":[["2003","10"]]},"language":"eng","page":"950-954","publisher-place":"United States","title":"Changes in DWI and MRS associated with white matter hyperintensities in elderly subjects.","type":"article-journal","volume":"61"},"uris":["http://www.mendeley.com/documents/?uuid=4c522d53-927a-43b4-9f86-9a9a38506a52"]},{"id":"ITEM-2","itemData":{"DOI":"10.4061/2011/391783","ISSN":"2090-2212","PMID":"21904678","abstract":"Introduction. White matter hyperintensities (WMHs) are a common finding on MRI scans of older people and are associated with vascular disease. We compared 3 methods for automatically segmenting WMHs from MRI scans. Method. An operator manually segmented WMHs on MRI images from a 3T scanner. The scans were also segmented in a fully automated fashion by three different programmes. The voxel overlap between manual and automated segmentation was compared. Results. Between observer overlap ratio was 63%. Using our previously described in-house software, we had overlap of 62.2%. We investigated the use of a modified version of SPM segmentation; however, this was not successful, with only 14% overlap. Discussion. Using our previously reported software, we demonstrated good segmentation of WMHs in a fully automated fashion.","author":[{"dropping-particle":"","family":"Smart","given":"Sean D","non-dropping-particle":"","parse-names":false,"suffix":""},{"dropping-particle":"","family":"Firbank","given":"Michael J","non-dropping-particle":"","parse-names":false,"suffix":""},{"dropping-particle":"","family":"O'Brien","given":"John T","non-dropping-particle":"","parse-names":false,"suffix":""}],"container-title":"Journal of aging research","id":"ITEM-2","issued":{"date-parts":[["2011","1"]]},"page":"391783","title":"Validation of automated white matter hyperintensity segmentation.","type":"article-journal","volume":"2011"},"uris":["http://www.mendeley.com/documents/?uuid=1a4019ab-ffb7-4882-8c10-d64b6ce9a76f"]}],"mendeley":{"formattedCitation":"(Firbank et al., 2003; Smart et al., 2011)","manualFormatting":"(Firbank et al., 2003; Smart et al.,  2011)","plainTextFormattedCitation":"(Firbank et al., 2003; Smart et al., 2011)","previouslyFormattedCitation":"(Firbank et al., 2003; Smart et al., 2011)"},"properties":{"noteIndex":0},"schema":"https://github.com/citation-style-language/schema/raw/master/csl-citation.json"}</w:instrText>
      </w:r>
      <w:r w:rsidR="00624D6F" w:rsidRPr="00F10F41">
        <w:rPr>
          <w:rFonts w:ascii="Arial" w:hAnsi="Arial" w:cs="Arial"/>
          <w:color w:val="000000" w:themeColor="text1"/>
          <w:sz w:val="22"/>
          <w:szCs w:val="22"/>
          <w:lang w:val="en-SG"/>
        </w:rPr>
        <w:fldChar w:fldCharType="separate"/>
      </w:r>
      <w:r w:rsidR="00624D6F" w:rsidRPr="00F10F41">
        <w:rPr>
          <w:rFonts w:ascii="Arial" w:hAnsi="Arial" w:cs="Arial"/>
          <w:noProof/>
          <w:color w:val="000000" w:themeColor="text1"/>
          <w:sz w:val="22"/>
          <w:szCs w:val="22"/>
          <w:lang w:val="en-SG"/>
        </w:rPr>
        <w:t>(Firbank et al., 2003; Smart et al.,  2011)</w:t>
      </w:r>
      <w:r w:rsidR="00624D6F" w:rsidRPr="00F10F41">
        <w:rPr>
          <w:rFonts w:ascii="Arial" w:hAnsi="Arial" w:cs="Arial"/>
          <w:color w:val="000000" w:themeColor="text1"/>
          <w:sz w:val="22"/>
          <w:szCs w:val="22"/>
        </w:rPr>
        <w:fldChar w:fldCharType="end"/>
      </w:r>
      <w:r w:rsidRPr="00F10F41">
        <w:rPr>
          <w:rFonts w:ascii="Arial" w:hAnsi="Arial" w:cs="Arial"/>
          <w:sz w:val="22"/>
          <w:szCs w:val="22"/>
          <w:lang w:eastAsia="en-SG"/>
        </w:rPr>
        <w:t xml:space="preserve">. All lesion maps from both baseline and follow-up visits were reviewed by a single experienced </w:t>
      </w:r>
      <w:proofErr w:type="spellStart"/>
      <w:r w:rsidRPr="00F10F41">
        <w:rPr>
          <w:rFonts w:ascii="Arial" w:hAnsi="Arial" w:cs="Arial"/>
          <w:sz w:val="22"/>
          <w:szCs w:val="22"/>
          <w:lang w:eastAsia="en-SG"/>
        </w:rPr>
        <w:t>rater</w:t>
      </w:r>
      <w:proofErr w:type="spellEnd"/>
      <w:r w:rsidRPr="00F10F41">
        <w:rPr>
          <w:rFonts w:ascii="Arial" w:hAnsi="Arial" w:cs="Arial"/>
          <w:sz w:val="22"/>
          <w:szCs w:val="22"/>
          <w:lang w:eastAsia="en-SG"/>
        </w:rPr>
        <w:t xml:space="preserve"> (A.L.)</w:t>
      </w:r>
      <w:r w:rsidR="003A6804">
        <w:rPr>
          <w:rFonts w:ascii="Arial" w:hAnsi="Arial" w:cs="Arial"/>
          <w:sz w:val="22"/>
          <w:szCs w:val="22"/>
          <w:lang w:eastAsia="en-SG"/>
        </w:rPr>
        <w:t xml:space="preserve"> while</w:t>
      </w:r>
      <w:r w:rsidRPr="00F10F41">
        <w:rPr>
          <w:rFonts w:ascii="Arial" w:hAnsi="Arial" w:cs="Arial"/>
          <w:sz w:val="22"/>
          <w:szCs w:val="22"/>
          <w:lang w:eastAsia="en-SG"/>
        </w:rPr>
        <w:t xml:space="preserve"> blinded to all clinical information. Lesion maps obtained from the segmentation procedure were used as starting points for manual WMH delineation. Baseline and follow-up FLAIR images were evaluated side by side during delineation to ensure consistency. </w:t>
      </w:r>
      <w:r w:rsidRPr="00F10F41">
        <w:rPr>
          <w:rFonts w:ascii="Arial" w:hAnsi="Arial" w:cs="Arial"/>
          <w:sz w:val="22"/>
          <w:szCs w:val="22"/>
        </w:rPr>
        <w:t>WMH volumes were normalised by total intracranial volume to account for individual differences in head size.</w:t>
      </w:r>
      <w:r w:rsidR="00DA1987" w:rsidRPr="00F10F41">
        <w:rPr>
          <w:rFonts w:ascii="Arial" w:hAnsi="Arial" w:cs="Arial"/>
          <w:sz w:val="22"/>
          <w:szCs w:val="22"/>
        </w:rPr>
        <w:t xml:space="preserve"> </w:t>
      </w:r>
      <w:r w:rsidR="005C6BD2" w:rsidRPr="00F10F41">
        <w:rPr>
          <w:rFonts w:ascii="Arial" w:hAnsi="Arial" w:cs="Arial"/>
          <w:sz w:val="22"/>
          <w:szCs w:val="22"/>
        </w:rPr>
        <w:t xml:space="preserve">To generate a </w:t>
      </w:r>
      <w:r w:rsidR="00C455B0" w:rsidRPr="00F10F41">
        <w:rPr>
          <w:rFonts w:ascii="Arial" w:hAnsi="Arial" w:cs="Arial"/>
          <w:sz w:val="22"/>
          <w:szCs w:val="22"/>
        </w:rPr>
        <w:t>descriptive</w:t>
      </w:r>
      <w:r w:rsidR="00DE68F5" w:rsidRPr="00F10F41">
        <w:rPr>
          <w:rFonts w:ascii="Arial" w:hAnsi="Arial" w:cs="Arial"/>
          <w:sz w:val="22"/>
          <w:szCs w:val="22"/>
        </w:rPr>
        <w:t xml:space="preserve"> </w:t>
      </w:r>
      <w:proofErr w:type="spellStart"/>
      <w:r w:rsidR="00035C42" w:rsidRPr="00F10F41">
        <w:rPr>
          <w:rFonts w:ascii="Arial" w:hAnsi="Arial" w:cs="Arial"/>
          <w:sz w:val="22"/>
          <w:szCs w:val="22"/>
        </w:rPr>
        <w:t>voxelwise</w:t>
      </w:r>
      <w:proofErr w:type="spellEnd"/>
      <w:r w:rsidR="00035C42" w:rsidRPr="00F10F41">
        <w:rPr>
          <w:rFonts w:ascii="Arial" w:hAnsi="Arial" w:cs="Arial"/>
          <w:sz w:val="22"/>
          <w:szCs w:val="22"/>
        </w:rPr>
        <w:t xml:space="preserve"> map representing the spatial topography of WMH occurrence in our sample, </w:t>
      </w:r>
      <w:r w:rsidR="00DE68F5" w:rsidRPr="00F10F41">
        <w:rPr>
          <w:rFonts w:ascii="Arial" w:hAnsi="Arial" w:cs="Arial"/>
          <w:sz w:val="22"/>
          <w:szCs w:val="22"/>
        </w:rPr>
        <w:t xml:space="preserve">we normalised the </w:t>
      </w:r>
      <w:r w:rsidR="005F6ABB" w:rsidRPr="00F10F41">
        <w:rPr>
          <w:rFonts w:ascii="Arial" w:hAnsi="Arial" w:cs="Arial"/>
          <w:sz w:val="22"/>
          <w:szCs w:val="22"/>
        </w:rPr>
        <w:t>binarized lesion</w:t>
      </w:r>
      <w:r w:rsidR="00DA1987" w:rsidRPr="00F10F41">
        <w:rPr>
          <w:rFonts w:ascii="Arial" w:hAnsi="Arial" w:cs="Arial"/>
          <w:sz w:val="22"/>
          <w:szCs w:val="22"/>
        </w:rPr>
        <w:t xml:space="preserve"> maps </w:t>
      </w:r>
      <w:r w:rsidR="00DE68F5" w:rsidRPr="00F10F41">
        <w:rPr>
          <w:rFonts w:ascii="Arial" w:hAnsi="Arial" w:cs="Arial"/>
          <w:sz w:val="22"/>
          <w:szCs w:val="22"/>
        </w:rPr>
        <w:t xml:space="preserve">to </w:t>
      </w:r>
      <w:r w:rsidR="00DA1987" w:rsidRPr="00F10F41">
        <w:rPr>
          <w:rFonts w:ascii="Arial" w:hAnsi="Arial" w:cs="Arial"/>
          <w:sz w:val="22"/>
          <w:szCs w:val="22"/>
        </w:rPr>
        <w:t>the MNI152 template</w:t>
      </w:r>
      <w:r w:rsidR="00AF5E97" w:rsidRPr="00F10F41">
        <w:rPr>
          <w:rFonts w:ascii="Arial" w:hAnsi="Arial" w:cs="Arial"/>
          <w:sz w:val="22"/>
          <w:szCs w:val="22"/>
        </w:rPr>
        <w:t xml:space="preserve"> using the forward transformations from T1-MPRAGE to MNI152 space.</w:t>
      </w:r>
      <w:r w:rsidR="007137A7" w:rsidRPr="00F10F41">
        <w:rPr>
          <w:rFonts w:ascii="Arial" w:hAnsi="Arial" w:cs="Arial"/>
          <w:sz w:val="22"/>
          <w:szCs w:val="22"/>
        </w:rPr>
        <w:t xml:space="preserve"> Next, t</w:t>
      </w:r>
      <w:r w:rsidR="001E726F" w:rsidRPr="00F10F41">
        <w:rPr>
          <w:rFonts w:ascii="Arial" w:hAnsi="Arial" w:cs="Arial"/>
          <w:sz w:val="22"/>
          <w:szCs w:val="22"/>
        </w:rPr>
        <w:t>he</w:t>
      </w:r>
      <w:r w:rsidR="008E11CF" w:rsidRPr="00F10F41">
        <w:rPr>
          <w:rFonts w:ascii="Arial" w:hAnsi="Arial" w:cs="Arial"/>
          <w:sz w:val="22"/>
          <w:szCs w:val="22"/>
        </w:rPr>
        <w:t xml:space="preserve"> normalised</w:t>
      </w:r>
      <w:r w:rsidR="001E726F" w:rsidRPr="00F10F41">
        <w:rPr>
          <w:rFonts w:ascii="Arial" w:hAnsi="Arial" w:cs="Arial"/>
          <w:sz w:val="22"/>
          <w:szCs w:val="22"/>
        </w:rPr>
        <w:t xml:space="preserve"> lesion maps were </w:t>
      </w:r>
      <w:r w:rsidR="001E5C8D" w:rsidRPr="00F10F41">
        <w:rPr>
          <w:rFonts w:ascii="Arial" w:hAnsi="Arial" w:cs="Arial"/>
          <w:sz w:val="22"/>
          <w:szCs w:val="22"/>
        </w:rPr>
        <w:t>concatenated</w:t>
      </w:r>
      <w:r w:rsidR="001E726F" w:rsidRPr="00F10F41">
        <w:rPr>
          <w:rFonts w:ascii="Arial" w:hAnsi="Arial" w:cs="Arial"/>
          <w:sz w:val="22"/>
          <w:szCs w:val="22"/>
        </w:rPr>
        <w:t xml:space="preserve"> using </w:t>
      </w:r>
      <w:proofErr w:type="spellStart"/>
      <w:r w:rsidR="001E726F" w:rsidRPr="00F10F41">
        <w:rPr>
          <w:rFonts w:ascii="Arial" w:hAnsi="Arial" w:cs="Arial"/>
          <w:i/>
          <w:iCs/>
          <w:sz w:val="22"/>
          <w:szCs w:val="22"/>
        </w:rPr>
        <w:t>fslmaths</w:t>
      </w:r>
      <w:proofErr w:type="spellEnd"/>
      <w:r w:rsidR="00D2474E" w:rsidRPr="00F10F41">
        <w:rPr>
          <w:rFonts w:ascii="Arial" w:hAnsi="Arial" w:cs="Arial"/>
          <w:sz w:val="22"/>
          <w:szCs w:val="22"/>
        </w:rPr>
        <w:t xml:space="preserve">. A </w:t>
      </w:r>
      <w:r w:rsidR="001E726F" w:rsidRPr="00F10F41">
        <w:rPr>
          <w:rFonts w:ascii="Arial" w:hAnsi="Arial" w:cs="Arial"/>
          <w:sz w:val="22"/>
          <w:szCs w:val="22"/>
        </w:rPr>
        <w:t>mean imag</w:t>
      </w:r>
      <w:r w:rsidR="00975A29" w:rsidRPr="00F10F41">
        <w:rPr>
          <w:rFonts w:ascii="Arial" w:hAnsi="Arial" w:cs="Arial"/>
          <w:sz w:val="22"/>
          <w:szCs w:val="22"/>
        </w:rPr>
        <w:t>e was created to represent</w:t>
      </w:r>
      <w:r w:rsidR="001E726F" w:rsidRPr="00F10F41">
        <w:rPr>
          <w:rFonts w:ascii="Arial" w:hAnsi="Arial" w:cs="Arial"/>
          <w:sz w:val="22"/>
          <w:szCs w:val="22"/>
        </w:rPr>
        <w:t xml:space="preserve"> the lesion probability map</w:t>
      </w:r>
      <w:r w:rsidR="001C5BC6" w:rsidRPr="00F10F41">
        <w:rPr>
          <w:rFonts w:ascii="Arial" w:hAnsi="Arial" w:cs="Arial"/>
          <w:sz w:val="22"/>
          <w:szCs w:val="22"/>
        </w:rPr>
        <w:t xml:space="preserve">, </w:t>
      </w:r>
      <w:r w:rsidR="00EE7AA2" w:rsidRPr="00F10F41">
        <w:rPr>
          <w:rFonts w:ascii="Arial" w:hAnsi="Arial" w:cs="Arial"/>
          <w:sz w:val="22"/>
          <w:szCs w:val="22"/>
        </w:rPr>
        <w:t>in which</w:t>
      </w:r>
      <w:r w:rsidR="001C5BC6" w:rsidRPr="00F10F41">
        <w:rPr>
          <w:rFonts w:ascii="Arial" w:hAnsi="Arial" w:cs="Arial"/>
          <w:sz w:val="22"/>
          <w:szCs w:val="22"/>
        </w:rPr>
        <w:t xml:space="preserve"> the intensity of </w:t>
      </w:r>
      <w:r w:rsidR="006C1545" w:rsidRPr="00F10F41">
        <w:rPr>
          <w:rFonts w:ascii="Arial" w:hAnsi="Arial" w:cs="Arial"/>
          <w:sz w:val="22"/>
          <w:szCs w:val="22"/>
        </w:rPr>
        <w:t xml:space="preserve">each </w:t>
      </w:r>
      <w:r w:rsidR="001C5BC6" w:rsidRPr="00F10F41">
        <w:rPr>
          <w:rFonts w:ascii="Arial" w:hAnsi="Arial" w:cs="Arial"/>
          <w:sz w:val="22"/>
          <w:szCs w:val="22"/>
        </w:rPr>
        <w:t xml:space="preserve">voxel </w:t>
      </w:r>
      <w:r w:rsidR="007222C9" w:rsidRPr="00F10F41">
        <w:rPr>
          <w:rFonts w:ascii="Arial" w:hAnsi="Arial" w:cs="Arial"/>
          <w:sz w:val="22"/>
          <w:szCs w:val="22"/>
        </w:rPr>
        <w:t xml:space="preserve">represents the likelihood </w:t>
      </w:r>
      <w:r w:rsidR="00D42EAC" w:rsidRPr="00F10F41">
        <w:rPr>
          <w:rFonts w:ascii="Arial" w:hAnsi="Arial" w:cs="Arial"/>
          <w:sz w:val="22"/>
          <w:szCs w:val="22"/>
        </w:rPr>
        <w:t xml:space="preserve">of </w:t>
      </w:r>
      <w:r w:rsidR="0044010B" w:rsidRPr="00F10F41">
        <w:rPr>
          <w:rFonts w:ascii="Arial" w:hAnsi="Arial" w:cs="Arial"/>
          <w:sz w:val="22"/>
          <w:szCs w:val="22"/>
        </w:rPr>
        <w:t>WMH</w:t>
      </w:r>
      <w:r w:rsidR="00B87CE5" w:rsidRPr="00F10F41">
        <w:rPr>
          <w:rFonts w:ascii="Arial" w:hAnsi="Arial" w:cs="Arial"/>
          <w:sz w:val="22"/>
          <w:szCs w:val="22"/>
        </w:rPr>
        <w:t xml:space="preserve"> occurrence</w:t>
      </w:r>
      <w:r w:rsidR="00203BE3" w:rsidRPr="00F10F41">
        <w:rPr>
          <w:rFonts w:ascii="Arial" w:hAnsi="Arial" w:cs="Arial"/>
          <w:sz w:val="22"/>
          <w:szCs w:val="22"/>
        </w:rPr>
        <w:t xml:space="preserve"> across our sample.</w:t>
      </w:r>
    </w:p>
    <w:p w14:paraId="2FD938CE" w14:textId="77777777" w:rsidR="00607733" w:rsidRPr="00F10F41" w:rsidRDefault="00607733" w:rsidP="00FB42D8">
      <w:pPr>
        <w:tabs>
          <w:tab w:val="left" w:pos="1414"/>
        </w:tabs>
        <w:spacing w:line="360" w:lineRule="auto"/>
        <w:jc w:val="both"/>
        <w:outlineLvl w:val="0"/>
        <w:rPr>
          <w:rFonts w:ascii="Arial" w:hAnsi="Arial" w:cs="Arial"/>
          <w:color w:val="212529"/>
          <w:sz w:val="22"/>
          <w:szCs w:val="22"/>
          <w:shd w:val="clear" w:color="auto" w:fill="FFFFFF"/>
        </w:rPr>
      </w:pPr>
    </w:p>
    <w:p w14:paraId="0E9316A4" w14:textId="77777777" w:rsidR="00CC4203" w:rsidRPr="00F10F41" w:rsidRDefault="00CC4203" w:rsidP="00FB42D8">
      <w:pPr>
        <w:tabs>
          <w:tab w:val="left" w:pos="1414"/>
        </w:tabs>
        <w:spacing w:line="360" w:lineRule="auto"/>
        <w:jc w:val="both"/>
        <w:outlineLvl w:val="0"/>
        <w:rPr>
          <w:rFonts w:ascii="Arial" w:hAnsi="Arial" w:cs="Arial"/>
          <w:b/>
          <w:bCs/>
          <w:color w:val="000000" w:themeColor="text1"/>
          <w:sz w:val="26"/>
          <w:szCs w:val="26"/>
        </w:rPr>
      </w:pPr>
      <w:r w:rsidRPr="00F10F41">
        <w:rPr>
          <w:rFonts w:ascii="Arial" w:hAnsi="Arial" w:cs="Arial"/>
          <w:b/>
          <w:bCs/>
          <w:color w:val="000000" w:themeColor="text1"/>
          <w:sz w:val="26"/>
          <w:szCs w:val="26"/>
        </w:rPr>
        <w:t>Statistical analyses</w:t>
      </w:r>
    </w:p>
    <w:p w14:paraId="256D02DB" w14:textId="2055DDEC" w:rsidR="005C0643" w:rsidRPr="00F10F41" w:rsidRDefault="00CC4203" w:rsidP="00AB1AE7">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 xml:space="preserve">A summary of </w:t>
      </w:r>
      <w:r w:rsidR="00A8181F" w:rsidRPr="00F10F41">
        <w:rPr>
          <w:rFonts w:ascii="Arial" w:hAnsi="Arial" w:cs="Arial"/>
          <w:color w:val="000000" w:themeColor="text1"/>
          <w:sz w:val="22"/>
          <w:szCs w:val="22"/>
        </w:rPr>
        <w:t xml:space="preserve">the key </w:t>
      </w:r>
      <w:r w:rsidRPr="00F10F41">
        <w:rPr>
          <w:rFonts w:ascii="Arial" w:hAnsi="Arial" w:cs="Arial"/>
          <w:color w:val="000000" w:themeColor="text1"/>
          <w:sz w:val="22"/>
          <w:szCs w:val="22"/>
        </w:rPr>
        <w:t xml:space="preserve">imaging outcomes </w:t>
      </w:r>
      <w:r w:rsidR="003D70B0" w:rsidRPr="00F10F41">
        <w:rPr>
          <w:rFonts w:ascii="Arial" w:hAnsi="Arial" w:cs="Arial"/>
          <w:color w:val="000000" w:themeColor="text1"/>
          <w:sz w:val="22"/>
          <w:szCs w:val="22"/>
        </w:rPr>
        <w:t xml:space="preserve">is </w:t>
      </w:r>
      <w:r w:rsidR="00943715" w:rsidRPr="00F10F41">
        <w:rPr>
          <w:rFonts w:ascii="Arial" w:hAnsi="Arial" w:cs="Arial"/>
          <w:color w:val="000000" w:themeColor="text1"/>
          <w:sz w:val="22"/>
          <w:szCs w:val="22"/>
        </w:rPr>
        <w:t xml:space="preserve">illustrated </w:t>
      </w:r>
      <w:r w:rsidRPr="00F10F41">
        <w:rPr>
          <w:rFonts w:ascii="Arial" w:hAnsi="Arial" w:cs="Arial"/>
          <w:color w:val="000000" w:themeColor="text1"/>
          <w:sz w:val="22"/>
          <w:szCs w:val="22"/>
        </w:rPr>
        <w:t xml:space="preserve">in Figure </w:t>
      </w:r>
      <w:r w:rsidR="003E4A76" w:rsidRPr="00F10F41">
        <w:rPr>
          <w:rFonts w:ascii="Arial" w:hAnsi="Arial" w:cs="Arial"/>
          <w:color w:val="000000" w:themeColor="text1"/>
          <w:sz w:val="22"/>
          <w:szCs w:val="22"/>
        </w:rPr>
        <w:t>1</w:t>
      </w:r>
      <w:r w:rsidRPr="00F10F41">
        <w:rPr>
          <w:rFonts w:ascii="Arial" w:hAnsi="Arial" w:cs="Arial"/>
          <w:b/>
          <w:bCs/>
          <w:color w:val="000000" w:themeColor="text1"/>
          <w:sz w:val="22"/>
          <w:szCs w:val="22"/>
        </w:rPr>
        <w:t xml:space="preserve">. </w:t>
      </w:r>
      <w:r w:rsidRPr="00F10F41">
        <w:rPr>
          <w:rFonts w:ascii="Arial" w:hAnsi="Arial" w:cs="Arial"/>
          <w:color w:val="000000" w:themeColor="text1"/>
          <w:sz w:val="22"/>
          <w:szCs w:val="22"/>
        </w:rPr>
        <w:t xml:space="preserve">To characterise brain imaging changes in relation to EYO, we used all available longitudinal datasets for all participants. Demographic variables were compared between the </w:t>
      </w:r>
      <w:r w:rsidR="006825A1" w:rsidRPr="00F10F41">
        <w:rPr>
          <w:rFonts w:ascii="Arial" w:hAnsi="Arial" w:cs="Arial"/>
          <w:color w:val="000000" w:themeColor="text1"/>
          <w:sz w:val="22"/>
          <w:szCs w:val="22"/>
        </w:rPr>
        <w:t>APOE-</w:t>
      </w:r>
      <w:r w:rsidR="006825A1" w:rsidRPr="00F10F41">
        <w:rPr>
          <w:rFonts w:ascii="Arial" w:hAnsi="Arial" w:cs="Arial"/>
          <w:color w:val="000000" w:themeColor="text1"/>
          <w:sz w:val="22"/>
          <w:szCs w:val="22"/>
        </w:rPr>
        <w:sym w:font="Symbol" w:char="F065"/>
      </w:r>
      <w:r w:rsidR="006825A1" w:rsidRPr="00F10F41">
        <w:rPr>
          <w:rFonts w:ascii="Arial" w:hAnsi="Arial" w:cs="Arial"/>
          <w:color w:val="000000" w:themeColor="text1"/>
          <w:sz w:val="22"/>
          <w:szCs w:val="22"/>
        </w:rPr>
        <w:t xml:space="preserve">4 </w:t>
      </w:r>
      <w:r w:rsidRPr="00F10F41">
        <w:rPr>
          <w:rFonts w:ascii="Arial" w:hAnsi="Arial" w:cs="Arial"/>
          <w:color w:val="000000" w:themeColor="text1"/>
          <w:sz w:val="22"/>
          <w:szCs w:val="22"/>
        </w:rPr>
        <w:t xml:space="preserve">groups using </w:t>
      </w:r>
      <w:r w:rsidR="00A90A3C" w:rsidRPr="00F10F41">
        <w:rPr>
          <w:rFonts w:ascii="Arial" w:hAnsi="Arial" w:cs="Arial"/>
          <w:color w:val="000000" w:themeColor="text1"/>
          <w:sz w:val="22"/>
          <w:szCs w:val="22"/>
        </w:rPr>
        <w:t>t</w:t>
      </w:r>
      <w:r w:rsidRPr="00F10F41">
        <w:rPr>
          <w:rFonts w:ascii="Arial" w:hAnsi="Arial" w:cs="Arial"/>
          <w:color w:val="000000" w:themeColor="text1"/>
          <w:sz w:val="22"/>
          <w:szCs w:val="22"/>
        </w:rPr>
        <w:t>-Tests, Wilcoxon Rank sum tests, chi-square tests</w:t>
      </w:r>
      <w:r w:rsidR="006F301F" w:rsidRPr="00F10F41">
        <w:rPr>
          <w:rFonts w:ascii="Arial" w:hAnsi="Arial" w:cs="Arial"/>
          <w:color w:val="000000" w:themeColor="text1"/>
          <w:sz w:val="22"/>
          <w:szCs w:val="22"/>
        </w:rPr>
        <w:t xml:space="preserve"> where appropriate. </w:t>
      </w:r>
      <w:r w:rsidR="00277CC9">
        <w:rPr>
          <w:rFonts w:ascii="Arial" w:hAnsi="Arial" w:cs="Arial"/>
          <w:color w:val="000000" w:themeColor="text1"/>
          <w:sz w:val="22"/>
          <w:szCs w:val="22"/>
        </w:rPr>
        <w:t xml:space="preserve">To increase robustness of our correlations, </w:t>
      </w:r>
      <w:r w:rsidRPr="00F10F41">
        <w:rPr>
          <w:rFonts w:ascii="Arial" w:hAnsi="Arial" w:cs="Arial"/>
          <w:color w:val="000000" w:themeColor="text1"/>
          <w:sz w:val="22"/>
          <w:szCs w:val="22"/>
        </w:rPr>
        <w:t>EYO was transformed with the inverse normal transformation due its skewed distribution</w:t>
      </w:r>
      <w:r w:rsidR="00D44D26" w:rsidRPr="00F10F41">
        <w:rPr>
          <w:rFonts w:ascii="Arial" w:hAnsi="Arial" w:cs="Arial"/>
          <w:color w:val="000000" w:themeColor="text1"/>
          <w:sz w:val="22"/>
          <w:szCs w:val="22"/>
        </w:rPr>
        <w:t xml:space="preserve">, increasing the robustness of </w:t>
      </w:r>
      <w:r w:rsidR="00E82342" w:rsidRPr="00F10F41">
        <w:rPr>
          <w:rFonts w:ascii="Arial" w:hAnsi="Arial" w:cs="Arial"/>
          <w:color w:val="000000" w:themeColor="text1"/>
          <w:sz w:val="22"/>
          <w:szCs w:val="22"/>
        </w:rPr>
        <w:t>correlations</w:t>
      </w:r>
      <w:r w:rsidR="002F5444" w:rsidRPr="00F10F41">
        <w:rPr>
          <w:rFonts w:ascii="Arial" w:hAnsi="Arial" w:cs="Arial"/>
          <w:color w:val="000000" w:themeColor="text1"/>
          <w:sz w:val="22"/>
          <w:szCs w:val="22"/>
        </w:rPr>
        <w:t xml:space="preserve"> </w:t>
      </w:r>
      <w:r w:rsidR="00762C0A"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{"citationItems":[{"id":"ITEM-1","itemData":{"DOI":"10.1038/nn.4393","ISBN":"1546-1726 (Electronic) 1097-6256 (Linking)","ISSN":"1546-1726","PMID":"27643430","abstract":"Medical imaging has enormous potential for early disease prediction, but is impeded by the difficulty and expense of acquiring data sets before symptom onset. UK Biobank aims to address this problem directly by acquiring high-quality, consistently acquired imaging data from 100,000 predominantly healthy participants, with health outcomes being tracked over the coming decades. The brain imaging includes structural, diffusion and functional modalities. Along with body and cardiac imaging, genetics, lifestyle measures, biological phenotyping and health records, this imaging is expected to enable discovery of imaging markers of a broad range of diseases at their earliest stages, as well as provide unique insight into disease mechanisms. We describe UK Biobank brain imaging and present results derived from the first 5,000 participants' data release. Although this covers just 5% of the ultimate cohort, it has already yielded a rich range of associations between brain imaging and other measures collected by UK Biobank.","author":[{"dropping-particle":"","family":"Miller","given":"Karla L","non-dropping-particle":"","parse-names":false,"suffix":""},{"dropping-particle":"","family":"Alfaro-Almagro","given":"Fidel","non-dropping-particle":"","parse-names":false,"suffix":""},{"dropping-particle":"","family":"Bangerter","given":"Neal K","non-dropping-particle":"","parse-names":false,"suffix":""},{"dropping-particle":"","family":"Thomas","given":"David L","non-dropping-particle":"","parse-names":false,"suffix":""},{"dropping-particle":"","family":"Yacoub","given":"Essa","non-dropping-particle":"","parse-names":false,"suffix":""},{"dropping-particle":"","family":"Xu","given":"Junqian","non-dropping-particle":"","parse-names":false,"suffix":""},{"dropping-particle":"","family":"Bartsch","given":"Andreas J","non-dropping-particle":"","parse-names":false,"suffix":""},{"dropping-particle":"","family":"Jbabdi","given":"Saad","non-dropping-particle":"","parse-names":false,"suffix":""},{"dropping-particle":"","family":"Sotiropoulos","given":"Stamatios N","non-dropping-particle":"","parse-names":false,"suffix":""},{"dropping-particle":"","family":"Andersson","given":"Jesper L R","non-dropping-particle":"","parse-names":false,"suffix":""},{"dropping-particle":"","family":"Griffanti","given":"Ludovica","non-dropping-particle":"","parse-names":false,"suffix":""},{"dropping-particle":"","family":"Douaud","given":"Gwenaëlle","non-dropping-particle":"","parse-names":false,"suffix":""},{"dropping-particle":"","family":"Okell","given":"Thomas W","non-dropping-particle":"","parse-names":false,"suffix":""},{"dropping-particle":"","family":"Weale","given":"Peter","non-dropping-particle":"","parse-names":false,"suffix":""},{"dropping-particle":"","family":"Dragonu","given":"Iulius","non-dropping-particle":"","parse-names":false,"suffix":""},{"dropping-particle":"","family":"Garratt","given":"Steve","non-dropping-particle":"","parse-names":false,"suffix":""},{"dropping-particle":"","family":"Hudson","given":"Sarah","non-dropping-particle":"","parse-names":false,"suffix":""},{"dropping-particle":"","family":"Collins","given":"Rory","non-dropping-particle":"","parse-names":false,"suffix":""},{"dropping-particle":"","family":"Jenkinson","given":"Mark","non-dropping-particle":"","parse-names":false,"suffix":""},{"dropping-particle":"","family":"Matthews","given":"Paul M","non-dropping-particle":"","parse-names":false,"suffix":""},{"dropping-particle":"","family":"Smith","given":"Stephen M","non-dropping-particle":"","parse-names":false,"suffix":""}],"container-title":"Nature neuroscience","id":"ITEM-1","issue":"11","issued":{"date-parts":[["2016"]]},"note":"NULL","page":"1523-1536","title":"Multimodal population brain imaging in the UK Biobank prospective epidemiological study.","type":"article-journal","volume":"19"},"uris":["http://www.mendeley.com/documents/?uuid=86b9978c-124d-44ef-ab89-2e5f8b05b6a8","http://www.mendeley.com/documents/?uuid=b8d2db76-73ab-4a25-bcf8-1b16b3cdbbb6"]}],"mendeley":{"formattedCitation":"(Miller et al., 2016)","plainTextFormattedCitation":"(Miller et al., 2016)","previouslyFormattedCitation":"(Miller et al., 2016)"},"properties":{"noteIndex":0},"schema":"https://github.com/citation-style-language/schema/raw/master/csl-citation.json"}</w:instrText>
      </w:r>
      <w:r w:rsidR="00762C0A" w:rsidRPr="00F10F41">
        <w:rPr>
          <w:rFonts w:ascii="Arial" w:hAnsi="Arial" w:cs="Arial"/>
          <w:color w:val="000000" w:themeColor="text1"/>
          <w:sz w:val="22"/>
          <w:szCs w:val="22"/>
        </w:rPr>
        <w:fldChar w:fldCharType="separate"/>
      </w:r>
      <w:r w:rsidR="00762C0A" w:rsidRPr="00F10F41">
        <w:rPr>
          <w:rFonts w:ascii="Arial" w:hAnsi="Arial" w:cs="Arial"/>
          <w:noProof/>
          <w:color w:val="000000" w:themeColor="text1"/>
          <w:sz w:val="22"/>
          <w:szCs w:val="22"/>
        </w:rPr>
        <w:t>(Miller et al., 2016)</w:t>
      </w:r>
      <w:r w:rsidR="00762C0A"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w:t>
      </w:r>
      <w:r w:rsidR="00C767BA" w:rsidRPr="00F10F41">
        <w:rPr>
          <w:rFonts w:ascii="Arial" w:hAnsi="Arial" w:cs="Arial"/>
          <w:color w:val="000000" w:themeColor="text1"/>
          <w:sz w:val="22"/>
          <w:szCs w:val="22"/>
        </w:rPr>
        <w:t xml:space="preserve"> </w:t>
      </w:r>
      <w:proofErr w:type="spellStart"/>
      <w:r w:rsidR="00E33640" w:rsidRPr="00F10F41">
        <w:rPr>
          <w:rFonts w:ascii="Arial" w:hAnsi="Arial" w:cs="Arial"/>
          <w:color w:val="000000" w:themeColor="text1"/>
          <w:sz w:val="22"/>
          <w:szCs w:val="22"/>
        </w:rPr>
        <w:t>Voxelwise</w:t>
      </w:r>
      <w:proofErr w:type="spellEnd"/>
      <w:r w:rsidR="00E33640" w:rsidRPr="00F10F41">
        <w:rPr>
          <w:rFonts w:ascii="Arial" w:hAnsi="Arial" w:cs="Arial"/>
          <w:color w:val="000000" w:themeColor="text1"/>
          <w:sz w:val="22"/>
          <w:szCs w:val="22"/>
        </w:rPr>
        <w:t xml:space="preserve"> associations </w:t>
      </w:r>
      <w:r w:rsidR="00762C0A" w:rsidRPr="00F10F41">
        <w:rPr>
          <w:rFonts w:ascii="Arial" w:hAnsi="Arial" w:cs="Arial"/>
          <w:color w:val="000000" w:themeColor="text1"/>
          <w:sz w:val="22"/>
          <w:szCs w:val="22"/>
        </w:rPr>
        <w:t xml:space="preserve">of </w:t>
      </w:r>
      <w:r w:rsidR="00E33640" w:rsidRPr="00F10F41">
        <w:rPr>
          <w:rFonts w:ascii="Arial" w:hAnsi="Arial" w:cs="Arial"/>
          <w:color w:val="000000" w:themeColor="text1"/>
          <w:sz w:val="22"/>
          <w:szCs w:val="22"/>
        </w:rPr>
        <w:t>EYO</w:t>
      </w:r>
      <w:r w:rsidR="00762C0A" w:rsidRPr="00F10F41">
        <w:rPr>
          <w:rFonts w:ascii="Arial" w:hAnsi="Arial" w:cs="Arial"/>
          <w:color w:val="000000" w:themeColor="text1"/>
          <w:sz w:val="22"/>
          <w:szCs w:val="22"/>
        </w:rPr>
        <w:t xml:space="preserve"> with imaging changes</w:t>
      </w:r>
      <w:r w:rsidR="00E33640" w:rsidRPr="00F10F41">
        <w:rPr>
          <w:rFonts w:ascii="Arial" w:hAnsi="Arial" w:cs="Arial"/>
          <w:color w:val="000000" w:themeColor="text1"/>
          <w:sz w:val="22"/>
          <w:szCs w:val="22"/>
        </w:rPr>
        <w:t xml:space="preserve"> </w:t>
      </w:r>
      <w:r w:rsidR="00A90A3C" w:rsidRPr="00F10F41">
        <w:rPr>
          <w:rFonts w:ascii="Arial" w:hAnsi="Arial" w:cs="Arial"/>
          <w:color w:val="000000" w:themeColor="text1"/>
          <w:sz w:val="22"/>
          <w:szCs w:val="22"/>
        </w:rPr>
        <w:t xml:space="preserve">were </w:t>
      </w:r>
      <w:r w:rsidR="00E33640" w:rsidRPr="00F10F41">
        <w:rPr>
          <w:rFonts w:ascii="Arial" w:hAnsi="Arial" w:cs="Arial"/>
          <w:color w:val="000000" w:themeColor="text1"/>
          <w:sz w:val="22"/>
          <w:szCs w:val="22"/>
        </w:rPr>
        <w:t>investigated using</w:t>
      </w:r>
      <w:r w:rsidRPr="00F10F41">
        <w:rPr>
          <w:rFonts w:ascii="Arial" w:hAnsi="Arial" w:cs="Arial"/>
          <w:color w:val="000000" w:themeColor="text1"/>
          <w:sz w:val="22"/>
          <w:szCs w:val="22"/>
        </w:rPr>
        <w:t xml:space="preserve"> the</w:t>
      </w:r>
      <w:r w:rsidR="006D0541"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longitudinal Sandwich Estimator (</w:t>
      </w:r>
      <w:proofErr w:type="spellStart"/>
      <w:r w:rsidRPr="00F10F41">
        <w:rPr>
          <w:rFonts w:ascii="Arial" w:hAnsi="Arial" w:cs="Arial"/>
          <w:color w:val="000000" w:themeColor="text1"/>
          <w:sz w:val="22"/>
          <w:szCs w:val="22"/>
        </w:rPr>
        <w:t>SwE</w:t>
      </w:r>
      <w:proofErr w:type="spellEnd"/>
      <w:r w:rsidRPr="00F10F41">
        <w:rPr>
          <w:rFonts w:ascii="Arial" w:hAnsi="Arial" w:cs="Arial"/>
          <w:color w:val="000000" w:themeColor="text1"/>
          <w:sz w:val="22"/>
          <w:szCs w:val="22"/>
        </w:rPr>
        <w:t>)</w:t>
      </w:r>
      <w:r w:rsidR="00C64224" w:rsidRPr="00F10F41">
        <w:rPr>
          <w:rFonts w:ascii="Arial" w:hAnsi="Arial" w:cs="Arial"/>
          <w:color w:val="000000" w:themeColor="text1"/>
          <w:sz w:val="22"/>
          <w:szCs w:val="22"/>
        </w:rPr>
        <w:t xml:space="preserve"> </w:t>
      </w:r>
      <w:r w:rsidR="007F56CC" w:rsidRPr="00F10F41">
        <w:rPr>
          <w:rFonts w:ascii="Arial" w:hAnsi="Arial" w:cs="Arial"/>
          <w:color w:val="000000" w:themeColor="text1"/>
          <w:sz w:val="22"/>
          <w:szCs w:val="22"/>
        </w:rPr>
        <w:t xml:space="preserve">toolbox </w:t>
      </w:r>
      <w:r w:rsidR="00220D7F" w:rsidRPr="00F10F41">
        <w:rPr>
          <w:rFonts w:ascii="Arial" w:hAnsi="Arial" w:cs="Arial"/>
          <w:color w:val="000000" w:themeColor="text1"/>
          <w:sz w:val="22"/>
          <w:szCs w:val="22"/>
        </w:rPr>
        <w:t>(</w:t>
      </w:r>
      <w:hyperlink r:id="rId13" w:history="1">
        <w:r w:rsidR="00220D7F" w:rsidRPr="00F10F41">
          <w:rPr>
            <w:rStyle w:val="Hyperlink"/>
            <w:rFonts w:ascii="Arial" w:hAnsi="Arial" w:cs="Arial"/>
            <w:sz w:val="22"/>
            <w:szCs w:val="22"/>
          </w:rPr>
          <w:t>http://www.nisox.org/Software/SwE</w:t>
        </w:r>
      </w:hyperlink>
      <w:r w:rsidR="00220D7F" w:rsidRPr="00F10F41">
        <w:rPr>
          <w:rFonts w:ascii="Arial" w:hAnsi="Arial" w:cs="Arial"/>
          <w:color w:val="000000" w:themeColor="text1"/>
          <w:sz w:val="22"/>
          <w:szCs w:val="22"/>
        </w:rPr>
        <w:t xml:space="preserve">) </w:t>
      </w:r>
      <w:r w:rsidR="00C64224"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author":[{"dropping-particle":"","family":"Guillaume","given":"Bryan","non-dropping-particle":"","parse-names":false,"suffix":""},{"dropping-particle":"","family":"Hua","given":"Xue","non-dropping-particle":"","parse-names":false,"suffix":""},{"dropping-particle":"","family":"Thompson","given":"Paul M","non-dropping-particle":"","parse-names":false,"suffix":""},{"dropping-particle":"","family":"Waldorp","given":"Lourens","non-dropping-particle":"","parse-names":false,"suffix":""}],"id":"ITEM-1","issued":{"date-parts":[["2013"]]},"page":"2013","title":"Fast and accurate modelling of longitudinal neuroimaging data : an application to ADNI data","type":"article-journal"},"uris":["http://www.mendeley.com/documents/?uuid=f7f37fa8-ed60-4fef-b4d8-a870d501bd5a","http://www.mendeley.com/documents/?uuid=8179e3e6-378c-4609-a919-650829959e83"]}],"mendeley":{"formattedCitation":"(Guillaume et al., 2013)","plainTextFormattedCitation":"(Guillaume et al., 2013)","previouslyFormattedCitation":"(Guillaume et al., 2013)"},"properties":{"noteIndex":0},"schema":"https://github.com/citation-style-language/schema/raw/master/csl-citation.json"}</w:instrText>
      </w:r>
      <w:r w:rsidR="00C64224" w:rsidRPr="00F10F41">
        <w:rPr>
          <w:rFonts w:ascii="Arial" w:hAnsi="Arial" w:cs="Arial"/>
          <w:color w:val="000000" w:themeColor="text1"/>
          <w:sz w:val="22"/>
          <w:szCs w:val="22"/>
        </w:rPr>
        <w:fldChar w:fldCharType="separate"/>
      </w:r>
      <w:r w:rsidR="00C64224" w:rsidRPr="00F10F41">
        <w:rPr>
          <w:rFonts w:ascii="Arial" w:hAnsi="Arial" w:cs="Arial"/>
          <w:noProof/>
          <w:color w:val="000000" w:themeColor="text1"/>
          <w:sz w:val="22"/>
          <w:szCs w:val="22"/>
        </w:rPr>
        <w:t>(Guillaume et al., 2013)</w:t>
      </w:r>
      <w:r w:rsidR="00C64224" w:rsidRPr="00F10F41">
        <w:rPr>
          <w:rFonts w:ascii="Arial" w:hAnsi="Arial" w:cs="Arial"/>
          <w:color w:val="000000" w:themeColor="text1"/>
          <w:sz w:val="22"/>
          <w:szCs w:val="22"/>
        </w:rPr>
        <w:fldChar w:fldCharType="end"/>
      </w:r>
      <w:r w:rsidR="006D0541" w:rsidRPr="00F10F41">
        <w:rPr>
          <w:rFonts w:ascii="Arial" w:hAnsi="Arial" w:cs="Arial"/>
          <w:color w:val="000000" w:themeColor="text1"/>
          <w:sz w:val="22"/>
          <w:szCs w:val="22"/>
        </w:rPr>
        <w:t>.</w:t>
      </w:r>
      <w:r w:rsidR="00CD1B22" w:rsidRPr="00F10F41">
        <w:rPr>
          <w:rFonts w:ascii="Arial" w:hAnsi="Arial" w:cs="Arial"/>
          <w:color w:val="000000" w:themeColor="text1"/>
          <w:sz w:val="22"/>
          <w:szCs w:val="22"/>
        </w:rPr>
        <w:t xml:space="preserve"> </w:t>
      </w:r>
      <w:r w:rsidR="00220D7F" w:rsidRPr="00F10F41">
        <w:rPr>
          <w:rFonts w:ascii="Arial" w:hAnsi="Arial" w:cs="Arial"/>
          <w:color w:val="000000" w:themeColor="text1"/>
          <w:sz w:val="22"/>
          <w:szCs w:val="22"/>
        </w:rPr>
        <w:t>This marginal model describes expected variability as a function of predictors in a design matrix, while additionally accounting for correlations due to repeated measurements and unexplained variations across individuals</w:t>
      </w:r>
      <w:r w:rsidR="00871A5F" w:rsidRPr="00F10F41">
        <w:rPr>
          <w:rFonts w:ascii="Arial" w:hAnsi="Arial" w:cs="Arial"/>
          <w:color w:val="000000" w:themeColor="text1"/>
          <w:sz w:val="22"/>
          <w:szCs w:val="22"/>
        </w:rPr>
        <w:t>.</w:t>
      </w:r>
      <w:r w:rsidR="00530207" w:rsidRPr="00F10F41">
        <w:rPr>
          <w:rFonts w:ascii="Arial" w:hAnsi="Arial" w:cs="Arial"/>
          <w:color w:val="000000" w:themeColor="text1"/>
          <w:sz w:val="22"/>
          <w:szCs w:val="22"/>
        </w:rPr>
        <w:t xml:space="preserve"> </w:t>
      </w:r>
      <w:r w:rsidR="00BB298E" w:rsidRPr="00F10F41">
        <w:rPr>
          <w:rFonts w:ascii="Arial" w:hAnsi="Arial" w:cs="Arial"/>
          <w:color w:val="000000" w:themeColor="text1"/>
          <w:sz w:val="22"/>
          <w:szCs w:val="22"/>
        </w:rPr>
        <w:t>The main model</w:t>
      </w:r>
      <w:r w:rsidR="00477EC5" w:rsidRPr="00F10F41">
        <w:rPr>
          <w:rFonts w:ascii="Arial" w:hAnsi="Arial" w:cs="Arial"/>
          <w:color w:val="000000" w:themeColor="text1"/>
          <w:sz w:val="22"/>
          <w:szCs w:val="22"/>
        </w:rPr>
        <w:t>s</w:t>
      </w:r>
      <w:r w:rsidR="006206EA" w:rsidRPr="00F10F41">
        <w:rPr>
          <w:rFonts w:ascii="Arial" w:hAnsi="Arial" w:cs="Arial"/>
          <w:color w:val="000000" w:themeColor="text1"/>
          <w:sz w:val="22"/>
          <w:szCs w:val="22"/>
        </w:rPr>
        <w:t xml:space="preserve"> featured</w:t>
      </w:r>
      <w:r w:rsidR="002E42E8" w:rsidRPr="00F10F41">
        <w:rPr>
          <w:rFonts w:ascii="Arial" w:hAnsi="Arial" w:cs="Arial"/>
          <w:color w:val="000000" w:themeColor="text1"/>
          <w:sz w:val="22"/>
          <w:szCs w:val="22"/>
        </w:rPr>
        <w:t xml:space="preserve"> the </w:t>
      </w:r>
      <w:r w:rsidR="00530207" w:rsidRPr="00F10F41">
        <w:rPr>
          <w:rFonts w:ascii="Arial" w:hAnsi="Arial" w:cs="Arial"/>
          <w:color w:val="000000" w:themeColor="text1"/>
          <w:sz w:val="22"/>
          <w:szCs w:val="22"/>
        </w:rPr>
        <w:t>main effect</w:t>
      </w:r>
      <w:r w:rsidR="00D95E91" w:rsidRPr="00F10F41">
        <w:rPr>
          <w:rFonts w:ascii="Arial" w:hAnsi="Arial" w:cs="Arial"/>
          <w:color w:val="000000" w:themeColor="text1"/>
          <w:sz w:val="22"/>
          <w:szCs w:val="22"/>
        </w:rPr>
        <w:t>s</w:t>
      </w:r>
      <w:r w:rsidR="00530207" w:rsidRPr="00F10F41">
        <w:rPr>
          <w:rFonts w:ascii="Arial" w:hAnsi="Arial" w:cs="Arial"/>
          <w:color w:val="000000" w:themeColor="text1"/>
          <w:sz w:val="22"/>
          <w:szCs w:val="22"/>
        </w:rPr>
        <w:t xml:space="preserve"> of EYO as well as its interaction</w:t>
      </w:r>
      <w:r w:rsidR="00477EC5" w:rsidRPr="00F10F41">
        <w:rPr>
          <w:rFonts w:ascii="Arial" w:hAnsi="Arial" w:cs="Arial"/>
          <w:color w:val="000000" w:themeColor="text1"/>
          <w:sz w:val="22"/>
          <w:szCs w:val="22"/>
        </w:rPr>
        <w:t>s</w:t>
      </w:r>
      <w:r w:rsidR="00530207" w:rsidRPr="00F10F41">
        <w:rPr>
          <w:rFonts w:ascii="Arial" w:hAnsi="Arial" w:cs="Arial"/>
          <w:color w:val="000000" w:themeColor="text1"/>
          <w:sz w:val="22"/>
          <w:szCs w:val="22"/>
        </w:rPr>
        <w:t xml:space="preserve"> with </w:t>
      </w:r>
      <w:r w:rsidR="00C72C03" w:rsidRPr="00F10F41">
        <w:rPr>
          <w:rFonts w:ascii="Arial" w:hAnsi="Arial" w:cs="Arial"/>
          <w:color w:val="000000" w:themeColor="text1"/>
          <w:sz w:val="22"/>
          <w:szCs w:val="22"/>
        </w:rPr>
        <w:t>time</w:t>
      </w:r>
      <w:r w:rsidR="005164D7" w:rsidRPr="00F10F41">
        <w:rPr>
          <w:rFonts w:ascii="Arial" w:hAnsi="Arial" w:cs="Arial"/>
          <w:color w:val="000000" w:themeColor="text1"/>
          <w:sz w:val="22"/>
          <w:szCs w:val="22"/>
        </w:rPr>
        <w:t xml:space="preserve"> (</w:t>
      </w:r>
      <w:proofErr w:type="gramStart"/>
      <w:r w:rsidR="00B67CE2" w:rsidRPr="00F10F41">
        <w:rPr>
          <w:rFonts w:ascii="Arial" w:hAnsi="Arial" w:cs="Arial"/>
          <w:color w:val="000000" w:themeColor="text1"/>
          <w:sz w:val="22"/>
          <w:szCs w:val="22"/>
        </w:rPr>
        <w:t>i.e.</w:t>
      </w:r>
      <w:proofErr w:type="gramEnd"/>
      <w:r w:rsidR="00B67CE2" w:rsidRPr="00F10F41">
        <w:rPr>
          <w:rFonts w:ascii="Arial" w:hAnsi="Arial" w:cs="Arial"/>
          <w:color w:val="000000" w:themeColor="text1"/>
          <w:sz w:val="22"/>
          <w:szCs w:val="22"/>
        </w:rPr>
        <w:t xml:space="preserve"> </w:t>
      </w:r>
      <w:proofErr w:type="spellStart"/>
      <w:r w:rsidR="007D6481" w:rsidRPr="00F10F41">
        <w:rPr>
          <w:rFonts w:ascii="Arial" w:hAnsi="Arial" w:cs="Arial"/>
          <w:color w:val="000000" w:themeColor="text1"/>
          <w:sz w:val="22"/>
          <w:szCs w:val="22"/>
        </w:rPr>
        <w:t>centered</w:t>
      </w:r>
      <w:proofErr w:type="spellEnd"/>
      <w:r w:rsidR="005164D7" w:rsidRPr="00F10F41">
        <w:rPr>
          <w:rFonts w:ascii="Arial" w:hAnsi="Arial" w:cs="Arial"/>
          <w:color w:val="000000" w:themeColor="text1"/>
          <w:sz w:val="22"/>
          <w:szCs w:val="22"/>
        </w:rPr>
        <w:t xml:space="preserve"> within-subject age of participant</w:t>
      </w:r>
      <w:r w:rsidR="00FA53CE" w:rsidRPr="00F10F41">
        <w:rPr>
          <w:rFonts w:ascii="Arial" w:hAnsi="Arial" w:cs="Arial"/>
          <w:color w:val="000000" w:themeColor="text1"/>
          <w:sz w:val="22"/>
          <w:szCs w:val="22"/>
        </w:rPr>
        <w:t>)</w:t>
      </w:r>
      <w:r w:rsidR="009C714E" w:rsidRPr="00F10F41">
        <w:rPr>
          <w:rFonts w:ascii="Arial" w:hAnsi="Arial" w:cs="Arial"/>
          <w:color w:val="000000" w:themeColor="text1"/>
          <w:sz w:val="22"/>
          <w:szCs w:val="22"/>
        </w:rPr>
        <w:t xml:space="preserve">. </w:t>
      </w:r>
      <w:r w:rsidR="00C5042B" w:rsidRPr="00F10F41">
        <w:rPr>
          <w:rFonts w:ascii="Arial" w:hAnsi="Arial" w:cs="Arial"/>
          <w:color w:val="000000" w:themeColor="text1"/>
          <w:sz w:val="22"/>
          <w:szCs w:val="22"/>
        </w:rPr>
        <w:t xml:space="preserve">The </w:t>
      </w:r>
      <w:r w:rsidR="004D0CE5" w:rsidRPr="00F10F41">
        <w:rPr>
          <w:rFonts w:ascii="Arial" w:hAnsi="Arial" w:cs="Arial"/>
          <w:color w:val="000000" w:themeColor="text1"/>
          <w:sz w:val="22"/>
          <w:szCs w:val="22"/>
        </w:rPr>
        <w:t>latter</w:t>
      </w:r>
      <w:r w:rsidR="00C5042B" w:rsidRPr="00F10F41">
        <w:rPr>
          <w:rFonts w:ascii="Arial" w:hAnsi="Arial" w:cs="Arial"/>
          <w:color w:val="000000" w:themeColor="text1"/>
          <w:sz w:val="22"/>
          <w:szCs w:val="22"/>
        </w:rPr>
        <w:t xml:space="preserve"> metric </w:t>
      </w:r>
      <w:r w:rsidR="00767C80" w:rsidRPr="00F10F41">
        <w:rPr>
          <w:rFonts w:ascii="Arial" w:hAnsi="Arial" w:cs="Arial"/>
          <w:color w:val="000000" w:themeColor="text1"/>
          <w:sz w:val="22"/>
          <w:szCs w:val="22"/>
        </w:rPr>
        <w:t xml:space="preserve">allowed us to assess </w:t>
      </w:r>
      <w:r w:rsidR="00C90A6B" w:rsidRPr="00F10F41">
        <w:rPr>
          <w:rFonts w:ascii="Arial" w:hAnsi="Arial" w:cs="Arial"/>
          <w:color w:val="000000" w:themeColor="text1"/>
          <w:sz w:val="22"/>
          <w:szCs w:val="22"/>
        </w:rPr>
        <w:t xml:space="preserve">whether a hypothetical </w:t>
      </w:r>
      <w:r w:rsidR="001B6385" w:rsidRPr="00F10F41">
        <w:rPr>
          <w:rFonts w:ascii="Arial" w:hAnsi="Arial" w:cs="Arial"/>
          <w:color w:val="000000" w:themeColor="text1"/>
          <w:sz w:val="22"/>
          <w:szCs w:val="22"/>
        </w:rPr>
        <w:t>proximity to dementia</w:t>
      </w:r>
      <w:r w:rsidR="000B647F" w:rsidRPr="00F10F41">
        <w:rPr>
          <w:rFonts w:ascii="Arial" w:hAnsi="Arial" w:cs="Arial"/>
          <w:color w:val="000000" w:themeColor="text1"/>
          <w:sz w:val="22"/>
          <w:szCs w:val="22"/>
        </w:rPr>
        <w:t xml:space="preserve"> may have an accelerating effect of </w:t>
      </w:r>
      <w:r w:rsidR="00F13A0E" w:rsidRPr="00F10F41">
        <w:rPr>
          <w:rFonts w:ascii="Arial" w:hAnsi="Arial" w:cs="Arial"/>
          <w:color w:val="000000" w:themeColor="text1"/>
          <w:sz w:val="22"/>
          <w:szCs w:val="22"/>
        </w:rPr>
        <w:t>imaging</w:t>
      </w:r>
      <w:r w:rsidR="000B647F" w:rsidRPr="00F10F41">
        <w:rPr>
          <w:rFonts w:ascii="Arial" w:hAnsi="Arial" w:cs="Arial"/>
          <w:color w:val="000000" w:themeColor="text1"/>
          <w:sz w:val="22"/>
          <w:szCs w:val="22"/>
        </w:rPr>
        <w:t xml:space="preserve"> changes over time</w:t>
      </w:r>
      <w:r w:rsidR="001B6385" w:rsidRPr="00F10F41">
        <w:rPr>
          <w:rFonts w:ascii="Arial" w:hAnsi="Arial" w:cs="Arial"/>
          <w:color w:val="000000" w:themeColor="text1"/>
          <w:sz w:val="22"/>
          <w:szCs w:val="22"/>
        </w:rPr>
        <w:t>, while the</w:t>
      </w:r>
      <w:r w:rsidR="00DD1A53" w:rsidRPr="00F10F41">
        <w:rPr>
          <w:rFonts w:ascii="Arial" w:hAnsi="Arial" w:cs="Arial"/>
          <w:color w:val="000000" w:themeColor="text1"/>
          <w:sz w:val="22"/>
          <w:szCs w:val="22"/>
        </w:rPr>
        <w:t xml:space="preserve"> </w:t>
      </w:r>
      <w:r w:rsidR="00F80D0C" w:rsidRPr="00F10F41">
        <w:rPr>
          <w:rFonts w:ascii="Arial" w:hAnsi="Arial" w:cs="Arial"/>
          <w:color w:val="000000" w:themeColor="text1"/>
          <w:sz w:val="22"/>
          <w:szCs w:val="22"/>
        </w:rPr>
        <w:t xml:space="preserve">main effect of EYO </w:t>
      </w:r>
      <w:r w:rsidR="009A2FD9" w:rsidRPr="00F10F41">
        <w:rPr>
          <w:rFonts w:ascii="Arial" w:hAnsi="Arial" w:cs="Arial"/>
          <w:color w:val="000000" w:themeColor="text1"/>
          <w:sz w:val="22"/>
          <w:szCs w:val="22"/>
        </w:rPr>
        <w:t xml:space="preserve">indicates </w:t>
      </w:r>
      <w:r w:rsidR="002C4128" w:rsidRPr="00F10F41">
        <w:rPr>
          <w:rFonts w:ascii="Arial" w:hAnsi="Arial" w:cs="Arial"/>
          <w:color w:val="000000" w:themeColor="text1"/>
          <w:sz w:val="22"/>
          <w:szCs w:val="22"/>
        </w:rPr>
        <w:t xml:space="preserve">whether </w:t>
      </w:r>
      <w:r w:rsidR="00254B02" w:rsidRPr="00F10F41">
        <w:rPr>
          <w:rFonts w:ascii="Arial" w:hAnsi="Arial" w:cs="Arial"/>
          <w:color w:val="000000" w:themeColor="text1"/>
          <w:sz w:val="22"/>
          <w:szCs w:val="22"/>
        </w:rPr>
        <w:t>a</w:t>
      </w:r>
      <w:r w:rsidR="00C84B1D" w:rsidRPr="00F10F41">
        <w:rPr>
          <w:rFonts w:ascii="Arial" w:hAnsi="Arial" w:cs="Arial"/>
          <w:color w:val="000000" w:themeColor="text1"/>
          <w:sz w:val="22"/>
          <w:szCs w:val="22"/>
        </w:rPr>
        <w:t xml:space="preserve"> hypothetical </w:t>
      </w:r>
      <w:r w:rsidR="00BD0FE8" w:rsidRPr="00F10F41">
        <w:rPr>
          <w:rFonts w:ascii="Arial" w:hAnsi="Arial" w:cs="Arial"/>
          <w:color w:val="000000" w:themeColor="text1"/>
          <w:sz w:val="22"/>
          <w:szCs w:val="22"/>
        </w:rPr>
        <w:t xml:space="preserve">proximity to dementia </w:t>
      </w:r>
      <w:r w:rsidR="00054A7C" w:rsidRPr="00F10F41">
        <w:rPr>
          <w:rFonts w:ascii="Arial" w:hAnsi="Arial" w:cs="Arial"/>
          <w:color w:val="000000" w:themeColor="text1"/>
          <w:sz w:val="22"/>
          <w:szCs w:val="22"/>
        </w:rPr>
        <w:t>is related to</w:t>
      </w:r>
      <w:r w:rsidR="00424F8C" w:rsidRPr="00F10F41">
        <w:rPr>
          <w:rFonts w:ascii="Arial" w:hAnsi="Arial" w:cs="Arial"/>
          <w:color w:val="000000" w:themeColor="text1"/>
          <w:sz w:val="22"/>
          <w:szCs w:val="22"/>
        </w:rPr>
        <w:t xml:space="preserve"> </w:t>
      </w:r>
      <w:r w:rsidR="00A51117" w:rsidRPr="00F10F41">
        <w:rPr>
          <w:rFonts w:ascii="Arial" w:hAnsi="Arial" w:cs="Arial"/>
          <w:color w:val="000000" w:themeColor="text1"/>
          <w:sz w:val="22"/>
          <w:szCs w:val="22"/>
        </w:rPr>
        <w:t>imaging</w:t>
      </w:r>
      <w:r w:rsidR="0039024C" w:rsidRPr="00F10F41">
        <w:rPr>
          <w:rFonts w:ascii="Arial" w:hAnsi="Arial" w:cs="Arial"/>
          <w:color w:val="000000" w:themeColor="text1"/>
          <w:sz w:val="22"/>
          <w:szCs w:val="22"/>
        </w:rPr>
        <w:t xml:space="preserve"> differences across the sample</w:t>
      </w:r>
      <w:r w:rsidR="00946A2B" w:rsidRPr="00F10F41">
        <w:rPr>
          <w:rFonts w:ascii="Arial" w:hAnsi="Arial" w:cs="Arial"/>
          <w:color w:val="000000" w:themeColor="text1"/>
          <w:sz w:val="22"/>
          <w:szCs w:val="22"/>
        </w:rPr>
        <w:t>, independent of</w:t>
      </w:r>
      <w:r w:rsidR="005F21A4">
        <w:rPr>
          <w:rFonts w:ascii="Arial" w:hAnsi="Arial" w:cs="Arial"/>
          <w:color w:val="000000" w:themeColor="text1"/>
          <w:sz w:val="22"/>
          <w:szCs w:val="22"/>
        </w:rPr>
        <w:t xml:space="preserve"> </w:t>
      </w:r>
      <w:r w:rsidR="00946A2B" w:rsidRPr="00F10F41">
        <w:rPr>
          <w:rFonts w:ascii="Arial" w:hAnsi="Arial" w:cs="Arial"/>
          <w:color w:val="000000" w:themeColor="text1"/>
          <w:sz w:val="22"/>
          <w:szCs w:val="22"/>
        </w:rPr>
        <w:t>other covariates.</w:t>
      </w:r>
      <w:r w:rsidR="001B6385" w:rsidRPr="00F10F41">
        <w:rPr>
          <w:rFonts w:ascii="Arial" w:hAnsi="Arial" w:cs="Arial"/>
          <w:color w:val="000000" w:themeColor="text1"/>
          <w:sz w:val="22"/>
          <w:szCs w:val="22"/>
        </w:rPr>
        <w:t xml:space="preserve"> </w:t>
      </w:r>
      <w:r w:rsidR="00A53DC9" w:rsidRPr="00F10F41">
        <w:rPr>
          <w:rFonts w:ascii="Arial" w:hAnsi="Arial" w:cs="Arial"/>
          <w:color w:val="000000" w:themeColor="text1"/>
          <w:sz w:val="22"/>
          <w:szCs w:val="22"/>
        </w:rPr>
        <w:t>T</w:t>
      </w:r>
      <w:r w:rsidR="00A63756" w:rsidRPr="00F10F41">
        <w:rPr>
          <w:rFonts w:ascii="Arial" w:hAnsi="Arial" w:cs="Arial"/>
          <w:color w:val="000000" w:themeColor="text1"/>
          <w:sz w:val="22"/>
          <w:szCs w:val="22"/>
        </w:rPr>
        <w:t>he</w:t>
      </w:r>
      <w:r w:rsidR="00817B16" w:rsidRPr="00F10F41">
        <w:rPr>
          <w:rFonts w:ascii="Arial" w:hAnsi="Arial" w:cs="Arial"/>
          <w:color w:val="000000" w:themeColor="text1"/>
          <w:sz w:val="22"/>
          <w:szCs w:val="22"/>
        </w:rPr>
        <w:t xml:space="preserve"> </w:t>
      </w:r>
      <w:r w:rsidR="00A63756" w:rsidRPr="00F10F41">
        <w:rPr>
          <w:rFonts w:ascii="Arial" w:hAnsi="Arial" w:cs="Arial"/>
          <w:color w:val="000000" w:themeColor="text1"/>
          <w:sz w:val="22"/>
          <w:szCs w:val="22"/>
        </w:rPr>
        <w:t>covariates</w:t>
      </w:r>
      <w:r w:rsidR="00B70E0B" w:rsidRPr="00F10F41">
        <w:rPr>
          <w:rFonts w:ascii="Arial" w:hAnsi="Arial" w:cs="Arial"/>
          <w:color w:val="000000" w:themeColor="text1"/>
          <w:sz w:val="22"/>
          <w:szCs w:val="22"/>
        </w:rPr>
        <w:t xml:space="preserve"> included are </w:t>
      </w:r>
      <w:r w:rsidR="003D4FAA" w:rsidRPr="00F10F41">
        <w:rPr>
          <w:rFonts w:ascii="Arial" w:hAnsi="Arial" w:cs="Arial"/>
          <w:color w:val="000000" w:themeColor="text1"/>
          <w:sz w:val="22"/>
          <w:szCs w:val="22"/>
        </w:rPr>
        <w:t>(</w:t>
      </w:r>
      <w:proofErr w:type="spellStart"/>
      <w:r w:rsidR="003D4FAA" w:rsidRPr="00F10F41">
        <w:rPr>
          <w:rFonts w:ascii="Arial" w:hAnsi="Arial" w:cs="Arial"/>
          <w:color w:val="000000" w:themeColor="text1"/>
          <w:sz w:val="22"/>
          <w:szCs w:val="22"/>
        </w:rPr>
        <w:t>i</w:t>
      </w:r>
      <w:proofErr w:type="spellEnd"/>
      <w:r w:rsidR="003D4FAA" w:rsidRPr="00F10F41">
        <w:rPr>
          <w:rFonts w:ascii="Arial" w:hAnsi="Arial" w:cs="Arial"/>
          <w:color w:val="000000" w:themeColor="text1"/>
          <w:sz w:val="22"/>
          <w:szCs w:val="22"/>
        </w:rPr>
        <w:t xml:space="preserve">) </w:t>
      </w:r>
      <w:r w:rsidR="004442C1" w:rsidRPr="00F10F41">
        <w:rPr>
          <w:rFonts w:ascii="Arial" w:hAnsi="Arial" w:cs="Arial"/>
          <w:color w:val="000000" w:themeColor="text1"/>
          <w:sz w:val="22"/>
          <w:szCs w:val="22"/>
        </w:rPr>
        <w:t xml:space="preserve">the demeaned </w:t>
      </w:r>
      <w:r w:rsidR="00B70E0B" w:rsidRPr="00F10F41">
        <w:rPr>
          <w:rFonts w:ascii="Arial" w:hAnsi="Arial" w:cs="Arial"/>
          <w:color w:val="000000" w:themeColor="text1"/>
          <w:sz w:val="22"/>
          <w:szCs w:val="22"/>
        </w:rPr>
        <w:t xml:space="preserve">mean age of a subject over both time points, </w:t>
      </w:r>
      <w:r w:rsidR="00062869" w:rsidRPr="00F10F41">
        <w:rPr>
          <w:rFonts w:ascii="Arial" w:hAnsi="Arial" w:cs="Arial"/>
          <w:color w:val="000000" w:themeColor="text1"/>
          <w:sz w:val="22"/>
          <w:szCs w:val="22"/>
        </w:rPr>
        <w:t xml:space="preserve">(ii) </w:t>
      </w:r>
      <w:r w:rsidR="00020B95" w:rsidRPr="00F10F41">
        <w:rPr>
          <w:rFonts w:ascii="Arial" w:hAnsi="Arial" w:cs="Arial"/>
          <w:color w:val="000000" w:themeColor="text1"/>
          <w:sz w:val="22"/>
          <w:szCs w:val="22"/>
        </w:rPr>
        <w:t xml:space="preserve">the </w:t>
      </w:r>
      <w:r w:rsidR="00AE037D" w:rsidRPr="00F10F41">
        <w:rPr>
          <w:rFonts w:ascii="Arial" w:hAnsi="Arial" w:cs="Arial"/>
          <w:color w:val="000000" w:themeColor="text1"/>
          <w:sz w:val="22"/>
          <w:szCs w:val="22"/>
        </w:rPr>
        <w:t xml:space="preserve">demeaned </w:t>
      </w:r>
      <w:r w:rsidR="00020B95" w:rsidRPr="00F10F41">
        <w:rPr>
          <w:rFonts w:ascii="Arial" w:hAnsi="Arial" w:cs="Arial"/>
          <w:color w:val="000000" w:themeColor="text1"/>
          <w:sz w:val="22"/>
          <w:szCs w:val="22"/>
        </w:rPr>
        <w:t>quadratic term of age to account for potential non-linear age associations</w:t>
      </w:r>
      <w:r w:rsidR="002038D3" w:rsidRPr="00F10F41">
        <w:rPr>
          <w:rFonts w:ascii="Arial" w:hAnsi="Arial" w:cs="Arial"/>
          <w:color w:val="000000" w:themeColor="text1"/>
          <w:sz w:val="22"/>
          <w:szCs w:val="22"/>
        </w:rPr>
        <w:t xml:space="preserve"> </w:t>
      </w:r>
      <w:r w:rsidR="002038D3"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{"citationItems":[{"id":"ITEM-1","itemData":{"DOI":"10.1016/j.neuroimage.2015.12.033","ISSN":"1095-9572","PMID":"26724777","abstract":"Microstructural changes in human brain white matter of young to middle-aged adults were studied using advanced diffusion Magnetic Resonance Imaging (dMRI). Multiple shell diffusion-weighted data were acquired using the Hybrid Diffusion Imaging (HYDI). The HYDI method is extremely versatile and data were analyzed using Diffusion Tensor Imaging (DTI), Neurite Orientation Dispersion and Density Imaging (NODDI), and q-space imaging approaches. Twenty-four females and 23 males between 18 and 55years of age were included in this study. The impact of age and sex on diffusion metrics were tested using least squares linear regressions in 48 white matter regions of interest (ROIs) across the whole brain and adjusted for multiple comparisons across ROIs. In this study, white matter projections to either the hippocampus or the cerebral cortices were the brain regions most sensitive to aging. Specifically, in this young to middle-aged cohort, aging effects were associated with more dispersion of white matter fibers while the tissue restriction and intra-axonal volume fraction remained relatively stable. The fiber dispersion index of NODDI exhibited the most pronounced sensitivity to aging. In addition, changes of the DTI indices in this aging cohort were correlated mostly with the fiber dispersion index rather than the intracellular volume fraction of NODDI or the q-space measurements. While men and women did not differ in the aging rate, men tend to have higher intra-axonal volume fraction than women. This study demonstrates that advanced dMRI using a HYDI acquisition and compartmental modeling of NODDI can elucidate microstructural alterations that are sensitive to age and sex. Finally, this study provides insight into the relationships between DTI diffusion metrics and advanced diffusion metrics of NODDI model and q-space imaging.","author":[{"dropping-particle":"","family":"Kodiweera","given":"Chandana","non-dropping-particle":"","parse-names":false,"suffix":""},{"dropping-particle":"","family":"Alexander","given":"Andrew L","non-dropping-particle":"","parse-names":false,"suffix":""},{"dropping-particle":"","family":"Harezlak","given":"Jaroslaw","non-dropping-particle":"","parse-names":false,"suffix":""},{"dropping-particle":"","family":"McAllister","given":"Thomas W","non-dropping-particle":"","parse-names":false,"suffix":""},{"dropping-particle":"","family":"Wu","given":"Yu-Chien","non-dropping-particle":"","parse-names":false,"suffix":""}],"container-title":"NeuroImage","id":"ITEM-1","issued":{"date-parts":[["2016","3"]]},"page":"180-192","publisher":"NIH Public Access","title":"Age effects and sex differences in human brain white matter of young to middle-aged adults: A DTI, NODDI, and q-space study.","type":"article-journal","volume":"128"},"uris":["http://www.mendeley.com/documents/?uuid=945729ed-8c8c-3d20-a918-067fd25e8c03","http://www.mendeley.com/documents/?uuid=65e37aba-4ef1-4d42-842a-1fcf0adc6f9a"]},{"id":"ITEM-2","itemData":{"DOI":"10.1016/j.bbadis.2011.09.001","ISSN":"09254439","abstract":"Aging is associated with declining cognitive performance as well as structural changes in brain gray and white matter (WM). The WM deterioration contributes to a disconnection among distributed brain networks and may thus mediate age-related cognitive decline. The present diffusion tensor imaging (DTI) study investigated age-related differences in WM microstructure and their relation to cognition (episodic memory, visuospatial processing, fluency, and speed) in a large group of healthy subjects (n. = 287) covering 6 decades of the human life span. Age related decreases in fractional anisotropy (FA) and increases in mean diffusivity (MD) were observed across the entire WM skeleton as well as in specific WM tracts, supporting the WM degeneration hypothesis. The anterior section of the corpus callosum was more susceptible to aging compared to the posterior section, lending support to the anterior-posterior gradient of WM integrity in the corpus callosum. Finally, and of critical interest, WM integrity differences were found to mediate age-related reductions in processing speed but no significant mediation was found for episodic memory, visuospatial ability, or fluency. These findings suggest that compromised WM integrity is not a major contributing factor to declining cognitive performance in normal aging. This article is part of a Special Issue entitled: Imaging Brain Aging and Neurodegenerative disease. © 2011 Elsevier B.V.","author":[{"dropping-particle":"","family":"Salami","given":"Alireza","non-dropping-particle":"","parse-names":false,"suffix":""},{"dropping-particle":"","family":"Eriksson","given":"Johan","non-dropping-particle":"","parse-names":false,"suffix":""},{"dropping-particle":"","family":"Nilsson","given":"Lars Göran","non-dropping-particle":"","parse-names":false,"suffix":""},{"dropping-particle":"","family":"Nyberg","given":"Lars","non-dropping-particle":"","parse-names":false,"suffix":""}],"container-title":"Biochimica et Biophysica Acta - Molecular Basis of Disease","id":"ITEM-2","issue":"3","issued":{"date-parts":[["2012"]]},"page":"408-415","publisher":"Elsevier B.V.","title":"Age-related white matter microstructural differences partly mediate age-related decline in processing speed but not cognition","type":"article-journal","volume":"1822"},"uris":["http://www.mendeley.com/documents/?uuid=5639caad-888f-4c5a-9481-2ee9c3a0b250","http://www.mendeley.com/documents/?uuid=5581620c-b763-4de0-9cc5-88ac798a8baf"]}],"mendeley":{"formattedCitation":"(Kodiweera et al., 2016; Salami et al., 2012)","plainTextFormattedCitation":"(Kodiweera et al., 2016; Salami et al., 2012)","previouslyFormattedCitation":"(Kodiweera et al., 2016; Salami et al., 2012)"},"properties":{"noteIndex":0},"schema":"https://github.com/citation-style-language/schema/raw/master/csl-citation.json"}</w:instrText>
      </w:r>
      <w:r w:rsidR="002038D3" w:rsidRPr="00F10F41">
        <w:rPr>
          <w:rFonts w:ascii="Arial" w:hAnsi="Arial" w:cs="Arial"/>
          <w:color w:val="000000" w:themeColor="text1"/>
          <w:sz w:val="22"/>
          <w:szCs w:val="22"/>
        </w:rPr>
        <w:fldChar w:fldCharType="separate"/>
      </w:r>
      <w:r w:rsidR="00B34C7F" w:rsidRPr="00F10F41">
        <w:rPr>
          <w:rFonts w:ascii="Arial" w:hAnsi="Arial" w:cs="Arial"/>
          <w:noProof/>
          <w:color w:val="000000" w:themeColor="text1"/>
          <w:sz w:val="22"/>
          <w:szCs w:val="22"/>
        </w:rPr>
        <w:t>(Kodiweera et al., 2016; Salami et al., 2012)</w:t>
      </w:r>
      <w:r w:rsidR="002038D3" w:rsidRPr="00F10F41">
        <w:rPr>
          <w:rFonts w:ascii="Arial" w:hAnsi="Arial" w:cs="Arial"/>
          <w:color w:val="000000" w:themeColor="text1"/>
          <w:sz w:val="22"/>
          <w:szCs w:val="22"/>
        </w:rPr>
        <w:fldChar w:fldCharType="end"/>
      </w:r>
      <w:r w:rsidR="00020B95" w:rsidRPr="00F10F41">
        <w:rPr>
          <w:rFonts w:ascii="Arial" w:hAnsi="Arial" w:cs="Arial"/>
          <w:color w:val="000000" w:themeColor="text1"/>
          <w:sz w:val="22"/>
          <w:szCs w:val="22"/>
        </w:rPr>
        <w:t xml:space="preserve">, </w:t>
      </w:r>
      <w:r w:rsidR="00BE6078" w:rsidRPr="00F10F41">
        <w:rPr>
          <w:rFonts w:ascii="Arial" w:hAnsi="Arial" w:cs="Arial"/>
          <w:color w:val="000000" w:themeColor="text1"/>
          <w:sz w:val="22"/>
          <w:szCs w:val="22"/>
        </w:rPr>
        <w:t xml:space="preserve">(iii) </w:t>
      </w:r>
      <w:r w:rsidR="00020B95" w:rsidRPr="00F10F41">
        <w:rPr>
          <w:rFonts w:ascii="Arial" w:hAnsi="Arial" w:cs="Arial"/>
          <w:color w:val="000000" w:themeColor="text1"/>
          <w:sz w:val="22"/>
          <w:szCs w:val="22"/>
        </w:rPr>
        <w:t xml:space="preserve">sex, </w:t>
      </w:r>
      <w:r w:rsidR="00BE6078" w:rsidRPr="00F10F41">
        <w:rPr>
          <w:rFonts w:ascii="Arial" w:hAnsi="Arial" w:cs="Arial"/>
          <w:color w:val="000000" w:themeColor="text1"/>
          <w:sz w:val="22"/>
          <w:szCs w:val="22"/>
        </w:rPr>
        <w:t xml:space="preserve">(iv) </w:t>
      </w:r>
      <w:r w:rsidR="0043587E" w:rsidRPr="00F10F41">
        <w:rPr>
          <w:rFonts w:ascii="Arial" w:hAnsi="Arial" w:cs="Arial"/>
          <w:color w:val="000000" w:themeColor="text1"/>
          <w:sz w:val="22"/>
          <w:szCs w:val="22"/>
        </w:rPr>
        <w:t xml:space="preserve">demeaned </w:t>
      </w:r>
      <w:r w:rsidR="00020B95" w:rsidRPr="00F10F41">
        <w:rPr>
          <w:rFonts w:ascii="Arial" w:hAnsi="Arial" w:cs="Arial"/>
          <w:color w:val="000000" w:themeColor="text1"/>
          <w:sz w:val="22"/>
          <w:szCs w:val="22"/>
        </w:rPr>
        <w:t>years of formal education</w:t>
      </w:r>
      <w:r w:rsidR="004D0C22" w:rsidRPr="00F10F41">
        <w:rPr>
          <w:rFonts w:ascii="Arial" w:hAnsi="Arial" w:cs="Arial"/>
          <w:color w:val="000000" w:themeColor="text1"/>
          <w:sz w:val="22"/>
          <w:szCs w:val="22"/>
        </w:rPr>
        <w:t xml:space="preserve"> </w:t>
      </w:r>
      <w:r w:rsidR="00D419FF" w:rsidRPr="00F10F41">
        <w:rPr>
          <w:rFonts w:ascii="Arial" w:hAnsi="Arial" w:cs="Arial"/>
          <w:color w:val="000000" w:themeColor="text1"/>
          <w:sz w:val="22"/>
          <w:szCs w:val="22"/>
        </w:rPr>
        <w:t xml:space="preserve">and time. </w:t>
      </w:r>
      <w:r w:rsidR="001B34A9" w:rsidRPr="00F10F41">
        <w:rPr>
          <w:rFonts w:ascii="Arial" w:hAnsi="Arial" w:cs="Arial"/>
          <w:color w:val="000000" w:themeColor="text1"/>
          <w:sz w:val="22"/>
          <w:szCs w:val="22"/>
        </w:rPr>
        <w:t>The demeaned average WMH volume</w:t>
      </w:r>
      <w:r w:rsidR="000C4F02" w:rsidRPr="00F10F41">
        <w:rPr>
          <w:rFonts w:ascii="Arial" w:hAnsi="Arial" w:cs="Arial"/>
          <w:color w:val="000000" w:themeColor="text1"/>
          <w:sz w:val="22"/>
          <w:szCs w:val="22"/>
        </w:rPr>
        <w:t xml:space="preserve"> and its interaction with time were included as additional covariat</w:t>
      </w:r>
      <w:r w:rsidR="006F002B" w:rsidRPr="00F10F41">
        <w:rPr>
          <w:rFonts w:ascii="Arial" w:hAnsi="Arial" w:cs="Arial"/>
          <w:color w:val="000000" w:themeColor="text1"/>
          <w:sz w:val="22"/>
          <w:szCs w:val="22"/>
        </w:rPr>
        <w:t xml:space="preserve">es </w:t>
      </w:r>
      <w:r w:rsidR="00FF6D48" w:rsidRPr="00F10F41">
        <w:rPr>
          <w:rFonts w:ascii="Arial" w:hAnsi="Arial" w:cs="Arial"/>
          <w:color w:val="000000" w:themeColor="text1"/>
          <w:sz w:val="22"/>
          <w:szCs w:val="22"/>
        </w:rPr>
        <w:t xml:space="preserve">in all </w:t>
      </w:r>
      <w:r w:rsidR="00657ED2" w:rsidRPr="00F10F41">
        <w:rPr>
          <w:rFonts w:ascii="Arial" w:hAnsi="Arial" w:cs="Arial"/>
          <w:color w:val="000000" w:themeColor="text1"/>
          <w:sz w:val="22"/>
          <w:szCs w:val="22"/>
        </w:rPr>
        <w:t xml:space="preserve">DTI analyses to ensure that white matter changes </w:t>
      </w:r>
      <w:r w:rsidR="00FE039D" w:rsidRPr="00F10F41">
        <w:rPr>
          <w:rFonts w:ascii="Arial" w:hAnsi="Arial" w:cs="Arial"/>
          <w:color w:val="000000" w:themeColor="text1"/>
          <w:sz w:val="22"/>
          <w:szCs w:val="22"/>
        </w:rPr>
        <w:t xml:space="preserve">are not confounded by small </w:t>
      </w:r>
      <w:r w:rsidR="00E745E8" w:rsidRPr="00F10F41">
        <w:rPr>
          <w:rFonts w:ascii="Arial" w:hAnsi="Arial" w:cs="Arial"/>
          <w:color w:val="000000" w:themeColor="text1"/>
          <w:sz w:val="22"/>
          <w:szCs w:val="22"/>
        </w:rPr>
        <w:t>vessel</w:t>
      </w:r>
      <w:r w:rsidR="00FE039D" w:rsidRPr="00F10F41">
        <w:rPr>
          <w:rFonts w:ascii="Arial" w:hAnsi="Arial" w:cs="Arial"/>
          <w:color w:val="000000" w:themeColor="text1"/>
          <w:sz w:val="22"/>
          <w:szCs w:val="22"/>
        </w:rPr>
        <w:t xml:space="preserve"> disease. </w:t>
      </w:r>
      <w:r w:rsidR="00490280" w:rsidRPr="00F10F41">
        <w:rPr>
          <w:rFonts w:ascii="Arial" w:hAnsi="Arial" w:cs="Arial"/>
          <w:color w:val="000000" w:themeColor="text1"/>
          <w:sz w:val="22"/>
          <w:szCs w:val="22"/>
        </w:rPr>
        <w:t>In addition, we</w:t>
      </w:r>
      <w:r w:rsidR="009F4D72" w:rsidRPr="00F10F41">
        <w:rPr>
          <w:rFonts w:ascii="Arial" w:hAnsi="Arial" w:cs="Arial"/>
          <w:color w:val="000000" w:themeColor="text1"/>
          <w:sz w:val="22"/>
          <w:szCs w:val="22"/>
        </w:rPr>
        <w:t xml:space="preserve"> examined both potential moderating and interactive effects of </w:t>
      </w:r>
      <w:r w:rsidR="006825A1" w:rsidRPr="00F10F41">
        <w:rPr>
          <w:rFonts w:ascii="Arial" w:hAnsi="Arial" w:cs="Arial"/>
          <w:color w:val="000000" w:themeColor="text1"/>
          <w:sz w:val="22"/>
          <w:szCs w:val="22"/>
        </w:rPr>
        <w:t>APOE-</w:t>
      </w:r>
      <w:r w:rsidR="006825A1" w:rsidRPr="00F10F41">
        <w:rPr>
          <w:rFonts w:ascii="Arial" w:hAnsi="Arial" w:cs="Arial"/>
          <w:color w:val="000000" w:themeColor="text1"/>
          <w:sz w:val="22"/>
          <w:szCs w:val="22"/>
        </w:rPr>
        <w:sym w:font="Symbol" w:char="F065"/>
      </w:r>
      <w:r w:rsidR="006825A1" w:rsidRPr="00F10F41">
        <w:rPr>
          <w:rFonts w:ascii="Arial" w:hAnsi="Arial" w:cs="Arial"/>
          <w:color w:val="000000" w:themeColor="text1"/>
          <w:sz w:val="22"/>
          <w:szCs w:val="22"/>
        </w:rPr>
        <w:t xml:space="preserve">4 </w:t>
      </w:r>
      <w:r w:rsidR="001F47CE" w:rsidRPr="00F10F41">
        <w:rPr>
          <w:rFonts w:ascii="Arial" w:hAnsi="Arial" w:cs="Arial"/>
          <w:color w:val="000000" w:themeColor="text1"/>
          <w:sz w:val="22"/>
          <w:szCs w:val="22"/>
        </w:rPr>
        <w:t xml:space="preserve">by </w:t>
      </w:r>
      <w:r w:rsidR="009426E9" w:rsidRPr="00F10F41">
        <w:rPr>
          <w:rFonts w:ascii="Arial" w:hAnsi="Arial" w:cs="Arial"/>
          <w:color w:val="000000" w:themeColor="text1"/>
          <w:sz w:val="22"/>
          <w:szCs w:val="22"/>
        </w:rPr>
        <w:t>modelling the main effects of</w:t>
      </w:r>
      <w:r w:rsidR="001F47CE" w:rsidRPr="00F10F41">
        <w:rPr>
          <w:rFonts w:ascii="Arial" w:hAnsi="Arial" w:cs="Arial"/>
          <w:color w:val="000000" w:themeColor="text1"/>
          <w:sz w:val="22"/>
          <w:szCs w:val="22"/>
        </w:rPr>
        <w:t xml:space="preserve"> </w:t>
      </w:r>
      <w:r w:rsidR="005815C2" w:rsidRPr="00F10F41">
        <w:rPr>
          <w:rFonts w:ascii="Arial" w:hAnsi="Arial" w:cs="Arial"/>
          <w:color w:val="000000" w:themeColor="text1"/>
          <w:sz w:val="22"/>
          <w:szCs w:val="22"/>
        </w:rPr>
        <w:t>APOE-</w:t>
      </w:r>
      <w:r w:rsidR="005815C2" w:rsidRPr="00F10F41">
        <w:rPr>
          <w:rFonts w:ascii="Arial" w:hAnsi="Arial" w:cs="Arial"/>
          <w:color w:val="000000" w:themeColor="text1"/>
          <w:sz w:val="22"/>
          <w:szCs w:val="22"/>
        </w:rPr>
        <w:sym w:font="Symbol" w:char="F065"/>
      </w:r>
      <w:r w:rsidR="005815C2" w:rsidRPr="00F10F41">
        <w:rPr>
          <w:rFonts w:ascii="Arial" w:hAnsi="Arial" w:cs="Arial"/>
          <w:color w:val="000000" w:themeColor="text1"/>
          <w:sz w:val="22"/>
          <w:szCs w:val="22"/>
        </w:rPr>
        <w:t xml:space="preserve">4 </w:t>
      </w:r>
      <w:r w:rsidR="009426E9" w:rsidRPr="00F10F41">
        <w:rPr>
          <w:rFonts w:ascii="Arial" w:hAnsi="Arial" w:cs="Arial"/>
          <w:color w:val="000000" w:themeColor="text1"/>
          <w:sz w:val="22"/>
          <w:szCs w:val="22"/>
        </w:rPr>
        <w:t xml:space="preserve">and its interactions with EYO and </w:t>
      </w:r>
      <w:r w:rsidR="00C61FA7" w:rsidRPr="00F10F41">
        <w:rPr>
          <w:rFonts w:ascii="Arial" w:hAnsi="Arial" w:cs="Arial"/>
          <w:color w:val="000000" w:themeColor="text1"/>
          <w:sz w:val="22"/>
          <w:szCs w:val="22"/>
        </w:rPr>
        <w:t xml:space="preserve">time </w:t>
      </w:r>
      <w:r w:rsidR="00746680" w:rsidRPr="00F10F41">
        <w:rPr>
          <w:rFonts w:ascii="Arial" w:hAnsi="Arial" w:cs="Arial"/>
          <w:color w:val="000000" w:themeColor="text1"/>
          <w:sz w:val="22"/>
          <w:szCs w:val="22"/>
        </w:rPr>
        <w:t xml:space="preserve">into the </w:t>
      </w:r>
      <w:proofErr w:type="spellStart"/>
      <w:r w:rsidR="00C61FA7" w:rsidRPr="00F10F41">
        <w:rPr>
          <w:rFonts w:ascii="Arial" w:hAnsi="Arial" w:cs="Arial"/>
          <w:color w:val="000000" w:themeColor="text1"/>
          <w:sz w:val="22"/>
          <w:szCs w:val="22"/>
        </w:rPr>
        <w:t>SwE</w:t>
      </w:r>
      <w:proofErr w:type="spellEnd"/>
      <w:r w:rsidR="00C61FA7" w:rsidRPr="00F10F41" w:rsidDel="00C61FA7">
        <w:rPr>
          <w:rFonts w:ascii="Arial" w:hAnsi="Arial" w:cs="Arial"/>
          <w:color w:val="000000" w:themeColor="text1"/>
          <w:sz w:val="22"/>
          <w:szCs w:val="22"/>
        </w:rPr>
        <w:t xml:space="preserve"> </w:t>
      </w:r>
      <w:r w:rsidR="00746680" w:rsidRPr="00F10F41">
        <w:rPr>
          <w:rFonts w:ascii="Arial" w:hAnsi="Arial" w:cs="Arial"/>
          <w:color w:val="000000" w:themeColor="text1"/>
          <w:sz w:val="22"/>
          <w:szCs w:val="22"/>
        </w:rPr>
        <w:t>models.</w:t>
      </w:r>
      <w:r w:rsidR="006B759F"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Non-parametric statistical inference was based on the Wild Bootstrap procedure </w:t>
      </w:r>
      <w:r w:rsidRPr="00F10F41">
        <w:rPr>
          <w:rFonts w:ascii="Arial" w:hAnsi="Arial" w:cs="Arial"/>
          <w:color w:val="000000" w:themeColor="text1"/>
          <w:sz w:val="22"/>
          <w:szCs w:val="22"/>
        </w:rPr>
        <w:fldChar w:fldCharType="begin" w:fldLock="1"/>
      </w:r>
      <w:r w:rsidR="00542A9E" w:rsidRPr="00F10F41">
        <w:rPr>
          <w:rFonts w:ascii="Arial" w:hAnsi="Arial" w:cs="Arial"/>
          <w:color w:val="000000" w:themeColor="text1"/>
          <w:sz w:val="22"/>
          <w:szCs w:val="22"/>
        </w:rPr>
        <w:instrText>ADDIN CSL_CITATION {"citationItems":[{"id":"ITEM-1","itemData":{"author":[{"dropping-particle":"","family":"Guillaume","given":"Bryan","non-dropping-particle":"","parse-names":false,"suffix":""},{"dropping-particle":"","family":"Nichols","given":"Thomas E","non-dropping-particle":"","parse-names":false,"suffix":""},{"dropping-particle":"","family":"Adni","given":"the","non-dropping-particle":"","parse-names":false,"suffix":""}],"container-title":"Organization for Human Brain Mapping","id":"ITEM-1","issued":{"date-parts":[["2015"]]},"page":"2","title":"Non-parametric Inference for Longitudinal and Repeated-Measures Neuroimaging Data with the Wild Bootstrap","type":"article-journal"},"uris":["http://www.mendeley.com/documents/?uuid=a3e191f6-c31e-4445-af90-085770641416","http://www.mendeley.com/documents/?uuid=f1c51054-a8d7-4234-a73b-a7c1c8ef19c9","http://www.mendeley.com/documents/?uuid=37282fea-7310-4e7c-8ab3-486cd8fcb1eb"]}],"mendeley":{"formattedCitation":"(Guillaume et al., 2015)","plainTextFormattedCitation":"(Guillaume et al., 2015)","previouslyFormattedCitation":"(Guillaume et al., 2015)"},"properties":{"noteIndex":0},"schema":"https://github.com/citation-style-language/schema/raw/master/csl-citation.json"}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(Guillaume et al., 2015)</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and corrections for multiple comparisons were performed with Threshold-Free Cluster Enhancement (TFCE) and Family-Wise Error Rate (TFCE P </w:t>
      </w:r>
      <w:r w:rsidRPr="00F10F41">
        <w:rPr>
          <w:rFonts w:ascii="Arial" w:hAnsi="Arial" w:cs="Arial"/>
          <w:color w:val="000000" w:themeColor="text1"/>
          <w:sz w:val="22"/>
          <w:szCs w:val="22"/>
          <w:vertAlign w:val="subscript"/>
        </w:rPr>
        <w:t>FWER</w:t>
      </w:r>
      <w:r w:rsidRPr="00F10F41">
        <w:rPr>
          <w:rFonts w:ascii="Arial" w:hAnsi="Arial" w:cs="Arial"/>
          <w:color w:val="000000" w:themeColor="text1"/>
          <w:sz w:val="22"/>
          <w:szCs w:val="22"/>
        </w:rPr>
        <w:t xml:space="preserve"> &lt; 0.05)</w:t>
      </w:r>
      <w:r w:rsidR="001E49FF"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{"citationItems":[{"id":"ITEM-1","itemData":{"DOI":"10.1016/j.neuroimage.2008.03.061","ISSN":"1095-9572","PMID":"18501637","abstract":"Many image enhancement and thresholding techniques make use of spatial neighbourhood information to boost belief in extended areas of signal. The most common such approach in neuroimaging is cluster-based thresholding, which is often more sensitive than voxel-wise thresholding. However, a limitation is the need to define the initial cluster-forming threshold. This threshold is arbitrary, and yet its exact choice can have a large impact on the results, particularly at the lower (e.g., t, z &lt; 4) cluster-forming thresholds frequently used. Furthermore, the amount of spatial pre-smoothing is also arbitrary (given that the expected signal extent is very rarely known in advance of the analysis). In the light of such problems, we propose a new method which attempts to keep the sensitivity benefits of cluster-based thresholding (and indeed the general concept of \"clusters\" of signal), while avoiding (or at least minimising) these problems. The method takes a raw statistic image and produces an output image in which the voxel-wise values represent the amount of cluster-like local spatial support. The method is thus referred to as \"threshold-free cluster enhancement\" (TFCE). We present the TFCE approach and discuss in detail ROC-based optimisation and comparisons with cluster-based and voxel-based thresholding. We find that TFCE gives generally better sensitivity than other methods over a wide range of test signal shapes and SNR values. We also show an example on a real imaging dataset, suggesting that TFCE does indeed provide not just improved sensitivity, but richer and more interpretable output than cluster-based thresholding.","author":[{"dropping-particle":"","family":"Smith","given":"Stephen M","non-dropping-particle":"","parse-names":false,"suffix":""},{"dropping-particle":"","family":"Nichols","given":"Thomas E","non-dropping-particle":"","parse-names":false,"suffix":""}],"container-title":"NeuroImage","id":"ITEM-1","issue":"1","issued":{"date-parts":[["2009","1","1"]]},"page":"83-98","publisher":"Elsevier Inc.","title":"Threshold-free cluster enhancement: addressing problems of smoothing, threshold dependence and localisation in cluster inference.","type":"article-journal","volume":"44"},"uris":["http://www.mendeley.com/documents/?uuid=b72699f5-e15b-4b87-bc96-a498c50670dd","http://www.mendeley.com/documents/?uuid=89542242-4dda-4b6f-b9c8-28534ed09976","http://www.mendeley.com/documents/?uuid=e127aa4a-cc07-40e6-a8cb-6e952c090132"]}],"mendeley":{"formattedCitation":"(Smith and Nichols, 2009)","plainTextFormattedCitation":"(Smith and Nichols, 2009)","previouslyFormattedCitation":"(Smith and Nichols, 2009)"},"properties":{"noteIndex":0},"schema":"https://github.com/citation-style-language/schema/raw/master/csl-citation.json"}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(Smith and Nichols, 2009)</w:t>
      </w:r>
      <w:r w:rsidRPr="00F10F41">
        <w:rPr>
          <w:rFonts w:ascii="Arial" w:hAnsi="Arial" w:cs="Arial"/>
          <w:color w:val="000000" w:themeColor="text1"/>
          <w:sz w:val="22"/>
          <w:szCs w:val="22"/>
        </w:rPr>
        <w:fldChar w:fldCharType="end"/>
      </w:r>
      <w:r w:rsidR="002B056D" w:rsidRPr="00F10F41">
        <w:rPr>
          <w:rFonts w:ascii="Arial" w:hAnsi="Arial" w:cs="Arial"/>
          <w:color w:val="000000" w:themeColor="text1"/>
          <w:sz w:val="22"/>
          <w:szCs w:val="22"/>
        </w:rPr>
        <w:t>.</w:t>
      </w:r>
      <w:r w:rsidR="00967414" w:rsidRPr="00F10F41">
        <w:rPr>
          <w:rFonts w:ascii="Arial" w:hAnsi="Arial" w:cs="Arial"/>
          <w:color w:val="000000" w:themeColor="text1"/>
          <w:sz w:val="22"/>
          <w:szCs w:val="22"/>
        </w:rPr>
        <w:t xml:space="preserve"> </w:t>
      </w:r>
      <w:r w:rsidR="00967414" w:rsidRPr="00104556">
        <w:rPr>
          <w:rFonts w:ascii="Arial" w:hAnsi="Arial" w:cs="Arial"/>
          <w:color w:val="000000" w:themeColor="text1"/>
          <w:sz w:val="22"/>
          <w:szCs w:val="22"/>
        </w:rPr>
        <w:t>To</w:t>
      </w:r>
      <w:r w:rsidR="00C62EBC" w:rsidRPr="00104556">
        <w:rPr>
          <w:rFonts w:ascii="Arial" w:hAnsi="Arial" w:cs="Arial"/>
          <w:color w:val="000000" w:themeColor="text1"/>
          <w:sz w:val="22"/>
          <w:szCs w:val="22"/>
        </w:rPr>
        <w:t xml:space="preserve"> r</w:t>
      </w:r>
      <w:r w:rsidR="00967414" w:rsidRPr="00104556">
        <w:rPr>
          <w:rFonts w:ascii="Arial" w:hAnsi="Arial" w:cs="Arial"/>
          <w:color w:val="000000" w:themeColor="text1"/>
          <w:sz w:val="22"/>
          <w:szCs w:val="22"/>
        </w:rPr>
        <w:t xml:space="preserve">eport </w:t>
      </w:r>
      <w:r w:rsidR="006062CC" w:rsidRPr="00FB42D8">
        <w:rPr>
          <w:rFonts w:ascii="Arial" w:hAnsi="Arial" w:cs="Arial"/>
          <w:color w:val="000000" w:themeColor="text1"/>
          <w:sz w:val="22"/>
          <w:szCs w:val="22"/>
        </w:rPr>
        <w:t xml:space="preserve">the coordinates of </w:t>
      </w:r>
      <w:r w:rsidR="00894764" w:rsidRPr="00104556">
        <w:rPr>
          <w:rFonts w:ascii="Arial" w:hAnsi="Arial" w:cs="Arial"/>
          <w:color w:val="000000" w:themeColor="text1"/>
          <w:sz w:val="22"/>
          <w:szCs w:val="22"/>
        </w:rPr>
        <w:t xml:space="preserve">significant </w:t>
      </w:r>
      <w:r w:rsidR="006062CC" w:rsidRPr="00FB42D8">
        <w:rPr>
          <w:rFonts w:ascii="Arial" w:hAnsi="Arial" w:cs="Arial"/>
          <w:color w:val="000000" w:themeColor="text1"/>
          <w:sz w:val="22"/>
          <w:szCs w:val="22"/>
        </w:rPr>
        <w:t>clusters</w:t>
      </w:r>
      <w:r w:rsidR="006062CC" w:rsidRPr="00104556">
        <w:rPr>
          <w:rFonts w:ascii="Arial" w:hAnsi="Arial" w:cs="Arial"/>
          <w:color w:val="000000" w:themeColor="text1"/>
          <w:sz w:val="22"/>
          <w:szCs w:val="22"/>
        </w:rPr>
        <w:t xml:space="preserve"> </w:t>
      </w:r>
      <w:r w:rsidR="00894764" w:rsidRPr="00104556">
        <w:rPr>
          <w:rFonts w:ascii="Arial" w:hAnsi="Arial" w:cs="Arial"/>
          <w:color w:val="000000" w:themeColor="text1"/>
          <w:sz w:val="22"/>
          <w:szCs w:val="22"/>
        </w:rPr>
        <w:t xml:space="preserve">in </w:t>
      </w:r>
      <w:r w:rsidR="005B1257" w:rsidRPr="00104556">
        <w:rPr>
          <w:rFonts w:ascii="Arial" w:hAnsi="Arial" w:cs="Arial"/>
          <w:color w:val="000000" w:themeColor="text1"/>
          <w:sz w:val="22"/>
          <w:szCs w:val="22"/>
        </w:rPr>
        <w:t xml:space="preserve">standard </w:t>
      </w:r>
      <w:r w:rsidR="00894764" w:rsidRPr="00104556">
        <w:rPr>
          <w:rFonts w:ascii="Arial" w:hAnsi="Arial" w:cs="Arial"/>
          <w:color w:val="000000" w:themeColor="text1"/>
          <w:sz w:val="22"/>
          <w:szCs w:val="22"/>
        </w:rPr>
        <w:t xml:space="preserve">MNI152 space, </w:t>
      </w:r>
      <w:r w:rsidR="00F66C97" w:rsidRPr="00104556">
        <w:rPr>
          <w:rFonts w:ascii="Arial" w:hAnsi="Arial" w:cs="Arial"/>
          <w:color w:val="000000" w:themeColor="text1"/>
          <w:sz w:val="22"/>
          <w:szCs w:val="22"/>
        </w:rPr>
        <w:t>the mean FA of the group-specific template was affine registered to the</w:t>
      </w:r>
      <w:r w:rsidR="005C5683" w:rsidRPr="00104556">
        <w:rPr>
          <w:rFonts w:ascii="Arial" w:hAnsi="Arial" w:cs="Arial"/>
          <w:color w:val="000000" w:themeColor="text1"/>
          <w:sz w:val="22"/>
          <w:szCs w:val="22"/>
        </w:rPr>
        <w:t xml:space="preserve"> </w:t>
      </w:r>
      <w:r w:rsidR="00F66C97" w:rsidRPr="00104556">
        <w:rPr>
          <w:rFonts w:ascii="Arial" w:hAnsi="Arial" w:cs="Arial"/>
          <w:color w:val="000000" w:themeColor="text1"/>
          <w:sz w:val="22"/>
          <w:szCs w:val="22"/>
        </w:rPr>
        <w:t>MNI152</w:t>
      </w:r>
      <w:r w:rsidR="000535E6" w:rsidRPr="00104556">
        <w:rPr>
          <w:rFonts w:ascii="Arial" w:hAnsi="Arial" w:cs="Arial"/>
          <w:color w:val="000000" w:themeColor="text1"/>
          <w:sz w:val="22"/>
          <w:szCs w:val="22"/>
        </w:rPr>
        <w:t xml:space="preserve"> </w:t>
      </w:r>
      <w:r w:rsidR="00F66C97" w:rsidRPr="00104556">
        <w:rPr>
          <w:rFonts w:ascii="Arial" w:hAnsi="Arial" w:cs="Arial"/>
          <w:color w:val="000000" w:themeColor="text1"/>
          <w:sz w:val="22"/>
          <w:szCs w:val="22"/>
        </w:rPr>
        <w:t xml:space="preserve">atlas </w:t>
      </w:r>
      <w:r w:rsidR="0094424B" w:rsidRPr="00104556">
        <w:rPr>
          <w:rFonts w:ascii="Arial" w:hAnsi="Arial" w:cs="Arial"/>
          <w:color w:val="000000" w:themeColor="text1"/>
          <w:sz w:val="22"/>
          <w:szCs w:val="22"/>
        </w:rPr>
        <w:t>using</w:t>
      </w:r>
      <w:r w:rsidR="00F66C97" w:rsidRPr="00104556">
        <w:rPr>
          <w:rFonts w:ascii="Arial" w:hAnsi="Arial" w:cs="Arial"/>
          <w:color w:val="000000" w:themeColor="text1"/>
          <w:sz w:val="22"/>
          <w:szCs w:val="22"/>
        </w:rPr>
        <w:t xml:space="preserve"> FLIRT</w:t>
      </w:r>
      <w:r w:rsidR="00390204" w:rsidRPr="00104556">
        <w:rPr>
          <w:rFonts w:ascii="Arial" w:hAnsi="Arial" w:cs="Arial"/>
          <w:color w:val="000000" w:themeColor="text1"/>
          <w:sz w:val="22"/>
          <w:szCs w:val="22"/>
        </w:rPr>
        <w:t xml:space="preserve"> and visually inspected. </w:t>
      </w:r>
      <w:r w:rsidR="00F66C97" w:rsidRPr="00104556">
        <w:rPr>
          <w:rFonts w:ascii="Arial" w:hAnsi="Arial" w:cs="Arial"/>
          <w:color w:val="000000" w:themeColor="text1"/>
          <w:sz w:val="22"/>
          <w:szCs w:val="22"/>
        </w:rPr>
        <w:t>The affine transformation was then applied onto the statistical maps</w:t>
      </w:r>
      <w:r w:rsidR="004F35CB" w:rsidRPr="00104556">
        <w:rPr>
          <w:rFonts w:ascii="Arial" w:hAnsi="Arial" w:cs="Arial"/>
          <w:color w:val="000000" w:themeColor="text1"/>
          <w:sz w:val="22"/>
          <w:szCs w:val="22"/>
        </w:rPr>
        <w:t xml:space="preserve"> </w:t>
      </w:r>
      <w:r w:rsidR="00A77D60" w:rsidRPr="00104556">
        <w:rPr>
          <w:rFonts w:ascii="Arial" w:hAnsi="Arial" w:cs="Arial"/>
          <w:color w:val="000000" w:themeColor="text1"/>
          <w:sz w:val="22"/>
          <w:szCs w:val="22"/>
        </w:rPr>
        <w:t>for anatomical localisations in MNI152 space</w:t>
      </w:r>
      <w:r w:rsidR="007D5C4F" w:rsidRPr="00FB42D8">
        <w:rPr>
          <w:rFonts w:ascii="Arial" w:hAnsi="Arial" w:cs="Arial"/>
          <w:color w:val="000000" w:themeColor="text1"/>
          <w:sz w:val="22"/>
          <w:szCs w:val="22"/>
        </w:rPr>
        <w:t xml:space="preserve">. </w:t>
      </w:r>
      <w:r w:rsidR="00654A6D" w:rsidRPr="00104556">
        <w:rPr>
          <w:rFonts w:ascii="Arial" w:hAnsi="Arial" w:cs="Arial"/>
          <w:color w:val="000000" w:themeColor="text1"/>
          <w:sz w:val="22"/>
          <w:szCs w:val="22"/>
        </w:rPr>
        <w:t>To eliminate noise due to averaging and normalization, significant clusters with &lt; 50 voxels were excluded from the table of results.</w:t>
      </w:r>
      <w:r w:rsidR="00CE7FE0">
        <w:rPr>
          <w:rFonts w:ascii="Arial" w:hAnsi="Arial" w:cs="Arial"/>
          <w:color w:val="000000" w:themeColor="text1"/>
          <w:sz w:val="22"/>
          <w:szCs w:val="22"/>
        </w:rPr>
        <w:t xml:space="preserve"> </w:t>
      </w:r>
      <w:r w:rsidR="002D0B50" w:rsidRPr="00F10F41">
        <w:rPr>
          <w:rFonts w:ascii="Arial" w:hAnsi="Arial" w:cs="Arial"/>
          <w:color w:val="000000" w:themeColor="text1"/>
          <w:sz w:val="22"/>
          <w:szCs w:val="22"/>
        </w:rPr>
        <w:t>N</w:t>
      </w:r>
      <w:r w:rsidR="00B33E37" w:rsidRPr="00F10F41">
        <w:rPr>
          <w:rFonts w:ascii="Arial" w:hAnsi="Arial" w:cs="Arial"/>
          <w:color w:val="000000" w:themeColor="text1"/>
          <w:sz w:val="22"/>
          <w:szCs w:val="22"/>
        </w:rPr>
        <w:t>on-</w:t>
      </w:r>
      <w:proofErr w:type="spellStart"/>
      <w:r w:rsidR="00B33E37" w:rsidRPr="00F10F41">
        <w:rPr>
          <w:rFonts w:ascii="Arial" w:hAnsi="Arial" w:cs="Arial"/>
          <w:color w:val="000000" w:themeColor="text1"/>
          <w:sz w:val="22"/>
          <w:szCs w:val="22"/>
        </w:rPr>
        <w:t>voxelwise</w:t>
      </w:r>
      <w:proofErr w:type="spellEnd"/>
      <w:r w:rsidR="00B33E37" w:rsidRPr="00F10F41">
        <w:rPr>
          <w:rFonts w:ascii="Arial" w:hAnsi="Arial" w:cs="Arial"/>
          <w:color w:val="000000" w:themeColor="text1"/>
          <w:sz w:val="22"/>
          <w:szCs w:val="22"/>
        </w:rPr>
        <w:t xml:space="preserve"> analyses of </w:t>
      </w:r>
      <w:r w:rsidR="00587049" w:rsidRPr="00F10F41">
        <w:rPr>
          <w:rFonts w:ascii="Arial" w:hAnsi="Arial" w:cs="Arial"/>
          <w:color w:val="000000" w:themeColor="text1"/>
          <w:sz w:val="22"/>
          <w:szCs w:val="22"/>
        </w:rPr>
        <w:t xml:space="preserve">global </w:t>
      </w:r>
      <w:r w:rsidRPr="00F10F41">
        <w:rPr>
          <w:rFonts w:ascii="Arial" w:hAnsi="Arial" w:cs="Arial"/>
          <w:color w:val="000000" w:themeColor="text1"/>
          <w:sz w:val="22"/>
          <w:szCs w:val="22"/>
        </w:rPr>
        <w:t>FA, MD</w:t>
      </w:r>
      <w:r w:rsidR="003B6392"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t>RD</w:t>
      </w:r>
      <w:r w:rsidR="003B6392" w:rsidRPr="00F10F41">
        <w:rPr>
          <w:rFonts w:ascii="Arial" w:hAnsi="Arial" w:cs="Arial"/>
          <w:color w:val="000000" w:themeColor="text1"/>
          <w:sz w:val="22"/>
          <w:szCs w:val="22"/>
        </w:rPr>
        <w:t xml:space="preserve"> </w:t>
      </w:r>
      <w:r w:rsidR="00161BCD" w:rsidRPr="00F10F41">
        <w:rPr>
          <w:rFonts w:ascii="Arial" w:hAnsi="Arial" w:cs="Arial"/>
          <w:color w:val="000000" w:themeColor="text1"/>
          <w:sz w:val="22"/>
          <w:szCs w:val="22"/>
        </w:rPr>
        <w:t xml:space="preserve">, </w:t>
      </w:r>
      <w:r w:rsidR="003B6392" w:rsidRPr="00F10F41">
        <w:rPr>
          <w:rFonts w:ascii="Arial" w:hAnsi="Arial" w:cs="Arial"/>
          <w:color w:val="000000" w:themeColor="text1"/>
          <w:sz w:val="22"/>
          <w:szCs w:val="22"/>
        </w:rPr>
        <w:t>mean grey matter perfusion,</w:t>
      </w:r>
      <w:r w:rsidRPr="00F10F41">
        <w:rPr>
          <w:rFonts w:ascii="Arial" w:hAnsi="Arial" w:cs="Arial"/>
          <w:color w:val="000000" w:themeColor="text1"/>
          <w:sz w:val="22"/>
          <w:szCs w:val="22"/>
        </w:rPr>
        <w:t xml:space="preserve"> </w:t>
      </w:r>
      <w:r w:rsidR="00161BCD" w:rsidRPr="00F10F41">
        <w:rPr>
          <w:rFonts w:ascii="Arial" w:hAnsi="Arial" w:cs="Arial"/>
          <w:color w:val="000000" w:themeColor="text1"/>
          <w:sz w:val="22"/>
          <w:szCs w:val="22"/>
        </w:rPr>
        <w:t xml:space="preserve">and </w:t>
      </w:r>
      <w:r w:rsidR="00116DE8" w:rsidRPr="00F10F41">
        <w:rPr>
          <w:rFonts w:ascii="Arial" w:hAnsi="Arial" w:cs="Arial"/>
          <w:color w:val="000000" w:themeColor="text1"/>
          <w:sz w:val="22"/>
          <w:szCs w:val="22"/>
        </w:rPr>
        <w:t>mean</w:t>
      </w:r>
      <w:r w:rsidR="00161BCD" w:rsidRPr="00F10F41">
        <w:rPr>
          <w:rFonts w:ascii="Arial" w:hAnsi="Arial" w:cs="Arial"/>
          <w:color w:val="000000" w:themeColor="text1"/>
          <w:sz w:val="22"/>
          <w:szCs w:val="22"/>
        </w:rPr>
        <w:t xml:space="preserve"> cortical thickness </w:t>
      </w:r>
      <w:r w:rsidRPr="00F10F41">
        <w:rPr>
          <w:rFonts w:ascii="Arial" w:hAnsi="Arial" w:cs="Arial"/>
          <w:color w:val="000000" w:themeColor="text1"/>
          <w:sz w:val="22"/>
          <w:szCs w:val="22"/>
        </w:rPr>
        <w:t xml:space="preserve">were performed using </w:t>
      </w:r>
      <w:r w:rsidR="00275E58" w:rsidRPr="00F10F41">
        <w:rPr>
          <w:rFonts w:ascii="Arial" w:hAnsi="Arial" w:cs="Arial"/>
          <w:color w:val="000000" w:themeColor="text1"/>
          <w:sz w:val="22"/>
          <w:szCs w:val="22"/>
        </w:rPr>
        <w:t>Linear Mixed Effect models</w:t>
      </w:r>
      <w:r w:rsidR="00DB22AA" w:rsidRPr="00F10F41">
        <w:rPr>
          <w:rFonts w:ascii="Arial" w:hAnsi="Arial" w:cs="Arial"/>
          <w:color w:val="000000" w:themeColor="text1"/>
          <w:sz w:val="22"/>
          <w:szCs w:val="22"/>
        </w:rPr>
        <w:t xml:space="preserve"> (LME)</w:t>
      </w:r>
      <w:r w:rsidRPr="00F10F41">
        <w:rPr>
          <w:rFonts w:ascii="Arial" w:hAnsi="Arial" w:cs="Arial"/>
          <w:color w:val="000000" w:themeColor="text1"/>
          <w:sz w:val="22"/>
          <w:szCs w:val="22"/>
        </w:rPr>
        <w:t xml:space="preserve">, implemented with the </w:t>
      </w:r>
      <w:proofErr w:type="spellStart"/>
      <w:r w:rsidRPr="00F10F41">
        <w:rPr>
          <w:rFonts w:ascii="Arial" w:hAnsi="Arial" w:cs="Arial"/>
          <w:i/>
          <w:iCs/>
          <w:color w:val="000000" w:themeColor="text1"/>
          <w:sz w:val="22"/>
          <w:szCs w:val="22"/>
        </w:rPr>
        <w:t>lmer</w:t>
      </w:r>
      <w:proofErr w:type="spellEnd"/>
      <w:r w:rsidRPr="00F10F41">
        <w:rPr>
          <w:rFonts w:ascii="Arial" w:hAnsi="Arial" w:cs="Arial"/>
          <w:color w:val="000000" w:themeColor="text1"/>
          <w:sz w:val="22"/>
          <w:szCs w:val="22"/>
        </w:rPr>
        <w:t xml:space="preserve"> function of the lme4 package in R </w:t>
      </w:r>
      <w:r w:rsidRPr="00F10F41">
        <w:rPr>
          <w:rFonts w:ascii="Calibri" w:hAnsi="Calibri" w:cs="Calibri"/>
          <w:color w:val="000000" w:themeColor="text1"/>
          <w:sz w:val="22"/>
          <w:szCs w:val="22"/>
        </w:rPr>
        <w:t>﻿</w:t>
      </w:r>
      <w:r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fldChar w:fldCharType="begin" w:fldLock="1"/>
      </w:r>
      <w:r w:rsidR="00291F72" w:rsidRPr="00F10F41">
        <w:rPr>
          <w:rFonts w:ascii="Arial" w:hAnsi="Arial" w:cs="Arial"/>
          <w:color w:val="000000" w:themeColor="text1"/>
          <w:sz w:val="22"/>
          <w:szCs w:val="22"/>
        </w:rPr>
        <w:instrText>ADDIN CSL_CITATION {"citationItems":[{"id":"ITEM-1","itemData":{"DOI":"10.18637/jss.v067.i01","ISSN":"1548-7660","abstract":"Maximum likelihood or restricted maximum likelihood (REML) estimates of the parameters in linear mixed-effects models can be determined using the lmer function in the lme4 package for R. As for most model-fitting functions in R, the model is described in an lmer call by a formula, in this case including both fixed- and random-effects terms. The formula and data together determine a numerical representation of the model from which the profiled deviance or the profiled REML criterion can be evaluated as a function of some of the model parameters. The appropriate criterion is optimized, using one of the constrained optimization functions in R, to provide the parameter estimates. We describe the structure of the model, the steps in evaluating the profiled deviance or REML criterion, and the structure of classes or types that represents such a model. Sufficient detail is included to allow specialization of these structures by users who wish to write functions to fit specialized linear mixed models, such as models incorporating pedigrees or smoothing splines, that are not easily expressible in the formula language used by lmer.","author":[{"dropping-particle":"","family":"Bates","given":"Douglas","non-dropping-particle":"","parse-names":false,"suffix":""},{"dropping-particle":"","family":"Mächler","given":"Martin","non-dropping-particle":"","parse-names":false,"suffix":""},{"dropping-particle":"","family":"Bolker","given":"Ben","non-dropping-particle":"","parse-names":false,"suffix":""},{"dropping-particle":"","family":"Walker","given":"Steve","non-dropping-particle":"","parse-names":false,"suffix":""}],"container-title":"Journal of Statistical Software","id":"ITEM-1","issue":"1","issued":{"date-parts":[["2015","10"]]},"page":"1-48","title":"Fitting Linear Mixed-Effects Models Using lme4","type":"article-journal","volume":"67"},"uris":["http://www.mendeley.com/documents/?uuid=7f4118ca-620e-452d-b39b-65c4f7e9a980"]}],"mendeley":{"formattedCitation":"(Bates et al., 2015)","plainTextFormattedCitation":"(Bates et al., 2015)","previouslyFormattedCitation":"(Bates et al., 2015)"},"properties":{"noteIndex":0},"schema":"https://github.com/citation-style-language/schema/raw/master/csl-citation.json"}</w:instrText>
      </w:r>
      <w:r w:rsidRPr="00F10F41">
        <w:rPr>
          <w:rFonts w:ascii="Arial" w:hAnsi="Arial" w:cs="Arial"/>
          <w:color w:val="000000" w:themeColor="text1"/>
          <w:sz w:val="22"/>
          <w:szCs w:val="22"/>
        </w:rPr>
        <w:fldChar w:fldCharType="separate"/>
      </w:r>
      <w:r w:rsidR="00EB556F" w:rsidRPr="00F10F41">
        <w:rPr>
          <w:rFonts w:ascii="Arial" w:hAnsi="Arial" w:cs="Arial"/>
          <w:noProof/>
          <w:color w:val="000000" w:themeColor="text1"/>
          <w:sz w:val="22"/>
          <w:szCs w:val="22"/>
        </w:rPr>
        <w:t>(Bates et al., 2015)</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w:t>
      </w:r>
      <w:r w:rsidR="00B368EE" w:rsidRPr="00F10F41">
        <w:rPr>
          <w:rFonts w:ascii="Arial" w:hAnsi="Arial" w:cs="Arial"/>
          <w:color w:val="000000" w:themeColor="text1"/>
          <w:sz w:val="22"/>
          <w:szCs w:val="22"/>
        </w:rPr>
        <w:t xml:space="preserve">Consistent with our </w:t>
      </w:r>
      <w:proofErr w:type="spellStart"/>
      <w:r w:rsidR="00066591" w:rsidRPr="00F10F41">
        <w:rPr>
          <w:rFonts w:ascii="Arial" w:hAnsi="Arial" w:cs="Arial"/>
          <w:color w:val="000000" w:themeColor="text1"/>
          <w:sz w:val="22"/>
          <w:szCs w:val="22"/>
        </w:rPr>
        <w:t>SwE</w:t>
      </w:r>
      <w:proofErr w:type="spellEnd"/>
      <w:r w:rsidR="00066591" w:rsidRPr="00F10F41">
        <w:rPr>
          <w:rFonts w:ascii="Arial" w:hAnsi="Arial" w:cs="Arial"/>
          <w:color w:val="000000" w:themeColor="text1"/>
          <w:sz w:val="22"/>
          <w:szCs w:val="22"/>
        </w:rPr>
        <w:t xml:space="preserve"> </w:t>
      </w:r>
      <w:r w:rsidR="00B368EE" w:rsidRPr="00F10F41">
        <w:rPr>
          <w:rFonts w:ascii="Arial" w:hAnsi="Arial" w:cs="Arial"/>
          <w:color w:val="000000" w:themeColor="text1"/>
          <w:sz w:val="22"/>
          <w:szCs w:val="22"/>
        </w:rPr>
        <w:t>models, t</w:t>
      </w:r>
      <w:r w:rsidRPr="00F10F41">
        <w:rPr>
          <w:rFonts w:ascii="Arial" w:hAnsi="Arial" w:cs="Arial"/>
          <w:color w:val="000000" w:themeColor="text1"/>
          <w:sz w:val="22"/>
          <w:szCs w:val="22"/>
        </w:rPr>
        <w:t xml:space="preserve">he LME </w:t>
      </w:r>
      <w:r w:rsidRPr="00F10F41">
        <w:rPr>
          <w:rFonts w:ascii="Arial" w:hAnsi="Arial" w:cs="Arial"/>
          <w:color w:val="000000" w:themeColor="text1"/>
          <w:sz w:val="22"/>
          <w:szCs w:val="22"/>
        </w:rPr>
        <w:lastRenderedPageBreak/>
        <w:t>model</w:t>
      </w:r>
      <w:r w:rsidR="00AE2919" w:rsidRPr="00F10F41">
        <w:rPr>
          <w:rFonts w:ascii="Arial" w:hAnsi="Arial" w:cs="Arial"/>
          <w:color w:val="000000" w:themeColor="text1"/>
          <w:sz w:val="22"/>
          <w:szCs w:val="22"/>
        </w:rPr>
        <w:t>s</w:t>
      </w:r>
      <w:r w:rsidRPr="00F10F41">
        <w:rPr>
          <w:rFonts w:ascii="Arial" w:hAnsi="Arial" w:cs="Arial"/>
          <w:color w:val="000000" w:themeColor="text1"/>
          <w:sz w:val="22"/>
          <w:szCs w:val="22"/>
        </w:rPr>
        <w:t xml:space="preserve"> included</w:t>
      </w:r>
      <w:r w:rsidR="00A90A3C" w:rsidRPr="00F10F41">
        <w:rPr>
          <w:rFonts w:ascii="Arial" w:hAnsi="Arial" w:cs="Arial"/>
          <w:color w:val="000000" w:themeColor="text1"/>
          <w:sz w:val="22"/>
          <w:szCs w:val="22"/>
        </w:rPr>
        <w:t xml:space="preserve"> a</w:t>
      </w:r>
      <w:r w:rsidRPr="00F10F41">
        <w:rPr>
          <w:rFonts w:ascii="Arial" w:hAnsi="Arial" w:cs="Arial"/>
          <w:color w:val="000000" w:themeColor="text1"/>
          <w:sz w:val="22"/>
          <w:szCs w:val="22"/>
        </w:rPr>
        <w:t xml:space="preserve"> random intercept for each subject, </w:t>
      </w:r>
      <w:r w:rsidR="003543F1" w:rsidRPr="00F10F41">
        <w:rPr>
          <w:rFonts w:ascii="Arial" w:hAnsi="Arial" w:cs="Arial"/>
          <w:color w:val="000000" w:themeColor="text1"/>
          <w:sz w:val="22"/>
          <w:szCs w:val="22"/>
        </w:rPr>
        <w:t xml:space="preserve">and </w:t>
      </w:r>
      <w:r w:rsidRPr="00F10F41">
        <w:rPr>
          <w:rFonts w:ascii="Arial" w:hAnsi="Arial" w:cs="Arial"/>
          <w:color w:val="000000" w:themeColor="text1"/>
          <w:sz w:val="22"/>
          <w:szCs w:val="22"/>
        </w:rPr>
        <w:t>fixed effects of</w:t>
      </w:r>
      <w:r w:rsidR="001F6099" w:rsidRPr="00F10F41">
        <w:rPr>
          <w:rFonts w:ascii="Arial" w:hAnsi="Arial" w:cs="Arial"/>
          <w:color w:val="000000" w:themeColor="text1"/>
          <w:sz w:val="22"/>
          <w:szCs w:val="22"/>
        </w:rPr>
        <w:t xml:space="preserve"> demeaned averaged age, </w:t>
      </w:r>
      <w:r w:rsidR="001E59FB" w:rsidRPr="00F10F41">
        <w:rPr>
          <w:rFonts w:ascii="Arial" w:hAnsi="Arial" w:cs="Arial"/>
          <w:color w:val="000000" w:themeColor="text1"/>
          <w:sz w:val="22"/>
          <w:szCs w:val="22"/>
        </w:rPr>
        <w:t>demeaned quadratic age,</w:t>
      </w:r>
      <w:r w:rsidR="00EB334F" w:rsidRPr="00F10F41">
        <w:rPr>
          <w:rFonts w:ascii="Arial" w:hAnsi="Arial" w:cs="Arial"/>
          <w:color w:val="000000" w:themeColor="text1"/>
          <w:sz w:val="22"/>
          <w:szCs w:val="22"/>
        </w:rPr>
        <w:t xml:space="preserve"> sex, demeaned years of education</w:t>
      </w:r>
      <w:r w:rsidR="00864E24" w:rsidRPr="00F10F41">
        <w:rPr>
          <w:rFonts w:ascii="Arial" w:hAnsi="Arial" w:cs="Arial"/>
          <w:color w:val="000000" w:themeColor="text1"/>
          <w:sz w:val="22"/>
          <w:szCs w:val="22"/>
        </w:rPr>
        <w:t xml:space="preserve"> and time</w:t>
      </w:r>
      <w:r w:rsidR="004D4E5F" w:rsidRPr="00F10F41">
        <w:rPr>
          <w:rFonts w:ascii="Arial" w:hAnsi="Arial" w:cs="Arial"/>
          <w:color w:val="000000" w:themeColor="text1"/>
          <w:sz w:val="22"/>
          <w:szCs w:val="22"/>
        </w:rPr>
        <w:t xml:space="preserve"> (</w:t>
      </w:r>
      <w:proofErr w:type="gramStart"/>
      <w:r w:rsidR="004D4E5F" w:rsidRPr="00F10F41">
        <w:rPr>
          <w:rFonts w:ascii="Arial" w:hAnsi="Arial" w:cs="Arial"/>
          <w:color w:val="000000" w:themeColor="text1"/>
          <w:sz w:val="22"/>
          <w:szCs w:val="22"/>
        </w:rPr>
        <w:t>i.e.</w:t>
      </w:r>
      <w:proofErr w:type="gramEnd"/>
      <w:r w:rsidR="004D4E5F" w:rsidRPr="00F10F41">
        <w:rPr>
          <w:rFonts w:ascii="Arial" w:hAnsi="Arial" w:cs="Arial"/>
          <w:color w:val="000000" w:themeColor="text1"/>
          <w:sz w:val="22"/>
          <w:szCs w:val="22"/>
        </w:rPr>
        <w:t xml:space="preserve"> </w:t>
      </w:r>
      <w:r w:rsidR="00211EF1" w:rsidRPr="00F10F41">
        <w:rPr>
          <w:rFonts w:ascii="Arial" w:hAnsi="Arial" w:cs="Arial"/>
          <w:color w:val="000000" w:themeColor="text1"/>
          <w:sz w:val="22"/>
          <w:szCs w:val="22"/>
        </w:rPr>
        <w:t xml:space="preserve">the demeaned </w:t>
      </w:r>
      <w:r w:rsidR="004D4E5F" w:rsidRPr="00F10F41">
        <w:rPr>
          <w:rFonts w:ascii="Arial" w:hAnsi="Arial" w:cs="Arial"/>
          <w:color w:val="000000" w:themeColor="text1"/>
          <w:sz w:val="22"/>
          <w:szCs w:val="22"/>
        </w:rPr>
        <w:t>within-subject age)</w:t>
      </w:r>
      <w:r w:rsidR="00864E24" w:rsidRPr="00F10F41">
        <w:rPr>
          <w:rFonts w:ascii="Arial" w:hAnsi="Arial" w:cs="Arial"/>
          <w:color w:val="000000" w:themeColor="text1"/>
          <w:sz w:val="22"/>
          <w:szCs w:val="22"/>
        </w:rPr>
        <w:t>.</w:t>
      </w:r>
      <w:r w:rsidR="00D775F8" w:rsidRPr="00F10F41">
        <w:rPr>
          <w:rFonts w:ascii="Arial" w:hAnsi="Arial" w:cs="Arial"/>
          <w:color w:val="000000" w:themeColor="text1"/>
          <w:sz w:val="22"/>
          <w:szCs w:val="22"/>
        </w:rPr>
        <w:t xml:space="preserve"> </w:t>
      </w:r>
      <w:r w:rsidR="00817D00">
        <w:rPr>
          <w:rFonts w:ascii="Arial" w:hAnsi="Arial" w:cs="Arial"/>
          <w:color w:val="000000" w:themeColor="text1"/>
          <w:sz w:val="22"/>
          <w:szCs w:val="22"/>
        </w:rPr>
        <w:t>WMH</w:t>
      </w:r>
      <w:r w:rsidR="00D768DA">
        <w:rPr>
          <w:rFonts w:ascii="Arial" w:hAnsi="Arial" w:cs="Arial"/>
          <w:color w:val="000000" w:themeColor="text1"/>
          <w:sz w:val="22"/>
          <w:szCs w:val="22"/>
        </w:rPr>
        <w:t xml:space="preserve"> volumes</w:t>
      </w:r>
      <w:r w:rsidR="00817D00">
        <w:rPr>
          <w:rFonts w:ascii="Arial" w:hAnsi="Arial" w:cs="Arial"/>
          <w:color w:val="000000" w:themeColor="text1"/>
          <w:sz w:val="22"/>
          <w:szCs w:val="22"/>
        </w:rPr>
        <w:t xml:space="preserve"> were also included as additional covariates in our analyses on FA, MD and RD.</w:t>
      </w:r>
    </w:p>
    <w:p w14:paraId="19D8B1C0" w14:textId="77777777" w:rsidR="005C0643" w:rsidRPr="00F10F41" w:rsidRDefault="005C0643" w:rsidP="00AB1AE7">
      <w:pPr>
        <w:spacing w:line="360" w:lineRule="auto"/>
        <w:jc w:val="both"/>
        <w:rPr>
          <w:rFonts w:ascii="Arial" w:hAnsi="Arial" w:cs="Arial"/>
          <w:color w:val="000000" w:themeColor="text1"/>
          <w:sz w:val="22"/>
          <w:szCs w:val="22"/>
        </w:rPr>
      </w:pPr>
    </w:p>
    <w:p w14:paraId="5328A835" w14:textId="6DDA74CD" w:rsidR="002A3F16" w:rsidRPr="00F10F41" w:rsidRDefault="00924730" w:rsidP="00AB1AE7">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 xml:space="preserve">As the EYO was derived based on the participant’s age, both measures were expected to be correlated (r = -0.3, p &lt; 0.01; Supplementary Figure </w:t>
      </w:r>
      <w:r w:rsidR="003D70B0" w:rsidRPr="00F10F41">
        <w:rPr>
          <w:rFonts w:ascii="Arial" w:hAnsi="Arial" w:cs="Arial"/>
          <w:color w:val="000000" w:themeColor="text1"/>
          <w:sz w:val="22"/>
          <w:szCs w:val="22"/>
        </w:rPr>
        <w:t>2</w:t>
      </w:r>
      <w:r w:rsidRPr="00F10F41">
        <w:rPr>
          <w:rFonts w:ascii="Arial" w:hAnsi="Arial" w:cs="Arial"/>
          <w:color w:val="000000" w:themeColor="text1"/>
          <w:sz w:val="22"/>
          <w:szCs w:val="22"/>
        </w:rPr>
        <w:t xml:space="preserve">). </w:t>
      </w:r>
      <w:r w:rsidR="007A293D" w:rsidRPr="00F10F41">
        <w:rPr>
          <w:rFonts w:ascii="Arial" w:hAnsi="Arial" w:cs="Arial"/>
          <w:color w:val="000000" w:themeColor="text1"/>
          <w:sz w:val="22"/>
          <w:szCs w:val="22"/>
        </w:rPr>
        <w:t xml:space="preserve">We also took extra caution to verify the absence of multicollinearity in our models by calculating  variance inflation factors (VIF) using the </w:t>
      </w:r>
      <w:r w:rsidR="007A293D" w:rsidRPr="00F10F41">
        <w:rPr>
          <w:rFonts w:ascii="Arial" w:hAnsi="Arial" w:cs="Arial"/>
          <w:i/>
          <w:iCs/>
          <w:color w:val="000000" w:themeColor="text1"/>
          <w:sz w:val="22"/>
          <w:szCs w:val="22"/>
        </w:rPr>
        <w:t xml:space="preserve">CAR </w:t>
      </w:r>
      <w:r w:rsidR="007A293D" w:rsidRPr="00F10F41">
        <w:rPr>
          <w:rFonts w:ascii="Arial" w:hAnsi="Arial" w:cs="Arial"/>
          <w:color w:val="000000" w:themeColor="text1"/>
          <w:sz w:val="22"/>
          <w:szCs w:val="22"/>
        </w:rPr>
        <w:t xml:space="preserve">package </w:t>
      </w:r>
      <w:r w:rsidR="007A293D" w:rsidRPr="00F10F41">
        <w:rPr>
          <w:rFonts w:ascii="Arial" w:hAnsi="Arial" w:cs="Arial"/>
          <w:color w:val="000000" w:themeColor="text1"/>
          <w:sz w:val="22"/>
          <w:szCs w:val="22"/>
        </w:rPr>
        <w:fldChar w:fldCharType="begin" w:fldLock="1"/>
      </w:r>
      <w:r w:rsidR="007A293D" w:rsidRPr="00F10F41">
        <w:rPr>
          <w:rFonts w:ascii="Arial" w:hAnsi="Arial" w:cs="Arial"/>
          <w:color w:val="000000" w:themeColor="text1"/>
          <w:sz w:val="22"/>
          <w:szCs w:val="22"/>
        </w:rPr>
        <w:instrText xml:space="preserve">ADDIN CSL_CITATION {"citationItems":[{"id":"ITEM-1","itemData":{"DOI":"10.1080/01621459.1992.10475190","ISSN":"1537274X","abstract":"Working in the context of the linear model y = Xβ + ε, we generalize the concept of variance inflation as a measure of collinearity to a subset of parameters in β (denoted by β1, with the associated columns of X given by X1). The essential idea underlying this generalization is to examine the impact on the precision of estimation—in particular, the size of an ellipsoidal joint confidence region for β1—of less-than-optimal selection of other columns of the design matrix (X2), treating still other columns (X0) as unalterable, even hypothetically. In typical applications, X1contains a set of dummy regressors coding categories of a qualitative variable or a set of polynomial regressors in a quantitative variable; X2contains all other regressors in the model, save the constant, which is in X0. If σ2V denotes the realized variance of (Equation presented), and σ2U is the variance associated with an optimal selection of X2, then the corresponding scaled dispersion ellipsoids to be compared are </w:instrText>
      </w:r>
      <w:r w:rsidR="007A293D" w:rsidRPr="00F10F41">
        <w:rPr>
          <w:rFonts w:ascii="Cambria Math" w:hAnsi="Cambria Math" w:cs="Cambria Math"/>
          <w:color w:val="000000" w:themeColor="text1"/>
          <w:sz w:val="22"/>
          <w:szCs w:val="22"/>
        </w:rPr>
        <w:instrText>ℰ</w:instrText>
      </w:r>
      <w:r w:rsidR="007A293D" w:rsidRPr="00F10F41">
        <w:rPr>
          <w:rFonts w:ascii="Arial" w:hAnsi="Arial" w:cs="Arial"/>
          <w:color w:val="000000" w:themeColor="text1"/>
          <w:sz w:val="22"/>
          <w:szCs w:val="22"/>
        </w:rPr>
        <w:instrText xml:space="preserve">v= (x: x′V–1x ≤ 1) and </w:instrText>
      </w:r>
      <w:r w:rsidR="007A293D" w:rsidRPr="00F10F41">
        <w:rPr>
          <w:rFonts w:ascii="Cambria Math" w:hAnsi="Cambria Math" w:cs="Cambria Math"/>
          <w:color w:val="000000" w:themeColor="text1"/>
          <w:sz w:val="22"/>
          <w:szCs w:val="22"/>
        </w:rPr>
        <w:instrText>ℰ</w:instrText>
      </w:r>
      <w:r w:rsidR="007A293D" w:rsidRPr="00F10F41">
        <w:rPr>
          <w:rFonts w:ascii="Arial" w:hAnsi="Arial" w:cs="Arial"/>
          <w:color w:val="000000" w:themeColor="text1"/>
          <w:sz w:val="22"/>
          <w:szCs w:val="22"/>
        </w:rPr>
        <w:instrText xml:space="preserve">U= (x: x′U–1x ≤ 1), where </w:instrText>
      </w:r>
      <w:r w:rsidR="007A293D" w:rsidRPr="00F10F41">
        <w:rPr>
          <w:rFonts w:ascii="Cambria Math" w:hAnsi="Cambria Math" w:cs="Cambria Math"/>
          <w:color w:val="000000" w:themeColor="text1"/>
          <w:sz w:val="22"/>
          <w:szCs w:val="22"/>
        </w:rPr>
        <w:instrText>ℰ</w:instrText>
      </w:r>
      <w:r w:rsidR="007A293D" w:rsidRPr="00F10F41">
        <w:rPr>
          <w:rFonts w:ascii="Arial" w:hAnsi="Arial" w:cs="Arial"/>
          <w:color w:val="000000" w:themeColor="text1"/>
          <w:sz w:val="22"/>
          <w:szCs w:val="22"/>
        </w:rPr>
        <w:instrText xml:space="preserve">Uis contained in </w:instrText>
      </w:r>
      <w:r w:rsidR="007A293D" w:rsidRPr="00F10F41">
        <w:rPr>
          <w:rFonts w:ascii="Cambria Math" w:hAnsi="Cambria Math" w:cs="Cambria Math"/>
          <w:color w:val="000000" w:themeColor="text1"/>
          <w:sz w:val="22"/>
          <w:szCs w:val="22"/>
        </w:rPr>
        <w:instrText>ℰ</w:instrText>
      </w:r>
      <w:r w:rsidR="007A293D" w:rsidRPr="00F10F41">
        <w:rPr>
          <w:rFonts w:ascii="Arial" w:hAnsi="Arial" w:cs="Arial"/>
          <w:color w:val="000000" w:themeColor="text1"/>
          <w:sz w:val="22"/>
          <w:szCs w:val="22"/>
        </w:rPr>
        <w:instrText xml:space="preserve">v. The two ellipsoids can be compared by considering the radii of </w:instrText>
      </w:r>
      <w:r w:rsidR="007A293D" w:rsidRPr="00F10F41">
        <w:rPr>
          <w:rFonts w:ascii="Cambria Math" w:hAnsi="Cambria Math" w:cs="Cambria Math"/>
          <w:color w:val="000000" w:themeColor="text1"/>
          <w:sz w:val="22"/>
          <w:szCs w:val="22"/>
        </w:rPr>
        <w:instrText>ℰ</w:instrText>
      </w:r>
      <w:r w:rsidR="007A293D" w:rsidRPr="00F10F41">
        <w:rPr>
          <w:rFonts w:ascii="Arial" w:hAnsi="Arial" w:cs="Arial"/>
          <w:color w:val="000000" w:themeColor="text1"/>
          <w:sz w:val="22"/>
          <w:szCs w:val="22"/>
        </w:rPr>
        <w:instrText xml:space="preserve">vrelative to </w:instrText>
      </w:r>
      <w:r w:rsidR="007A293D" w:rsidRPr="00F10F41">
        <w:rPr>
          <w:rFonts w:ascii="Cambria Math" w:hAnsi="Cambria Math" w:cs="Cambria Math"/>
          <w:color w:val="000000" w:themeColor="text1"/>
          <w:sz w:val="22"/>
          <w:szCs w:val="22"/>
        </w:rPr>
        <w:instrText>ℰ</w:instrText>
      </w:r>
      <w:r w:rsidR="007A293D" w:rsidRPr="00F10F41">
        <w:rPr>
          <w:rFonts w:ascii="Arial" w:hAnsi="Arial" w:cs="Arial"/>
          <w:color w:val="000000" w:themeColor="text1"/>
          <w:sz w:val="22"/>
          <w:szCs w:val="22"/>
        </w:rPr>
        <w:instrText>U, obtained through the spectral decomposition of V relative to U. We proceed to explore the geometry of generalized variance inflation, to show the relationship of these measures to correlation-matrix determinants and canonical correlations, to consider X matrices structured by relations of marginality among regressor subspaces, to develop the relationship of generalized variance inflation to hypothesis tests in the multivariate normal linear model, and to present several examples. © 1992 Taylor &amp; Francis Group, LLC.","author":[{"dropping-particle":"","family":"Fox","given":"John","non-dropping-particle":"","parse-names":false,"suffix":""},{"dropping-particle":"","family":"Monette","given":"Georges","non-dropping-particle":"","parse-names":false,"suffix":""}],"container-title":"Journal of the American Statistical Association","id":"ITEM-1","issued":{"date-parts":[["1992"]]},"title":"Generalized collinearity diagnostics","type":"article-journal"},"uris":["http://www.mendeley.com/documents/?uuid=d02c950f-b742-4a6e-aedd-97ab64742b6a","http://www.mendeley.com/documents/?uuid=a41de442-8a85-4b0f-bfe0-d3576aabb029"]},{"id":"ITEM-2","itemData":{"ISBN":"9781544336473","ISSN":"9781412975148","abstract":"This is a broad introduction to the R statistical computing environment in the context of applied regression analysis. It is a thoroughly updated edition of John Fox’s bestselling text An R and S-Plus Companion to Applied Regression (SAGE, 2002). The Second Edition is intended as a companion to any course on modern applied regression analysis. The authors provide a step-by-step guide to using the high-quality free statistical software R, an emphasis on integrating statistical computing in R with the practice of data analysis, coverage of generalized linear models, enhanced coverage of R graphics and programming, and substantial web-based support materials.","author":[{"dropping-particle":"","family":"Fox","given":"John","non-dropping-particle":"","parse-names":false,"suffix":""},{"dropping-particle":"","family":"Weisberg","given":"Sanford","non-dropping-particle":"","parse-names":false,"suffix":""}],"container-title":"Thousand Oaks CA: Sage.","id":"ITEM-2","issued":{"date-parts":[["2019"]]},"title":"CAR - An R Companion to Applied Regression","type":"book"},"uris":["http://www.mendeley.com/documents/?uuid=c4db9e25-5c8e-4b31-b36d-a8cef3324937","http://www.mendeley.com/documents/?uuid=4cd3534b-ee1d-4bf0-9eef-a72f2c4e2133"]}],"mendeley":{"formattedCitation":"(Fox and Monette, 1992; Fox and Weisberg, 2019)","plainTextFormattedCitation":"(Fox and Monette, 1992; Fox and Weisberg, 2019)","previouslyFormattedCitation":"(Fox and Monette, 1992; Fox and Weisberg, 2019)"},"properties":{"noteIndex":0},"schema":"https://github.com/citation-style-language/schema/raw/master/csl-citation.json"}</w:instrText>
      </w:r>
      <w:r w:rsidR="007A293D" w:rsidRPr="00F10F41">
        <w:rPr>
          <w:rFonts w:ascii="Arial" w:hAnsi="Arial" w:cs="Arial"/>
          <w:color w:val="000000" w:themeColor="text1"/>
          <w:sz w:val="22"/>
          <w:szCs w:val="22"/>
        </w:rPr>
        <w:fldChar w:fldCharType="separate"/>
      </w:r>
      <w:r w:rsidR="007A293D" w:rsidRPr="00F10F41">
        <w:rPr>
          <w:rFonts w:ascii="Arial" w:hAnsi="Arial" w:cs="Arial"/>
          <w:noProof/>
          <w:color w:val="000000" w:themeColor="text1"/>
          <w:sz w:val="22"/>
          <w:szCs w:val="22"/>
        </w:rPr>
        <w:t>(Fox and Monette, 1992; Fox and Weisberg, 2019)</w:t>
      </w:r>
      <w:r w:rsidR="007A293D" w:rsidRPr="00F10F41">
        <w:rPr>
          <w:rFonts w:ascii="Arial" w:hAnsi="Arial" w:cs="Arial"/>
          <w:color w:val="000000" w:themeColor="text1"/>
          <w:sz w:val="22"/>
          <w:szCs w:val="22"/>
        </w:rPr>
        <w:fldChar w:fldCharType="end"/>
      </w:r>
      <w:r w:rsidR="007A293D" w:rsidRPr="00F10F41">
        <w:rPr>
          <w:rFonts w:ascii="Arial" w:hAnsi="Arial" w:cs="Arial"/>
          <w:color w:val="000000" w:themeColor="text1"/>
          <w:sz w:val="22"/>
          <w:szCs w:val="22"/>
        </w:rPr>
        <w:t xml:space="preserve">. </w:t>
      </w:r>
      <w:r w:rsidR="001C744D">
        <w:rPr>
          <w:rFonts w:ascii="Arial" w:hAnsi="Arial" w:cs="Arial"/>
          <w:color w:val="000000" w:themeColor="text1"/>
          <w:sz w:val="22"/>
          <w:szCs w:val="22"/>
        </w:rPr>
        <w:t>Finally, t</w:t>
      </w:r>
      <w:r w:rsidR="000E3540" w:rsidRPr="00F10F41">
        <w:rPr>
          <w:rFonts w:ascii="Arial" w:hAnsi="Arial" w:cs="Arial"/>
          <w:color w:val="000000" w:themeColor="text1"/>
          <w:sz w:val="22"/>
          <w:szCs w:val="22"/>
        </w:rPr>
        <w:t xml:space="preserve">wo sets of </w:t>
      </w:r>
      <w:r w:rsidR="00D46AD4" w:rsidRPr="00F10F41">
        <w:rPr>
          <w:rFonts w:ascii="Arial" w:hAnsi="Arial" w:cs="Arial"/>
          <w:color w:val="000000" w:themeColor="text1"/>
          <w:sz w:val="22"/>
          <w:szCs w:val="22"/>
        </w:rPr>
        <w:t>sensitivity</w:t>
      </w:r>
      <w:r w:rsidR="00573D12" w:rsidRPr="00F10F41">
        <w:rPr>
          <w:rFonts w:ascii="Arial" w:hAnsi="Arial" w:cs="Arial"/>
          <w:color w:val="000000" w:themeColor="text1"/>
          <w:sz w:val="22"/>
          <w:szCs w:val="22"/>
        </w:rPr>
        <w:t xml:space="preserve"> analys</w:t>
      </w:r>
      <w:r w:rsidR="000E3540" w:rsidRPr="00F10F41">
        <w:rPr>
          <w:rFonts w:ascii="Arial" w:hAnsi="Arial" w:cs="Arial"/>
          <w:color w:val="000000" w:themeColor="text1"/>
          <w:sz w:val="22"/>
          <w:szCs w:val="22"/>
        </w:rPr>
        <w:t>e</w:t>
      </w:r>
      <w:r w:rsidR="00573D12" w:rsidRPr="00F10F41">
        <w:rPr>
          <w:rFonts w:ascii="Arial" w:hAnsi="Arial" w:cs="Arial"/>
          <w:color w:val="000000" w:themeColor="text1"/>
          <w:sz w:val="22"/>
          <w:szCs w:val="22"/>
        </w:rPr>
        <w:t>s</w:t>
      </w:r>
      <w:r w:rsidR="000E3540" w:rsidRPr="00F10F41">
        <w:rPr>
          <w:rFonts w:ascii="Arial" w:hAnsi="Arial" w:cs="Arial"/>
          <w:color w:val="000000" w:themeColor="text1"/>
          <w:sz w:val="22"/>
          <w:szCs w:val="22"/>
        </w:rPr>
        <w:t xml:space="preserve"> were conducted to examine the robustness of </w:t>
      </w:r>
      <w:r w:rsidR="00C71F2F" w:rsidRPr="00F10F41">
        <w:rPr>
          <w:rFonts w:ascii="Arial" w:hAnsi="Arial" w:cs="Arial"/>
          <w:color w:val="000000" w:themeColor="text1"/>
          <w:sz w:val="22"/>
          <w:szCs w:val="22"/>
        </w:rPr>
        <w:t>the</w:t>
      </w:r>
      <w:r w:rsidR="000E3540" w:rsidRPr="00F10F41">
        <w:rPr>
          <w:rFonts w:ascii="Arial" w:hAnsi="Arial" w:cs="Arial"/>
          <w:color w:val="000000" w:themeColor="text1"/>
          <w:sz w:val="22"/>
          <w:szCs w:val="22"/>
        </w:rPr>
        <w:t xml:space="preserve"> </w:t>
      </w:r>
      <w:r w:rsidR="00C71F2F" w:rsidRPr="00F10F41">
        <w:rPr>
          <w:rFonts w:ascii="Arial" w:hAnsi="Arial" w:cs="Arial"/>
          <w:color w:val="000000" w:themeColor="text1"/>
          <w:sz w:val="22"/>
          <w:szCs w:val="22"/>
        </w:rPr>
        <w:t xml:space="preserve">significant </w:t>
      </w:r>
      <w:r w:rsidR="000E3540" w:rsidRPr="00F10F41">
        <w:rPr>
          <w:rFonts w:ascii="Arial" w:hAnsi="Arial" w:cs="Arial"/>
          <w:color w:val="000000" w:themeColor="text1"/>
          <w:sz w:val="22"/>
          <w:szCs w:val="22"/>
        </w:rPr>
        <w:t xml:space="preserve">EYO </w:t>
      </w:r>
      <w:r w:rsidR="00DF3502" w:rsidRPr="00F10F41">
        <w:rPr>
          <w:rFonts w:ascii="Arial" w:hAnsi="Arial" w:cs="Arial"/>
          <w:color w:val="000000" w:themeColor="text1"/>
          <w:sz w:val="22"/>
          <w:szCs w:val="22"/>
        </w:rPr>
        <w:t>associations</w:t>
      </w:r>
      <w:r w:rsidR="000E3540" w:rsidRPr="00F10F41">
        <w:rPr>
          <w:rFonts w:ascii="Arial" w:hAnsi="Arial" w:cs="Arial"/>
          <w:color w:val="000000" w:themeColor="text1"/>
          <w:sz w:val="22"/>
          <w:szCs w:val="22"/>
        </w:rPr>
        <w:t xml:space="preserve"> against </w:t>
      </w:r>
      <w:r w:rsidR="0084342B" w:rsidRPr="00F10F41">
        <w:rPr>
          <w:rFonts w:ascii="Arial" w:hAnsi="Arial" w:cs="Arial"/>
          <w:color w:val="000000" w:themeColor="text1"/>
          <w:sz w:val="22"/>
          <w:szCs w:val="22"/>
        </w:rPr>
        <w:t>chronological age</w:t>
      </w:r>
      <w:r w:rsidR="000E3540" w:rsidRPr="00F10F41">
        <w:rPr>
          <w:rFonts w:ascii="Arial" w:hAnsi="Arial" w:cs="Arial"/>
          <w:color w:val="000000" w:themeColor="text1"/>
          <w:sz w:val="22"/>
          <w:szCs w:val="22"/>
        </w:rPr>
        <w:t xml:space="preserve">. First, we repeated all </w:t>
      </w:r>
      <w:r w:rsidR="003355F7" w:rsidRPr="00F10F41">
        <w:rPr>
          <w:rFonts w:ascii="Arial" w:hAnsi="Arial" w:cs="Arial"/>
          <w:color w:val="000000" w:themeColor="text1"/>
          <w:sz w:val="22"/>
          <w:szCs w:val="22"/>
        </w:rPr>
        <w:t xml:space="preserve">significant </w:t>
      </w:r>
      <w:r w:rsidR="000E3540" w:rsidRPr="00F10F41">
        <w:rPr>
          <w:rFonts w:ascii="Arial" w:hAnsi="Arial" w:cs="Arial"/>
          <w:color w:val="000000" w:themeColor="text1"/>
          <w:sz w:val="22"/>
          <w:szCs w:val="22"/>
        </w:rPr>
        <w:t xml:space="preserve">LME and </w:t>
      </w:r>
      <w:proofErr w:type="spellStart"/>
      <w:r w:rsidR="00875244" w:rsidRPr="00F10F41">
        <w:rPr>
          <w:rFonts w:ascii="Arial" w:hAnsi="Arial" w:cs="Arial"/>
          <w:color w:val="000000" w:themeColor="text1"/>
          <w:sz w:val="22"/>
          <w:szCs w:val="22"/>
        </w:rPr>
        <w:t>SwE</w:t>
      </w:r>
      <w:proofErr w:type="spellEnd"/>
      <w:r w:rsidR="000E3540" w:rsidRPr="00F10F41">
        <w:rPr>
          <w:rFonts w:ascii="Arial" w:hAnsi="Arial" w:cs="Arial"/>
          <w:color w:val="000000" w:themeColor="text1"/>
          <w:sz w:val="22"/>
          <w:szCs w:val="22"/>
        </w:rPr>
        <w:t xml:space="preserve"> models while s</w:t>
      </w:r>
      <w:r w:rsidR="00573D12" w:rsidRPr="00F10F41">
        <w:rPr>
          <w:rFonts w:ascii="Arial" w:hAnsi="Arial" w:cs="Arial"/>
          <w:color w:val="000000" w:themeColor="text1"/>
          <w:sz w:val="22"/>
          <w:szCs w:val="22"/>
        </w:rPr>
        <w:t>ubstituting</w:t>
      </w:r>
      <w:r w:rsidR="00101B4F" w:rsidRPr="00F10F41">
        <w:rPr>
          <w:rFonts w:ascii="Arial" w:hAnsi="Arial" w:cs="Arial"/>
          <w:color w:val="000000" w:themeColor="text1"/>
          <w:sz w:val="22"/>
          <w:szCs w:val="22"/>
        </w:rPr>
        <w:t xml:space="preserve"> the</w:t>
      </w:r>
      <w:r w:rsidR="00573D12" w:rsidRPr="00F10F41">
        <w:rPr>
          <w:rFonts w:ascii="Arial" w:hAnsi="Arial" w:cs="Arial"/>
          <w:color w:val="000000" w:themeColor="text1"/>
          <w:sz w:val="22"/>
          <w:szCs w:val="22"/>
        </w:rPr>
        <w:t xml:space="preserve"> EYO </w:t>
      </w:r>
      <w:r w:rsidR="00AA0903">
        <w:rPr>
          <w:rFonts w:ascii="Arial" w:hAnsi="Arial" w:cs="Arial"/>
          <w:color w:val="000000" w:themeColor="text1"/>
          <w:sz w:val="22"/>
          <w:szCs w:val="22"/>
        </w:rPr>
        <w:t xml:space="preserve">variable </w:t>
      </w:r>
      <w:r w:rsidR="00573D12" w:rsidRPr="00F10F41">
        <w:rPr>
          <w:rFonts w:ascii="Arial" w:hAnsi="Arial" w:cs="Arial"/>
          <w:color w:val="000000" w:themeColor="text1"/>
          <w:sz w:val="22"/>
          <w:szCs w:val="22"/>
        </w:rPr>
        <w:t xml:space="preserve">with </w:t>
      </w:r>
      <w:proofErr w:type="gramStart"/>
      <w:r w:rsidR="00573D12" w:rsidRPr="00F10F41">
        <w:rPr>
          <w:rFonts w:ascii="Arial" w:hAnsi="Arial" w:cs="Arial"/>
          <w:color w:val="000000" w:themeColor="text1"/>
          <w:sz w:val="22"/>
          <w:szCs w:val="22"/>
        </w:rPr>
        <w:t xml:space="preserve">age </w:t>
      </w:r>
      <w:r w:rsidR="00A81EF2" w:rsidRPr="00F10F41">
        <w:rPr>
          <w:rFonts w:ascii="Arial" w:hAnsi="Arial" w:cs="Arial"/>
          <w:color w:val="000000" w:themeColor="text1"/>
          <w:sz w:val="22"/>
          <w:szCs w:val="22"/>
        </w:rPr>
        <w:t>.</w:t>
      </w:r>
      <w:proofErr w:type="gramEnd"/>
      <w:r w:rsidR="00AC7B74" w:rsidRPr="00F10F41">
        <w:rPr>
          <w:rFonts w:ascii="Arial" w:hAnsi="Arial" w:cs="Arial"/>
          <w:color w:val="000000" w:themeColor="text1"/>
          <w:sz w:val="22"/>
          <w:szCs w:val="22"/>
        </w:rPr>
        <w:t xml:space="preserve"> Secondly,</w:t>
      </w:r>
      <w:r w:rsidR="00CC7159" w:rsidRPr="00F10F41">
        <w:rPr>
          <w:rFonts w:ascii="Arial" w:hAnsi="Arial" w:cs="Arial"/>
          <w:color w:val="000000" w:themeColor="text1"/>
          <w:sz w:val="22"/>
          <w:szCs w:val="22"/>
        </w:rPr>
        <w:t xml:space="preserve"> </w:t>
      </w:r>
      <w:r w:rsidR="002A3F16" w:rsidRPr="00F10F41">
        <w:rPr>
          <w:rFonts w:ascii="Arial" w:hAnsi="Arial" w:cs="Arial"/>
          <w:color w:val="000000" w:themeColor="text1"/>
          <w:sz w:val="22"/>
          <w:szCs w:val="22"/>
        </w:rPr>
        <w:t xml:space="preserve">to compare the relative contributions of age, EYO and </w:t>
      </w:r>
      <w:r w:rsidR="002A3F16" w:rsidRPr="00FB42D8">
        <w:rPr>
          <w:rFonts w:ascii="Arial" w:hAnsi="Arial" w:cs="Arial"/>
          <w:color w:val="000000" w:themeColor="text1"/>
          <w:sz w:val="22"/>
          <w:szCs w:val="22"/>
          <w:shd w:val="clear" w:color="auto" w:fill="FFFFFF"/>
        </w:rPr>
        <w:t>APOE-ε4 </w:t>
      </w:r>
      <w:r w:rsidR="002A3F16" w:rsidRPr="00F10F41">
        <w:rPr>
          <w:rFonts w:ascii="Arial" w:hAnsi="Arial" w:cs="Arial"/>
          <w:color w:val="000000" w:themeColor="text1"/>
          <w:sz w:val="22"/>
          <w:szCs w:val="22"/>
        </w:rPr>
        <w:t xml:space="preserve">status on imaging changes, </w:t>
      </w:r>
      <w:r w:rsidR="00CC7159" w:rsidRPr="00F10F41">
        <w:rPr>
          <w:rFonts w:ascii="Arial" w:hAnsi="Arial" w:cs="Arial"/>
          <w:color w:val="000000" w:themeColor="text1"/>
          <w:sz w:val="22"/>
          <w:szCs w:val="22"/>
        </w:rPr>
        <w:t xml:space="preserve">we </w:t>
      </w:r>
      <w:r w:rsidR="002A3F16" w:rsidRPr="00F10F41">
        <w:rPr>
          <w:rFonts w:ascii="Arial" w:hAnsi="Arial" w:cs="Arial"/>
          <w:color w:val="000000" w:themeColor="text1"/>
          <w:sz w:val="22"/>
          <w:szCs w:val="22"/>
        </w:rPr>
        <w:t>conducted</w:t>
      </w:r>
      <w:r w:rsidR="00F47307" w:rsidRPr="00F10F41">
        <w:rPr>
          <w:rFonts w:ascii="Arial" w:hAnsi="Arial" w:cs="Arial"/>
          <w:color w:val="000000" w:themeColor="text1"/>
          <w:sz w:val="22"/>
          <w:szCs w:val="22"/>
        </w:rPr>
        <w:t xml:space="preserve"> </w:t>
      </w:r>
      <w:r w:rsidR="002A3F16" w:rsidRPr="00F10F41">
        <w:rPr>
          <w:rFonts w:ascii="Arial" w:hAnsi="Arial" w:cs="Arial"/>
          <w:color w:val="000000" w:themeColor="text1"/>
          <w:sz w:val="22"/>
          <w:szCs w:val="22"/>
        </w:rPr>
        <w:t>group comparisons</w:t>
      </w:r>
      <w:r w:rsidR="001770B4" w:rsidRPr="00F10F41">
        <w:rPr>
          <w:rFonts w:ascii="Arial" w:hAnsi="Arial" w:cs="Arial"/>
          <w:color w:val="000000" w:themeColor="text1"/>
          <w:sz w:val="22"/>
          <w:szCs w:val="22"/>
        </w:rPr>
        <w:t xml:space="preserve"> </w:t>
      </w:r>
      <w:r w:rsidR="004447AC" w:rsidRPr="00F10F41">
        <w:rPr>
          <w:rFonts w:ascii="Arial" w:hAnsi="Arial" w:cs="Arial"/>
          <w:color w:val="000000" w:themeColor="text1"/>
          <w:sz w:val="22"/>
          <w:szCs w:val="22"/>
        </w:rPr>
        <w:t xml:space="preserve">of imaging data </w:t>
      </w:r>
      <w:r w:rsidR="00463E6D" w:rsidRPr="00F10F41">
        <w:rPr>
          <w:rFonts w:ascii="Arial" w:hAnsi="Arial" w:cs="Arial"/>
          <w:color w:val="000000" w:themeColor="text1"/>
          <w:sz w:val="22"/>
          <w:szCs w:val="22"/>
        </w:rPr>
        <w:t>between</w:t>
      </w:r>
      <w:r w:rsidR="002A3F16" w:rsidRPr="00F10F41">
        <w:rPr>
          <w:rFonts w:ascii="Arial" w:hAnsi="Arial" w:cs="Arial"/>
          <w:color w:val="000000" w:themeColor="text1"/>
          <w:sz w:val="22"/>
          <w:szCs w:val="22"/>
        </w:rPr>
        <w:t xml:space="preserve"> median-split age</w:t>
      </w:r>
      <w:r w:rsidR="005F6F8A" w:rsidRPr="00F10F41">
        <w:rPr>
          <w:rFonts w:ascii="Arial" w:hAnsi="Arial" w:cs="Arial"/>
          <w:color w:val="000000" w:themeColor="text1"/>
          <w:sz w:val="22"/>
          <w:szCs w:val="22"/>
        </w:rPr>
        <w:t xml:space="preserve"> groups</w:t>
      </w:r>
      <w:r w:rsidR="002A3F16" w:rsidRPr="00F10F41">
        <w:rPr>
          <w:rFonts w:ascii="Arial" w:hAnsi="Arial" w:cs="Arial"/>
          <w:color w:val="000000" w:themeColor="text1"/>
          <w:sz w:val="22"/>
          <w:szCs w:val="22"/>
        </w:rPr>
        <w:t xml:space="preserve">, median-split EYO </w:t>
      </w:r>
      <w:r w:rsidR="005F6F8A" w:rsidRPr="00F10F41">
        <w:rPr>
          <w:rFonts w:ascii="Arial" w:hAnsi="Arial" w:cs="Arial"/>
          <w:color w:val="000000" w:themeColor="text1"/>
          <w:sz w:val="22"/>
          <w:szCs w:val="22"/>
        </w:rPr>
        <w:t xml:space="preserve">groups, </w:t>
      </w:r>
      <w:r w:rsidR="002A3F16" w:rsidRPr="00F10F41">
        <w:rPr>
          <w:rFonts w:ascii="Arial" w:hAnsi="Arial" w:cs="Arial"/>
          <w:color w:val="000000" w:themeColor="text1"/>
          <w:sz w:val="22"/>
          <w:szCs w:val="22"/>
        </w:rPr>
        <w:t xml:space="preserve">and </w:t>
      </w:r>
      <w:r w:rsidR="002A3F16" w:rsidRPr="00FB42D8">
        <w:rPr>
          <w:rFonts w:ascii="Arial" w:hAnsi="Arial" w:cs="Arial"/>
          <w:color w:val="000000" w:themeColor="text1"/>
          <w:sz w:val="22"/>
          <w:szCs w:val="22"/>
          <w:shd w:val="clear" w:color="auto" w:fill="FFFFFF"/>
        </w:rPr>
        <w:t>APOE-ε4 </w:t>
      </w:r>
      <w:r w:rsidR="002A3F16" w:rsidRPr="00F10F41">
        <w:rPr>
          <w:rFonts w:ascii="Arial" w:hAnsi="Arial" w:cs="Arial"/>
          <w:color w:val="000000" w:themeColor="text1"/>
          <w:sz w:val="22"/>
          <w:szCs w:val="22"/>
        </w:rPr>
        <w:t>status</w:t>
      </w:r>
      <w:r w:rsidR="00872E54" w:rsidRPr="00F10F41">
        <w:rPr>
          <w:rFonts w:ascii="Arial" w:hAnsi="Arial" w:cs="Arial"/>
          <w:color w:val="000000" w:themeColor="text1"/>
          <w:sz w:val="22"/>
          <w:szCs w:val="22"/>
        </w:rPr>
        <w:t xml:space="preserve"> using ANCOVA.</w:t>
      </w:r>
    </w:p>
    <w:p w14:paraId="044BC6CF" w14:textId="77777777" w:rsidR="00607733" w:rsidRDefault="00607733" w:rsidP="00AB1AE7">
      <w:pPr>
        <w:spacing w:line="360" w:lineRule="auto"/>
        <w:jc w:val="both"/>
        <w:rPr>
          <w:rFonts w:ascii="Arial" w:hAnsi="Arial" w:cs="Arial"/>
          <w:b/>
          <w:bCs/>
          <w:color w:val="000000" w:themeColor="text1"/>
          <w:sz w:val="26"/>
          <w:szCs w:val="26"/>
        </w:rPr>
      </w:pPr>
    </w:p>
    <w:p w14:paraId="332CB65E" w14:textId="0BD84E98" w:rsidR="00CC4203" w:rsidRPr="00F10F41" w:rsidRDefault="00103763" w:rsidP="00AB1AE7">
      <w:pPr>
        <w:spacing w:line="360" w:lineRule="auto"/>
        <w:jc w:val="both"/>
        <w:rPr>
          <w:rFonts w:ascii="Arial" w:hAnsi="Arial" w:cs="Arial"/>
          <w:b/>
          <w:bCs/>
          <w:color w:val="000000" w:themeColor="text1"/>
          <w:sz w:val="26"/>
          <w:szCs w:val="26"/>
        </w:rPr>
      </w:pPr>
      <w:r w:rsidRPr="00F10F41">
        <w:rPr>
          <w:rFonts w:ascii="Arial" w:hAnsi="Arial" w:cs="Arial"/>
          <w:b/>
          <w:bCs/>
          <w:color w:val="000000" w:themeColor="text1"/>
          <w:sz w:val="26"/>
          <w:szCs w:val="26"/>
        </w:rPr>
        <w:t>Data availability</w:t>
      </w:r>
    </w:p>
    <w:p w14:paraId="0DC3F654" w14:textId="70BFCCF0" w:rsidR="00C46C10" w:rsidRPr="00F10F41" w:rsidRDefault="00CC4203" w:rsidP="00291F72">
      <w:pPr>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Data will be made available upon reasonable requests and for non-commercial reasons.</w:t>
      </w:r>
      <w:r w:rsidR="002B056D" w:rsidRPr="00F10F41">
        <w:rPr>
          <w:rFonts w:ascii="Arial" w:hAnsi="Arial" w:cs="Arial"/>
          <w:color w:val="000000" w:themeColor="text1"/>
          <w:sz w:val="22"/>
          <w:szCs w:val="22"/>
        </w:rPr>
        <w:t xml:space="preserve"> </w:t>
      </w:r>
      <w:r w:rsidR="00C46C10" w:rsidRPr="00F10F41">
        <w:rPr>
          <w:rFonts w:ascii="Arial" w:hAnsi="Arial" w:cs="Arial"/>
          <w:color w:val="000000" w:themeColor="text1"/>
          <w:sz w:val="22"/>
          <w:szCs w:val="22"/>
        </w:rPr>
        <w:t xml:space="preserve">The statistical maps, group templates and other relevant files are available to view on </w:t>
      </w:r>
      <w:proofErr w:type="spellStart"/>
      <w:r w:rsidR="00C46C10" w:rsidRPr="00F10F41">
        <w:rPr>
          <w:rFonts w:ascii="Arial" w:hAnsi="Arial" w:cs="Arial"/>
          <w:color w:val="000000" w:themeColor="text1"/>
          <w:sz w:val="22"/>
          <w:szCs w:val="22"/>
        </w:rPr>
        <w:t>Neurovault</w:t>
      </w:r>
      <w:proofErr w:type="spellEnd"/>
      <w:r w:rsidR="00C46C10" w:rsidRPr="00F10F41">
        <w:rPr>
          <w:rFonts w:ascii="Arial" w:hAnsi="Arial" w:cs="Arial"/>
          <w:color w:val="000000" w:themeColor="text1"/>
          <w:sz w:val="22"/>
          <w:szCs w:val="22"/>
        </w:rPr>
        <w:t xml:space="preserve"> (</w:t>
      </w:r>
      <w:hyperlink r:id="rId14" w:history="1">
        <w:r w:rsidR="00C16315" w:rsidRPr="00F10F41">
          <w:rPr>
            <w:rStyle w:val="Hyperlink"/>
            <w:rFonts w:ascii="Arial" w:hAnsi="Arial" w:cs="Arial"/>
            <w:sz w:val="22"/>
            <w:szCs w:val="22"/>
          </w:rPr>
          <w:t>https://identifiers.org/neurovault.collection:9099</w:t>
        </w:r>
      </w:hyperlink>
      <w:r w:rsidR="00C46C10" w:rsidRPr="00F10F41">
        <w:rPr>
          <w:rFonts w:ascii="Arial" w:hAnsi="Arial" w:cs="Arial"/>
          <w:color w:val="000000" w:themeColor="text1"/>
          <w:sz w:val="22"/>
          <w:szCs w:val="22"/>
        </w:rPr>
        <w:t xml:space="preserve">). </w:t>
      </w:r>
    </w:p>
    <w:p w14:paraId="64452399" w14:textId="77777777" w:rsidR="004952A5" w:rsidRDefault="004952A5" w:rsidP="00AB1AE7">
      <w:pPr>
        <w:spacing w:line="360" w:lineRule="auto"/>
        <w:jc w:val="both"/>
        <w:rPr>
          <w:rFonts w:ascii="Arial" w:hAnsi="Arial" w:cs="Arial"/>
          <w:color w:val="000000" w:themeColor="text1"/>
          <w:sz w:val="22"/>
          <w:szCs w:val="22"/>
        </w:rPr>
      </w:pPr>
    </w:p>
    <w:p w14:paraId="1CE4E752" w14:textId="4C708FFE" w:rsidR="00607733" w:rsidRPr="00F10F41" w:rsidRDefault="00607733" w:rsidP="00607733">
      <w:pPr>
        <w:spacing w:line="360" w:lineRule="auto"/>
        <w:rPr>
          <w:rFonts w:ascii="Arial" w:hAnsi="Arial" w:cs="Arial"/>
          <w:b/>
          <w:bCs/>
          <w:color w:val="000000" w:themeColor="text1"/>
          <w:sz w:val="30"/>
          <w:szCs w:val="30"/>
        </w:rPr>
      </w:pPr>
      <w:r w:rsidRPr="00F10F41">
        <w:rPr>
          <w:rFonts w:ascii="Arial" w:hAnsi="Arial" w:cs="Arial"/>
          <w:b/>
          <w:bCs/>
          <w:color w:val="000000" w:themeColor="text1"/>
          <w:sz w:val="30"/>
          <w:szCs w:val="30"/>
        </w:rPr>
        <w:t>RESULTS</w:t>
      </w:r>
    </w:p>
    <w:p w14:paraId="148AFCA7" w14:textId="77777777" w:rsidR="00607733" w:rsidRPr="00F10F41" w:rsidRDefault="00607733" w:rsidP="00607733">
      <w:pPr>
        <w:tabs>
          <w:tab w:val="left" w:pos="2302"/>
        </w:tabs>
        <w:spacing w:line="360" w:lineRule="auto"/>
        <w:jc w:val="both"/>
        <w:outlineLvl w:val="0"/>
        <w:rPr>
          <w:rFonts w:ascii="Arial" w:hAnsi="Arial" w:cs="Arial"/>
          <w:b/>
          <w:bCs/>
          <w:color w:val="000000" w:themeColor="text1"/>
          <w:sz w:val="26"/>
          <w:szCs w:val="26"/>
        </w:rPr>
      </w:pPr>
      <w:r w:rsidRPr="00F10F41">
        <w:rPr>
          <w:rFonts w:ascii="Arial" w:hAnsi="Arial" w:cs="Arial"/>
          <w:b/>
          <w:bCs/>
          <w:color w:val="000000" w:themeColor="text1"/>
          <w:sz w:val="26"/>
          <w:szCs w:val="26"/>
        </w:rPr>
        <w:t xml:space="preserve">Sample characteristics </w:t>
      </w:r>
    </w:p>
    <w:p w14:paraId="330B3E34" w14:textId="77777777" w:rsidR="00607733" w:rsidRPr="00F10F41" w:rsidRDefault="00607733" w:rsidP="00607733">
      <w:pPr>
        <w:tabs>
          <w:tab w:val="left" w:pos="2302"/>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t xml:space="preserve">Demographic details about the sample with </w:t>
      </w:r>
      <w:r>
        <w:rPr>
          <w:rFonts w:ascii="Arial" w:hAnsi="Arial" w:cs="Arial"/>
          <w:color w:val="000000" w:themeColor="text1"/>
          <w:sz w:val="22"/>
          <w:szCs w:val="22"/>
        </w:rPr>
        <w:t>diffusion</w:t>
      </w:r>
      <w:r w:rsidRPr="00F10F41">
        <w:rPr>
          <w:rFonts w:ascii="Arial" w:hAnsi="Arial" w:cs="Arial"/>
          <w:color w:val="000000" w:themeColor="text1"/>
          <w:sz w:val="22"/>
          <w:szCs w:val="22"/>
        </w:rPr>
        <w:t xml:space="preserve"> imaging datasets are summarised in Table 1. The EYO ranged from 38 years before the parental onset to -3 years after onset. There were no significant differences with regards to age, gender, education years or ACER between the APOE-ε4 carriers and non-carriers.</w:t>
      </w:r>
    </w:p>
    <w:p w14:paraId="13CE10D5" w14:textId="6F4F974A" w:rsidR="00607733" w:rsidRDefault="00607733" w:rsidP="00607733">
      <w:pPr>
        <w:tabs>
          <w:tab w:val="left" w:pos="5220"/>
        </w:tabs>
        <w:spacing w:line="360" w:lineRule="auto"/>
        <w:jc w:val="both"/>
        <w:rPr>
          <w:rFonts w:ascii="Arial" w:hAnsi="Arial" w:cs="Arial"/>
          <w:color w:val="000000" w:themeColor="text1"/>
          <w:sz w:val="22"/>
          <w:szCs w:val="22"/>
        </w:rPr>
      </w:pPr>
      <w:r>
        <w:rPr>
          <w:rFonts w:ascii="Arial" w:hAnsi="Arial" w:cs="Arial"/>
          <w:color w:val="000000" w:themeColor="text1"/>
          <w:sz w:val="22"/>
          <w:szCs w:val="22"/>
        </w:rPr>
        <w:tab/>
      </w:r>
    </w:p>
    <w:p w14:paraId="1991F078" w14:textId="77777777" w:rsidR="00607733" w:rsidRPr="00F10F41" w:rsidRDefault="00607733" w:rsidP="00607733">
      <w:pPr>
        <w:spacing w:line="360" w:lineRule="auto"/>
        <w:jc w:val="both"/>
        <w:rPr>
          <w:rFonts w:ascii="Arial" w:hAnsi="Arial" w:cs="Arial"/>
          <w:b/>
          <w:bCs/>
          <w:color w:val="000000" w:themeColor="text1"/>
          <w:sz w:val="26"/>
          <w:szCs w:val="26"/>
        </w:rPr>
      </w:pPr>
      <w:r w:rsidRPr="00F10F41">
        <w:rPr>
          <w:rFonts w:ascii="Arial" w:hAnsi="Arial" w:cs="Arial"/>
          <w:b/>
          <w:bCs/>
          <w:color w:val="000000" w:themeColor="text1"/>
          <w:sz w:val="26"/>
          <w:szCs w:val="26"/>
        </w:rPr>
        <w:t>Reliability of imaging data across time</w:t>
      </w:r>
    </w:p>
    <w:p w14:paraId="0EC2EA76" w14:textId="396856F6" w:rsidR="00607733" w:rsidRDefault="00607733" w:rsidP="00607733">
      <w:pPr>
        <w:spacing w:line="360" w:lineRule="auto"/>
        <w:jc w:val="both"/>
        <w:rPr>
          <w:rFonts w:ascii="Arial" w:hAnsi="Arial" w:cs="Arial"/>
          <w:color w:val="000000" w:themeColor="text1"/>
          <w:sz w:val="22"/>
          <w:szCs w:val="22"/>
        </w:rPr>
      </w:pPr>
      <w:r w:rsidRPr="00B7571C">
        <w:rPr>
          <w:rFonts w:ascii="Arial" w:hAnsi="Arial" w:cs="Arial"/>
          <w:color w:val="000000" w:themeColor="text1"/>
          <w:sz w:val="22"/>
          <w:szCs w:val="22"/>
        </w:rPr>
        <w:t xml:space="preserve">The </w:t>
      </w:r>
      <w:proofErr w:type="spellStart"/>
      <w:r w:rsidRPr="00D144D7">
        <w:rPr>
          <w:rFonts w:ascii="Arial" w:hAnsi="Arial" w:cs="Arial"/>
          <w:i/>
          <w:iCs/>
          <w:color w:val="000000" w:themeColor="text1"/>
          <w:sz w:val="22"/>
          <w:szCs w:val="22"/>
        </w:rPr>
        <w:t>sjstats</w:t>
      </w:r>
      <w:proofErr w:type="spellEnd"/>
      <w:r w:rsidRPr="00B7571C">
        <w:rPr>
          <w:rFonts w:ascii="Arial" w:hAnsi="Arial" w:cs="Arial"/>
          <w:color w:val="000000" w:themeColor="text1"/>
          <w:sz w:val="22"/>
          <w:szCs w:val="22"/>
        </w:rPr>
        <w:t xml:space="preserve"> package in R was used to calculate the intra class coefficients. ICC was calculated as the proportion of between-subject variance to total variance. The dependent variable for these models was </w:t>
      </w:r>
      <w:r>
        <w:rPr>
          <w:rFonts w:ascii="Arial" w:hAnsi="Arial" w:cs="Arial"/>
          <w:color w:val="000000" w:themeColor="text1"/>
          <w:sz w:val="22"/>
          <w:szCs w:val="22"/>
        </w:rPr>
        <w:t xml:space="preserve">the global imaging measurement </w:t>
      </w:r>
      <w:r w:rsidRPr="00B7571C">
        <w:rPr>
          <w:rFonts w:ascii="Arial" w:hAnsi="Arial" w:cs="Arial"/>
          <w:color w:val="000000" w:themeColor="text1"/>
          <w:sz w:val="22"/>
          <w:szCs w:val="22"/>
        </w:rPr>
        <w:t xml:space="preserve">for each subject on two separate visits, fixed effects included the average age and time. Subject-specific intercept was included as a random effect. Across all imaging measurements, ICC was moderate to </w:t>
      </w:r>
      <w:r>
        <w:rPr>
          <w:rFonts w:ascii="Arial" w:hAnsi="Arial" w:cs="Arial"/>
          <w:color w:val="000000" w:themeColor="text1"/>
          <w:sz w:val="22"/>
          <w:szCs w:val="22"/>
        </w:rPr>
        <w:t>excellent</w:t>
      </w:r>
      <w:r w:rsidRPr="00B7571C">
        <w:rPr>
          <w:rFonts w:ascii="Arial" w:hAnsi="Arial" w:cs="Arial"/>
          <w:color w:val="000000" w:themeColor="text1"/>
          <w:sz w:val="22"/>
          <w:szCs w:val="22"/>
        </w:rPr>
        <w:t xml:space="preserve"> [</w:t>
      </w:r>
      <w:r>
        <w:rPr>
          <w:rFonts w:ascii="Arial" w:hAnsi="Arial" w:cs="Arial"/>
          <w:color w:val="000000" w:themeColor="text1"/>
          <w:sz w:val="22"/>
          <w:szCs w:val="22"/>
        </w:rPr>
        <w:t xml:space="preserve">Mean cortical thickness: 0.87, </w:t>
      </w:r>
      <w:r w:rsidRPr="00B7571C">
        <w:rPr>
          <w:rFonts w:ascii="Arial" w:hAnsi="Arial" w:cs="Arial"/>
          <w:color w:val="000000" w:themeColor="text1"/>
          <w:sz w:val="22"/>
          <w:szCs w:val="22"/>
        </w:rPr>
        <w:t>FA: 0.73, MD: 0.74; RD: 0.74; ASL: 0.55].</w:t>
      </w:r>
    </w:p>
    <w:p w14:paraId="17A2A0C3" w14:textId="77777777" w:rsidR="00607733" w:rsidRPr="00D144D7" w:rsidRDefault="00607733" w:rsidP="00607733">
      <w:pPr>
        <w:pStyle w:val="Heading2"/>
        <w:spacing w:before="300" w:after="150"/>
        <w:rPr>
          <w:rFonts w:ascii="Arial" w:hAnsi="Arial" w:cs="Arial"/>
          <w:color w:val="333333"/>
        </w:rPr>
      </w:pPr>
      <w:r w:rsidRPr="00D144D7">
        <w:rPr>
          <w:rFonts w:ascii="Arial" w:hAnsi="Arial" w:cs="Arial"/>
          <w:b/>
          <w:bCs/>
          <w:color w:val="333333"/>
        </w:rPr>
        <w:lastRenderedPageBreak/>
        <w:t>Grey matter</w:t>
      </w:r>
      <w:r>
        <w:rPr>
          <w:rFonts w:ascii="Arial" w:hAnsi="Arial" w:cs="Arial"/>
          <w:b/>
          <w:bCs/>
          <w:color w:val="333333"/>
        </w:rPr>
        <w:t xml:space="preserve"> atrophy</w:t>
      </w:r>
    </w:p>
    <w:p w14:paraId="54FE2471" w14:textId="77777777" w:rsidR="00607733" w:rsidRPr="00D144D7" w:rsidRDefault="00607733" w:rsidP="00607733">
      <w:pPr>
        <w:pStyle w:val="NormalWeb"/>
        <w:spacing w:before="0" w:beforeAutospacing="0" w:after="150" w:afterAutospacing="0" w:line="360" w:lineRule="auto"/>
        <w:jc w:val="both"/>
        <w:rPr>
          <w:rFonts w:ascii="Arial" w:hAnsi="Arial" w:cs="Arial"/>
          <w:color w:val="333333"/>
          <w:sz w:val="22"/>
          <w:szCs w:val="22"/>
        </w:rPr>
      </w:pPr>
      <w:r w:rsidRPr="00D144D7">
        <w:rPr>
          <w:rFonts w:ascii="Arial" w:hAnsi="Arial" w:cs="Arial"/>
          <w:color w:val="333333"/>
          <w:sz w:val="22"/>
          <w:szCs w:val="22"/>
        </w:rPr>
        <w:t>There were no significant main effect</w:t>
      </w:r>
      <w:r>
        <w:rPr>
          <w:rFonts w:ascii="Arial" w:hAnsi="Arial" w:cs="Arial"/>
          <w:color w:val="333333"/>
          <w:sz w:val="22"/>
          <w:szCs w:val="22"/>
        </w:rPr>
        <w:t xml:space="preserve">s </w:t>
      </w:r>
      <w:r w:rsidRPr="00D144D7">
        <w:rPr>
          <w:rFonts w:ascii="Arial" w:hAnsi="Arial" w:cs="Arial"/>
          <w:color w:val="333333"/>
          <w:sz w:val="22"/>
          <w:szCs w:val="22"/>
        </w:rPr>
        <w:t xml:space="preserve">of EYO on regional cortical thickness </w:t>
      </w:r>
      <w:r>
        <w:rPr>
          <w:rFonts w:ascii="Arial" w:hAnsi="Arial" w:cs="Arial"/>
          <w:color w:val="333333"/>
          <w:sz w:val="22"/>
          <w:szCs w:val="22"/>
        </w:rPr>
        <w:t xml:space="preserve">and hippocampal volumes </w:t>
      </w:r>
      <w:r w:rsidRPr="00D144D7">
        <w:rPr>
          <w:rFonts w:ascii="Arial" w:hAnsi="Arial" w:cs="Arial"/>
          <w:color w:val="333333"/>
          <w:sz w:val="22"/>
          <w:szCs w:val="22"/>
        </w:rPr>
        <w:t xml:space="preserve">that survived </w:t>
      </w:r>
      <w:r>
        <w:rPr>
          <w:rFonts w:ascii="Arial" w:hAnsi="Arial" w:cs="Arial"/>
          <w:color w:val="333333"/>
          <w:sz w:val="22"/>
          <w:szCs w:val="22"/>
        </w:rPr>
        <w:t>false discovery rate</w:t>
      </w:r>
      <w:r w:rsidRPr="00D144D7">
        <w:rPr>
          <w:rFonts w:ascii="Arial" w:hAnsi="Arial" w:cs="Arial"/>
          <w:color w:val="333333"/>
          <w:sz w:val="22"/>
          <w:szCs w:val="22"/>
        </w:rPr>
        <w:t xml:space="preserve"> correction for multiple comparisons. No regions showed a significant interaction between EYO x APOE4 status, or three</w:t>
      </w:r>
      <w:r>
        <w:rPr>
          <w:rFonts w:ascii="Arial" w:hAnsi="Arial" w:cs="Arial"/>
          <w:color w:val="333333"/>
          <w:sz w:val="22"/>
          <w:szCs w:val="22"/>
        </w:rPr>
        <w:t>-</w:t>
      </w:r>
      <w:r w:rsidRPr="00D144D7">
        <w:rPr>
          <w:rFonts w:ascii="Arial" w:hAnsi="Arial" w:cs="Arial"/>
          <w:color w:val="333333"/>
          <w:sz w:val="22"/>
          <w:szCs w:val="22"/>
        </w:rPr>
        <w:t xml:space="preserve">way interactions between EYO x Time x APOE4 status after </w:t>
      </w:r>
      <w:r>
        <w:rPr>
          <w:rFonts w:ascii="Arial" w:hAnsi="Arial" w:cs="Arial"/>
          <w:color w:val="333333"/>
          <w:sz w:val="22"/>
          <w:szCs w:val="22"/>
        </w:rPr>
        <w:t>false discovery rate</w:t>
      </w:r>
      <w:r w:rsidRPr="00D144D7">
        <w:rPr>
          <w:rFonts w:ascii="Arial" w:hAnsi="Arial" w:cs="Arial"/>
          <w:color w:val="333333"/>
          <w:sz w:val="22"/>
          <w:szCs w:val="22"/>
        </w:rPr>
        <w:t xml:space="preserve"> correction for multiple comparisons.</w:t>
      </w:r>
    </w:p>
    <w:p w14:paraId="1A643645" w14:textId="1C9FA391" w:rsidR="00607733" w:rsidRPr="00F10F41" w:rsidRDefault="00607733" w:rsidP="00607733">
      <w:pPr>
        <w:spacing w:line="360" w:lineRule="auto"/>
        <w:jc w:val="both"/>
        <w:rPr>
          <w:rFonts w:ascii="Arial" w:hAnsi="Arial" w:cs="Arial"/>
          <w:b/>
          <w:bCs/>
          <w:color w:val="000000" w:themeColor="text1"/>
          <w:sz w:val="26"/>
          <w:szCs w:val="26"/>
        </w:rPr>
      </w:pPr>
      <w:r w:rsidRPr="00F10F41">
        <w:rPr>
          <w:rFonts w:ascii="Arial" w:hAnsi="Arial" w:cs="Arial"/>
          <w:b/>
          <w:bCs/>
          <w:color w:val="000000" w:themeColor="text1"/>
          <w:sz w:val="26"/>
          <w:szCs w:val="26"/>
        </w:rPr>
        <w:t xml:space="preserve">White matter microstructural changes  </w:t>
      </w:r>
    </w:p>
    <w:p w14:paraId="5A7F45E6" w14:textId="01698992" w:rsidR="00607733" w:rsidRPr="00F10F41" w:rsidRDefault="00607733" w:rsidP="00607733">
      <w:pPr>
        <w:spacing w:line="360" w:lineRule="auto"/>
        <w:jc w:val="both"/>
        <w:rPr>
          <w:rFonts w:ascii="Arial" w:hAnsi="Arial" w:cs="Arial"/>
          <w:color w:val="000000" w:themeColor="text1"/>
          <w:sz w:val="22"/>
          <w:szCs w:val="22"/>
        </w:rPr>
      </w:pPr>
      <w:r w:rsidRPr="005B7576">
        <w:rPr>
          <w:rFonts w:ascii="Arial" w:hAnsi="Arial" w:cs="Arial"/>
          <w:color w:val="000000" w:themeColor="text1"/>
          <w:sz w:val="22"/>
          <w:szCs w:val="22"/>
        </w:rPr>
        <w:t xml:space="preserve">The association between white mater changes and EYO are illustrated in Figure 2. There were no significant effects of APOE-ε4 status on white matter changes in terms of FA (T = -1.13, p = 0.26), MD (T = 1.11, p = 0.27) </w:t>
      </w:r>
      <w:r>
        <w:rPr>
          <w:rFonts w:ascii="Arial" w:hAnsi="Arial" w:cs="Arial"/>
          <w:color w:val="000000" w:themeColor="text1"/>
          <w:sz w:val="22"/>
          <w:szCs w:val="22"/>
        </w:rPr>
        <w:t>or</w:t>
      </w:r>
      <w:r w:rsidRPr="005B7576">
        <w:rPr>
          <w:rFonts w:ascii="Arial" w:hAnsi="Arial" w:cs="Arial"/>
          <w:color w:val="000000" w:themeColor="text1"/>
          <w:sz w:val="22"/>
          <w:szCs w:val="22"/>
        </w:rPr>
        <w:t xml:space="preserve"> RD (T = 1.16, p = 0.25). LME models showed significant main effects of EYO on FA (T = 2.58, p = 0.01), MD (T = -2.55, p = 0.01) and RD (T =-2.66, p = 0.01). There were no significant interactions between time and EYO (T = -1.12 - 1.43, p = 0.16 - 0.43).</w:t>
      </w:r>
      <w:r>
        <w:rPr>
          <w:rFonts w:ascii="Arial" w:hAnsi="Arial" w:cs="Arial"/>
          <w:color w:val="000000" w:themeColor="text1"/>
          <w:sz w:val="22"/>
          <w:szCs w:val="22"/>
        </w:rPr>
        <w:t xml:space="preserve"> </w:t>
      </w:r>
      <w:proofErr w:type="spellStart"/>
      <w:r w:rsidRPr="00F10F41">
        <w:rPr>
          <w:rFonts w:ascii="Arial" w:hAnsi="Arial" w:cs="Arial"/>
          <w:color w:val="000000" w:themeColor="text1"/>
          <w:sz w:val="22"/>
          <w:szCs w:val="22"/>
        </w:rPr>
        <w:t>Voxelwise</w:t>
      </w:r>
      <w:proofErr w:type="spellEnd"/>
      <w:r w:rsidRPr="00F10F41">
        <w:rPr>
          <w:rFonts w:ascii="Arial" w:hAnsi="Arial" w:cs="Arial"/>
          <w:color w:val="000000" w:themeColor="text1"/>
          <w:sz w:val="22"/>
          <w:szCs w:val="22"/>
        </w:rPr>
        <w:t xml:space="preserve"> </w:t>
      </w:r>
      <w:proofErr w:type="spellStart"/>
      <w:r w:rsidRPr="00F10F41">
        <w:rPr>
          <w:rFonts w:ascii="Arial" w:hAnsi="Arial" w:cs="Arial"/>
          <w:color w:val="000000" w:themeColor="text1"/>
          <w:sz w:val="22"/>
          <w:szCs w:val="22"/>
        </w:rPr>
        <w:t>SwE</w:t>
      </w:r>
      <w:proofErr w:type="spellEnd"/>
      <w:r w:rsidRPr="00F10F41">
        <w:rPr>
          <w:rFonts w:ascii="Arial" w:hAnsi="Arial" w:cs="Arial"/>
          <w:color w:val="000000" w:themeColor="text1"/>
          <w:sz w:val="22"/>
          <w:szCs w:val="22"/>
        </w:rPr>
        <w:t xml:space="preserve"> </w:t>
      </w:r>
      <w:r>
        <w:rPr>
          <w:rFonts w:ascii="Arial" w:hAnsi="Arial" w:cs="Arial"/>
          <w:color w:val="000000" w:themeColor="text1"/>
          <w:sz w:val="22"/>
          <w:szCs w:val="22"/>
        </w:rPr>
        <w:t>r</w:t>
      </w:r>
      <w:r w:rsidRPr="00F10F41">
        <w:rPr>
          <w:rFonts w:ascii="Arial" w:hAnsi="Arial" w:cs="Arial"/>
          <w:color w:val="000000" w:themeColor="text1"/>
          <w:sz w:val="22"/>
          <w:szCs w:val="22"/>
        </w:rPr>
        <w:t>evealed widespread and significant main effects of EYO on FA, MD, and RD maps, after adjusting for averaged age, age</w:t>
      </w:r>
      <w:r w:rsidRPr="00F10F41">
        <w:rPr>
          <w:rFonts w:ascii="Arial" w:hAnsi="Arial" w:cs="Arial"/>
          <w:color w:val="000000" w:themeColor="text1"/>
          <w:sz w:val="22"/>
          <w:szCs w:val="22"/>
          <w:vertAlign w:val="superscript"/>
        </w:rPr>
        <w:t>2</w:t>
      </w:r>
      <w:r w:rsidRPr="00F10F41">
        <w:rPr>
          <w:rFonts w:ascii="Arial" w:hAnsi="Arial" w:cs="Arial"/>
          <w:color w:val="000000" w:themeColor="text1"/>
          <w:sz w:val="22"/>
          <w:szCs w:val="22"/>
        </w:rPr>
        <w:t xml:space="preserve">, gender, education years, averaged white matter hyperintensity volume, APOE-ε4 status, </w:t>
      </w:r>
      <w:r>
        <w:rPr>
          <w:rFonts w:ascii="Arial" w:hAnsi="Arial" w:cs="Arial"/>
          <w:color w:val="000000" w:themeColor="text1"/>
          <w:sz w:val="22"/>
          <w:szCs w:val="22"/>
        </w:rPr>
        <w:t xml:space="preserve">and within-subject age </w:t>
      </w:r>
      <w:r w:rsidRPr="00F10F41">
        <w:rPr>
          <w:rFonts w:ascii="Arial" w:hAnsi="Arial" w:cs="Arial"/>
          <w:color w:val="000000" w:themeColor="text1"/>
          <w:sz w:val="22"/>
          <w:szCs w:val="22"/>
        </w:rPr>
        <w:t xml:space="preserve">(TFCE </w:t>
      </w:r>
      <w:r w:rsidRPr="00F10F41">
        <w:rPr>
          <w:rFonts w:ascii="Arial" w:hAnsi="Arial" w:cs="Arial"/>
          <w:color w:val="000000" w:themeColor="text1"/>
          <w:sz w:val="22"/>
          <w:szCs w:val="22"/>
          <w:vertAlign w:val="subscript"/>
        </w:rPr>
        <w:t>FWER</w:t>
      </w:r>
      <w:r w:rsidRPr="00F10F41">
        <w:rPr>
          <w:rFonts w:ascii="Arial" w:hAnsi="Arial" w:cs="Arial"/>
          <w:color w:val="000000" w:themeColor="text1"/>
          <w:sz w:val="22"/>
          <w:szCs w:val="22"/>
        </w:rPr>
        <w:t xml:space="preserve"> p &lt; 0.05). The EYO-associated white matter changes were predominantly found in the forceps minor of the corpus callosum, inferior longitudinal fasciculi, superior longitudinal fasciculi, cingulum bundles, anterior thalamic radiation, inferior </w:t>
      </w:r>
      <w:proofErr w:type="spellStart"/>
      <w:r w:rsidRPr="00F10F41">
        <w:rPr>
          <w:rFonts w:ascii="Arial" w:hAnsi="Arial" w:cs="Arial"/>
          <w:color w:val="000000" w:themeColor="text1"/>
          <w:sz w:val="22"/>
          <w:szCs w:val="22"/>
        </w:rPr>
        <w:t>fronto</w:t>
      </w:r>
      <w:proofErr w:type="spellEnd"/>
      <w:r w:rsidRPr="00F10F41">
        <w:rPr>
          <w:rFonts w:ascii="Arial" w:hAnsi="Arial" w:cs="Arial"/>
          <w:color w:val="000000" w:themeColor="text1"/>
          <w:sz w:val="22"/>
          <w:szCs w:val="22"/>
        </w:rPr>
        <w:t xml:space="preserve">-occipital fasciculus, uncinate fasciculus (see Supplementary Table </w:t>
      </w:r>
      <w:r w:rsidR="008120F4">
        <w:rPr>
          <w:rFonts w:ascii="Arial" w:hAnsi="Arial" w:cs="Arial"/>
          <w:color w:val="000000" w:themeColor="text1"/>
          <w:sz w:val="22"/>
          <w:szCs w:val="22"/>
        </w:rPr>
        <w:t xml:space="preserve">3 </w:t>
      </w:r>
      <w:r w:rsidRPr="00F10F41">
        <w:rPr>
          <w:rFonts w:ascii="Arial" w:hAnsi="Arial" w:cs="Arial"/>
          <w:color w:val="000000" w:themeColor="text1"/>
          <w:sz w:val="22"/>
          <w:szCs w:val="22"/>
        </w:rPr>
        <w:t>for MNI152 coordinates of peak clusters).</w:t>
      </w:r>
    </w:p>
    <w:p w14:paraId="64DF1F02" w14:textId="77777777" w:rsidR="00607733" w:rsidRDefault="00607733" w:rsidP="00607733">
      <w:pPr>
        <w:spacing w:line="360" w:lineRule="auto"/>
        <w:rPr>
          <w:rFonts w:ascii="Arial" w:hAnsi="Arial" w:cs="Arial"/>
          <w:color w:val="000000" w:themeColor="text1"/>
          <w:sz w:val="22"/>
          <w:szCs w:val="22"/>
        </w:rPr>
      </w:pPr>
    </w:p>
    <w:p w14:paraId="1F7D5327" w14:textId="037FA6F0" w:rsidR="00607733" w:rsidRPr="00F10F41" w:rsidRDefault="00607733" w:rsidP="00607733">
      <w:pPr>
        <w:spacing w:line="360" w:lineRule="auto"/>
        <w:rPr>
          <w:rFonts w:ascii="Arial" w:hAnsi="Arial" w:cs="Arial"/>
          <w:b/>
          <w:bCs/>
          <w:color w:val="000000" w:themeColor="text1"/>
          <w:sz w:val="26"/>
          <w:szCs w:val="26"/>
        </w:rPr>
      </w:pPr>
      <w:r w:rsidRPr="00F10F41">
        <w:rPr>
          <w:rFonts w:ascii="Arial" w:hAnsi="Arial" w:cs="Arial"/>
          <w:b/>
          <w:bCs/>
          <w:color w:val="000000" w:themeColor="text1"/>
          <w:sz w:val="26"/>
          <w:szCs w:val="26"/>
        </w:rPr>
        <w:t>White matter hyperintensities</w:t>
      </w:r>
    </w:p>
    <w:p w14:paraId="25EBCB4C" w14:textId="2ACE417D" w:rsidR="00607733" w:rsidRDefault="00607733" w:rsidP="00607733">
      <w:pPr>
        <w:spacing w:line="360" w:lineRule="auto"/>
        <w:jc w:val="both"/>
        <w:rPr>
          <w:rFonts w:ascii="Arial" w:hAnsi="Arial" w:cs="Arial"/>
          <w:color w:val="000000" w:themeColor="text1"/>
          <w:sz w:val="22"/>
          <w:szCs w:val="22"/>
        </w:rPr>
      </w:pPr>
      <w:r w:rsidRPr="0080331A">
        <w:rPr>
          <w:rFonts w:ascii="Arial" w:hAnsi="Arial" w:cs="Arial"/>
          <w:color w:val="000000" w:themeColor="text1"/>
          <w:sz w:val="22"/>
          <w:szCs w:val="22"/>
        </w:rPr>
        <w:t>We illustrated the baseline WMH incidence, voxel-wise, across our sample and reveal</w:t>
      </w:r>
      <w:r>
        <w:rPr>
          <w:rFonts w:ascii="Arial" w:hAnsi="Arial" w:cs="Arial"/>
          <w:color w:val="000000" w:themeColor="text1"/>
          <w:sz w:val="22"/>
          <w:szCs w:val="22"/>
        </w:rPr>
        <w:t>ed</w:t>
      </w:r>
      <w:r w:rsidRPr="0080331A">
        <w:rPr>
          <w:rFonts w:ascii="Arial" w:hAnsi="Arial" w:cs="Arial"/>
          <w:color w:val="000000" w:themeColor="text1"/>
          <w:sz w:val="22"/>
          <w:szCs w:val="22"/>
        </w:rPr>
        <w:t xml:space="preserve"> the expected spatial distribution of WMHs in normal ageing (Figure 4). The highest probabilities of WMH were concentrated around the periventricular areas and in deep white matter regions. There were no significant main effect</w:t>
      </w:r>
      <w:r>
        <w:rPr>
          <w:rFonts w:ascii="Arial" w:hAnsi="Arial" w:cs="Arial"/>
          <w:color w:val="000000" w:themeColor="text1"/>
          <w:sz w:val="22"/>
          <w:szCs w:val="22"/>
        </w:rPr>
        <w:t>s</w:t>
      </w:r>
      <w:r w:rsidRPr="0080331A">
        <w:rPr>
          <w:rFonts w:ascii="Arial" w:hAnsi="Arial" w:cs="Arial"/>
          <w:color w:val="000000" w:themeColor="text1"/>
          <w:sz w:val="22"/>
          <w:szCs w:val="22"/>
        </w:rPr>
        <w:t xml:space="preserve"> of EYO (T =-0.74, p = 0.46) or EYO x Time interactions (T =-1.06, p = 0.29)</w:t>
      </w:r>
      <w:r>
        <w:rPr>
          <w:rFonts w:ascii="Arial" w:hAnsi="Arial" w:cs="Arial"/>
          <w:color w:val="000000" w:themeColor="text1"/>
          <w:sz w:val="22"/>
          <w:szCs w:val="22"/>
        </w:rPr>
        <w:t xml:space="preserve"> on WMH volumes.</w:t>
      </w:r>
    </w:p>
    <w:p w14:paraId="45B3267C" w14:textId="78280DB8" w:rsidR="00607733" w:rsidRDefault="00607733" w:rsidP="00607733">
      <w:pPr>
        <w:spacing w:line="360" w:lineRule="auto"/>
        <w:jc w:val="both"/>
        <w:rPr>
          <w:rFonts w:ascii="Arial" w:hAnsi="Arial" w:cs="Arial"/>
          <w:color w:val="000000" w:themeColor="text1"/>
          <w:sz w:val="22"/>
          <w:szCs w:val="22"/>
        </w:rPr>
      </w:pPr>
    </w:p>
    <w:p w14:paraId="04146C35" w14:textId="77777777" w:rsidR="00607733" w:rsidRPr="00F10F41" w:rsidRDefault="00607733" w:rsidP="00607733">
      <w:pPr>
        <w:spacing w:line="360" w:lineRule="auto"/>
        <w:rPr>
          <w:rFonts w:ascii="Arial" w:hAnsi="Arial" w:cs="Arial"/>
          <w:b/>
          <w:bCs/>
          <w:color w:val="000000" w:themeColor="text1"/>
          <w:sz w:val="26"/>
          <w:szCs w:val="26"/>
        </w:rPr>
      </w:pPr>
      <w:r w:rsidRPr="00F10F41">
        <w:rPr>
          <w:rFonts w:ascii="Arial" w:hAnsi="Arial" w:cs="Arial"/>
          <w:b/>
          <w:bCs/>
          <w:color w:val="000000" w:themeColor="text1"/>
          <w:sz w:val="26"/>
          <w:szCs w:val="26"/>
        </w:rPr>
        <w:t>Cerebral perfusion</w:t>
      </w:r>
    </w:p>
    <w:p w14:paraId="1E87E886" w14:textId="549403F6" w:rsidR="00607733" w:rsidRDefault="00607733" w:rsidP="00607733">
      <w:pPr>
        <w:spacing w:line="360" w:lineRule="auto"/>
        <w:jc w:val="both"/>
        <w:rPr>
          <w:rFonts w:ascii="Arial" w:hAnsi="Arial" w:cs="Arial"/>
          <w:color w:val="000000" w:themeColor="text1"/>
          <w:sz w:val="22"/>
          <w:szCs w:val="22"/>
        </w:rPr>
      </w:pPr>
      <w:r w:rsidRPr="00CE3AC6">
        <w:rPr>
          <w:rFonts w:ascii="Arial" w:hAnsi="Arial" w:cs="Arial"/>
          <w:color w:val="000000" w:themeColor="text1"/>
          <w:sz w:val="22"/>
          <w:szCs w:val="22"/>
        </w:rPr>
        <w:t xml:space="preserve">LME and </w:t>
      </w:r>
      <w:proofErr w:type="spellStart"/>
      <w:r>
        <w:rPr>
          <w:rFonts w:ascii="Arial" w:hAnsi="Arial" w:cs="Arial"/>
          <w:color w:val="000000" w:themeColor="text1"/>
          <w:sz w:val="22"/>
          <w:szCs w:val="22"/>
        </w:rPr>
        <w:t>SwE</w:t>
      </w:r>
      <w:proofErr w:type="spellEnd"/>
      <w:r w:rsidRPr="00CE3AC6">
        <w:rPr>
          <w:rFonts w:ascii="Arial" w:hAnsi="Arial" w:cs="Arial"/>
          <w:color w:val="000000" w:themeColor="text1"/>
          <w:sz w:val="22"/>
          <w:szCs w:val="22"/>
        </w:rPr>
        <w:t xml:space="preserve"> voxel-wise analyses revealed a significant interaction of EYO with APOE-ε4 on</w:t>
      </w:r>
      <w:r>
        <w:rPr>
          <w:rFonts w:ascii="Arial" w:hAnsi="Arial" w:cs="Arial"/>
          <w:color w:val="000000" w:themeColor="text1"/>
          <w:sz w:val="22"/>
          <w:szCs w:val="22"/>
        </w:rPr>
        <w:t xml:space="preserve"> grey matter</w:t>
      </w:r>
      <w:r w:rsidRPr="00CE3AC6">
        <w:rPr>
          <w:rFonts w:ascii="Arial" w:hAnsi="Arial" w:cs="Arial"/>
          <w:color w:val="000000" w:themeColor="text1"/>
          <w:sz w:val="22"/>
          <w:szCs w:val="22"/>
        </w:rPr>
        <w:t xml:space="preserve"> perfusion (LME: T = -2.87; p = 0.01; </w:t>
      </w:r>
      <w:proofErr w:type="spellStart"/>
      <w:r w:rsidRPr="00CE3AC6">
        <w:rPr>
          <w:rFonts w:ascii="Arial" w:hAnsi="Arial" w:cs="Arial"/>
          <w:color w:val="000000" w:themeColor="text1"/>
          <w:sz w:val="22"/>
          <w:szCs w:val="22"/>
        </w:rPr>
        <w:t>SwE</w:t>
      </w:r>
      <w:proofErr w:type="spellEnd"/>
      <w:r w:rsidRPr="00CE3AC6">
        <w:rPr>
          <w:rFonts w:ascii="Arial" w:hAnsi="Arial" w:cs="Arial"/>
          <w:color w:val="000000" w:themeColor="text1"/>
          <w:sz w:val="22"/>
          <w:szCs w:val="22"/>
        </w:rPr>
        <w:t xml:space="preserve">: TFCE </w:t>
      </w:r>
      <w:r w:rsidRPr="00D144D7">
        <w:rPr>
          <w:rFonts w:ascii="Arial" w:hAnsi="Arial" w:cs="Arial"/>
          <w:color w:val="000000" w:themeColor="text1"/>
          <w:sz w:val="22"/>
          <w:szCs w:val="22"/>
          <w:vertAlign w:val="subscript"/>
        </w:rPr>
        <w:t>FWER</w:t>
      </w:r>
      <w:r w:rsidRPr="00CE3AC6">
        <w:rPr>
          <w:rFonts w:ascii="Arial" w:hAnsi="Arial" w:cs="Arial"/>
          <w:color w:val="000000" w:themeColor="text1"/>
          <w:sz w:val="22"/>
          <w:szCs w:val="22"/>
        </w:rPr>
        <w:t xml:space="preserve"> p &lt; 0.05) such that APOE-ε4 carriers showed increased perfusion with nearer proximity to onset whil</w:t>
      </w:r>
      <w:r>
        <w:rPr>
          <w:rFonts w:ascii="Arial" w:hAnsi="Arial" w:cs="Arial"/>
          <w:color w:val="000000" w:themeColor="text1"/>
          <w:sz w:val="22"/>
          <w:szCs w:val="22"/>
        </w:rPr>
        <w:t>e</w:t>
      </w:r>
      <w:r w:rsidRPr="00CE3AC6">
        <w:rPr>
          <w:rFonts w:ascii="Arial" w:hAnsi="Arial" w:cs="Arial"/>
          <w:color w:val="000000" w:themeColor="text1"/>
          <w:sz w:val="22"/>
          <w:szCs w:val="22"/>
        </w:rPr>
        <w:t xml:space="preserve"> APOE-ε4 non-carriers did not (Figure 5). The difference in effects between APOE-ε4 carriers and non-carriers was qualified by a significant interaction term (LME: T = -2.87; p = 0.01). Simple slope analyses and slope difference tests further confirmed a significant difference in the relationship between EYO and ASL for the APOE-ε4 carriers and non-carriers, such that a significant </w:t>
      </w:r>
      <w:r w:rsidRPr="00CE3AC6">
        <w:rPr>
          <w:rFonts w:ascii="Arial" w:hAnsi="Arial" w:cs="Arial"/>
          <w:color w:val="000000" w:themeColor="text1"/>
          <w:sz w:val="22"/>
          <w:szCs w:val="22"/>
        </w:rPr>
        <w:lastRenderedPageBreak/>
        <w:t xml:space="preserve">association was found only amongst the APOE-ε4 carriers (Slope analysis: T = -3.27; p </w:t>
      </w:r>
      <w:r>
        <w:rPr>
          <w:rFonts w:ascii="Arial" w:hAnsi="Arial" w:cs="Arial"/>
          <w:color w:val="000000" w:themeColor="text1"/>
          <w:sz w:val="22"/>
          <w:szCs w:val="22"/>
        </w:rPr>
        <w:t>&lt; 0.01</w:t>
      </w:r>
      <w:r w:rsidRPr="00CE3AC6">
        <w:rPr>
          <w:rFonts w:ascii="Arial" w:hAnsi="Arial" w:cs="Arial"/>
          <w:color w:val="000000" w:themeColor="text1"/>
          <w:sz w:val="22"/>
          <w:szCs w:val="22"/>
        </w:rPr>
        <w:t xml:space="preserve">) and not for the non-carriers (Slope analysis: T = 0.74; p = 0.462). </w:t>
      </w:r>
      <w:r w:rsidR="008120F4">
        <w:rPr>
          <w:rFonts w:ascii="Arial" w:hAnsi="Arial" w:cs="Arial"/>
          <w:color w:val="000000" w:themeColor="text1"/>
          <w:sz w:val="22"/>
          <w:szCs w:val="22"/>
        </w:rPr>
        <w:t xml:space="preserve">Similarly, </w:t>
      </w:r>
      <w:proofErr w:type="spellStart"/>
      <w:r w:rsidR="008120F4">
        <w:rPr>
          <w:rFonts w:ascii="Arial" w:hAnsi="Arial" w:cs="Arial"/>
          <w:color w:val="000000" w:themeColor="text1"/>
          <w:sz w:val="22"/>
          <w:szCs w:val="22"/>
        </w:rPr>
        <w:t>SwE</w:t>
      </w:r>
      <w:proofErr w:type="spellEnd"/>
      <w:r w:rsidR="008120F4">
        <w:rPr>
          <w:rFonts w:ascii="Arial" w:hAnsi="Arial" w:cs="Arial"/>
          <w:color w:val="000000" w:themeColor="text1"/>
          <w:sz w:val="22"/>
          <w:szCs w:val="22"/>
        </w:rPr>
        <w:t xml:space="preserve"> </w:t>
      </w:r>
      <w:proofErr w:type="spellStart"/>
      <w:r w:rsidR="008120F4">
        <w:rPr>
          <w:rFonts w:ascii="Arial" w:hAnsi="Arial" w:cs="Arial"/>
          <w:color w:val="000000" w:themeColor="text1"/>
          <w:sz w:val="22"/>
          <w:szCs w:val="22"/>
        </w:rPr>
        <w:t>voxelwise</w:t>
      </w:r>
      <w:proofErr w:type="spellEnd"/>
      <w:r w:rsidR="008120F4">
        <w:rPr>
          <w:rFonts w:ascii="Arial" w:hAnsi="Arial" w:cs="Arial"/>
          <w:color w:val="000000" w:themeColor="text1"/>
          <w:sz w:val="22"/>
          <w:szCs w:val="22"/>
        </w:rPr>
        <w:t xml:space="preserve"> analyses revealed that the EYO x </w:t>
      </w:r>
      <w:r w:rsidR="008120F4" w:rsidRPr="00CE3AC6">
        <w:rPr>
          <w:rFonts w:ascii="Arial" w:hAnsi="Arial" w:cs="Arial"/>
          <w:color w:val="000000" w:themeColor="text1"/>
          <w:sz w:val="22"/>
          <w:szCs w:val="22"/>
        </w:rPr>
        <w:t>APOE-ε4</w:t>
      </w:r>
      <w:r w:rsidR="008120F4">
        <w:rPr>
          <w:rFonts w:ascii="Arial" w:hAnsi="Arial" w:cs="Arial"/>
          <w:color w:val="000000" w:themeColor="text1"/>
          <w:sz w:val="22"/>
          <w:szCs w:val="22"/>
        </w:rPr>
        <w:t xml:space="preserve"> interaction was localised within </w:t>
      </w:r>
      <w:r w:rsidR="00F23C82">
        <w:rPr>
          <w:rFonts w:ascii="Arial" w:hAnsi="Arial" w:cs="Arial"/>
          <w:color w:val="000000" w:themeColor="text1"/>
          <w:sz w:val="22"/>
          <w:szCs w:val="22"/>
        </w:rPr>
        <w:t>temporo</w:t>
      </w:r>
      <w:r w:rsidR="008120F4">
        <w:rPr>
          <w:rFonts w:ascii="Arial" w:hAnsi="Arial" w:cs="Arial"/>
          <w:color w:val="000000" w:themeColor="text1"/>
          <w:sz w:val="22"/>
          <w:szCs w:val="22"/>
        </w:rPr>
        <w:t xml:space="preserve">-parietal regions, such as the hippocampus, precuneus / posterior cingulate cortices (TFCE </w:t>
      </w:r>
      <w:r w:rsidR="008120F4" w:rsidRPr="00D144D7">
        <w:rPr>
          <w:rFonts w:ascii="Arial" w:hAnsi="Arial" w:cs="Arial"/>
          <w:color w:val="000000" w:themeColor="text1"/>
          <w:sz w:val="22"/>
          <w:szCs w:val="22"/>
          <w:vertAlign w:val="subscript"/>
        </w:rPr>
        <w:t>FWER</w:t>
      </w:r>
      <w:r w:rsidR="008120F4">
        <w:rPr>
          <w:rFonts w:ascii="Arial" w:hAnsi="Arial" w:cs="Arial"/>
          <w:color w:val="000000" w:themeColor="text1"/>
          <w:sz w:val="22"/>
          <w:szCs w:val="22"/>
        </w:rPr>
        <w:t xml:space="preserve"> p &lt; 0.05</w:t>
      </w:r>
      <w:r w:rsidR="00842400">
        <w:rPr>
          <w:rFonts w:ascii="Arial" w:hAnsi="Arial" w:cs="Arial"/>
          <w:color w:val="000000" w:themeColor="text1"/>
          <w:sz w:val="22"/>
          <w:szCs w:val="22"/>
        </w:rPr>
        <w:t>; see Supplementary Table 4</w:t>
      </w:r>
      <w:r w:rsidR="00831978">
        <w:rPr>
          <w:rFonts w:ascii="Arial" w:hAnsi="Arial" w:cs="Arial"/>
          <w:color w:val="000000" w:themeColor="text1"/>
          <w:sz w:val="22"/>
          <w:szCs w:val="22"/>
        </w:rPr>
        <w:t xml:space="preserve"> for </w:t>
      </w:r>
      <w:r w:rsidR="00831978" w:rsidRPr="00F10F41">
        <w:rPr>
          <w:rFonts w:ascii="Arial" w:hAnsi="Arial" w:cs="Arial"/>
          <w:color w:val="000000" w:themeColor="text1"/>
          <w:sz w:val="22"/>
          <w:szCs w:val="22"/>
        </w:rPr>
        <w:t>MNI152 coordinates of peak clusters).</w:t>
      </w:r>
      <w:r w:rsidR="00831978">
        <w:rPr>
          <w:rFonts w:ascii="Arial" w:hAnsi="Arial" w:cs="Arial"/>
          <w:color w:val="000000" w:themeColor="text1"/>
          <w:sz w:val="22"/>
          <w:szCs w:val="22"/>
        </w:rPr>
        <w:t xml:space="preserve"> </w:t>
      </w:r>
      <w:r w:rsidRPr="00CE3AC6">
        <w:rPr>
          <w:rFonts w:ascii="Arial" w:hAnsi="Arial" w:cs="Arial"/>
          <w:color w:val="000000" w:themeColor="text1"/>
          <w:sz w:val="22"/>
          <w:szCs w:val="22"/>
        </w:rPr>
        <w:t>There were no significant three-way interactions between EYO, APOE-ε4 and time</w:t>
      </w:r>
      <w:r w:rsidR="008120F4">
        <w:rPr>
          <w:rFonts w:ascii="Arial" w:hAnsi="Arial" w:cs="Arial"/>
          <w:color w:val="000000" w:themeColor="text1"/>
          <w:sz w:val="22"/>
          <w:szCs w:val="22"/>
        </w:rPr>
        <w:t>.</w:t>
      </w:r>
    </w:p>
    <w:p w14:paraId="6FB03694" w14:textId="39AA132B" w:rsidR="00607733" w:rsidRDefault="00607733" w:rsidP="00607733">
      <w:pPr>
        <w:spacing w:line="360" w:lineRule="auto"/>
        <w:jc w:val="both"/>
        <w:rPr>
          <w:rFonts w:ascii="Arial" w:hAnsi="Arial" w:cs="Arial"/>
          <w:color w:val="000000" w:themeColor="text1"/>
          <w:sz w:val="22"/>
          <w:szCs w:val="22"/>
        </w:rPr>
      </w:pPr>
    </w:p>
    <w:p w14:paraId="4F1829F7" w14:textId="77777777" w:rsidR="00607733" w:rsidRPr="00F10F41" w:rsidRDefault="00607733" w:rsidP="00607733">
      <w:pPr>
        <w:spacing w:line="360" w:lineRule="auto"/>
        <w:jc w:val="both"/>
        <w:rPr>
          <w:rFonts w:ascii="Arial" w:hAnsi="Arial" w:cs="Arial"/>
          <w:b/>
          <w:bCs/>
          <w:color w:val="000000" w:themeColor="text1"/>
          <w:sz w:val="26"/>
          <w:szCs w:val="26"/>
        </w:rPr>
      </w:pPr>
      <w:r w:rsidRPr="00F10F41">
        <w:rPr>
          <w:rFonts w:ascii="Arial" w:hAnsi="Arial" w:cs="Arial"/>
          <w:b/>
          <w:bCs/>
          <w:color w:val="000000" w:themeColor="text1"/>
          <w:sz w:val="26"/>
          <w:szCs w:val="26"/>
        </w:rPr>
        <w:t>Cross-modal relationships between ASL and DTI data</w:t>
      </w:r>
    </w:p>
    <w:p w14:paraId="6D0EC617" w14:textId="77777777" w:rsidR="00607733" w:rsidRPr="00F10F41" w:rsidRDefault="00607733" w:rsidP="00607733">
      <w:pPr>
        <w:spacing w:line="360" w:lineRule="auto"/>
        <w:jc w:val="both"/>
        <w:rPr>
          <w:rFonts w:ascii="Arial" w:hAnsi="Arial" w:cs="Arial"/>
          <w:color w:val="000000" w:themeColor="text1"/>
          <w:sz w:val="22"/>
          <w:szCs w:val="22"/>
        </w:rPr>
      </w:pPr>
      <w:r w:rsidRPr="00594408">
        <w:rPr>
          <w:rFonts w:ascii="Arial" w:hAnsi="Arial" w:cs="Arial"/>
          <w:color w:val="000000" w:themeColor="text1"/>
          <w:sz w:val="22"/>
          <w:szCs w:val="22"/>
        </w:rPr>
        <w:t xml:space="preserve">Scatter plots of the relationships between grey matter perfusion and DWI metrics are shown in Figure </w:t>
      </w:r>
      <w:r>
        <w:rPr>
          <w:rFonts w:ascii="Arial" w:hAnsi="Arial" w:cs="Arial"/>
          <w:color w:val="000000" w:themeColor="text1"/>
          <w:sz w:val="22"/>
          <w:szCs w:val="22"/>
        </w:rPr>
        <w:t>6</w:t>
      </w:r>
      <w:r w:rsidRPr="00594408">
        <w:rPr>
          <w:rFonts w:ascii="Arial" w:hAnsi="Arial" w:cs="Arial"/>
          <w:color w:val="000000" w:themeColor="text1"/>
          <w:sz w:val="22"/>
          <w:szCs w:val="22"/>
        </w:rPr>
        <w:t xml:space="preserve">. </w:t>
      </w:r>
      <w:r>
        <w:rPr>
          <w:rFonts w:ascii="Arial" w:hAnsi="Arial" w:cs="Arial"/>
          <w:color w:val="000000" w:themeColor="text1"/>
          <w:sz w:val="22"/>
          <w:szCs w:val="22"/>
        </w:rPr>
        <w:t>Post-hoc r</w:t>
      </w:r>
      <w:r w:rsidRPr="00594408">
        <w:rPr>
          <w:rFonts w:ascii="Arial" w:hAnsi="Arial" w:cs="Arial"/>
          <w:color w:val="000000" w:themeColor="text1"/>
          <w:sz w:val="22"/>
          <w:szCs w:val="22"/>
        </w:rPr>
        <w:t xml:space="preserve">obust linear regressions indicated a significant negative </w:t>
      </w:r>
      <w:r>
        <w:rPr>
          <w:rFonts w:ascii="Arial" w:hAnsi="Arial" w:cs="Arial"/>
          <w:color w:val="000000" w:themeColor="text1"/>
          <w:sz w:val="22"/>
          <w:szCs w:val="22"/>
        </w:rPr>
        <w:t>correlation</w:t>
      </w:r>
      <w:r w:rsidRPr="00594408">
        <w:rPr>
          <w:rFonts w:ascii="Arial" w:hAnsi="Arial" w:cs="Arial"/>
          <w:color w:val="000000" w:themeColor="text1"/>
          <w:sz w:val="22"/>
          <w:szCs w:val="22"/>
        </w:rPr>
        <w:t xml:space="preserve"> of FA (T = -2.95, p </w:t>
      </w:r>
      <w:r>
        <w:rPr>
          <w:rFonts w:ascii="Arial" w:hAnsi="Arial" w:cs="Arial"/>
          <w:color w:val="000000" w:themeColor="text1"/>
          <w:sz w:val="22"/>
          <w:szCs w:val="22"/>
        </w:rPr>
        <w:t>&lt; 0.01</w:t>
      </w:r>
      <w:r w:rsidRPr="00594408">
        <w:rPr>
          <w:rFonts w:ascii="Arial" w:hAnsi="Arial" w:cs="Arial"/>
          <w:color w:val="000000" w:themeColor="text1"/>
          <w:sz w:val="22"/>
          <w:szCs w:val="22"/>
        </w:rPr>
        <w:t xml:space="preserve">) and positive </w:t>
      </w:r>
      <w:r>
        <w:rPr>
          <w:rFonts w:ascii="Arial" w:hAnsi="Arial" w:cs="Arial"/>
          <w:color w:val="000000" w:themeColor="text1"/>
          <w:sz w:val="22"/>
          <w:szCs w:val="22"/>
        </w:rPr>
        <w:t>correlations</w:t>
      </w:r>
      <w:r w:rsidRPr="00594408">
        <w:rPr>
          <w:rFonts w:ascii="Arial" w:hAnsi="Arial" w:cs="Arial"/>
          <w:color w:val="000000" w:themeColor="text1"/>
          <w:sz w:val="22"/>
          <w:szCs w:val="22"/>
        </w:rPr>
        <w:t xml:space="preserve"> of MD (T = 2.29, p = 0.03), and RD (T = 2.66, p = 0.01) </w:t>
      </w:r>
      <w:r>
        <w:rPr>
          <w:rFonts w:ascii="Arial" w:hAnsi="Arial" w:cs="Arial"/>
          <w:color w:val="000000" w:themeColor="text1"/>
          <w:sz w:val="22"/>
          <w:szCs w:val="22"/>
        </w:rPr>
        <w:t>with</w:t>
      </w:r>
      <w:r w:rsidRPr="00594408">
        <w:rPr>
          <w:rFonts w:ascii="Arial" w:hAnsi="Arial" w:cs="Arial"/>
          <w:color w:val="000000" w:themeColor="text1"/>
          <w:sz w:val="22"/>
          <w:szCs w:val="22"/>
        </w:rPr>
        <w:t xml:space="preserve"> grey matter perfusion after adjusting for age, age</w:t>
      </w:r>
      <w:r w:rsidRPr="00D144D7">
        <w:rPr>
          <w:rFonts w:ascii="Arial" w:hAnsi="Arial" w:cs="Arial"/>
          <w:color w:val="000000" w:themeColor="text1"/>
          <w:sz w:val="22"/>
          <w:szCs w:val="22"/>
          <w:vertAlign w:val="superscript"/>
        </w:rPr>
        <w:t>2</w:t>
      </w:r>
      <w:r w:rsidRPr="00594408">
        <w:rPr>
          <w:rFonts w:ascii="Arial" w:hAnsi="Arial" w:cs="Arial"/>
          <w:color w:val="000000" w:themeColor="text1"/>
          <w:sz w:val="22"/>
          <w:szCs w:val="22"/>
        </w:rPr>
        <w:t>, gender, education years, APOE-ε4 status,</w:t>
      </w:r>
      <w:r>
        <w:rPr>
          <w:rFonts w:ascii="Arial" w:hAnsi="Arial" w:cs="Arial"/>
          <w:color w:val="000000" w:themeColor="text1"/>
          <w:sz w:val="22"/>
          <w:szCs w:val="22"/>
        </w:rPr>
        <w:t xml:space="preserve"> </w:t>
      </w:r>
      <w:r w:rsidRPr="00594408">
        <w:rPr>
          <w:rFonts w:ascii="Arial" w:hAnsi="Arial" w:cs="Arial"/>
          <w:color w:val="000000" w:themeColor="text1"/>
          <w:sz w:val="22"/>
          <w:szCs w:val="22"/>
        </w:rPr>
        <w:t>and WMH volumes</w:t>
      </w:r>
      <w:r>
        <w:rPr>
          <w:rFonts w:ascii="Arial" w:hAnsi="Arial" w:cs="Arial"/>
          <w:color w:val="000000" w:themeColor="text1"/>
          <w:sz w:val="22"/>
          <w:szCs w:val="22"/>
        </w:rPr>
        <w:t>.</w:t>
      </w:r>
    </w:p>
    <w:p w14:paraId="6AD246A1" w14:textId="77777777" w:rsidR="00607733" w:rsidRPr="00F10F41" w:rsidRDefault="00607733" w:rsidP="00607733">
      <w:pPr>
        <w:spacing w:line="360" w:lineRule="auto"/>
        <w:jc w:val="center"/>
        <w:rPr>
          <w:rFonts w:ascii="Arial" w:hAnsi="Arial" w:cs="Arial"/>
          <w:color w:val="000000" w:themeColor="text1"/>
          <w:sz w:val="22"/>
          <w:szCs w:val="22"/>
        </w:rPr>
      </w:pPr>
    </w:p>
    <w:p w14:paraId="1FEC8C72" w14:textId="77777777" w:rsidR="00607733" w:rsidRPr="00F10F41" w:rsidRDefault="00607733" w:rsidP="00607733">
      <w:pPr>
        <w:tabs>
          <w:tab w:val="left" w:pos="3428"/>
        </w:tabs>
        <w:spacing w:line="360" w:lineRule="auto"/>
        <w:jc w:val="both"/>
        <w:outlineLvl w:val="0"/>
        <w:rPr>
          <w:rFonts w:ascii="Arial" w:hAnsi="Arial" w:cs="Arial"/>
          <w:b/>
          <w:bCs/>
          <w:color w:val="000000" w:themeColor="text1"/>
          <w:sz w:val="26"/>
          <w:szCs w:val="26"/>
        </w:rPr>
      </w:pPr>
      <w:r w:rsidRPr="00F10F41">
        <w:rPr>
          <w:rFonts w:ascii="Arial" w:hAnsi="Arial" w:cs="Arial"/>
          <w:b/>
          <w:bCs/>
          <w:color w:val="000000" w:themeColor="text1"/>
          <w:sz w:val="26"/>
          <w:szCs w:val="26"/>
        </w:rPr>
        <w:t>Sensitivity analyses</w:t>
      </w:r>
    </w:p>
    <w:p w14:paraId="50D4B1ED" w14:textId="77777777" w:rsidR="00607733" w:rsidRPr="00F10F41" w:rsidRDefault="00607733" w:rsidP="00607733">
      <w:pPr>
        <w:tabs>
          <w:tab w:val="left" w:pos="3428"/>
        </w:tabs>
        <w:spacing w:line="360" w:lineRule="auto"/>
        <w:jc w:val="both"/>
        <w:outlineLvl w:val="0"/>
        <w:rPr>
          <w:rFonts w:ascii="Arial" w:hAnsi="Arial" w:cs="Arial"/>
          <w:i/>
          <w:iCs/>
          <w:color w:val="000000" w:themeColor="text1"/>
        </w:rPr>
      </w:pPr>
      <w:r w:rsidRPr="00F10F41">
        <w:rPr>
          <w:rFonts w:ascii="Arial" w:hAnsi="Arial" w:cs="Arial"/>
          <w:i/>
          <w:iCs/>
          <w:color w:val="000000" w:themeColor="text1"/>
        </w:rPr>
        <w:t>Substituting EYO with age</w:t>
      </w:r>
    </w:p>
    <w:p w14:paraId="0ABABA00" w14:textId="02AD4766" w:rsidR="00607733" w:rsidRDefault="00607733" w:rsidP="00607733">
      <w:pPr>
        <w:tabs>
          <w:tab w:val="left" w:pos="3428"/>
        </w:tabs>
        <w:spacing w:line="360" w:lineRule="auto"/>
        <w:jc w:val="both"/>
        <w:outlineLvl w:val="0"/>
        <w:rPr>
          <w:rFonts w:ascii="Arial" w:hAnsi="Arial" w:cs="Arial"/>
          <w:color w:val="000000" w:themeColor="text1"/>
          <w:sz w:val="22"/>
          <w:szCs w:val="22"/>
        </w:rPr>
      </w:pPr>
      <w:r w:rsidRPr="000B05E2">
        <w:rPr>
          <w:rFonts w:ascii="Arial" w:hAnsi="Arial" w:cs="Arial"/>
          <w:color w:val="000000" w:themeColor="text1"/>
          <w:sz w:val="22"/>
          <w:szCs w:val="22"/>
        </w:rPr>
        <w:t xml:space="preserve">Given that age is correlated with EYO, we performed two sets of sensitivity analyses to evaluate the age-independence of </w:t>
      </w:r>
      <w:r>
        <w:rPr>
          <w:rFonts w:ascii="Arial" w:hAnsi="Arial" w:cs="Arial"/>
          <w:color w:val="000000" w:themeColor="text1"/>
          <w:sz w:val="22"/>
          <w:szCs w:val="22"/>
        </w:rPr>
        <w:t>the</w:t>
      </w:r>
      <w:r w:rsidRPr="000B05E2">
        <w:rPr>
          <w:rFonts w:ascii="Arial" w:hAnsi="Arial" w:cs="Arial"/>
          <w:color w:val="000000" w:themeColor="text1"/>
          <w:sz w:val="22"/>
          <w:szCs w:val="22"/>
        </w:rPr>
        <w:t xml:space="preserve"> EYO results. First, the EYO term was substituted by the chronological age of the participant. These analyses are informative in terms of showing whether the spatial extent of proximity-related white matter changes could be recapitulated from the participant’s age itself. First, age was not significantly correlated with global mean FA (T = -1.88, p = 0.06</w:t>
      </w:r>
      <w:r>
        <w:rPr>
          <w:rFonts w:ascii="Arial" w:hAnsi="Arial" w:cs="Arial"/>
          <w:color w:val="000000" w:themeColor="text1"/>
          <w:sz w:val="22"/>
          <w:szCs w:val="22"/>
        </w:rPr>
        <w:t>)</w:t>
      </w:r>
      <w:r w:rsidRPr="000B05E2">
        <w:rPr>
          <w:rFonts w:ascii="Arial" w:hAnsi="Arial" w:cs="Arial"/>
          <w:color w:val="000000" w:themeColor="text1"/>
          <w:sz w:val="22"/>
          <w:szCs w:val="22"/>
        </w:rPr>
        <w:t xml:space="preserve">, MD (T = 1.31, p = 0.19) or RD (T = 1.64, p = 0.11). Akaike Information Criteria analysis also indicated that </w:t>
      </w:r>
      <w:r>
        <w:rPr>
          <w:rFonts w:ascii="Arial" w:hAnsi="Arial" w:cs="Arial"/>
          <w:color w:val="000000" w:themeColor="text1"/>
          <w:sz w:val="22"/>
          <w:szCs w:val="22"/>
        </w:rPr>
        <w:t xml:space="preserve">including EYO resulted in a better model fit compared to a reduced model with age alone </w:t>
      </w:r>
      <w:r w:rsidRPr="000B05E2">
        <w:rPr>
          <w:rFonts w:ascii="Arial" w:hAnsi="Arial" w:cs="Arial"/>
          <w:color w:val="000000" w:themeColor="text1"/>
          <w:sz w:val="22"/>
          <w:szCs w:val="22"/>
        </w:rPr>
        <w:t>(p = 0.007).</w:t>
      </w:r>
      <w:r>
        <w:rPr>
          <w:rFonts w:ascii="Arial" w:hAnsi="Arial" w:cs="Arial"/>
          <w:color w:val="000000" w:themeColor="text1"/>
          <w:sz w:val="22"/>
          <w:szCs w:val="22"/>
        </w:rPr>
        <w:t xml:space="preserve"> Second,</w:t>
      </w:r>
      <w:r w:rsidRPr="000B05E2">
        <w:rPr>
          <w:rFonts w:ascii="Arial" w:hAnsi="Arial" w:cs="Arial"/>
          <w:color w:val="000000" w:themeColor="text1"/>
          <w:sz w:val="22"/>
          <w:szCs w:val="22"/>
        </w:rPr>
        <w:t xml:space="preserve"> </w:t>
      </w:r>
      <w:r>
        <w:rPr>
          <w:rFonts w:ascii="Arial" w:hAnsi="Arial" w:cs="Arial"/>
          <w:color w:val="000000" w:themeColor="text1"/>
          <w:sz w:val="22"/>
          <w:szCs w:val="22"/>
        </w:rPr>
        <w:t>in</w:t>
      </w:r>
      <w:r w:rsidRPr="000B05E2">
        <w:rPr>
          <w:rFonts w:ascii="Arial" w:hAnsi="Arial" w:cs="Arial"/>
          <w:color w:val="000000" w:themeColor="text1"/>
          <w:sz w:val="22"/>
          <w:szCs w:val="22"/>
        </w:rPr>
        <w:t xml:space="preserve"> our </w:t>
      </w:r>
      <w:proofErr w:type="spellStart"/>
      <w:r w:rsidRPr="000B05E2">
        <w:rPr>
          <w:rFonts w:ascii="Arial" w:hAnsi="Arial" w:cs="Arial"/>
          <w:color w:val="000000" w:themeColor="text1"/>
          <w:sz w:val="22"/>
          <w:szCs w:val="22"/>
        </w:rPr>
        <w:t>voxelwise</w:t>
      </w:r>
      <w:proofErr w:type="spellEnd"/>
      <w:r w:rsidRPr="000B05E2">
        <w:rPr>
          <w:rFonts w:ascii="Arial" w:hAnsi="Arial" w:cs="Arial"/>
          <w:color w:val="000000" w:themeColor="text1"/>
          <w:sz w:val="22"/>
          <w:szCs w:val="22"/>
        </w:rPr>
        <w:t xml:space="preserve"> </w:t>
      </w:r>
      <w:proofErr w:type="spellStart"/>
      <w:r w:rsidRPr="000B05E2">
        <w:rPr>
          <w:rFonts w:ascii="Arial" w:hAnsi="Arial" w:cs="Arial"/>
          <w:color w:val="000000" w:themeColor="text1"/>
          <w:sz w:val="22"/>
          <w:szCs w:val="22"/>
        </w:rPr>
        <w:t>SwE</w:t>
      </w:r>
      <w:proofErr w:type="spellEnd"/>
      <w:r w:rsidRPr="000B05E2">
        <w:rPr>
          <w:rFonts w:ascii="Arial" w:hAnsi="Arial" w:cs="Arial"/>
          <w:color w:val="000000" w:themeColor="text1"/>
          <w:sz w:val="22"/>
          <w:szCs w:val="22"/>
        </w:rPr>
        <w:t xml:space="preserve"> models without the EYO term, older age was only associated with lower FA</w:t>
      </w:r>
      <w:r>
        <w:rPr>
          <w:rFonts w:ascii="Arial" w:hAnsi="Arial" w:cs="Arial"/>
          <w:color w:val="000000" w:themeColor="text1"/>
          <w:sz w:val="22"/>
          <w:szCs w:val="22"/>
        </w:rPr>
        <w:t xml:space="preserve"> but not MD or RD </w:t>
      </w:r>
      <w:r w:rsidRPr="000B05E2">
        <w:rPr>
          <w:rFonts w:ascii="Arial" w:hAnsi="Arial" w:cs="Arial"/>
          <w:color w:val="000000" w:themeColor="text1"/>
          <w:sz w:val="22"/>
          <w:szCs w:val="22"/>
        </w:rPr>
        <w:t xml:space="preserve">(TFCE </w:t>
      </w:r>
      <w:r w:rsidRPr="00D144D7">
        <w:rPr>
          <w:rFonts w:ascii="Arial" w:hAnsi="Arial" w:cs="Arial"/>
          <w:color w:val="000000" w:themeColor="text1"/>
          <w:sz w:val="22"/>
          <w:szCs w:val="22"/>
          <w:vertAlign w:val="subscript"/>
        </w:rPr>
        <w:t>FWER</w:t>
      </w:r>
      <w:r w:rsidRPr="000B05E2">
        <w:rPr>
          <w:rFonts w:ascii="Arial" w:hAnsi="Arial" w:cs="Arial"/>
          <w:color w:val="000000" w:themeColor="text1"/>
          <w:sz w:val="22"/>
          <w:szCs w:val="22"/>
        </w:rPr>
        <w:t xml:space="preserve"> p &lt; 0.05).</w:t>
      </w:r>
      <w:r>
        <w:rPr>
          <w:rFonts w:ascii="Arial" w:hAnsi="Arial" w:cs="Arial"/>
          <w:color w:val="000000" w:themeColor="text1"/>
          <w:sz w:val="22"/>
          <w:szCs w:val="22"/>
        </w:rPr>
        <w:t xml:space="preserve"> T</w:t>
      </w:r>
      <w:r w:rsidRPr="000B05E2">
        <w:rPr>
          <w:rFonts w:ascii="Arial" w:hAnsi="Arial" w:cs="Arial"/>
          <w:color w:val="000000" w:themeColor="text1"/>
          <w:sz w:val="22"/>
          <w:szCs w:val="22"/>
        </w:rPr>
        <w:t>he spatial extent of the age-FA association</w:t>
      </w:r>
      <w:r>
        <w:rPr>
          <w:rFonts w:ascii="Arial" w:hAnsi="Arial" w:cs="Arial"/>
          <w:color w:val="000000" w:themeColor="text1"/>
          <w:sz w:val="22"/>
          <w:szCs w:val="22"/>
        </w:rPr>
        <w:t>s</w:t>
      </w:r>
      <w:r w:rsidRPr="000B05E2">
        <w:rPr>
          <w:rFonts w:ascii="Arial" w:hAnsi="Arial" w:cs="Arial"/>
          <w:color w:val="000000" w:themeColor="text1"/>
          <w:sz w:val="22"/>
          <w:szCs w:val="22"/>
        </w:rPr>
        <w:t xml:space="preserve"> was markedly smaller to that of the EYO (Dice volume overlap = 17.4%). The voxels that are unique to either </w:t>
      </w:r>
      <w:r>
        <w:rPr>
          <w:rFonts w:ascii="Arial" w:hAnsi="Arial" w:cs="Arial"/>
          <w:color w:val="000000" w:themeColor="text1"/>
          <w:sz w:val="22"/>
          <w:szCs w:val="22"/>
        </w:rPr>
        <w:t xml:space="preserve">EYO, </w:t>
      </w:r>
      <w:r w:rsidRPr="000B05E2">
        <w:rPr>
          <w:rFonts w:ascii="Arial" w:hAnsi="Arial" w:cs="Arial"/>
          <w:color w:val="000000" w:themeColor="text1"/>
          <w:sz w:val="22"/>
          <w:szCs w:val="22"/>
        </w:rPr>
        <w:t>age</w:t>
      </w:r>
      <w:r>
        <w:rPr>
          <w:rFonts w:ascii="Arial" w:hAnsi="Arial" w:cs="Arial"/>
          <w:color w:val="000000" w:themeColor="text1"/>
          <w:sz w:val="22"/>
          <w:szCs w:val="22"/>
        </w:rPr>
        <w:t xml:space="preserve">, or </w:t>
      </w:r>
      <w:r w:rsidRPr="000B05E2">
        <w:rPr>
          <w:rFonts w:ascii="Arial" w:hAnsi="Arial" w:cs="Arial"/>
          <w:color w:val="000000" w:themeColor="text1"/>
          <w:sz w:val="22"/>
          <w:szCs w:val="22"/>
        </w:rPr>
        <w:t>overlapping</w:t>
      </w:r>
      <w:r>
        <w:rPr>
          <w:rFonts w:ascii="Arial" w:hAnsi="Arial" w:cs="Arial"/>
          <w:color w:val="000000" w:themeColor="text1"/>
          <w:sz w:val="22"/>
          <w:szCs w:val="22"/>
        </w:rPr>
        <w:t xml:space="preserve"> effects</w:t>
      </w:r>
      <w:r w:rsidRPr="000B05E2">
        <w:rPr>
          <w:rFonts w:ascii="Arial" w:hAnsi="Arial" w:cs="Arial"/>
          <w:color w:val="000000" w:themeColor="text1"/>
          <w:sz w:val="22"/>
          <w:szCs w:val="22"/>
        </w:rPr>
        <w:t xml:space="preserve"> are illustrated </w:t>
      </w:r>
      <w:r>
        <w:rPr>
          <w:rFonts w:ascii="Arial" w:hAnsi="Arial" w:cs="Arial"/>
          <w:color w:val="000000" w:themeColor="text1"/>
          <w:sz w:val="22"/>
          <w:szCs w:val="22"/>
        </w:rPr>
        <w:t>in Figure 7</w:t>
      </w:r>
      <w:r w:rsidRPr="000B05E2">
        <w:rPr>
          <w:rFonts w:ascii="Arial" w:hAnsi="Arial" w:cs="Arial"/>
          <w:color w:val="000000" w:themeColor="text1"/>
          <w:sz w:val="22"/>
          <w:szCs w:val="22"/>
        </w:rPr>
        <w:t>, showing that EYO is sensitive to microstructural changes over and beyond that of normal ageing</w:t>
      </w:r>
      <w:r>
        <w:rPr>
          <w:rFonts w:ascii="Arial" w:hAnsi="Arial" w:cs="Arial"/>
          <w:color w:val="000000" w:themeColor="text1"/>
          <w:sz w:val="22"/>
          <w:szCs w:val="22"/>
        </w:rPr>
        <w:t xml:space="preserve">. </w:t>
      </w:r>
      <w:r w:rsidRPr="000B05E2">
        <w:rPr>
          <w:rFonts w:ascii="Arial" w:hAnsi="Arial" w:cs="Arial"/>
          <w:color w:val="000000" w:themeColor="text1"/>
          <w:sz w:val="22"/>
          <w:szCs w:val="22"/>
        </w:rPr>
        <w:t xml:space="preserve">Similarly, in contrast to EYO, there was no significant interaction between age and </w:t>
      </w:r>
      <w:r w:rsidRPr="00D144D7">
        <w:rPr>
          <w:rFonts w:ascii="Arial" w:hAnsi="Arial" w:cs="Arial"/>
          <w:color w:val="000000" w:themeColor="text1"/>
          <w:sz w:val="20"/>
          <w:szCs w:val="20"/>
        </w:rPr>
        <w:t>APOE-</w:t>
      </w:r>
      <w:r w:rsidRPr="00D144D7">
        <w:rPr>
          <w:rFonts w:ascii="Arial" w:hAnsi="Arial" w:cs="Arial"/>
          <w:color w:val="000000" w:themeColor="text1"/>
          <w:sz w:val="20"/>
          <w:szCs w:val="20"/>
          <w:lang w:val="el-GR"/>
        </w:rPr>
        <w:t>ε</w:t>
      </w:r>
      <w:r w:rsidRPr="00D144D7">
        <w:rPr>
          <w:rFonts w:ascii="Arial" w:hAnsi="Arial" w:cs="Arial"/>
          <w:color w:val="000000" w:themeColor="text1"/>
          <w:sz w:val="20"/>
          <w:szCs w:val="20"/>
        </w:rPr>
        <w:t xml:space="preserve">4 </w:t>
      </w:r>
      <w:r w:rsidRPr="000B05E2">
        <w:rPr>
          <w:rFonts w:ascii="Arial" w:hAnsi="Arial" w:cs="Arial"/>
          <w:color w:val="000000" w:themeColor="text1"/>
          <w:sz w:val="22"/>
          <w:szCs w:val="22"/>
        </w:rPr>
        <w:t>status on mean grey matter perfusion (T = 0.46, p = 0.65).</w:t>
      </w:r>
    </w:p>
    <w:p w14:paraId="3391F12E" w14:textId="63645450" w:rsidR="00607733" w:rsidRDefault="00607733" w:rsidP="00607733">
      <w:pPr>
        <w:tabs>
          <w:tab w:val="left" w:pos="3428"/>
        </w:tabs>
        <w:spacing w:line="360" w:lineRule="auto"/>
        <w:jc w:val="both"/>
        <w:outlineLvl w:val="0"/>
        <w:rPr>
          <w:rFonts w:ascii="Arial" w:hAnsi="Arial" w:cs="Arial"/>
          <w:color w:val="000000" w:themeColor="text1"/>
          <w:sz w:val="22"/>
          <w:szCs w:val="22"/>
        </w:rPr>
      </w:pPr>
    </w:p>
    <w:p w14:paraId="6D35C565" w14:textId="6DF1E743" w:rsidR="00607733" w:rsidRPr="00F10F41" w:rsidRDefault="00607733" w:rsidP="00607733">
      <w:pPr>
        <w:tabs>
          <w:tab w:val="left" w:pos="3428"/>
        </w:tabs>
        <w:spacing w:line="360" w:lineRule="auto"/>
        <w:jc w:val="both"/>
        <w:outlineLvl w:val="0"/>
        <w:rPr>
          <w:rFonts w:ascii="Arial" w:hAnsi="Arial" w:cs="Arial"/>
          <w:i/>
          <w:iCs/>
          <w:color w:val="000000" w:themeColor="text1"/>
        </w:rPr>
      </w:pPr>
      <w:r w:rsidRPr="00F10F41">
        <w:rPr>
          <w:rFonts w:ascii="Arial" w:hAnsi="Arial" w:cs="Arial"/>
          <w:i/>
          <w:iCs/>
          <w:color w:val="000000" w:themeColor="text1"/>
        </w:rPr>
        <w:t xml:space="preserve">Group comparisons of white matter across binarized subgroups </w:t>
      </w:r>
    </w:p>
    <w:p w14:paraId="1B036B3D" w14:textId="6F16F6E5" w:rsidR="00607733" w:rsidRPr="000B05E2" w:rsidRDefault="00607733" w:rsidP="00607733">
      <w:pPr>
        <w:tabs>
          <w:tab w:val="left" w:pos="3428"/>
        </w:tabs>
        <w:spacing w:line="360" w:lineRule="auto"/>
        <w:jc w:val="both"/>
        <w:outlineLvl w:val="0"/>
        <w:rPr>
          <w:rFonts w:ascii="Arial" w:hAnsi="Arial" w:cs="Arial"/>
          <w:color w:val="000000" w:themeColor="text1"/>
          <w:sz w:val="22"/>
          <w:szCs w:val="22"/>
        </w:rPr>
      </w:pPr>
      <w:r w:rsidRPr="00FA0A63">
        <w:rPr>
          <w:rFonts w:ascii="Arial" w:hAnsi="Arial" w:cs="Arial"/>
          <w:sz w:val="22"/>
          <w:szCs w:val="22"/>
        </w:rPr>
        <w:t xml:space="preserve">We also attempted to disentangle the contributions of ageing, </w:t>
      </w:r>
      <w:r w:rsidRPr="00D144D7">
        <w:rPr>
          <w:rFonts w:ascii="Arial" w:hAnsi="Arial" w:cs="Arial"/>
          <w:color w:val="000000" w:themeColor="text1"/>
          <w:sz w:val="20"/>
          <w:szCs w:val="20"/>
        </w:rPr>
        <w:t>APOE-</w:t>
      </w:r>
      <w:r w:rsidRPr="00D144D7">
        <w:rPr>
          <w:rFonts w:ascii="Arial" w:hAnsi="Arial" w:cs="Arial"/>
          <w:color w:val="000000" w:themeColor="text1"/>
          <w:sz w:val="20"/>
          <w:szCs w:val="20"/>
          <w:lang w:val="el-GR"/>
        </w:rPr>
        <w:t>ε</w:t>
      </w:r>
      <w:r w:rsidRPr="00D144D7">
        <w:rPr>
          <w:rFonts w:ascii="Arial" w:hAnsi="Arial" w:cs="Arial"/>
          <w:color w:val="000000" w:themeColor="text1"/>
          <w:sz w:val="20"/>
          <w:szCs w:val="20"/>
        </w:rPr>
        <w:t xml:space="preserve">4 </w:t>
      </w:r>
      <w:r w:rsidRPr="00FA0A63">
        <w:rPr>
          <w:rFonts w:ascii="Arial" w:hAnsi="Arial" w:cs="Arial"/>
          <w:sz w:val="22"/>
          <w:szCs w:val="22"/>
        </w:rPr>
        <w:t>and EYO through a series of group comparisons</w:t>
      </w:r>
      <w:r>
        <w:rPr>
          <w:rFonts w:ascii="Arial" w:hAnsi="Arial" w:cs="Arial"/>
          <w:sz w:val="22"/>
          <w:szCs w:val="22"/>
        </w:rPr>
        <w:t xml:space="preserve">. </w:t>
      </w:r>
      <w:r w:rsidRPr="00FA0A63">
        <w:rPr>
          <w:rFonts w:ascii="Arial" w:hAnsi="Arial" w:cs="Arial"/>
          <w:sz w:val="22"/>
          <w:szCs w:val="22"/>
        </w:rPr>
        <w:t>The dependent variable was the imaging metric at baseline (</w:t>
      </w:r>
      <w:proofErr w:type="gramStart"/>
      <w:r w:rsidRPr="00FA0A63">
        <w:rPr>
          <w:rFonts w:ascii="Arial" w:hAnsi="Arial" w:cs="Arial"/>
          <w:sz w:val="22"/>
          <w:szCs w:val="22"/>
        </w:rPr>
        <w:t>i.e.</w:t>
      </w:r>
      <w:proofErr w:type="gramEnd"/>
      <w:r w:rsidRPr="00FA0A63">
        <w:rPr>
          <w:rFonts w:ascii="Arial" w:hAnsi="Arial" w:cs="Arial"/>
          <w:sz w:val="22"/>
          <w:szCs w:val="22"/>
        </w:rPr>
        <w:t xml:space="preserve"> FA). The categorical covariates are </w:t>
      </w:r>
      <w:r>
        <w:rPr>
          <w:rFonts w:ascii="Arial" w:hAnsi="Arial" w:cs="Arial"/>
          <w:sz w:val="22"/>
          <w:szCs w:val="22"/>
        </w:rPr>
        <w:t>age groups</w:t>
      </w:r>
      <w:r w:rsidRPr="00FA0A63">
        <w:rPr>
          <w:rFonts w:ascii="Arial" w:hAnsi="Arial" w:cs="Arial"/>
          <w:sz w:val="22"/>
          <w:szCs w:val="22"/>
        </w:rPr>
        <w:t xml:space="preserve"> (</w:t>
      </w:r>
      <w:r w:rsidRPr="00E4441D">
        <w:rPr>
          <w:rFonts w:ascii="Arial" w:hAnsi="Arial" w:cs="Arial"/>
          <w:sz w:val="22"/>
          <w:szCs w:val="22"/>
        </w:rPr>
        <w:t>Age ≥ 53</w:t>
      </w:r>
      <w:r>
        <w:rPr>
          <w:rFonts w:ascii="Arial" w:hAnsi="Arial" w:cs="Arial"/>
          <w:sz w:val="22"/>
          <w:szCs w:val="22"/>
        </w:rPr>
        <w:t xml:space="preserve"> </w:t>
      </w:r>
      <w:r w:rsidRPr="00FA0A63">
        <w:rPr>
          <w:rFonts w:ascii="Arial" w:hAnsi="Arial" w:cs="Arial"/>
          <w:sz w:val="22"/>
          <w:szCs w:val="22"/>
        </w:rPr>
        <w:t xml:space="preserve">and Age &lt; </w:t>
      </w:r>
      <w:r w:rsidRPr="00E4441D">
        <w:rPr>
          <w:rFonts w:ascii="Arial" w:hAnsi="Arial" w:cs="Arial"/>
          <w:sz w:val="22"/>
          <w:szCs w:val="22"/>
        </w:rPr>
        <w:t>53</w:t>
      </w:r>
      <w:r w:rsidRPr="00FA0A63">
        <w:rPr>
          <w:rFonts w:ascii="Arial" w:hAnsi="Arial" w:cs="Arial"/>
          <w:sz w:val="22"/>
          <w:szCs w:val="22"/>
        </w:rPr>
        <w:t xml:space="preserve">), APOE4 (Carriers </w:t>
      </w:r>
      <w:r w:rsidRPr="00FA0A63">
        <w:rPr>
          <w:rFonts w:ascii="Arial" w:hAnsi="Arial" w:cs="Arial"/>
          <w:sz w:val="22"/>
          <w:szCs w:val="22"/>
        </w:rPr>
        <w:lastRenderedPageBreak/>
        <w:t>and Non-Carriers), and EYO proximity groups (EYO</w:t>
      </w:r>
      <w:r>
        <w:rPr>
          <w:rFonts w:ascii="Arial" w:hAnsi="Arial" w:cs="Arial"/>
          <w:sz w:val="22"/>
          <w:szCs w:val="22"/>
        </w:rPr>
        <w:t xml:space="preserve"> </w:t>
      </w:r>
      <w:r w:rsidRPr="000F2F1E">
        <w:rPr>
          <w:rFonts w:ascii="Arial" w:hAnsi="Arial" w:cs="Arial"/>
          <w:sz w:val="22"/>
          <w:szCs w:val="22"/>
        </w:rPr>
        <w:t>≥ 25</w:t>
      </w:r>
      <w:r>
        <w:rPr>
          <w:rFonts w:ascii="Arial" w:hAnsi="Arial" w:cs="Arial"/>
          <w:sz w:val="22"/>
          <w:szCs w:val="22"/>
        </w:rPr>
        <w:t xml:space="preserve"> </w:t>
      </w:r>
      <w:r w:rsidRPr="00FA0A63">
        <w:rPr>
          <w:rFonts w:ascii="Arial" w:hAnsi="Arial" w:cs="Arial"/>
          <w:sz w:val="22"/>
          <w:szCs w:val="22"/>
        </w:rPr>
        <w:t>and EYO</w:t>
      </w:r>
      <w:r>
        <w:rPr>
          <w:rFonts w:ascii="Arial" w:hAnsi="Arial" w:cs="Arial"/>
          <w:sz w:val="22"/>
          <w:szCs w:val="22"/>
        </w:rPr>
        <w:t xml:space="preserve"> </w:t>
      </w:r>
      <w:r w:rsidRPr="000F2F1E">
        <w:rPr>
          <w:rFonts w:ascii="Arial" w:hAnsi="Arial" w:cs="Arial"/>
          <w:sz w:val="22"/>
          <w:szCs w:val="22"/>
        </w:rPr>
        <w:t>&lt; 25</w:t>
      </w:r>
      <w:r w:rsidRPr="00FA0A63">
        <w:rPr>
          <w:rFonts w:ascii="Arial" w:hAnsi="Arial" w:cs="Arial"/>
          <w:sz w:val="22"/>
          <w:szCs w:val="22"/>
        </w:rPr>
        <w:t>). WMH volumes were also included to account for white matter alterations due to small vessel diseases.</w:t>
      </w:r>
      <w:r>
        <w:rPr>
          <w:rFonts w:ascii="Arial" w:hAnsi="Arial" w:cs="Arial"/>
          <w:sz w:val="22"/>
          <w:szCs w:val="22"/>
        </w:rPr>
        <w:t xml:space="preserve"> </w:t>
      </w:r>
      <w:r w:rsidRPr="00FA0A63">
        <w:rPr>
          <w:rFonts w:ascii="Arial" w:hAnsi="Arial" w:cs="Arial"/>
          <w:sz w:val="22"/>
          <w:szCs w:val="22"/>
        </w:rPr>
        <w:t xml:space="preserve">This parsimonious stratification of the sample enabled </w:t>
      </w:r>
      <w:r>
        <w:rPr>
          <w:rFonts w:ascii="Arial" w:hAnsi="Arial" w:cs="Arial"/>
          <w:sz w:val="22"/>
          <w:szCs w:val="22"/>
        </w:rPr>
        <w:t>a comparison of</w:t>
      </w:r>
      <w:r w:rsidRPr="00FA0A63">
        <w:rPr>
          <w:rFonts w:ascii="Arial" w:hAnsi="Arial" w:cs="Arial"/>
          <w:sz w:val="22"/>
          <w:szCs w:val="22"/>
        </w:rPr>
        <w:t xml:space="preserve"> the relative impact of each risk factor on imaging changes. </w:t>
      </w:r>
      <w:r w:rsidRPr="00FD0487">
        <w:rPr>
          <w:rFonts w:ascii="Arial" w:hAnsi="Arial" w:cs="Arial"/>
          <w:sz w:val="22"/>
          <w:szCs w:val="22"/>
        </w:rPr>
        <w:t xml:space="preserve">ANOVA indicated a significant main effect </w:t>
      </w:r>
      <w:r>
        <w:rPr>
          <w:rFonts w:ascii="Arial" w:hAnsi="Arial" w:cs="Arial"/>
          <w:sz w:val="22"/>
          <w:szCs w:val="22"/>
        </w:rPr>
        <w:t>that was exclusive to</w:t>
      </w:r>
      <w:r w:rsidRPr="00FD0487">
        <w:rPr>
          <w:rFonts w:ascii="Arial" w:hAnsi="Arial" w:cs="Arial"/>
          <w:sz w:val="22"/>
          <w:szCs w:val="22"/>
        </w:rPr>
        <w:t xml:space="preserve"> EYO</w:t>
      </w:r>
      <w:r>
        <w:rPr>
          <w:rFonts w:ascii="Arial" w:hAnsi="Arial" w:cs="Arial"/>
          <w:sz w:val="22"/>
          <w:szCs w:val="22"/>
        </w:rPr>
        <w:t xml:space="preserve"> </w:t>
      </w:r>
      <w:r w:rsidRPr="00FD0487">
        <w:rPr>
          <w:rFonts w:ascii="Arial" w:hAnsi="Arial" w:cs="Arial"/>
          <w:sz w:val="22"/>
          <w:szCs w:val="22"/>
        </w:rPr>
        <w:t>(F = 6.52, p = 0.01)</w:t>
      </w:r>
      <w:r>
        <w:rPr>
          <w:rFonts w:ascii="Arial" w:hAnsi="Arial" w:cs="Arial"/>
          <w:sz w:val="22"/>
          <w:szCs w:val="22"/>
        </w:rPr>
        <w:t>. Furthermore,</w:t>
      </w:r>
      <w:r w:rsidRPr="00FD0487">
        <w:rPr>
          <w:rFonts w:ascii="Arial" w:hAnsi="Arial" w:cs="Arial"/>
          <w:sz w:val="22"/>
          <w:szCs w:val="22"/>
        </w:rPr>
        <w:t xml:space="preserve"> the effect size was the largest for EYO (Cohen ƒ</w:t>
      </w:r>
      <w:r w:rsidR="004E7C82">
        <w:rPr>
          <w:rFonts w:ascii="Arial" w:hAnsi="Arial" w:cs="Arial"/>
          <w:sz w:val="22"/>
          <w:szCs w:val="22"/>
        </w:rPr>
        <w:t xml:space="preserve"> </w:t>
      </w:r>
      <w:r w:rsidRPr="00FD0487">
        <w:rPr>
          <w:rFonts w:ascii="Arial" w:hAnsi="Arial" w:cs="Arial"/>
          <w:sz w:val="22"/>
          <w:szCs w:val="22"/>
        </w:rPr>
        <w:t>= 0.3</w:t>
      </w:r>
      <w:r>
        <w:rPr>
          <w:rFonts w:ascii="Arial" w:hAnsi="Arial" w:cs="Arial"/>
          <w:sz w:val="22"/>
          <w:szCs w:val="22"/>
        </w:rPr>
        <w:t>) relative to a</w:t>
      </w:r>
      <w:r w:rsidRPr="00FD0487">
        <w:rPr>
          <w:rFonts w:ascii="Arial" w:hAnsi="Arial" w:cs="Arial"/>
          <w:sz w:val="22"/>
          <w:szCs w:val="22"/>
        </w:rPr>
        <w:t>ge (Cohen ƒ</w:t>
      </w:r>
      <w:r w:rsidR="004E7C82">
        <w:rPr>
          <w:rFonts w:ascii="Arial" w:hAnsi="Arial" w:cs="Arial"/>
          <w:sz w:val="22"/>
          <w:szCs w:val="22"/>
        </w:rPr>
        <w:t xml:space="preserve"> </w:t>
      </w:r>
      <w:r w:rsidRPr="00FD0487">
        <w:rPr>
          <w:rFonts w:ascii="Arial" w:hAnsi="Arial" w:cs="Arial"/>
          <w:sz w:val="22"/>
          <w:szCs w:val="22"/>
        </w:rPr>
        <w:t xml:space="preserve">= 0.06) and </w:t>
      </w:r>
      <w:r w:rsidRPr="00D144D7">
        <w:rPr>
          <w:rFonts w:ascii="Arial" w:hAnsi="Arial" w:cs="Arial"/>
          <w:color w:val="000000" w:themeColor="text1"/>
          <w:sz w:val="20"/>
          <w:szCs w:val="20"/>
        </w:rPr>
        <w:t>APOE-</w:t>
      </w:r>
      <w:r w:rsidRPr="00D144D7">
        <w:rPr>
          <w:rFonts w:ascii="Arial" w:hAnsi="Arial" w:cs="Arial"/>
          <w:color w:val="000000" w:themeColor="text1"/>
          <w:sz w:val="20"/>
          <w:szCs w:val="20"/>
          <w:lang w:val="el-GR"/>
        </w:rPr>
        <w:t>ε</w:t>
      </w:r>
      <w:r w:rsidRPr="00D144D7">
        <w:rPr>
          <w:rFonts w:ascii="Arial" w:hAnsi="Arial" w:cs="Arial"/>
          <w:color w:val="000000" w:themeColor="text1"/>
          <w:sz w:val="20"/>
          <w:szCs w:val="20"/>
        </w:rPr>
        <w:t xml:space="preserve">4 </w:t>
      </w:r>
      <w:r w:rsidRPr="00FD0487">
        <w:rPr>
          <w:rFonts w:ascii="Arial" w:hAnsi="Arial" w:cs="Arial"/>
          <w:sz w:val="22"/>
          <w:szCs w:val="22"/>
        </w:rPr>
        <w:t>(Cohen ƒ</w:t>
      </w:r>
      <w:r w:rsidR="004E7C82">
        <w:rPr>
          <w:rFonts w:ascii="Arial" w:hAnsi="Arial" w:cs="Arial"/>
          <w:sz w:val="22"/>
          <w:szCs w:val="22"/>
        </w:rPr>
        <w:t xml:space="preserve"> </w:t>
      </w:r>
      <w:r w:rsidRPr="00FD0487">
        <w:rPr>
          <w:rFonts w:ascii="Arial" w:hAnsi="Arial" w:cs="Arial"/>
          <w:sz w:val="22"/>
          <w:szCs w:val="22"/>
        </w:rPr>
        <w:t xml:space="preserve">= 0.09). The predominant effect of EYO was also evident in MD and RD </w:t>
      </w:r>
      <w:r>
        <w:rPr>
          <w:rFonts w:ascii="Arial" w:hAnsi="Arial" w:cs="Arial"/>
          <w:sz w:val="22"/>
          <w:szCs w:val="22"/>
        </w:rPr>
        <w:t>analyses.</w:t>
      </w:r>
    </w:p>
    <w:p w14:paraId="4CAE2041" w14:textId="77777777" w:rsidR="00607733" w:rsidRPr="00F10F41" w:rsidRDefault="00607733" w:rsidP="00607733">
      <w:pPr>
        <w:spacing w:line="360" w:lineRule="auto"/>
        <w:jc w:val="both"/>
        <w:rPr>
          <w:rFonts w:ascii="Arial" w:hAnsi="Arial" w:cs="Arial"/>
          <w:b/>
          <w:bCs/>
          <w:i/>
          <w:iCs/>
          <w:color w:val="000000" w:themeColor="text1"/>
          <w:sz w:val="22"/>
          <w:szCs w:val="22"/>
        </w:rPr>
      </w:pPr>
    </w:p>
    <w:p w14:paraId="3B1E70B3" w14:textId="77777777" w:rsidR="00607733" w:rsidRPr="00F10F41" w:rsidRDefault="00607733" w:rsidP="00607733">
      <w:pPr>
        <w:tabs>
          <w:tab w:val="left" w:pos="3428"/>
        </w:tabs>
        <w:spacing w:line="360" w:lineRule="auto"/>
        <w:jc w:val="both"/>
        <w:outlineLvl w:val="0"/>
        <w:rPr>
          <w:rFonts w:ascii="Arial" w:hAnsi="Arial" w:cs="Arial"/>
          <w:b/>
          <w:bCs/>
          <w:color w:val="000000" w:themeColor="text1"/>
          <w:sz w:val="30"/>
          <w:szCs w:val="30"/>
        </w:rPr>
      </w:pPr>
      <w:r w:rsidRPr="00F10F41">
        <w:rPr>
          <w:rFonts w:ascii="Arial" w:hAnsi="Arial" w:cs="Arial"/>
          <w:b/>
          <w:bCs/>
          <w:color w:val="000000" w:themeColor="text1"/>
          <w:sz w:val="30"/>
          <w:szCs w:val="30"/>
        </w:rPr>
        <w:t>DISCUSSION</w:t>
      </w:r>
    </w:p>
    <w:p w14:paraId="19D6468A" w14:textId="743D147E" w:rsidR="00607733" w:rsidRPr="00F10F41" w:rsidRDefault="00607733" w:rsidP="00607733">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t xml:space="preserve">Our study </w:t>
      </w:r>
      <w:r>
        <w:rPr>
          <w:rFonts w:ascii="Arial" w:hAnsi="Arial" w:cs="Arial"/>
          <w:color w:val="000000" w:themeColor="text1"/>
          <w:sz w:val="22"/>
          <w:szCs w:val="22"/>
        </w:rPr>
        <w:t>revealed</w:t>
      </w:r>
      <w:r w:rsidRPr="00F10F41">
        <w:rPr>
          <w:rFonts w:ascii="Arial" w:hAnsi="Arial" w:cs="Arial"/>
          <w:color w:val="000000" w:themeColor="text1"/>
          <w:sz w:val="22"/>
          <w:szCs w:val="22"/>
        </w:rPr>
        <w:t xml:space="preserve"> an assortment of brain changes as cognitively normal</w:t>
      </w:r>
      <w:r>
        <w:rPr>
          <w:rFonts w:ascii="Arial" w:hAnsi="Arial" w:cs="Arial"/>
          <w:color w:val="000000" w:themeColor="text1"/>
          <w:sz w:val="22"/>
          <w:szCs w:val="22"/>
        </w:rPr>
        <w:t xml:space="preserve"> </w:t>
      </w:r>
      <w:r w:rsidRPr="00F10F41">
        <w:rPr>
          <w:rFonts w:ascii="Arial" w:hAnsi="Arial" w:cs="Arial"/>
          <w:color w:val="000000" w:themeColor="text1"/>
          <w:sz w:val="22"/>
          <w:szCs w:val="22"/>
        </w:rPr>
        <w:t>FH+ individuals approach their expected onset of dementia</w:t>
      </w:r>
      <w:r>
        <w:rPr>
          <w:rFonts w:ascii="Arial" w:hAnsi="Arial" w:cs="Arial"/>
          <w:color w:val="000000" w:themeColor="text1"/>
          <w:sz w:val="22"/>
          <w:szCs w:val="22"/>
        </w:rPr>
        <w:t xml:space="preserve"> in midlife</w:t>
      </w:r>
      <w:r w:rsidRPr="00F10F41">
        <w:rPr>
          <w:rFonts w:ascii="Arial" w:hAnsi="Arial" w:cs="Arial"/>
          <w:color w:val="000000" w:themeColor="text1"/>
          <w:sz w:val="22"/>
          <w:szCs w:val="22"/>
        </w:rPr>
        <w:t>. A shorter hypothetical proximity to dementia was associated with widespread white matter disruption (</w:t>
      </w:r>
      <w:r w:rsidRPr="00F10F41">
        <w:rPr>
          <w:rFonts w:ascii="Arial" w:hAnsi="Arial" w:cs="Arial"/>
          <w:color w:val="000000" w:themeColor="text1"/>
          <w:sz w:val="22"/>
          <w:szCs w:val="22"/>
        </w:rPr>
        <w:sym w:font="Symbol" w:char="F0AF"/>
      </w:r>
      <w:r w:rsidRPr="00F10F41">
        <w:rPr>
          <w:rFonts w:ascii="Arial" w:hAnsi="Arial" w:cs="Arial"/>
          <w:color w:val="000000" w:themeColor="text1"/>
          <w:sz w:val="22"/>
          <w:szCs w:val="22"/>
        </w:rPr>
        <w:t xml:space="preserve"> FA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MD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RD), in the absence of grey matter atrophy. In addition, Moreover, </w:t>
      </w:r>
      <w:r>
        <w:rPr>
          <w:rFonts w:ascii="Arial" w:hAnsi="Arial" w:cs="Arial"/>
          <w:color w:val="000000" w:themeColor="text1"/>
          <w:sz w:val="22"/>
          <w:szCs w:val="22"/>
        </w:rPr>
        <w:t xml:space="preserve">our data </w:t>
      </w:r>
      <w:r w:rsidRPr="00F10F41">
        <w:rPr>
          <w:rFonts w:ascii="Arial" w:hAnsi="Arial" w:cs="Arial"/>
          <w:color w:val="000000" w:themeColor="text1"/>
          <w:sz w:val="22"/>
          <w:szCs w:val="22"/>
        </w:rPr>
        <w:t xml:space="preserve">showed that </w:t>
      </w:r>
      <w:proofErr w:type="spellStart"/>
      <w:r w:rsidRPr="00F10F41">
        <w:rPr>
          <w:rFonts w:ascii="Arial" w:hAnsi="Arial" w:cs="Arial"/>
          <w:color w:val="000000" w:themeColor="text1"/>
          <w:sz w:val="22"/>
          <w:szCs w:val="22"/>
        </w:rPr>
        <w:t>hyperperfusion</w:t>
      </w:r>
      <w:proofErr w:type="spellEnd"/>
      <w:r w:rsidRPr="00F10F41">
        <w:rPr>
          <w:rFonts w:ascii="Arial" w:hAnsi="Arial" w:cs="Arial"/>
          <w:color w:val="000000" w:themeColor="text1"/>
          <w:sz w:val="22"/>
          <w:szCs w:val="22"/>
        </w:rPr>
        <w:t xml:space="preserve"> with shorter EYO was strongly predicated on the presence of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4 status.</w:t>
      </w:r>
    </w:p>
    <w:p w14:paraId="4C5CE8DC" w14:textId="77777777" w:rsidR="00607733" w:rsidRPr="00F10F41" w:rsidRDefault="00607733" w:rsidP="00607733">
      <w:pPr>
        <w:tabs>
          <w:tab w:val="left" w:pos="3428"/>
        </w:tabs>
        <w:spacing w:line="360" w:lineRule="auto"/>
        <w:jc w:val="both"/>
        <w:outlineLvl w:val="0"/>
        <w:rPr>
          <w:rFonts w:ascii="Arial" w:hAnsi="Arial" w:cs="Arial"/>
          <w:color w:val="000000" w:themeColor="text1"/>
          <w:sz w:val="22"/>
          <w:szCs w:val="22"/>
        </w:rPr>
      </w:pPr>
    </w:p>
    <w:p w14:paraId="235E19C3" w14:textId="77777777" w:rsidR="00607733" w:rsidRPr="00F10F41" w:rsidRDefault="00607733" w:rsidP="00607733">
      <w:pPr>
        <w:tabs>
          <w:tab w:val="left" w:pos="3428"/>
        </w:tabs>
        <w:spacing w:line="360" w:lineRule="auto"/>
        <w:jc w:val="both"/>
        <w:outlineLvl w:val="0"/>
        <w:rPr>
          <w:rFonts w:ascii="Arial" w:hAnsi="Arial" w:cs="Arial"/>
          <w:color w:val="000000" w:themeColor="text1"/>
          <w:sz w:val="22"/>
          <w:szCs w:val="22"/>
          <w:shd w:val="clear" w:color="auto" w:fill="FFFFFF"/>
        </w:rPr>
      </w:pPr>
      <w:r>
        <w:rPr>
          <w:rFonts w:ascii="Arial" w:hAnsi="Arial" w:cs="Arial"/>
          <w:color w:val="000000" w:themeColor="text1"/>
          <w:sz w:val="22"/>
          <w:szCs w:val="22"/>
        </w:rPr>
        <w:t xml:space="preserve">We did not find a </w:t>
      </w:r>
      <w:r w:rsidRPr="00F10F41">
        <w:rPr>
          <w:rFonts w:ascii="Arial" w:hAnsi="Arial" w:cs="Arial"/>
          <w:color w:val="000000" w:themeColor="text1"/>
          <w:sz w:val="22"/>
          <w:szCs w:val="22"/>
        </w:rPr>
        <w:t xml:space="preserve">robust effect of EYO on </w:t>
      </w:r>
      <w:r>
        <w:rPr>
          <w:rFonts w:ascii="Arial" w:hAnsi="Arial" w:cs="Arial"/>
          <w:color w:val="000000" w:themeColor="text1"/>
          <w:sz w:val="22"/>
          <w:szCs w:val="22"/>
        </w:rPr>
        <w:t>regional grey matter atrophy</w:t>
      </w:r>
      <w:r w:rsidRPr="00F10F41">
        <w:rPr>
          <w:rFonts w:ascii="Arial" w:hAnsi="Arial" w:cs="Arial"/>
          <w:color w:val="000000" w:themeColor="text1"/>
          <w:sz w:val="22"/>
          <w:szCs w:val="22"/>
        </w:rPr>
        <w:t>. This</w:t>
      </w:r>
      <w:r>
        <w:rPr>
          <w:rFonts w:ascii="Arial" w:hAnsi="Arial" w:cs="Arial"/>
          <w:color w:val="000000" w:themeColor="text1"/>
          <w:sz w:val="22"/>
          <w:szCs w:val="22"/>
        </w:rPr>
        <w:t xml:space="preserve"> finding</w:t>
      </w:r>
      <w:r w:rsidRPr="00F10F41">
        <w:rPr>
          <w:rFonts w:ascii="Arial" w:hAnsi="Arial" w:cs="Arial"/>
          <w:color w:val="000000" w:themeColor="text1"/>
          <w:sz w:val="22"/>
          <w:szCs w:val="22"/>
        </w:rPr>
        <w:t xml:space="preserve"> was not entirely unexpected, as cortical atrophy detected on MRI is widely believed to represent the terminal end-product of neuronal loss, cell shrinkage, reductions in dendritic extent and synaptic loss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{"citationItems":[{"id":"ITEM-1","itemData":{"DOI":"10.1038/sj.mp.4000254","ISSN":"13594184","abstract":"Recently published work using MRI to image the human brain has revealed that the hippocampal formation undergoes a selective atrophy in diverse conditions such as Cushing's syndrome, post-traumatic stress disorder, recurrent depressive illness, normal aging preceding dementia and in Alzheimer's disease. Hippocampal shrinkage is usually accompanied by deficits in declarative, episodic, spatial and contextual memory performance and the hippocampal changes provide a neural substrate for changes in cognitive function that have been recognized to accompany these various conditions. The hippocampus has long been known as a target of stress hormones, and it is an especially plastic and vulnerable region of the brain. However, the prominence of the hippocampus as a glucocorticoid target has obscured the fact that other factors besides glucocorticoid hormones are involved in the process of hippocampal atrophy. Excitatory amino acids and NMDA receptors are prominent in their involvement in an animal model of hippocampal atrophy as well as in neuronal death. Furthermore, the finding of hippocampal atrophy does not necessarily imply a permanent loss of cells, and this aspect deserves careful investigation, both to analyze the underlying anatomical changes and to investigate the possibility of pharmacological treatment to reverse the process. In cases where atrophy is due to cell loss, the time course of the disease process will provide much useful information about mechanism and offer the possibility of early intervention to arrest or slow the pathological process.","author":[{"dropping-particle":"","family":"McEwen","given":"B. S.","non-dropping-particle":"","parse-names":false,"suffix":""}],"container-title":"Molecular Psychiatry","id":"ITEM-1","issue":"3","issued":{"date-parts":[["1997"]]},"page":"255-262","title":"Possible mechanisms for atrophy of the human hippocampus","type":"article-journal","volume":"2"},"uris":["http://www.mendeley.com/documents/?uuid=3b2e7ad4-59e9-4869-8ace-5ffca481f873","http://www.mendeley.com/documents/?uuid=430a97a9-b7c4-4306-8634-0dfba055cadb","http://www.mendeley.com/documents/?uuid=55f06b14-8b2e-481f-95a2-0d58bc8920b0"]}],"mendeley":{"formattedCitation":"(McEwen, 1997)","plainTextFormattedCitation":"(McEwen, 1997)","previouslyFormattedCitation":"(McEwen, 1997)"},"properties":{"noteIndex":0},"schema":"https://github.com/citation-style-language/schema/raw/master/csl-citation.json"}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(McEwen, 1997)</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In contrast, extensive white matter deficits were revealed as FH+ individuals approached their estimated age of onset, </w:t>
      </w:r>
      <w:r>
        <w:rPr>
          <w:rFonts w:ascii="Arial" w:hAnsi="Arial" w:cs="Arial"/>
          <w:color w:val="000000" w:themeColor="text1"/>
          <w:sz w:val="22"/>
          <w:szCs w:val="22"/>
        </w:rPr>
        <w:t>involving</w:t>
      </w:r>
      <w:r w:rsidRPr="00F10F41">
        <w:rPr>
          <w:rFonts w:ascii="Arial" w:hAnsi="Arial" w:cs="Arial"/>
          <w:color w:val="000000" w:themeColor="text1"/>
          <w:sz w:val="22"/>
          <w:szCs w:val="22"/>
        </w:rPr>
        <w:t xml:space="preserve"> major white matter bundles </w:t>
      </w:r>
      <w:r w:rsidRPr="00F10F41">
        <w:rPr>
          <w:rFonts w:ascii="Arial" w:hAnsi="Arial" w:cs="Arial"/>
          <w:color w:val="000000" w:themeColor="text1"/>
          <w:sz w:val="22"/>
          <w:szCs w:val="22"/>
          <w:shd w:val="clear" w:color="auto" w:fill="FFFFFF"/>
        </w:rPr>
        <w:t xml:space="preserve">that are characteristically compromised in mild cognitive impairment and AD </w:t>
      </w:r>
      <w:r w:rsidRPr="00F10F41">
        <w:rPr>
          <w:rFonts w:ascii="Arial" w:hAnsi="Arial" w:cs="Arial"/>
          <w:color w:val="000000" w:themeColor="text1"/>
          <w:sz w:val="22"/>
          <w:szCs w:val="22"/>
          <w:shd w:val="clear" w:color="auto" w:fill="FFFFFF"/>
        </w:rPr>
        <w:fldChar w:fldCharType="begin" w:fldLock="1"/>
      </w:r>
      <w:r w:rsidRPr="00F10F41">
        <w:rPr>
          <w:rFonts w:ascii="Arial" w:hAnsi="Arial" w:cs="Arial"/>
          <w:color w:val="000000" w:themeColor="text1"/>
          <w:sz w:val="22"/>
          <w:szCs w:val="22"/>
          <w:shd w:val="clear" w:color="auto" w:fill="FFFFFF"/>
        </w:rPr>
        <w:instrText>ADDIN CSL_CITATION {"citationItems":[{"id":"ITEM-1","itemData":{"DOI":"10.1093/brain/awp257","ISBN":"0006-8950(print) 1460-2156(electronic)","ISSN":"00068950","PMID":"19914928","abstract":"Recent imaging evidence in Alzheimer's disease suggests that neural involvement in early-stage disease is more complex than is encapsulated in the commonly held position of predominant mesial temporal lobe degeneration-there is also early posterior cingulate cortex and diencephalic damage. These findings suggest that early clinical Alzheimer's disease is underpinned by damage to an inter-connected network. If correct, this hypothesis would predict degeneration of the white matter pathways that connect this network. This prediction can be tested in vivo by diffusion magnetic resonance imaging. Most diffusion tensor imaging studies of white matter in neurodegenerative disorders such as Alzheimer's disease have concentrated on fractional anisotropy reductions and increased 'apparent' diffusivity; however, there is a lack of empirical biological evidence to assume that fractional anisotropy changes will necessarily capture the full extent of white matter changes in Alzheimer's disease. In this study, therefore, we undertook a comprehensive investigation of diffusion behaviour in Alzheimer's disease by analysing each of the component eigenvalues of the diffusion tensor in isolation to test the hypothesis that early Alzheimer's disease is associated with degeneration of a specific neural network. Using tract-based spatial statistics, we performed voxel-wise analyses of fractional anisotropy, axial, radial and mean diffusivities in 25 Alzheimer's disease patients compared with 13 elderly controls. We found that increased absolute (axial, radial and mean) diffusivities in Alzheimer's disease were concordant in a distribution consistent with the network hypothesis, highly statistically significant and far more sensitive than fractional anisotropy reductions. The former three measures identified confluent white matter abnormalities in parahippocampal gyrus and posterior cingulum, extending laterally into adjacent temporo-parietal regions as well as splenium and fornix. The caudal occipital lobe, temporal pole, genu and prefrontal white matter were relatively preserved. This distribution is highly consistent with expected predictions of tract degeneration from grey matter lesions identified by fluorodeoxyglucose positron emission tomography and structural magnetic resonance imaging. Concordant with results from these other imaging modalities, this pattern predominantly involves degeneration of the tracts connecting the circuit of Papez. These findings also highlig…","author":[{"dropping-particle":"","family":"Acosta-Cabronero","given":"Julio","non-dropping-particle":"","parse-names":false,"suffix":""},{"dropping-particle":"","family":"Williams","given":"Guy B.","non-dropping-particle":"","parse-names":false,"suffix":""},{"dropping-particle":"","family":"Pengas","given":"George","non-dropping-particle":"","parse-names":false,"suffix":""},{"dropping-particle":"","family":"Nestor","given":"Peter J.","non-dropping-particle":"","parse-names":false,"suffix":""}],"container-title":"Brain","id":"ITEM-1","issue":"2","issued":{"date-parts":[["2010"]]},"page":"529-539","title":"Absolute diffusivities define the landscape of white matter degeneration in Alzheimer's disease","type":"article-journal","volume":"133"},"uris":["http://www.mendeley.com/documents/?uuid=fb0fa7f1-baeb-4ec2-b5ff-6681ab40b8f8","http://www.mendeley.com/documents/?uuid=a5296620-990e-4ceb-82f5-d73c39f5b013","http://www.mendeley.com/documents/?uuid=fa55d537-64ef-4d9c-a893-347d08d18c44"]}],"mendeley":{"formattedCitation":"(Acosta-Cabronero et al., 2010)","plainTextFormattedCitation":"(Acosta-Cabronero et al., 2010)","previouslyFormattedCitation":"(Acosta-Cabronero et al., 2010)"},"properties":{"noteIndex":0},"schema":"https://github.com/citation-style-language/schema/raw/master/csl-citation.json"}</w:instrText>
      </w:r>
      <w:r w:rsidRPr="00F10F41">
        <w:rPr>
          <w:rFonts w:ascii="Arial" w:hAnsi="Arial" w:cs="Arial"/>
          <w:color w:val="000000" w:themeColor="text1"/>
          <w:sz w:val="22"/>
          <w:szCs w:val="22"/>
          <w:shd w:val="clear" w:color="auto" w:fill="FFFFFF"/>
        </w:rPr>
        <w:fldChar w:fldCharType="separate"/>
      </w:r>
      <w:r w:rsidRPr="00F10F41">
        <w:rPr>
          <w:rFonts w:ascii="Arial" w:hAnsi="Arial" w:cs="Arial"/>
          <w:noProof/>
          <w:color w:val="000000" w:themeColor="text1"/>
          <w:sz w:val="22"/>
          <w:szCs w:val="22"/>
          <w:shd w:val="clear" w:color="auto" w:fill="FFFFFF"/>
        </w:rPr>
        <w:t>(Acosta-Cabronero et al., 2010)</w:t>
      </w:r>
      <w:r w:rsidRPr="00F10F41">
        <w:rPr>
          <w:rFonts w:ascii="Arial" w:hAnsi="Arial" w:cs="Arial"/>
          <w:color w:val="000000" w:themeColor="text1"/>
          <w:sz w:val="22"/>
          <w:szCs w:val="22"/>
          <w:shd w:val="clear" w:color="auto" w:fill="FFFFFF"/>
        </w:rPr>
        <w:fldChar w:fldCharType="end"/>
      </w:r>
      <w:r w:rsidRPr="00F10F41">
        <w:rPr>
          <w:rFonts w:ascii="Arial" w:hAnsi="Arial" w:cs="Arial"/>
          <w:color w:val="000000" w:themeColor="text1"/>
          <w:sz w:val="22"/>
          <w:szCs w:val="22"/>
          <w:shd w:val="clear" w:color="auto" w:fill="FFFFFF"/>
        </w:rPr>
        <w:t xml:space="preserve">. </w:t>
      </w:r>
      <w:r w:rsidRPr="00F10F41">
        <w:rPr>
          <w:rFonts w:ascii="Arial" w:hAnsi="Arial" w:cs="Arial"/>
          <w:color w:val="000000" w:themeColor="text1"/>
          <w:sz w:val="22"/>
          <w:szCs w:val="22"/>
        </w:rPr>
        <w:t xml:space="preserve">Cross-sectional studies in late-onset AD and familial AD have demonstrated preferential vulnerability of the </w:t>
      </w:r>
      <w:r w:rsidRPr="00F10F41">
        <w:rPr>
          <w:rFonts w:ascii="Arial" w:hAnsi="Arial" w:cs="Arial"/>
          <w:color w:val="000000" w:themeColor="text1"/>
          <w:sz w:val="22"/>
          <w:szCs w:val="22"/>
          <w:shd w:val="clear" w:color="auto" w:fill="FFFFFF"/>
        </w:rPr>
        <w:t>corpus callosum, the superior and inferior longitudinal fasciculus, and cingulum bundles of the limbic projections</w:t>
      </w:r>
      <w:r w:rsidRPr="00F10F41">
        <w:rPr>
          <w:rFonts w:ascii="Arial" w:hAnsi="Arial" w:cs="Arial"/>
          <w:color w:val="000000" w:themeColor="text1"/>
          <w:sz w:val="22"/>
          <w:szCs w:val="22"/>
        </w:rPr>
        <w:t xml:space="preserve">, and our findings extend those reports by documenting a similar profile of white matter degeneration in a cognitively normal cohort of midlife adults. To the extent that EYO is a valid stage marker of preclinical disease progression, </w:t>
      </w:r>
      <w:r>
        <w:rPr>
          <w:rFonts w:ascii="Arial" w:hAnsi="Arial" w:cs="Arial"/>
          <w:color w:val="000000" w:themeColor="text1"/>
          <w:sz w:val="22"/>
          <w:szCs w:val="22"/>
        </w:rPr>
        <w:t xml:space="preserve">it is conceivable that </w:t>
      </w:r>
      <w:r w:rsidRPr="00F10F41">
        <w:rPr>
          <w:rFonts w:ascii="Arial" w:hAnsi="Arial" w:cs="Arial"/>
          <w:color w:val="000000" w:themeColor="text1"/>
          <w:sz w:val="22"/>
          <w:szCs w:val="22"/>
        </w:rPr>
        <w:t xml:space="preserve">the pattern of white matter deficits </w:t>
      </w:r>
      <w:r>
        <w:rPr>
          <w:rFonts w:ascii="Arial" w:hAnsi="Arial" w:cs="Arial"/>
          <w:color w:val="000000" w:themeColor="text1"/>
          <w:sz w:val="22"/>
          <w:szCs w:val="22"/>
        </w:rPr>
        <w:t xml:space="preserve">in our data </w:t>
      </w:r>
      <w:r w:rsidRPr="00F10F41">
        <w:rPr>
          <w:rFonts w:ascii="Arial" w:hAnsi="Arial" w:cs="Arial"/>
          <w:color w:val="000000" w:themeColor="text1"/>
          <w:sz w:val="22"/>
          <w:szCs w:val="22"/>
        </w:rPr>
        <w:t xml:space="preserve">may reflect incipient </w:t>
      </w:r>
      <w:proofErr w:type="spellStart"/>
      <w:r w:rsidRPr="00F10F41">
        <w:rPr>
          <w:rFonts w:ascii="Arial" w:hAnsi="Arial" w:cs="Arial"/>
          <w:color w:val="000000" w:themeColor="text1"/>
          <w:sz w:val="22"/>
          <w:szCs w:val="22"/>
        </w:rPr>
        <w:t>neuropathologies</w:t>
      </w:r>
      <w:proofErr w:type="spellEnd"/>
      <w:r w:rsidRPr="00F10F41">
        <w:rPr>
          <w:rFonts w:ascii="Arial" w:hAnsi="Arial" w:cs="Arial"/>
          <w:color w:val="000000" w:themeColor="text1"/>
          <w:sz w:val="22"/>
          <w:szCs w:val="22"/>
        </w:rPr>
        <w:t xml:space="preserve"> (</w:t>
      </w:r>
      <w:proofErr w:type="gramStart"/>
      <w:r w:rsidRPr="00F10F41">
        <w:rPr>
          <w:rFonts w:ascii="Arial" w:hAnsi="Arial" w:cs="Arial"/>
          <w:color w:val="000000" w:themeColor="text1"/>
          <w:sz w:val="22"/>
          <w:szCs w:val="22"/>
        </w:rPr>
        <w:t>i.e.</w:t>
      </w:r>
      <w:proofErr w:type="gramEnd"/>
      <w:r w:rsidRPr="00F10F41">
        <w:rPr>
          <w:rFonts w:ascii="Arial" w:hAnsi="Arial" w:cs="Arial"/>
          <w:color w:val="000000" w:themeColor="text1"/>
          <w:sz w:val="22"/>
          <w:szCs w:val="22"/>
        </w:rPr>
        <w:t xml:space="preserve"> amyloid or early build-up of neurofibrillary tau tangles). While the EYO correlations preclude causal interpretations, our hypothesis is aligned with a recent study that included both ante-mortem DTI and histological analyses </w:t>
      </w:r>
      <w:r>
        <w:rPr>
          <w:rFonts w:ascii="Arial" w:hAnsi="Arial" w:cs="Arial"/>
          <w:color w:val="000000" w:themeColor="text1"/>
          <w:sz w:val="22"/>
          <w:szCs w:val="22"/>
        </w:rPr>
        <w:t>in</w:t>
      </w:r>
      <w:r w:rsidRPr="00F10F41">
        <w:rPr>
          <w:rFonts w:ascii="Arial" w:hAnsi="Arial" w:cs="Arial"/>
          <w:color w:val="000000" w:themeColor="text1"/>
          <w:sz w:val="22"/>
          <w:szCs w:val="22"/>
        </w:rPr>
        <w:t xml:space="preserve"> cognitively normal subjects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10.1016/j.neurobiolaging.2017.04.024","ISSN":"0197-4580","author":[{"dropping-particle":"","family":"Kantarci","given":"Kejal","non-dropping-particle":"","parse-names":false,"suffix":""},{"dropping-particle":"","family":"Murray","given":"Melissa E","non-dropping-particle":"","parse-names":false,"suffix":""},{"dropping-particle":"","family":"Schwarz","given":"Christopher G","non-dropping-particle":"","parse-names":false,"suffix":""},{"dropping-particle":"","family":"Reid","given":"Robert I","non-dropping-particle":"","parse-names":false,"suffix":""},{"dropping-particle":"","family":"Przybelski","given":"Scott A","non-dropping-particle":"","parse-names":false,"suffix":""},{"dropping-particle":"","family":"Lesnick","given":"Timothy","non-dropping-particle":"","parse-names":false,"suffix":""},{"dropping-particle":"","family":"Zuk","given":"Samantha M","non-dropping-particle":"","parse-names":false,"suffix":""},{"dropping-particle":"","family":"Raman","given":"Mekala R","non-dropping-particle":"","parse-names":false,"suffix":""},{"dropping-particle":"","family":"Senjem","given":"Matthew L","non-dropping-particle":"","parse-names":false,"suffix":""},{"dropping-particle":"","family":"Gunter","given":"Jeffrey L","non-dropping-particle":"","parse-names":false,"suffix":""},{"dropping-particle":"","family":"Boeve","given":"Bradley F","non-dropping-particle":"","parse-names":false,"suffix":""},{"dropping-particle":"","family":"Knopman","given":"David S","non-dropping-particle":"","parse-names":false,"suffix":""},{"dropping-particle":"","family":"Parisi","given":"Joseph E","non-dropping-particle":"","parse-names":false,"suffix":""},{"dropping-particle":"","family":"Petersen","given":"Ronald C","non-dropping-particle":"","parse-names":false,"suffix":""},{"dropping-particle":"","family":"Jack","given":"Clifford R","non-dropping-particle":"","parse-names":false,"suffix":""},{"dropping-particle":"","family":"Dickson","given":"Dennis W","non-dropping-particle":"","parse-names":false,"suffix":""}],"container-title":"Neurobiology of Aging","id":"ITEM-1","issued":{"date-parts":[["2017"]]},"page":"172-179","publisher":"Elsevier Inc","title":"White-matter integrity on DTI and the pathologic staging of Alzheimer's disease","type":"article-journal","volume":"56"},"uris":["http://www.mendeley.com/documents/?uuid=96c0c7e6-dafa-4cce-ba98-b9380f5ea9a4"]}],"mendeley":{"formattedCitation":"(Kantarci et al., 2017)","plainTextFormattedCitation":"(Kantarci et al., 2017)","previouslyFormattedCitation":"(Kantarci et al., 2017)"},"properties":{"noteIndex":0},"schema":"https://github.com/citation-style-language/schema/raw/master/csl-citation.json"}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(Kantarci et al., 2017)</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In that study, </w:t>
      </w:r>
      <w:proofErr w:type="spellStart"/>
      <w:r w:rsidRPr="00F10F41">
        <w:rPr>
          <w:rFonts w:ascii="Arial" w:hAnsi="Arial" w:cs="Arial"/>
          <w:color w:val="000000" w:themeColor="text1"/>
          <w:sz w:val="22"/>
          <w:szCs w:val="22"/>
        </w:rPr>
        <w:t>Kantarci</w:t>
      </w:r>
      <w:proofErr w:type="spellEnd"/>
      <w:r w:rsidRPr="00F10F41">
        <w:rPr>
          <w:rFonts w:ascii="Arial" w:hAnsi="Arial" w:cs="Arial"/>
          <w:color w:val="000000" w:themeColor="text1"/>
          <w:sz w:val="22"/>
          <w:szCs w:val="22"/>
        </w:rPr>
        <w:t xml:space="preserve"> et al., demonstrated associations of temporo-parietal white matter tracts with amyloid burden and tau accumulation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10.1016/j.neurobiolaging.2017.04.024","ISSN":"0197-4580","author":[{"dropping-particle":"","family":"Kantarci","given":"Kejal","non-dropping-particle":"","parse-names":false,"suffix":""},{"dropping-particle":"","family":"Murray","given":"Melissa E","non-dropping-particle":"","parse-names":false,"suffix":""},{"dropping-particle":"","family":"Schwarz","given":"Christopher G","non-dropping-particle":"","parse-names":false,"suffix":""},{"dropping-particle":"","family":"Reid","given":"Robert I","non-dropping-particle":"","parse-names":false,"suffix":""},{"dropping-particle":"","family":"Przybelski","given":"Scott A","non-dropping-particle":"","parse-names":false,"suffix":""},{"dropping-particle":"","family":"Lesnick","given":"Timothy","non-dropping-particle":"","parse-names":false,"suffix":""},{"dropping-particle":"","family":"Zuk","given":"Samantha M","non-dropping-particle":"","parse-names":false,"suffix":""},{"dropping-particle":"","family":"Raman","given":"Mekala R","non-dropping-particle":"","parse-names":false,"suffix":""},{"dropping-particle":"","family":"Senjem","given":"Matthew L","non-dropping-particle":"","parse-names":false,"suffix":""},{"dropping-particle":"","family":"Gunter","given":"Jeffrey L","non-dropping-particle":"","parse-names":false,"suffix":""},{"dropping-particle":"","family":"Boeve","given":"Bradley F","non-dropping-particle":"","parse-names":false,"suffix":""},{"dropping-particle":"","family":"Knopman","given":"David S","non-dropping-particle":"","parse-names":false,"suffix":""},{"dropping-particle":"","family":"Parisi","given":"Joseph E","non-dropping-particle":"","parse-names":false,"suffix":""},{"dropping-particle":"","family":"Petersen","given":"Ronald C","non-dropping-particle":"","parse-names":false,"suffix":""},{"dropping-particle":"","family":"Jack","given":"Clifford R","non-dropping-particle":"","parse-names":false,"suffix":""},{"dropping-particle":"","family":"Dickson","given":"Dennis W","non-dropping-particle":"","parse-names":false,"suffix":""}],"container-title":"Neurobiology of Aging","id":"ITEM-1","issued":{"date-parts":[["2017"]]},"page":"172-179","publisher":"Elsevier Inc","title":"White-matter integrity on DTI and the pathologic staging of Alzheimer's disease","type":"article-journal","volume":"56"},"uris":["http://www.mendeley.com/documents/?uuid=96c0c7e6-dafa-4cce-ba98-b9380f5ea9a4"]}],"mendeley":{"formattedCitation":"(Kantarci et al., 2017)","plainTextFormattedCitation":"(Kantarci et al., 2017)","previouslyFormattedCitation":"(Kantarci et al., 2017)"},"properties":{"noteIndex":0},"schema":"https://github.com/citation-style-language/schema/raw/master/csl-citation.json"}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(Kantarci et al., 2017)</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shd w:val="clear" w:color="auto" w:fill="FFFFFF"/>
        </w:rPr>
        <w:t xml:space="preserve">Despite the lack of </w:t>
      </w:r>
      <w:r>
        <w:rPr>
          <w:rFonts w:ascii="Arial" w:hAnsi="Arial" w:cs="Arial"/>
          <w:color w:val="000000" w:themeColor="text1"/>
          <w:sz w:val="22"/>
          <w:szCs w:val="22"/>
          <w:shd w:val="clear" w:color="auto" w:fill="FFFFFF"/>
        </w:rPr>
        <w:t xml:space="preserve">a prior </w:t>
      </w:r>
      <w:r w:rsidRPr="00F10F41">
        <w:rPr>
          <w:rFonts w:ascii="Arial" w:hAnsi="Arial" w:cs="Arial"/>
          <w:color w:val="000000" w:themeColor="text1"/>
          <w:sz w:val="22"/>
          <w:szCs w:val="22"/>
          <w:shd w:val="clear" w:color="auto" w:fill="FFFFFF"/>
        </w:rPr>
        <w:t>finding in the FH+ literature, our findings are</w:t>
      </w:r>
      <w:r>
        <w:rPr>
          <w:rFonts w:ascii="Arial" w:hAnsi="Arial" w:cs="Arial"/>
          <w:color w:val="000000" w:themeColor="text1"/>
          <w:sz w:val="22"/>
          <w:szCs w:val="22"/>
          <w:shd w:val="clear" w:color="auto" w:fill="FFFFFF"/>
        </w:rPr>
        <w:t xml:space="preserve"> </w:t>
      </w:r>
      <w:r w:rsidRPr="00F10F41">
        <w:rPr>
          <w:rFonts w:ascii="Arial" w:hAnsi="Arial" w:cs="Arial"/>
          <w:color w:val="000000" w:themeColor="text1"/>
          <w:sz w:val="22"/>
          <w:szCs w:val="22"/>
          <w:shd w:val="clear" w:color="auto" w:fill="FFFFFF"/>
        </w:rPr>
        <w:t xml:space="preserve">corroborated by recent data from </w:t>
      </w:r>
      <w:r w:rsidRPr="00F10F41">
        <w:rPr>
          <w:rFonts w:ascii="Arial" w:hAnsi="Arial" w:cs="Arial"/>
          <w:noProof/>
          <w:sz w:val="22"/>
        </w:rPr>
        <w:t xml:space="preserve">the Dominantly Inherited Alzheimer’s Network (DIAN) </w:t>
      </w:r>
      <w:r>
        <w:rPr>
          <w:rFonts w:ascii="Arial" w:hAnsi="Arial" w:cs="Arial"/>
          <w:noProof/>
          <w:sz w:val="22"/>
        </w:rPr>
        <w:t>project</w:t>
      </w:r>
      <w:r w:rsidRPr="00F10F41">
        <w:rPr>
          <w:rFonts w:ascii="Arial" w:hAnsi="Arial" w:cs="Arial"/>
          <w:noProof/>
          <w:sz w:val="22"/>
        </w:rPr>
        <w:t>,</w:t>
      </w:r>
      <w:r w:rsidRPr="00F10F41">
        <w:rPr>
          <w:rFonts w:ascii="Arial" w:hAnsi="Arial" w:cs="Arial"/>
          <w:color w:val="000000" w:themeColor="text1"/>
          <w:sz w:val="22"/>
          <w:szCs w:val="22"/>
          <w:shd w:val="clear" w:color="auto" w:fill="FFFFFF"/>
        </w:rPr>
        <w:t xml:space="preserve"> which found </w:t>
      </w:r>
      <w:r>
        <w:rPr>
          <w:rFonts w:ascii="Arial" w:hAnsi="Arial" w:cs="Arial"/>
          <w:color w:val="000000" w:themeColor="text1"/>
          <w:sz w:val="22"/>
          <w:szCs w:val="22"/>
        </w:rPr>
        <w:t>elevated</w:t>
      </w:r>
      <w:r w:rsidRPr="00F10F41">
        <w:rPr>
          <w:rFonts w:ascii="Arial" w:hAnsi="Arial" w:cs="Arial"/>
          <w:color w:val="000000" w:themeColor="text1"/>
          <w:sz w:val="22"/>
          <w:szCs w:val="22"/>
        </w:rPr>
        <w:t xml:space="preserve"> MD with shorter EYO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{"citationItems":[{"id":"ITEM-1","itemData":{"DOI":"10.1093/brain/awy229","ISSN":"14602156","abstract":"White matter alterations are present in the majority of patients with Alzheimer's disease type dementia. However, the spatiotemporal pattern of white matter changes preceding dementia symptoms in Alzheimer's disease remains unclear, largely due to the inherent diagnostic uncertainty in the preclinical phase and increased risk of confounding age-related vascular disease and stroke in late-onset Alzheimer's disease. In early-onset autosomal-dominantly inherited Alzheimer's disease, participants are destined to develop dementia, which provides the opportunity to assess brain changes years before the onset of symptoms, and in the absence of ageing-related vascular disease. Here, we assessed mean diffusivity alterations in the white matter in 64 mutation carriers compared to 45 non-carrier family non-carriers. Using tract-based spatial statistics, we mapped the interaction of mutation status by estimated years from symptom onset on mean diffusivity. For major atlas-derived fibre tracts, we determined the earliest time point at which abnormal mean diffusivity changes in the mutation carriers were detectable. Lastly, we assessed the association between mean diffusivity and cerebrospinal fluid biomarkers of amyloid, tau, phosphorylated-tau, and soluble TREM2, i.e. a marker of microglia activity. Results showed a significant interaction of mutations status by estimated years from symptom onset, i.e. a stronger increase of mean diffusivity, within the posterior parietal and medial frontal white matter in mutation carriers compared with non-carriers. The earliest increase of mean diffusivity was observed in the forceps major, forceps minor and long projecting fibres-many connecting default mode network regions-between 5 to 10 years before estimated symptom onset. Higher mean diffusivity in fibre tracts was associated with lower grey matter volume in the tracts' projection zones. Global mean diffusivity was correlated with lower cerebrospinal fluid levels of amyloid-β 1-42 but higher levels of tau, phosphorylated-tau and soluble TREM2. Together, these results suggest that regionally selective white matter degeneration occurs years before the estimated symptom onset. Such white matter alterations are associated with primary Alzheimer's disease pathology and microglia activity in the brain.","author":[{"dropping-particle":"","family":"Caballero","given":"Miguel Ángel Araque","non-dropping-particle":"","parse-names":false,"suffix":""},{"dropping-particle":"","family":"Suárez-Calvet","given":"Marc","non-dropping-particle":"","parse-names":false,"suffix":""},{"dropping-particle":"","family":"Duering","given":"Marco","non-dropping-particle":"","parse-names":false,"suffix":""},{"dropping-particle":"","family":"Franzmeier","given":"Nicolai","non-dropping-particle":"","parse-names":false,"suffix":""},{"dropping-particle":"","family":"Benzinger","given":"Tammie","non-dropping-particle":"","parse-names":false,"suffix":""},{"dropping-particle":"","family":"Fagan","given":"Anne M.","non-dropping-particle":"","parse-names":false,"suffix":""},{"dropping-particle":"","family":"Bateman","given":"Randall J.","non-dropping-particle":"","parse-names":false,"suffix":""},{"dropping-particle":"","family":"Jack","given":"Clifford R.","non-dropping-particle":"","parse-names":false,"suffix":""},{"dropping-particle":"","family":"Levin","given":"Johannes","non-dropping-particle":"","parse-names":false,"suffix":""},{"dropping-particle":"","family":"Dichgans","given":"Martin","non-dropping-particle":"","parse-names":false,"suffix":""},{"dropping-particle":"","family":"Jucker","given":"Mathias","non-dropping-particle":"","parse-names":false,"suffix":""},{"dropping-particle":"","family":"Karch","given":"Celeste","non-dropping-particle":"","parse-names":false,"suffix":""},{"dropping-particle":"","family":"Masters","given":"Colin L.","non-dropping-particle":"","parse-names":false,"suffix":""},{"dropping-particle":"","family":"Morris","given":"John C.","non-dropping-particle":"","parse-names":false,"suffix":""},{"dropping-particle":"","family":"Weiner","given":"Michael","non-dropping-particle":"","parse-names":false,"suffix":""},{"dropping-particle":"","family":"Rossor","given":"Martin","non-dropping-particle":"","parse-names":false,"suffix":""},{"dropping-particle":"","family":"Fox","given":"Nick C.","non-dropping-particle":"","parse-names":false,"suffix":""},{"dropping-particle":"","family":"Lee","given":"Jae Hong","non-dropping-particle":"","parse-names":false,"suffix":""},{"dropping-particle":"","family":"Salloway","given":"Stephen","non-dropping-particle":"","parse-names":false,"suffix":""},{"dropping-particle":"","family":"Danek","given":"Adrian","non-dropping-particle":"","parse-names":false,"suffix":""},{"dropping-particle":"","family":"Goate","given":"Alison","non-dropping-particle":"","parse-names":false,"suffix":""},{"dropping-particle":"","family":"Yakushev","given":"Igor","non-dropping-particle":"","parse-names":false,"suffix":""},{"dropping-particle":"","family":"Hassenstab","given":"Jason","non-dropping-particle":"","parse-names":false,"suffix":""},{"dropping-particle":"","family":"Schofield","given":"Peter R.","non-dropping-particle":"","parse-names":false,"suffix":""},{"dropping-particle":"","family":"Haass","given":"Christian","non-dropping-particle":"","parse-names":false,"suffix":""},{"dropping-particle":"","family":"Ewers","given":"Michael","non-dropping-particle":"","parse-names":false,"suffix":""}],"container-title":"Brain","id":"ITEM-1","issue":"10","issued":{"date-parts":[["2018"]]},"page":"3065-3080","title":"White matter diffusion alterations precede symptom onset in autosomal dominant Alzheimer's disease","type":"article-journal","volume":"141"},"uris":["http://www.mendeley.com/documents/?uuid=d0e265eb-6e19-4b29-9415-52530b254f2e","http://www.mendeley.com/documents/?uuid=d8c903bc-6b9e-4e46-ad9c-a828f3607529","http://www.mendeley.com/documents/?uuid=6479d321-2ed4-39c1-967f-3bedb596edbb"]}],"mendeley":{"formattedCitation":"(Caballero et al., 2018)","plainTextFormattedCitation":"(Caballero et al., 2018)","previouslyFormattedCitation":"(Caballero et al., 2018)"},"properties":{"noteIndex":0},"schema":"https://github.com/citation-style-language/schema/raw/master/csl-citation.json"}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(Caballero et al., 2018)</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shd w:val="clear" w:color="auto" w:fill="FFFFFF"/>
        </w:rPr>
        <w:t xml:space="preserve">. </w:t>
      </w:r>
      <w:r>
        <w:rPr>
          <w:rFonts w:ascii="Arial" w:hAnsi="Arial" w:cs="Arial"/>
          <w:color w:val="000000" w:themeColor="text1"/>
          <w:sz w:val="22"/>
          <w:szCs w:val="22"/>
          <w:shd w:val="clear" w:color="auto" w:fill="FFFFFF"/>
        </w:rPr>
        <w:t xml:space="preserve">Interestingly, there were pronounced EYO-related changes in the </w:t>
      </w:r>
      <w:r w:rsidRPr="00F10F41">
        <w:rPr>
          <w:rFonts w:ascii="Arial" w:hAnsi="Arial" w:cs="Arial"/>
          <w:color w:val="000000" w:themeColor="text1"/>
          <w:sz w:val="22"/>
          <w:szCs w:val="22"/>
          <w:shd w:val="clear" w:color="auto" w:fill="FFFFFF"/>
        </w:rPr>
        <w:t xml:space="preserve">genu of the corpus callosum, coinciding with </w:t>
      </w:r>
      <w:r w:rsidRPr="00F10F41">
        <w:rPr>
          <w:rFonts w:ascii="Arial" w:hAnsi="Arial" w:cs="Arial"/>
          <w:color w:val="000000" w:themeColor="text1"/>
          <w:sz w:val="22"/>
          <w:szCs w:val="22"/>
          <w:shd w:val="clear" w:color="auto" w:fill="FFFFFF"/>
        </w:rPr>
        <w:lastRenderedPageBreak/>
        <w:t xml:space="preserve">the </w:t>
      </w:r>
      <w:r>
        <w:rPr>
          <w:rFonts w:ascii="Arial" w:hAnsi="Arial" w:cs="Arial"/>
          <w:color w:val="000000" w:themeColor="text1"/>
          <w:sz w:val="22"/>
          <w:szCs w:val="22"/>
          <w:shd w:val="clear" w:color="auto" w:fill="FFFFFF"/>
        </w:rPr>
        <w:t>striking</w:t>
      </w:r>
      <w:r w:rsidRPr="00F10F41">
        <w:rPr>
          <w:rFonts w:ascii="Arial" w:hAnsi="Arial" w:cs="Arial"/>
          <w:color w:val="000000" w:themeColor="text1"/>
          <w:sz w:val="22"/>
          <w:szCs w:val="22"/>
          <w:shd w:val="clear" w:color="auto" w:fill="FFFFFF"/>
        </w:rPr>
        <w:t xml:space="preserve"> convergence of proximity-related FA, MD, and RD </w:t>
      </w:r>
      <w:r>
        <w:rPr>
          <w:rFonts w:ascii="Arial" w:hAnsi="Arial" w:cs="Arial"/>
          <w:color w:val="000000" w:themeColor="text1"/>
          <w:sz w:val="22"/>
          <w:szCs w:val="22"/>
          <w:shd w:val="clear" w:color="auto" w:fill="FFFFFF"/>
        </w:rPr>
        <w:t>changes in our sample (Figure 3)</w:t>
      </w:r>
      <w:r w:rsidRPr="00F10F41">
        <w:rPr>
          <w:rFonts w:ascii="Arial" w:hAnsi="Arial" w:cs="Arial"/>
          <w:color w:val="000000" w:themeColor="text1"/>
          <w:sz w:val="22"/>
          <w:szCs w:val="22"/>
          <w:shd w:val="clear" w:color="auto" w:fill="FFFFFF"/>
        </w:rPr>
        <w:t>.</w:t>
      </w:r>
    </w:p>
    <w:p w14:paraId="67F9FC2F" w14:textId="77777777" w:rsidR="00607733" w:rsidRDefault="00607733" w:rsidP="00607733">
      <w:pPr>
        <w:tabs>
          <w:tab w:val="left" w:pos="3428"/>
        </w:tabs>
        <w:spacing w:line="360" w:lineRule="auto"/>
        <w:jc w:val="both"/>
        <w:outlineLvl w:val="0"/>
        <w:rPr>
          <w:rFonts w:ascii="Arial" w:hAnsi="Arial" w:cs="Arial"/>
          <w:color w:val="000000" w:themeColor="text1"/>
          <w:sz w:val="22"/>
          <w:szCs w:val="22"/>
        </w:rPr>
      </w:pPr>
    </w:p>
    <w:p w14:paraId="1B38BDFB" w14:textId="705D29D6" w:rsidR="00607733" w:rsidRPr="00F10F41" w:rsidRDefault="00607733" w:rsidP="00607733">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t xml:space="preserve">In contrast to the anticipated trajectory of </w:t>
      </w:r>
      <w:r w:rsidRPr="00F10F41">
        <w:rPr>
          <w:rFonts w:ascii="Arial" w:hAnsi="Arial" w:cs="Arial"/>
          <w:color w:val="000000" w:themeColor="text1"/>
          <w:sz w:val="22"/>
          <w:szCs w:val="22"/>
        </w:rPr>
        <w:sym w:font="Symbol" w:char="F0AF"/>
      </w:r>
      <w:r w:rsidRPr="00F10F41">
        <w:rPr>
          <w:rFonts w:ascii="Arial" w:hAnsi="Arial" w:cs="Arial"/>
          <w:color w:val="000000" w:themeColor="text1"/>
          <w:sz w:val="22"/>
          <w:szCs w:val="22"/>
        </w:rPr>
        <w:t xml:space="preserve"> FA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MD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RD on white matter tracts, a shorter EYO was accompanied by </w:t>
      </w:r>
      <w:r w:rsidRPr="00D144D7">
        <w:rPr>
          <w:rFonts w:ascii="Arial" w:hAnsi="Arial" w:cs="Arial"/>
          <w:i/>
          <w:iCs/>
          <w:color w:val="000000" w:themeColor="text1"/>
          <w:sz w:val="22"/>
          <w:szCs w:val="22"/>
        </w:rPr>
        <w:t>increased</w:t>
      </w:r>
      <w:r w:rsidRPr="00F10F41">
        <w:rPr>
          <w:rFonts w:ascii="Arial" w:hAnsi="Arial" w:cs="Arial"/>
          <w:color w:val="000000" w:themeColor="text1"/>
          <w:sz w:val="22"/>
          <w:szCs w:val="22"/>
        </w:rPr>
        <w:t xml:space="preserve"> perfusion particularly amongst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4 carriers. Hyperperfused regions encompassed the temporo-parietal regions (</w:t>
      </w:r>
      <w:proofErr w:type="gramStart"/>
      <w:r w:rsidRPr="00F10F41">
        <w:rPr>
          <w:rFonts w:ascii="Arial" w:hAnsi="Arial" w:cs="Arial"/>
          <w:color w:val="000000" w:themeColor="text1"/>
          <w:sz w:val="22"/>
          <w:szCs w:val="22"/>
        </w:rPr>
        <w:t>i.e.</w:t>
      </w:r>
      <w:proofErr w:type="gramEnd"/>
      <w:r w:rsidRPr="00F10F41">
        <w:rPr>
          <w:rFonts w:ascii="Arial" w:hAnsi="Arial" w:cs="Arial"/>
          <w:color w:val="000000" w:themeColor="text1"/>
          <w:sz w:val="22"/>
          <w:szCs w:val="22"/>
        </w:rPr>
        <w:t xml:space="preserve"> precuneus, posterior cingulate, medial temporal regions and hippocampus). At first glance, these results may appear to contradict the wealth of evidence showing ~40% global deficit of CBF in people with AD in the same aforementioned regions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{"citationItems":[{"id":"ITEM-1","itemData":{"DOI":"10.3233/JAD-141467","ISSN":"18758908","abstract":"There is growing recognition that cerebral hypoperfusion is related to the pathogenesis of Alzheimer's disease (AD), implicating the measurement of cerebral blood flow (CBF) as a possible biomarker of AD. The ability to identify the earliest and most reliable markers of incipient cognitive decline and clinical symptoms is critical to develop effective preventive strategies and interventions for AD. Arterial spin labeling (ASL) magnetic resonance imaging (MRI) measures CBF by magnetically labeling arterial water and using it as an endogenous tracer. Studies using ASL MRI in humans indicate that CBF changes are present several years before the development of the clinical symptoms of AD. Moreover, ASL-measured CBF has been shown to distinguish between cognitively normal individuals, adults at risk for AD, and persons diagnosed with AD. Some studies indicate that CBF may even be sensitive for predicting cognitive decline and conversion to mild cognitive impairment and AD over time. Taken together, evidence suggests that the current staging models of AD biomarker pathology should incorporate early changes in CBF as a useful biomarker, possibly present even earlier than amyloid-β accumulation. Though still a research tool, ASL imaging is a promising non-invasive and reliable method with the potential to serve as a future clinical tool for the measurement of CBF in preclinical AD.","author":[{"dropping-particle":"","family":"Wierenga","given":"Christina E.","non-dropping-particle":"","parse-names":false,"suffix":""},{"dropping-particle":"","family":"Hays","given":"Chelsea C.","non-dropping-particle":"","parse-names":false,"suffix":""},{"dropping-particle":"","family":"Zlatar","given":"Zvinka Z.","non-dropping-particle":"","parse-names":false,"suffix":""}],"container-title":"Journal of Alzheimer's Disease","id":"ITEM-1","issued":{"date-parts":[["2014"]]},"title":"Cerebral blood flow measured by arterial spin labeling MRI as a preclinical marker of alzheimer's disease","type":"article"},"uris":["http://www.mendeley.com/documents/?uuid=82f9a8aa-d4bd-4298-8912-72cd198618e8"]},{"id":"ITEM-2","itemData":{"DOI":"10.3233/JAD-2010-091699","ISSN":"13872877","abstract":"Arterial spin labeling (ASL) enables the noninvasive, quantitative imaging of cerebral blood flow using standard magnetic resonance imaging (MRI) equipment. Because it requires no contrast injection, ASL can add resting functional information to MRI studies measuring atrophy and signs of ischemic injury. Key features of ASL technology that may affect studies in Alzheimer's disease are described. The existing literature describing ASL blood flow imaging applied to Alzheimer's disease and related dementia is reviewed, and the potential role of ASL in treatment and prevention studies of early Alzheimer's disease is discussed. © 2010 - IOS Press and the authors.","author":[{"dropping-particle":"","family":"Alsop","given":"David C.","non-dropping-particle":"","parse-names":false,"suffix":""},{"dropping-particle":"","family":"Dai","given":"Weiying","non-dropping-particle":"","parse-names":false,"suffix":""},{"dropping-particle":"","family":"Grossman","given":"Murray","non-dropping-particle":"","parse-names":false,"suffix":""},{"dropping-particle":"","family":"Detre","given":"John A.","non-dropping-particle":"","parse-names":false,"suffix":""}],"container-title":"Journal of Alzheimer's Disease","id":"ITEM-2","issued":{"date-parts":[["2010"]]},"title":"Arterial spin labeling blood flow MRI: Its Role in the early characterization of Alzheimer's disease","type":"article"},"uris":["http://www.mendeley.com/documents/?uuid=98ba7c03-f9b0-4db3-a6fe-01a9dc34c7f0","http://www.mendeley.com/documents/?uuid=ebdabe7d-0e8d-4886-959e-bfd7ebbe39c1","http://www.mendeley.com/documents/?uuid=f3201f1a-e681-4c5a-b7ea-51b63ebad5a3"]}],"mendeley":{"formattedCitation":"(Alsop et al., 2010; Wierenga et al., 2014)","plainTextFormattedCitation":"(Alsop et al., 2010; Wierenga et al., 2014)","previouslyFormattedCitation":"(Alsop et al., 2010; Wierenga et al., 2014)"},"properties":{"noteIndex":0},"schema":"https://github.com/citation-style-language/schema/raw/master/csl-citation.json"}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(Alsop et al., 2010; Wierenga et al., 2014)</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However, our data are also aligned with other reports of </w:t>
      </w:r>
      <w:proofErr w:type="spellStart"/>
      <w:r w:rsidRPr="00F10F41">
        <w:rPr>
          <w:rFonts w:ascii="Arial" w:hAnsi="Arial" w:cs="Arial"/>
          <w:color w:val="000000" w:themeColor="text1"/>
          <w:sz w:val="22"/>
          <w:szCs w:val="22"/>
        </w:rPr>
        <w:t>hyperperfusion</w:t>
      </w:r>
      <w:proofErr w:type="spellEnd"/>
      <w:r w:rsidRPr="00F10F41">
        <w:rPr>
          <w:rFonts w:ascii="Arial" w:hAnsi="Arial" w:cs="Arial"/>
          <w:color w:val="000000" w:themeColor="text1"/>
          <w:sz w:val="22"/>
          <w:szCs w:val="22"/>
        </w:rPr>
        <w:t xml:space="preserve"> amongst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 xml:space="preserve">4 carriers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{"citationItems":[{"id":"ITEM-1","itemData":{"DOI":"10.3233/JAD-2012-120292","ISSN":"18758908","abstract":"Functional magnetic resonance imaging (fMRI) of older adults at risk for Alzheimer's disease (AD) by virtue of their cognitive (i.e., mild cognitive impairment [MCI]) and/or genetic (i.e., apolipoprotein E [APOE] ε4 allele) status demonstrate divergent brain response patterns during memory encoding across studies. Using arterial spin labeling MRI, we examined the influence of AD risk on resting cerebral blood flow (CBF) as well as the CBF and blood oxygenation level dependent (BOLD) signal response to memory encoding in the medial temporal lobes (MTL) in 45 older adults (29 cognitively normal [14 APOE ε4 carriers and 15 noncarriers]; 16 MCI [8 APOE ε4 carriers, 8 noncarriers]). Risk groups were comparable in terms of mean age, years of education, gender distribution, and vascular risk burden. Individuals at genetic risk for AD by virtue of the APOE ε4 allele demonstrated increased MTL resting state CBF relative to ε4 noncarriers, whereas individuals characterized as MCI showed decreased MTL resting state CBF relative to their cognitively normal peers. For percent change CBF, there was a trend toward a cognitive status by genotype interaction. In the cognitively normal group, there was no difference in percent change CBF based on APOE genotype. In contrast, in the MCI group, APOE ε4 carriers demonstrated significantly greater percent change in CBF relative to ε4 noncarriers. No group differences were found for BOLD response. Findings suggest that abnormal resting state CBF and CBF response to memory encoding may be early indicators of brain dysfunction in individuals at risk for developing AD. © 2012 - IOS Press and the authors. All rights reserved.","author":[{"dropping-particle":"","family":"Bangen","given":"Katherine J.","non-dropping-particle":"","parse-names":false,"suffix":""},{"dropping-particle":"","family":"Restom","given":"Khaled","non-dropping-particle":"","parse-names":false,"suffix":""},{"dropping-particle":"","family":"Liu","given":"Thomas T.","non-dropping-particle":"","parse-names":false,"suffix":""},{"dropping-particle":"","family":"Wierenga","given":"Christina E.","non-dropping-particle":"","parse-names":false,"suffix":""},{"dropping-particle":"","family":"Jak","given":"Amy J.","non-dropping-particle":"","parse-names":false,"suffix":""},{"dropping-particle":"","family":"Salmon","given":"David P.","non-dropping-particle":"","parse-names":false,"suffix":""},{"dropping-particle":"","family":"Bondi","given":"Mark W.","non-dropping-particle":"","parse-names":false,"suffix":""}],"container-title":"Journal of Alzheimer's Disease","id":"ITEM-1","issued":{"date-parts":[["2012"]]},"title":"Assessment of Alzheimer's disease risk with functional magnetic resonance imaging: An arterial spin labeling study","type":"article-journal"},"uris":["http://www.mendeley.com/documents/?uuid=f22bc733-0689-4eea-a9da-342bceadca24"]},{"id":"ITEM-2","itemData":{"DOI":"10.3233/JAD-121897","ISBN":"1875-8908 (Electronic)\\r1387-2877 (Linking)","ISSN":"13872877","PMID":"23302659","abstract":"We investigated the impact of APOE genotype on cerebral blood flow (CBF) in older and younger adults. Forty cognitively normal older adults (16 epsilon4 carriers, 24 non-epsilon4 carriers) and 30 younger adults (15 epsilon4 carriers, 15 non-epsilon4 carriers) completed a resting-state whole-brain pulsed arterial spin labeling magnetic resonance scan. Main effects of aging were demonstrated wherein older adults had decreased gray matter CBF corrected for partial volume effects compared to younger adults in widespread brain regions. Main effects of APOE genotype were also observed wherein epsilon4 carriers displayed greater CBF in the left lingual gyrus and precuneus than non-carriers. An interaction between age and APOE genotype in the left anterior cingulate cortex (ACC) was characterized by reduced CBF in older epsilon4 carriers and increased CBF in young epsilon4 carriers. Increased CBF in the left ACC resulting from the interaction of age group and APOE genotype was positively correlated with executive functioning in young epsilon4 adults (r = 0.61, p = 0.04). Results demonstrate APOE genotype differentially impacts cerebrovascular function across the lifespan and may modify the relationship between CBF and cognition. Findings may partially support suggestions that the gene exerts antagonistic pleiotropic effects.","author":[{"dropping-particle":"","family":"Wierenga","given":"Christina E.","non-dropping-particle":"","parse-names":false,"suffix":""},{"dropping-particle":"","family":"Clark","given":"Lindsay R.","non-dropping-particle":"","parse-names":false,"suffix":""},{"dropping-particle":"","family":"Dev","given":"Sheena I.","non-dropping-particle":"","parse-names":false,"suffix":""},{"dropping-particle":"","family":"Shin","given":"David D.","non-dropping-particle":"","parse-names":false,"suffix":""},{"dropping-particle":"","family":"Jurick","given":"Sarah M.","non-dropping-particle":"","parse-names":false,"suffix":""},{"dropping-particle":"","family":"Rissman","given":"Robert A.","non-dropping-particle":"","parse-names":false,"suffix":""},{"dropping-particle":"","family":"Liu","given":"Thomas T.","non-dropping-particle":"","parse-names":false,"suffix":""},{"dropping-particle":"","family":"Bondi","given":"Mark W.","non-dropping-particle":"","parse-names":false,"suffix":""}],"container-title":"Journal of Alzheimer's Disease","id":"ITEM-2","issue":"4","issued":{"date-parts":[["2013"]]},"page":"921-935","title":"Interaction of age and APOE genotype on cerebral blood flow at rest","type":"article-journal","volume":"34"},"uris":["http://www.mendeley.com/documents/?uuid=f27932a9-dbc6-4194-b132-aa16fa223c0a"]}],"mendeley":{"formattedCitation":"(Bangen et al., 2012; Wierenga et al., 2013)","plainTextFormattedCitation":"(Bangen et al., 2012; Wierenga et al., 2013)","previouslyFormattedCitation":"(Bangen et al., 2012; Wierenga et al., 2013)"},"properties":{"noteIndex":0},"schema":"https://github.com/citation-style-language/schema/raw/master/csl-citation.json"}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(Bangen et al., 2012; Wierenga et al., 2013)</w:t>
      </w:r>
      <w:r w:rsidRPr="00F10F41">
        <w:rPr>
          <w:rFonts w:ascii="Arial" w:hAnsi="Arial" w:cs="Arial"/>
          <w:color w:val="000000" w:themeColor="text1"/>
          <w:sz w:val="22"/>
          <w:szCs w:val="22"/>
        </w:rPr>
        <w:fldChar w:fldCharType="end"/>
      </w:r>
      <w:r>
        <w:rPr>
          <w:rFonts w:ascii="Arial" w:hAnsi="Arial" w:cs="Arial"/>
          <w:color w:val="000000" w:themeColor="text1"/>
          <w:sz w:val="22"/>
          <w:szCs w:val="22"/>
        </w:rPr>
        <w:t xml:space="preserve">: </w:t>
      </w:r>
      <w:r w:rsidRPr="00F10F41">
        <w:rPr>
          <w:rFonts w:ascii="Arial" w:hAnsi="Arial" w:cs="Arial"/>
          <w:color w:val="000000" w:themeColor="text1"/>
          <w:sz w:val="22"/>
          <w:szCs w:val="22"/>
          <w:lang w:val="en-US"/>
        </w:rPr>
        <w:t xml:space="preserve">increased glucose uptake from FDG-PET studies have been found in FAD mutation carriers as early as 25 years before expected onset </w:t>
      </w:r>
      <w:r w:rsidRPr="00F10F41">
        <w:rPr>
          <w:rFonts w:ascii="Arial" w:hAnsi="Arial" w:cs="Arial"/>
          <w:color w:val="000000" w:themeColor="text1"/>
          <w:sz w:val="22"/>
          <w:szCs w:val="22"/>
          <w:lang w:val="en-US"/>
        </w:rPr>
        <w:fldChar w:fldCharType="begin" w:fldLock="1"/>
      </w:r>
      <w:r w:rsidRPr="00F10F41">
        <w:rPr>
          <w:rFonts w:ascii="Arial" w:hAnsi="Arial" w:cs="Arial"/>
          <w:color w:val="000000" w:themeColor="text1"/>
          <w:sz w:val="22"/>
          <w:szCs w:val="22"/>
          <w:lang w:val="en-US"/>
        </w:rPr>
        <w:instrText>ADDIN CSL_CITATION {"citationItems":[{"id":"ITEM-1","itemData":{"DOI":"10.1073/pnas.1317918110","ISBN":"1091-6490 (Electronic)\\r0027-8424 (Linking)","ISSN":"1091-6490","PMID":"24194552","abstract":"Major imaging biomarkers of Alzheimer's disease include amyloid deposition [imaged with [(11)C]Pittsburgh compound B (PiB) PET], altered glucose metabolism (imaged with [(18)F]fluro-deoxyglucose PET), and structural atrophy (imaged by MRI). Recently we published the initial subset of imaging findings for specific regions in a cohort of individuals with autosomal dominant Alzheimer's disease. We now extend this work to include a larger cohort, whole-brain analyses integrating all three imaging modalities, and longitudinal data to examine regional differences in imaging biomarker dynamics. The anatomical distribution of imaging biomarkers is described in relation to estimated years from symptom onset. Autosomal dominant Alzheimer's disease mutation carrier individuals have elevated PiB levels in nearly every cortical region 15 y before the estimated age of onset. Reduced cortical glucose metabolism and cortical thinning in the medial and lateral parietal lobe appeared 10 and 5 y, respectively, before estimated age of onset. Importantly, however, a divergent pattern was observed subcortically. All subcortical gray-matter regions exhibited elevated PiB uptake, but despite this, only the hippocampus showed reduced glucose metabolism. Similarly, atrophy was not observed in the caudate and pallidum despite marked amyloid accumulation. Finally, before hypometabolism, a hypermetabolic phase was identified for some cortical regions, including the precuneus and posterior cingulate. Additional analyses of individuals in which longitudinal data were available suggested that an accelerated appearance of volumetric declines approximately coincides with the onset of the symptomatic phase of the disease.","author":[{"dropping-particle":"","family":"Benzinger","given":"Tammie L S","non-dropping-particle":"","parse-names":false,"suffix":""},{"dropping-particle":"","family":"Blazey","given":"Tyler","non-dropping-particle":"","parse-names":false,"suffix":""},{"dropping-particle":"","family":"Jack","given":"Clifford R","non-dropping-particle":"","parse-names":false,"suffix":""},{"dropping-particle":"","family":"Koeppe","given":"Robert A","non-dropping-particle":"","parse-names":false,"suffix":""},{"dropping-particle":"","family":"Su","given":"Yi","non-dropping-particle":"","parse-names":false,"suffix":""},{"dropping-particle":"","family":"Xiong","given":"Chengjie","non-dropping-particle":"","parse-names":false,"suffix":""},{"dropping-particle":"","family":"Raichle","given":"Marcus E","non-dropping-particle":"","parse-names":false,"suffix":""},{"dropping-particle":"","family":"Snyder","given":"Abraham Z","non-dropping-particle":"","parse-names":false,"suffix":""},{"dropping-particle":"","family":"Ances","given":"Beau M","non-dropping-particle":"","parse-names":false,"suffix":""},{"dropping-particle":"","family":"Bateman","given":"Randall J","non-dropping-particle":"","parse-names":false,"suffix":""},{"dropping-particle":"","family":"Cairns","given":"Nigel J","non-dropping-particle":"","parse-names":false,"suffix":""},{"dropping-particle":"","family":"Fagan","given":"Anne M","non-dropping-particle":"","parse-names":false,"suffix":""},{"dropping-particle":"","family":"Goate","given":"Alison","non-dropping-particle":"","parse-names":false,"suffix":""},{"dropping-particle":"","family":"Marcus","given":"Daniel S","non-dropping-particle":"","parse-names":false,"suffix":""},{"dropping-particle":"","family":"Aisen","given":"Paul S","non-dropping-particle":"","parse-names":false,"suffix":""},{"dropping-particle":"","family":"Christensen","given":"Jon J","non-dropping-particle":"","parse-names":false,"suffix":""},{"dropping-particle":"","family":"Ercole","given":"Lindsay","non-dropping-particle":"","parse-names":false,"suffix":""},{"dropping-particle":"","family":"Hornbeck","given":"Russ C","non-dropping-particle":"","parse-names":false,"suffix":""},{"dropping-particle":"","family":"Farrar","given":"Angela M","non-dropping-particle":"","parse-names":false,"suffix":""},{"dropping-particle":"","family":"Aldea","given":"Patricia","non-dropping-particle":"","parse-names":false,"suffix":""},{"dropping-particle":"","family":"Jasielec","given":"Mateusz S","non-dropping-particle":"","parse-names":false,"suffix":""},{"dropping-particle":"","family":"Owen","given":"Christopher J","non-dropping-particle":"","parse-names":false,"suffix":""},{"dropping-particle":"","family":"Xie","given":"Xianyun","non-dropping-particle":"","parse-names":false,"suffix":""},{"dropping-particle":"","family":"Mayeux","given":"Richard","non-dropping-particle":"","parse-names":false,"suffix":""},{"dropping-particle":"","family":"Brickman","given":"Adam","non-dropping-particle":"","parse-names":false,"suffix":""},{"dropping-particle":"","family":"McDade","given":"Eric","non-dropping-particle":"","parse-names":false,"suffix":""},{"dropping-particle":"","family":"Klunk","given":"William","non-dropping-particle":"","parse-names":false,"suffix":""},{"dropping-particle":"","family":"Mathis","given":"Chester A","non-dropping-particle":"","parse-names":false,"suffix":""},{"dropping-particle":"","family":"Ringman","given":"John","non-dropping-particle":"","parse-names":false,"suffix":""},{"dropping-particle":"","family":"Thompson","given":"Paul M","non-dropping-particle":"","parse-names":false,"suffix":""},{"dropping-particle":"","family":"Ghetti","given":"Bernardino","non-dropping-particle":"","parse-names":false,"suffix":""},{"dropping-particle":"","family":"Saykin","given":"Andrew J","non-dropping-particle":"","parse-names":false,"suffix":""},{"dropping-particle":"","family":"Sperling","given":"Reisa A","non-dropping-particle":"","parse-names":false,"suffix":""},{"dropping-particle":"","family":"Johnson","given":"Keith A","non-dropping-particle":"","parse-names":false,"suffix":""},{"dropping-particle":"","family":"Salloway","given":"Stephen","non-dropping-particle":"","parse-names":false,"suffix":""},{"dropping-particle":"","family":"Correia","given":"Stephen","non-dropping-particle":"","parse-names":false,"suffix":""},{"dropping-particle":"","family":"Schofield","given":"Peter R","non-dropping-particle":"","parse-names":false,"suffix":""},{"dropping-particle":"","family":"Masters","given":"Colin L","non-dropping-particle":"","parse-names":false,"suffix":""},{"dropping-particle":"","family":"Rowe","given":"Christopher","non-dropping-particle":"","parse-names":false,"suffix":""},{"dropping-particle":"","family":"Villemagne","given":"Victor L","non-dropping-particle":"","parse-names":false,"suffix":""},{"dropping-particle":"","family":"Martins","given":"Ralph","non-dropping-particle":"","parse-names":false,"suffix":""},{"dropping-particle":"","family":"Ourselin","given":"Sebastien","non-dropping-particle":"","parse-names":false,"suffix":""},{"dropping-particle":"","family":"Rossor","given":"Martin N","non-dropping-particle":"","parse-names":false,"suffix":""},{"dropping-particle":"","family":"Fox","given":"Nick C","non-dropping-particle":"","parse-names":false,"suffix":""},{"dropping-particle":"","family":"Cash","given":"David M","non-dropping-particle":"","parse-names":false,"suffix":""},{"dropping-particle":"","family":"Weiner","given":"Michael W","non-dropping-particle":"","parse-names":false,"suffix":""},{"dropping-particle":"","family":"Holtzman","given":"David M","non-dropping-particle":"","parse-names":false,"suffix":""},{"dropping-particle":"","family":"Buckles","given":"Virginia D","non-dropping-particle":"","parse-names":false,"suffix":""},{"dropping-particle":"","family":"Moulder","given":"Krista","non-dropping-particle":"","parse-names":false,"suffix":""},{"dropping-particle":"","family":"Morris","given":"John C","non-dropping-particle":"","parse-names":false,"suffix":""}],"container-title":"Proceedings of the National Academy of Sciences of the United States of America","id":"ITEM-1","issue":"47","issued":{"date-parts":[["2013"]]},"page":"E4502-9","title":"Regional variability of imaging biomarkers in autosomal dominant Alzheimer's disease.","type":"article-journal","volume":"110"},"uris":["http://www.mendeley.com/documents/?uuid=6024f30d-8f02-478f-b48b-154b3dd681c9"]}],"mendeley":{"formattedCitation":"(Benzinger et al., 2013)","plainTextFormattedCitation":"(Benzinger et al., 2013)","previouslyFormattedCitation":"(Benzinger et al., 2013)"},"properties":{"noteIndex":0},"schema":"https://github.com/citation-style-language/schema/raw/master/csl-citation.json"}</w:instrText>
      </w:r>
      <w:r w:rsidRPr="00F10F41">
        <w:rPr>
          <w:rFonts w:ascii="Arial" w:hAnsi="Arial" w:cs="Arial"/>
          <w:color w:val="000000" w:themeColor="text1"/>
          <w:sz w:val="22"/>
          <w:szCs w:val="22"/>
          <w:lang w:val="en-US"/>
        </w:rPr>
        <w:fldChar w:fldCharType="separate"/>
      </w:r>
      <w:r w:rsidRPr="00F10F41">
        <w:rPr>
          <w:rFonts w:ascii="Arial" w:hAnsi="Arial" w:cs="Arial"/>
          <w:noProof/>
          <w:color w:val="000000" w:themeColor="text1"/>
          <w:sz w:val="22"/>
          <w:szCs w:val="22"/>
          <w:lang w:val="en-US"/>
        </w:rPr>
        <w:t>(Benzinger et al., 2013)</w:t>
      </w:r>
      <w:r w:rsidRPr="00F10F41">
        <w:rPr>
          <w:rFonts w:ascii="Arial" w:hAnsi="Arial" w:cs="Arial"/>
          <w:color w:val="000000" w:themeColor="text1"/>
          <w:sz w:val="22"/>
          <w:szCs w:val="22"/>
          <w:lang w:val="en-US"/>
        </w:rPr>
        <w:fldChar w:fldCharType="end"/>
      </w:r>
      <w:r w:rsidR="00B4732C">
        <w:rPr>
          <w:rFonts w:ascii="Arial" w:hAnsi="Arial" w:cs="Arial"/>
          <w:color w:val="000000" w:themeColor="text1"/>
          <w:sz w:val="22"/>
          <w:szCs w:val="22"/>
          <w:lang w:val="en-US"/>
        </w:rPr>
        <w:t xml:space="preserve"> while</w:t>
      </w:r>
      <w:r w:rsidRPr="00F10F41">
        <w:rPr>
          <w:rFonts w:ascii="Arial" w:hAnsi="Arial" w:cs="Arial"/>
          <w:color w:val="000000" w:themeColor="text1"/>
          <w:sz w:val="22"/>
          <w:szCs w:val="22"/>
          <w:lang w:val="en-US"/>
        </w:rPr>
        <w:t xml:space="preserve"> Alsop et al. have reported hippocampal hyper-perfusion in </w:t>
      </w:r>
      <w:r w:rsidR="00264734">
        <w:rPr>
          <w:rFonts w:ascii="Arial" w:hAnsi="Arial" w:cs="Arial"/>
          <w:color w:val="000000" w:themeColor="text1"/>
          <w:sz w:val="22"/>
          <w:szCs w:val="22"/>
          <w:lang w:val="en-US"/>
        </w:rPr>
        <w:t xml:space="preserve">cases with </w:t>
      </w:r>
      <w:r w:rsidRPr="00F10F41">
        <w:rPr>
          <w:rFonts w:ascii="Arial" w:hAnsi="Arial" w:cs="Arial"/>
          <w:color w:val="000000" w:themeColor="text1"/>
          <w:sz w:val="22"/>
          <w:szCs w:val="22"/>
          <w:lang w:val="en-US"/>
        </w:rPr>
        <w:t xml:space="preserve">AD </w:t>
      </w:r>
      <w:r w:rsidRPr="00F10F41">
        <w:rPr>
          <w:rFonts w:ascii="Arial" w:hAnsi="Arial" w:cs="Arial"/>
          <w:color w:val="000000" w:themeColor="text1"/>
          <w:sz w:val="22"/>
          <w:szCs w:val="22"/>
          <w:lang w:val="en-US"/>
        </w:rPr>
        <w:fldChar w:fldCharType="begin" w:fldLock="1"/>
      </w:r>
      <w:r w:rsidRPr="00F10F41">
        <w:rPr>
          <w:rFonts w:ascii="Arial" w:hAnsi="Arial" w:cs="Arial"/>
          <w:color w:val="000000" w:themeColor="text1"/>
          <w:sz w:val="22"/>
          <w:szCs w:val="22"/>
          <w:lang w:val="en-US"/>
        </w:rPr>
        <w:instrText>ADDIN CSL_CITATION {"citationItems":[{"id":"ITEM-1","itemData":{"DOI":"10.1016/j.neuroimage.2008.06.006","ISSN":"1095-9572","abstract":"Many of the regions with the earliest atrophy in Alzheimer's Disease (AD) do not show prominent deficits on functional imaging studies of flow or metabolism. This paradox may provide unique insights into the pathophysiology of AD. We sought to examine the relationship between function and atrophy in AD using MRI blood flow and anatomic imaging. 22 subjects diagnosed with AD, mean Mini Mental State Exam (MMSE) score 22.2, and 16 healthy elderly controls were imaged with a volumetric arterial spin labeling blood flow MRI technique and an anatomical imaging method using the identical spatial resolution, image orientation, and spatial encoding strategy. Cerebral blood flow (CBF) and gray matter (GM) maps derived from the imaging were transformed to a standard anatomical space. GM and CBF maps were tested for significant differences between groups. Additionally, images were tested for regions with significant mismatch of the CBF and GM differences between groups. CBF was significantly lower in the bilateral precuneus, parietal association cortex and the left inferior temporal lobe but was non-significantly increased in the hippocampus and other medial temporal structures. After correction for GM loss, CBF was significantly elevated in the hippocampus and other medial temporal structures. The hippocampus and other regions affected early in AD are characterized by elevated atrophy-corrected perfusion per cm(3) of tissue. This suggests compensatory or pathological elevation of neural activity, inflammation, or elevated production of vasodilators.","author":[{"dropping-particle":"","family":"Alsop","given":"David C","non-dropping-particle":"","parse-names":false,"suffix":""},{"dropping-particle":"","family":"Casement","given":"Melynda","non-dropping-particle":"","parse-names":false,"suffix":""},{"dropping-particle":"","family":"Bazelaire","given":"Cedric","non-dropping-particle":"de","parse-names":false,"suffix":""},{"dropping-particle":"","family":"Fong","given":"Tamara","non-dropping-particle":"","parse-names":false,"suffix":""},{"dropping-particle":"","family":"Press","given":"Daniel Z","non-dropping-particle":"","parse-names":false,"suffix":""}],"container-title":"NeuroImage","edition":"2008/06/17","id":"ITEM-1","issue":"4","issued":{"date-parts":[["2008","10"]]},"language":"eng","page":"1267-1274","title":"Hippocampal hyperperfusion in Alzheimer's disease","type":"article-journal","volume":"42"},"uris":["http://www.mendeley.com/documents/?uuid=7ed2a8c2-2e0e-415f-9176-8d47145fd1e1","http://www.mendeley.com/documents/?uuid=5123beaf-7206-4327-a2c6-ddb0c7607230"]}],"mendeley":{"formattedCitation":"(Alsop et al., 2008)","plainTextFormattedCitation":"(Alsop et al., 2008)","previouslyFormattedCitation":"(Alsop et al., 2008)"},"properties":{"noteIndex":0},"schema":"https://github.com/citation-style-language/schema/raw/master/csl-citation.json"}</w:instrText>
      </w:r>
      <w:r w:rsidRPr="00F10F41">
        <w:rPr>
          <w:rFonts w:ascii="Arial" w:hAnsi="Arial" w:cs="Arial"/>
          <w:color w:val="000000" w:themeColor="text1"/>
          <w:sz w:val="22"/>
          <w:szCs w:val="22"/>
          <w:lang w:val="en-US"/>
        </w:rPr>
        <w:fldChar w:fldCharType="separate"/>
      </w:r>
      <w:r w:rsidRPr="00F10F41">
        <w:rPr>
          <w:rFonts w:ascii="Arial" w:hAnsi="Arial" w:cs="Arial"/>
          <w:noProof/>
          <w:color w:val="000000" w:themeColor="text1"/>
          <w:sz w:val="22"/>
          <w:szCs w:val="22"/>
          <w:lang w:val="en-US"/>
        </w:rPr>
        <w:t>(Alsop et al., 2008)</w:t>
      </w:r>
      <w:r w:rsidRPr="00F10F41">
        <w:rPr>
          <w:rFonts w:ascii="Arial" w:hAnsi="Arial" w:cs="Arial"/>
          <w:color w:val="000000" w:themeColor="text1"/>
          <w:sz w:val="22"/>
          <w:szCs w:val="22"/>
          <w:lang w:val="en-US"/>
        </w:rPr>
        <w:fldChar w:fldCharType="end"/>
      </w:r>
      <w:r w:rsidRPr="00F10F41">
        <w:rPr>
          <w:rFonts w:ascii="Arial" w:hAnsi="Arial" w:cs="Arial"/>
          <w:color w:val="000000" w:themeColor="text1"/>
          <w:sz w:val="22"/>
          <w:szCs w:val="22"/>
          <w:lang w:val="en-US"/>
        </w:rPr>
        <w:t>.</w:t>
      </w:r>
      <w:r>
        <w:rPr>
          <w:rFonts w:ascii="Arial" w:hAnsi="Arial" w:cs="Arial"/>
          <w:color w:val="000000" w:themeColor="text1"/>
          <w:sz w:val="22"/>
          <w:szCs w:val="22"/>
          <w:lang w:val="en-US"/>
        </w:rPr>
        <w:t xml:space="preserve"> </w:t>
      </w:r>
      <w:r w:rsidRPr="00F10F41">
        <w:rPr>
          <w:rFonts w:ascii="Arial" w:hAnsi="Arial" w:cs="Arial"/>
          <w:color w:val="000000" w:themeColor="text1"/>
          <w:sz w:val="22"/>
          <w:szCs w:val="22"/>
          <w:lang w:val="en-US"/>
        </w:rPr>
        <w:t>Taken together, our</w:t>
      </w:r>
      <w:r w:rsidRPr="00F10F41">
        <w:rPr>
          <w:rFonts w:ascii="Arial" w:hAnsi="Arial" w:cs="Arial"/>
          <w:color w:val="000000" w:themeColor="text1"/>
          <w:sz w:val="22"/>
          <w:szCs w:val="22"/>
        </w:rPr>
        <w:t xml:space="preserve"> current perfusion data are consistent with a model of disease progression in the asymptomatic period of dementia, in which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 xml:space="preserve">4 carriers display elevated cerebral perfusion very early </w:t>
      </w:r>
      <w:r>
        <w:rPr>
          <w:rFonts w:ascii="Arial" w:hAnsi="Arial" w:cs="Arial"/>
          <w:color w:val="000000" w:themeColor="text1"/>
          <w:sz w:val="22"/>
          <w:szCs w:val="22"/>
        </w:rPr>
        <w:t>during</w:t>
      </w:r>
      <w:r w:rsidRPr="00F10F41">
        <w:rPr>
          <w:rFonts w:ascii="Arial" w:hAnsi="Arial" w:cs="Arial"/>
          <w:color w:val="000000" w:themeColor="text1"/>
          <w:sz w:val="22"/>
          <w:szCs w:val="22"/>
        </w:rPr>
        <w:t xml:space="preserve"> the </w:t>
      </w:r>
      <w:proofErr w:type="spellStart"/>
      <w:r w:rsidRPr="00F10F41">
        <w:rPr>
          <w:rFonts w:ascii="Arial" w:hAnsi="Arial" w:cs="Arial"/>
          <w:color w:val="000000" w:themeColor="text1"/>
          <w:sz w:val="22"/>
          <w:szCs w:val="22"/>
        </w:rPr>
        <w:t>presymptomatic</w:t>
      </w:r>
      <w:proofErr w:type="spellEnd"/>
      <w:r w:rsidRPr="00F10F41">
        <w:rPr>
          <w:rFonts w:ascii="Arial" w:hAnsi="Arial" w:cs="Arial"/>
          <w:color w:val="000000" w:themeColor="text1"/>
          <w:sz w:val="22"/>
          <w:szCs w:val="22"/>
        </w:rPr>
        <w:t xml:space="preserve"> phase as a possible attempt to maintain an adequate blood supply at rest. </w:t>
      </w:r>
      <w:proofErr w:type="spellStart"/>
      <w:r>
        <w:rPr>
          <w:rFonts w:ascii="Arial" w:hAnsi="Arial" w:cs="Arial"/>
          <w:color w:val="000000" w:themeColor="text1"/>
          <w:sz w:val="22"/>
          <w:szCs w:val="22"/>
        </w:rPr>
        <w:t>Hyperperfusion</w:t>
      </w:r>
      <w:proofErr w:type="spellEnd"/>
      <w:r w:rsidRPr="00F10F41">
        <w:rPr>
          <w:rFonts w:ascii="Arial" w:hAnsi="Arial" w:cs="Arial"/>
          <w:color w:val="000000" w:themeColor="text1"/>
          <w:sz w:val="22"/>
          <w:szCs w:val="22"/>
        </w:rPr>
        <w:t xml:space="preserve"> could also be a response to neuroinflammation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{"citationItems":[{"id":"ITEM-1","itemData":{"DOI":"10.1016/j.neuroimage.2008.06.006","ISSN":"1095-9572","abstract":"Many of the regions with the earliest atrophy in Alzheimer's Disease (AD) do not show prominent deficits on functional imaging studies of flow or metabolism. This paradox may provide unique insights into the pathophysiology of AD. We sought to examine the relationship between function and atrophy in AD using MRI blood flow and anatomic imaging. 22 subjects diagnosed with AD, mean Mini Mental State Exam (MMSE) score 22.2, and 16 healthy elderly controls were imaged with a volumetric arterial spin labeling blood flow MRI technique and an anatomical imaging method using the identical spatial resolution, image orientation, and spatial encoding strategy. Cerebral blood flow (CBF) and gray matter (GM) maps derived from the imaging were transformed to a standard anatomical space. GM and CBF maps were tested for significant differences between groups. Additionally, images were tested for regions with significant mismatch of the CBF and GM differences between groups. CBF was significantly lower in the bilateral precuneus, parietal association cortex and the left inferior temporal lobe but was non-significantly increased in the hippocampus and other medial temporal structures. After correction for GM loss, CBF was significantly elevated in the hippocampus and other medial temporal structures. The hippocampus and other regions affected early in AD are characterized by elevated atrophy-corrected perfusion per cm(3) of tissue. This suggests compensatory or pathological elevation of neural activity, inflammation, or elevated production of vasodilators.","author":[{"dropping-particle":"","family":"Alsop","given":"David C","non-dropping-particle":"","parse-names":false,"suffix":""},{"dropping-particle":"","family":"Casement","given":"Melynda","non-dropping-particle":"","parse-names":false,"suffix":""},{"dropping-particle":"","family":"Bazelaire","given":"Cedric","non-dropping-particle":"de","parse-names":false,"suffix":""},{"dropping-particle":"","family":"Fong","given":"Tamara","non-dropping-particle":"","parse-names":false,"suffix":""},{"dropping-particle":"","family":"Press","given":"Daniel Z","non-dropping-particle":"","parse-names":false,"suffix":""}],"container-title":"NeuroImage","edition":"2008/06/17","id":"ITEM-1","issue":"4","issued":{"date-parts":[["2008","10"]]},"language":"eng","page":"1267-1274","title":"Hippocampal hyperperfusion in Alzheimer's disease","type":"article-journal","volume":"42"},"uris":["http://www.mendeley.com/documents/?uuid=5123beaf-7206-4327-a2c6-ddb0c7607230","http://www.mendeley.com/documents/?uuid=7ed2a8c2-2e0e-415f-9176-8d47145fd1e1"]}],"mendeley":{"formattedCitation":"(Alsop et al., 2008)","plainTextFormattedCitation":"(Alsop et al., 2008)","previouslyFormattedCitation":"(Alsop et al., 2008)"},"properties":{"noteIndex":0},"schema":"https://github.com/citation-style-language/schema/raw/master/csl-citation.json"}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(Alsop et al., 2008)</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alterations in the capillary transit time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{"citationItems":[{"id":"ITEM-1","itemData":{"DOI":"10.1016/j.neurobiolaging.2012.09.011","ISBN":"4578464091","ISSN":"01974580","abstract":"It is widely accepted that hypoperfusion and changes in capillary morphology are involved in the etiopathogenesis of Alzheimer's disease (AD). This is difficult to reconcile with the hyperperfusion observed in young high-risk subjects. Differences in the way cerebral blood flow (CBF) is coupled with the local metabolic needs during different phases of the disease can explain this apparent paradox. This review describes this coupling in terms of a model of cerebral oxygen availability that takes into consideration the heterogeneity of capillary blood flow patterns. The model predicts that moderate increases in heterogeneity requires elevated CBF in order to maintain adequate oxygenation. However, with progressive increases in heterogeneity, the resulting low tissue oxygen tension will require a suppression of CBF in order to maintain tissue metabolism. The observed biphasic nature of CBF responses in preclinical AD and AD is therefore consistent with progressive disturbances of capillary flow patterns. Salient features of the model are discussed in the context of AD pathology along with potential sources of increased capillary flow heterogeneity. © 2013 Elsevier Inc.","author":[{"dropping-particle":"","family":"Østergaard","given":"Leif","non-dropping-particle":"","parse-names":false,"suffix":""},{"dropping-particle":"","family":"Aamand","given":"Rasmus","non-dropping-particle":"","parse-names":false,"suffix":""},{"dropping-particle":"","family":"Gutiérrez-Jiménez","given":"Eugenio","non-dropping-particle":"","parse-names":false,"suffix":""},{"dropping-particle":"","family":"Ho","given":"Yi Ching L.","non-dropping-particle":"","parse-names":false,"suffix":""},{"dropping-particle":"","family":"Blicher","given":"Jakob U.","non-dropping-particle":"","parse-names":false,"suffix":""},{"dropping-particle":"","family":"Madsen","given":"Søren M.","non-dropping-particle":"","parse-names":false,"suffix":""},{"dropping-particle":"","family":"Nagenthiraja","given":"Kartheeban","non-dropping-particle":"","parse-names":false,"suffix":""},{"dropping-particle":"","family":"Dalby","given":"Rikke B.","non-dropping-particle":"","parse-names":false,"suffix":""},{"dropping-particle":"","family":"Drasbek","given":"Kim R.","non-dropping-particle":"","parse-names":false,"suffix":""},{"dropping-particle":"","family":"Møller","given":"Arne","non-dropping-particle":"","parse-names":false,"suffix":""},{"dropping-particle":"","family":"Brændgaard","given":"Hans","non-dropping-particle":"","parse-names":false,"suffix":""},{"dropping-particle":"","family":"Mouridsen","given":"Kim","non-dropping-particle":"","parse-names":false,"suffix":""},{"dropping-particle":"","family":"Jespersen","given":"Sune N.","non-dropping-particle":"","parse-names":false,"suffix":""},{"dropping-particle":"","family":"Jensen","given":"Morten S.","non-dropping-particle":"","parse-names":false,"suffix":""},{"dropping-particle":"","family":"West","given":"Mark J.","non-dropping-particle":"","parse-names":false,"suffix":""}],"container-title":"Neurobiology of Aging","id":"ITEM-1","issue":"4","issued":{"date-parts":[["2013"]]},"page":"1018-1031","title":"The capillary dysfunction hypothesis of Alzheimer's disease","type":"article-journal","volume":"34"},"uris":["http://www.mendeley.com/documents/?uuid=2ffdb324-380c-4b66-989b-cf397b408fc1","http://www.mendeley.com/documents/?uuid=81e3bf30-511e-4c73-9ab3-fb5ffad91c58"]}],"mendeley":{"formattedCitation":"(Østergaard et al., 2013)","plainTextFormattedCitation":"(Østergaard et al., 2013)","previouslyFormattedCitation":"(Østergaard et al., 2013)"},"properties":{"noteIndex":0},"schema":"https://github.com/citation-style-language/schema/raw/master/csl-citation.json"}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(Østergaard et al., 2013)</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or </w:t>
      </w:r>
      <w:r>
        <w:rPr>
          <w:rFonts w:ascii="Arial" w:hAnsi="Arial" w:cs="Arial"/>
          <w:color w:val="000000" w:themeColor="text1"/>
          <w:sz w:val="22"/>
          <w:szCs w:val="22"/>
        </w:rPr>
        <w:t xml:space="preserve">associated </w:t>
      </w:r>
      <w:r w:rsidRPr="00F10F41">
        <w:rPr>
          <w:rFonts w:ascii="Arial" w:hAnsi="Arial" w:cs="Arial"/>
          <w:color w:val="000000" w:themeColor="text1"/>
          <w:sz w:val="22"/>
          <w:szCs w:val="22"/>
        </w:rPr>
        <w:t xml:space="preserve">with amyloid accumulation </w:t>
      </w:r>
      <w:r w:rsidRPr="00F10F41">
        <w:rPr>
          <w:rFonts w:ascii="Arial" w:hAnsi="Arial" w:cs="Arial"/>
          <w:color w:val="000000" w:themeColor="text1"/>
          <w:sz w:val="22"/>
          <w:szCs w:val="22"/>
        </w:rPr>
        <w:fldChar w:fldCharType="begin" w:fldLock="1"/>
      </w:r>
      <w:r>
        <w:rPr>
          <w:rFonts w:ascii="Arial" w:hAnsi="Arial" w:cs="Arial"/>
          <w:color w:val="000000" w:themeColor="text1"/>
          <w:sz w:val="22"/>
          <w:szCs w:val="22"/>
        </w:rPr>
        <w:instrText>ADDIN CSL_CITATION {"citationItems":[{"id":"ITEM-1","itemData":{"DOI":"10.1002/jmri.26810","ISSN":"15222586","abstract":"Background: Arterial spin labeling (ASL) is an emerging MRI technique for noninvasive measurement of cerebral blood flow (CBF) that has been used to show hemodynamic changes in the brains of people with Alzheimer's disease (AD). CBF changes have been measured using positron emission tomography (PET) across the AD spectrum, but ASL showed limited success in measuring CBF variations in the preclinical phase of AD, where amyloid β (Aβ) plaques accumulate in the decades prior to symptom onset. Purpose: To investigate the relationship between CBF measured by multiphase-pseudocontinuous-ASL (MP-PCASL) and Aβ burden as measured by 11C-PiB PET imaging in a study of cognitively normal (CN) subjects age over 65. Study Type: Cross-sectional. Population: Forty-six CN subjects including 33 with low levels of Aβ burden and 13 with high levels of Aβ. Field Strength/Sequence: 3T/3D MP-PCASL. Assessment: The MP-PCASL method was chosen because it has a high signal-to-noise ratio. Furthermore, the data were analyzed using an efficient processing pipeline consisting of motion correction, ASL motion correction imprecision removal, temporal and spatial filtering, and partial volume effect correction. Statistical Tests: General Linear Model. Results: In CN subjects positive for Aβ burden (n = 13), we observed a positive correlation between CBF and Aβ burden in the hippocampus, amygdala, caudate (P &lt; 0.01), frontal, temporal, and insula (P &lt; 0.05). Data Conclusion: To the best of our knowledge, this is the first study using MP-PCASL in the study of AD, and the results suggest a potential compensatory hemodynamic mechanism that protects against pathology in the early stages of AD. Level of Evidence: 1. Technical Efficacy: Stage 3. J. Magn. Reson. Imaging 2020;51:505–513.","author":[{"dropping-particle":"","family":"Fazlollahi","given":"Amir","non-dropping-particle":"","parse-names":false,"suffix":""},{"dropping-particle":"","family":"Calamante","given":"Fernando","non-dropping-particle":"","parse-names":false,"suffix":""},{"dropping-particle":"","family":"Liang","given":"Xiaoyun","non-dropping-particle":"","parse-names":false,"suffix":""},{"dropping-particle":"","family":"Bourgeat","given":"Pierrick","non-dropping-particle":"","parse-names":false,"suffix":""},{"dropping-particle":"","family":"Raniga","given":"Parnesh","non-dropping-particle":"","parse-names":false,"suffix":""},{"dropping-particle":"","family":"Dore","given":"Vincent","non-dropping-particle":"","parse-names":false,"suffix":""},{"dropping-particle":"","family":"Fripp","given":"Jurgen","non-dropping-particle":"","parse-names":false,"suffix":""},{"dropping-particle":"","family":"Ames","given":"David","non-dropping-particle":"","parse-names":false,"suffix":""},{"dropping-particle":"","family":"Masters","given":"Colin L.","non-dropping-particle":"","parse-names":false,"suffix":""},{"dropping-particle":"","family":"Rowe","given":"Christopher C.","non-dropping-particle":"","parse-names":false,"suffix":""},{"dropping-particle":"","family":"Connelly","given":"Alan","non-dropping-particle":"","parse-names":false,"suffix":""},{"dropping-particle":"","family":"Villemagne","given":"Victor L.","non-dropping-particle":"","parse-names":false,"suffix":""},{"dropping-particle":"","family":"Salvado","given":"Olivier","non-dropping-particle":"","parse-names":false,"suffix":""}],"container-title":"Journal of Magnetic Resonance Imaging","id":"ITEM-1","issued":{"date-parts":[["2020"]]},"title":"Increased cerebral blood flow with increased amyloid burden in the preclinical phase of alzheimer's disease","type":"article-journal"},"uris":["http://www.mendeley.com/documents/?uuid=e922a1c1-e751-4de3-b543-1cd5a1c07b98"]}],"mendeley":{"formattedCitation":"(Fazlollahi et al., 2020)","plainTextFormattedCitation":"(Fazlollahi et al., 2020)","previouslyFormattedCitation":"(Fazlollahi et al., 2020)"},"properties":{"noteIndex":0},"schema":"https://github.com/citation-style-language/schema/raw/master/csl-citation.json"}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(Fazlollahi et al., 2020)</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Another possible explanation is that the higher ASL signal is driven by delayed intravascular signal. However, our subjects </w:t>
      </w:r>
      <w:r>
        <w:rPr>
          <w:rFonts w:ascii="Arial" w:hAnsi="Arial" w:cs="Arial"/>
          <w:color w:val="000000" w:themeColor="text1"/>
          <w:sz w:val="22"/>
          <w:szCs w:val="22"/>
        </w:rPr>
        <w:t>were</w:t>
      </w:r>
      <w:r w:rsidRPr="00F10F41">
        <w:rPr>
          <w:rFonts w:ascii="Arial" w:hAnsi="Arial" w:cs="Arial"/>
          <w:color w:val="000000" w:themeColor="text1"/>
          <w:sz w:val="22"/>
          <w:szCs w:val="22"/>
        </w:rPr>
        <w:t xml:space="preserve"> all healthy participants hence we do not expect large differences in the arterial transit time</w:t>
      </w:r>
      <w:r>
        <w:rPr>
          <w:rFonts w:ascii="Arial" w:hAnsi="Arial" w:cs="Arial"/>
          <w:color w:val="000000" w:themeColor="text1"/>
          <w:sz w:val="22"/>
          <w:szCs w:val="22"/>
        </w:rPr>
        <w:t>. T</w:t>
      </w:r>
      <w:r w:rsidRPr="00F10F41">
        <w:rPr>
          <w:rFonts w:ascii="Arial" w:hAnsi="Arial" w:cs="Arial"/>
          <w:color w:val="000000" w:themeColor="text1"/>
          <w:sz w:val="22"/>
          <w:szCs w:val="22"/>
        </w:rPr>
        <w:t>he inversion time used</w:t>
      </w:r>
      <w:r>
        <w:rPr>
          <w:rFonts w:ascii="Arial" w:hAnsi="Arial" w:cs="Arial"/>
          <w:color w:val="000000" w:themeColor="text1"/>
          <w:sz w:val="22"/>
          <w:szCs w:val="22"/>
        </w:rPr>
        <w:t xml:space="preserve"> in our protocol is also aligned with previous </w:t>
      </w:r>
      <w:r w:rsidRPr="00F10F41">
        <w:rPr>
          <w:rFonts w:ascii="Arial" w:hAnsi="Arial" w:cs="Arial"/>
          <w:color w:val="000000" w:themeColor="text1"/>
          <w:sz w:val="22"/>
          <w:szCs w:val="22"/>
        </w:rPr>
        <w:t xml:space="preserve">recommendations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{"citationItems":[{"id":"ITEM-1","itemData":{"DOI":"10.1002/mrm.25197","ISSN":"0740-3194","abstract":"This review provides a summary statement of recommended implementations of arterial spin labeling (ASL) for clinical applications. It is a consensus of the ISMRM Perfusion Study Group and the European ASL in Dementia consortium, both of whom met to reach this consensus in October 2012 in Amsterdam. Although ASL continues to undergo rapid technical development, we believe that current ASL methods are robust and ready to provide useful clinical information, and that a consensus statement on recommended implementations will help the clinical community to adopt a standardized approach. In this review, we describe the major considerations and trade-offs in implementing an ASL protocol and provide specific recommendations for a standard approach. Our conclusion is that as an optimal default implementation, we recommend pseudo-continuous labeling, background suppression, a segmented three-dimensional readout without vascular crushing gradients, and calculation and presentation of both label/control difference images and cerebral blood flow in absolute units using a simplified model. Magn Reson Med 73:102?116, 2015. ? 2014 Wiley Periodicals, Inc.","author":[{"dropping-particle":"","family":"Alsop","given":"David C","non-dropping-particle":"","parse-names":false,"suffix":""},{"dropping-particle":"","family":"Detre","given":"John A","non-dropping-particle":"","parse-names":false,"suffix":""},{"dropping-particle":"","family":"Golay","given":"Xavier","non-dropping-particle":"","parse-names":false,"suffix":""},{"dropping-particle":"","family":"Günther","given":"Matthias","non-dropping-particle":"","parse-names":false,"suffix":""},{"dropping-particle":"","family":"Hendrikse","given":"Jeroen","non-dropping-particle":"","parse-names":false,"suffix":""},{"dropping-particle":"","family":"Hernandez-Garcia","given":"Luis","non-dropping-particle":"","parse-names":false,"suffix":""},{"dropping-particle":"","family":"Lu","given":"Hanzhang","non-dropping-particle":"","parse-names":false,"suffix":""},{"dropping-particle":"","family":"MacIntosh","given":"Bradley J","non-dropping-particle":"","parse-names":false,"suffix":""},{"dropping-particle":"","family":"Parkes","given":"Laura M","non-dropping-particle":"","parse-names":false,"suffix":""},{"dropping-particle":"","family":"Smits","given":"Marion","non-dropping-particle":"","parse-names":false,"suffix":""},{"dropping-particle":"","family":"Osch","given":"Matthias J P","non-dropping-particle":"van","parse-names":false,"suffix":""},{"dropping-particle":"","family":"Wang","given":"Danny J J","non-dropping-particle":"","parse-names":false,"suffix":""},{"dropping-particle":"","family":"Wong","given":"Eric C","non-dropping-particle":"","parse-names":false,"suffix":""},{"dropping-particle":"","family":"Zaharchuk","given":"Greg","non-dropping-particle":"","parse-names":false,"suffix":""}],"container-title":"Magnetic Resonance in Medicine","id":"ITEM-1","issue":"1","issued":{"date-parts":[["2015","1"]]},"page":"102-116","publisher":"John Wiley &amp; Sons, Ltd","title":"Recommended implementation of arterial spin-labeled perfusion MRI for clinical applications: A consensus of the ISMRM perfusion study group and the European consortium for ASL in dementia","type":"article-journal","volume":"73"},"uris":["http://www.mendeley.com/documents/?uuid=aa2cf4cd-bebb-437c-a852-460619b78f90"]}],"mendeley":{"formattedCitation":"(Alsop et al., 2015)","plainTextFormattedCitation":"(Alsop et al., 2015)","previouslyFormattedCitation":"(Alsop et al., 2015)"},"properties":{"noteIndex":0},"schema":"https://github.com/citation-style-language/schema/raw/master/csl-citation.json"}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(Alsop et al., 2015)</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In a study by </w:t>
      </w:r>
      <w:proofErr w:type="spellStart"/>
      <w:r w:rsidRPr="00F10F41">
        <w:rPr>
          <w:rFonts w:ascii="Arial" w:hAnsi="Arial" w:cs="Arial"/>
          <w:color w:val="000000" w:themeColor="text1"/>
          <w:sz w:val="22"/>
          <w:szCs w:val="22"/>
        </w:rPr>
        <w:t>Wierenga</w:t>
      </w:r>
      <w:proofErr w:type="spellEnd"/>
      <w:r w:rsidRPr="00F10F41">
        <w:rPr>
          <w:rFonts w:ascii="Arial" w:hAnsi="Arial" w:cs="Arial"/>
          <w:color w:val="000000" w:themeColor="text1"/>
          <w:sz w:val="22"/>
          <w:szCs w:val="22"/>
        </w:rPr>
        <w:t xml:space="preserve"> et al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{"citationItems":[{"id":"ITEM-1","itemData":{"DOI":"10.3233/JAD-121897","ISBN":"1875-8908 (Electronic)\\r1387-2877 (Linking)","ISSN":"13872877","PMID":"23302659","abstract":"We investigated the impact of APOE genotype on cerebral blood flow (CBF) in older and younger adults. Forty cognitively normal older adults (16 epsilon4 carriers, 24 non-epsilon4 carriers) and 30 younger adults (15 epsilon4 carriers, 15 non-epsilon4 carriers) completed a resting-state whole-brain pulsed arterial spin labeling magnetic resonance scan. Main effects of aging were demonstrated wherein older adults had decreased gray matter CBF corrected for partial volume effects compared to younger adults in widespread brain regions. Main effects of APOE genotype were also observed wherein epsilon4 carriers displayed greater CBF in the left lingual gyrus and precuneus than non-carriers. An interaction between age and APOE genotype in the left anterior cingulate cortex (ACC) was characterized by reduced CBF in older epsilon4 carriers and increased CBF in young epsilon4 carriers. Increased CBF in the left ACC resulting from the interaction of age group and APOE genotype was positively correlated with executive functioning in young epsilon4 adults (r = 0.61, p = 0.04). Results demonstrate APOE genotype differentially impacts cerebrovascular function across the lifespan and may modify the relationship between CBF and cognition. Findings may partially support suggestions that the gene exerts antagonistic pleiotropic effects.","author":[{"dropping-particle":"","family":"Wierenga","given":"Christina E.","non-dropping-particle":"","parse-names":false,"suffix":""},{"dropping-particle":"","family":"Clark","given":"Lindsay R.","non-dropping-particle":"","parse-names":false,"suffix":""},{"dropping-particle":"","family":"Dev","given":"Sheena I.","non-dropping-particle":"","parse-names":false,"suffix":""},{"dropping-particle":"","family":"Shin","given":"David D.","non-dropping-particle":"","parse-names":false,"suffix":""},{"dropping-particle":"","family":"Jurick","given":"Sarah M.","non-dropping-particle":"","parse-names":false,"suffix":""},{"dropping-particle":"","family":"Rissman","given":"Robert A.","non-dropping-particle":"","parse-names":false,"suffix":""},{"dropping-particle":"","family":"Liu","given":"Thomas T.","non-dropping-particle":"","parse-names":false,"suffix":""},{"dropping-particle":"","family":"Bondi","given":"Mark W.","non-dropping-particle":"","parse-names":false,"suffix":""}],"container-title":"Journal of Alzheimer's Disease","id":"ITEM-1","issue":"4","issued":{"date-parts":[["2013"]]},"page":"921-935","title":"Interaction of age and APOE genotype on cerebral blood flow at rest","type":"article-journal","volume":"34"},"uris":["http://www.mendeley.com/documents/?uuid=f27932a9-dbc6-4194-b132-aa16fa223c0a"]}],"mendeley":{"formattedCitation":"(Wierenga et al., 2013)","plainTextFormattedCitation":"(Wierenga et al., 2013)","previouslyFormattedCitation":"(Wierenga et al., 2013)"},"properties":{"noteIndex":0},"schema":"https://github.com/citation-style-language/schema/raw/master/csl-citation.json"}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(Wierenga et al., 2013)</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the interaction of age and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4 was investigated in relation to CBF and it was found that young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4 (mean age</w:t>
      </w:r>
      <w:r>
        <w:rPr>
          <w:rFonts w:ascii="Arial" w:hAnsi="Arial" w:cs="Arial"/>
          <w:color w:val="000000" w:themeColor="text1"/>
          <w:sz w:val="22"/>
          <w:szCs w:val="22"/>
        </w:rPr>
        <w:t>:</w:t>
      </w:r>
      <w:r w:rsidRPr="00F10F41">
        <w:rPr>
          <w:rFonts w:ascii="Arial" w:hAnsi="Arial" w:cs="Arial"/>
          <w:color w:val="000000" w:themeColor="text1"/>
          <w:sz w:val="22"/>
          <w:szCs w:val="22"/>
        </w:rPr>
        <w:t xml:space="preserve"> 24) demonstrated hyper-perfusion, whereas older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4 carriers (mean age</w:t>
      </w:r>
      <w:r>
        <w:rPr>
          <w:rFonts w:ascii="Arial" w:hAnsi="Arial" w:cs="Arial"/>
          <w:color w:val="000000" w:themeColor="text1"/>
          <w:sz w:val="22"/>
          <w:szCs w:val="22"/>
        </w:rPr>
        <w:t xml:space="preserve">: </w:t>
      </w:r>
      <w:r w:rsidRPr="00F10F41">
        <w:rPr>
          <w:rFonts w:ascii="Arial" w:hAnsi="Arial" w:cs="Arial"/>
          <w:color w:val="000000" w:themeColor="text1"/>
          <w:sz w:val="22"/>
          <w:szCs w:val="22"/>
        </w:rPr>
        <w:t xml:space="preserve">75) demonstrated hypo-perfusion compared to non-carriers. Some plausible explanations for the observed </w:t>
      </w:r>
      <w:proofErr w:type="gramStart"/>
      <w:r w:rsidRPr="00F10F41">
        <w:rPr>
          <w:rFonts w:ascii="Arial" w:hAnsi="Arial" w:cs="Arial"/>
          <w:color w:val="000000" w:themeColor="text1"/>
          <w:sz w:val="22"/>
          <w:szCs w:val="22"/>
        </w:rPr>
        <w:t>associations  include</w:t>
      </w:r>
      <w:proofErr w:type="gramEnd"/>
      <w:r w:rsidRPr="00F10F41">
        <w:rPr>
          <w:rFonts w:ascii="Arial" w:hAnsi="Arial" w:cs="Arial"/>
          <w:color w:val="000000" w:themeColor="text1"/>
          <w:sz w:val="22"/>
          <w:szCs w:val="22"/>
        </w:rPr>
        <w:t xml:space="preserve"> the (a) uncoupling of the flow from metabolic demands in young adults, in turn leading to cerebrovascular dysregulation, (b) a differential effect of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 xml:space="preserve">4 on neurovascular function in aging, (c) and hypo-perfusion as a result of amyloid accumulation or even underlying structural alterations in the vasculature in older carriers. These hypotheses  are especially pertinent to this study, considering the intermediate mean age of our cohort relative to the </w:t>
      </w:r>
      <w:r>
        <w:rPr>
          <w:rFonts w:ascii="Arial" w:hAnsi="Arial" w:cs="Arial"/>
          <w:color w:val="000000" w:themeColor="text1"/>
          <w:sz w:val="22"/>
          <w:szCs w:val="22"/>
        </w:rPr>
        <w:t>aforementioned age groups</w:t>
      </w:r>
      <w:r w:rsidRPr="00F10F41">
        <w:rPr>
          <w:rFonts w:ascii="Arial" w:hAnsi="Arial" w:cs="Arial"/>
          <w:color w:val="000000" w:themeColor="text1"/>
          <w:sz w:val="22"/>
          <w:szCs w:val="22"/>
        </w:rPr>
        <w:t xml:space="preserve">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{"citationItems":[{"id":"ITEM-1","itemData":{"DOI":"10.3233/JAD-121897","ISBN":"1875-8908 (Electronic)\\r1387-2877 (Linking)","ISSN":"13872877","PMID":"23302659","abstract":"We investigated the impact of APOE genotype on cerebral blood flow (CBF) in older and younger adults. Forty cognitively normal older adults (16 epsilon4 carriers, 24 non-epsilon4 carriers) and 30 younger adults (15 epsilon4 carriers, 15 non-epsilon4 carriers) completed a resting-state whole-brain pulsed arterial spin labeling magnetic resonance scan. Main effects of aging were demonstrated wherein older adults had decreased gray matter CBF corrected for partial volume effects compared to younger adults in widespread brain regions. Main effects of APOE genotype were also observed wherein epsilon4 carriers displayed greater CBF in the left lingual gyrus and precuneus than non-carriers. An interaction between age and APOE genotype in the left anterior cingulate cortex (ACC) was characterized by reduced CBF in older epsilon4 carriers and increased CBF in young epsilon4 carriers. Increased CBF in the left ACC resulting from the interaction of age group and APOE genotype was positively correlated with executive functioning in young epsilon4 adults (r = 0.61, p = 0.04). Results demonstrate APOE genotype differentially impacts cerebrovascular function across the lifespan and may modify the relationship between CBF and cognition. Findings may partially support suggestions that the gene exerts antagonistic pleiotropic effects.","author":[{"dropping-particle":"","family":"Wierenga","given":"Christina E.","non-dropping-particle":"","parse-names":false,"suffix":""},{"dropping-particle":"","family":"Clark","given":"Lindsay R.","non-dropping-particle":"","parse-names":false,"suffix":""},{"dropping-particle":"","family":"Dev","given":"Sheena I.","non-dropping-particle":"","parse-names":false,"suffix":""},{"dropping-particle":"","family":"Shin","given":"David D.","non-dropping-particle":"","parse-names":false,"suffix":""},{"dropping-particle":"","family":"Jurick","given":"Sarah M.","non-dropping-particle":"","parse-names":false,"suffix":""},{"dropping-particle":"","family":"Rissman","given":"Robert A.","non-dropping-particle":"","parse-names":false,"suffix":""},{"dropping-particle":"","family":"Liu","given":"Thomas T.","non-dropping-particle":"","parse-names":false,"suffix":""},{"dropping-particle":"","family":"Bondi","given":"Mark W.","non-dropping-particle":"","parse-names":false,"suffix":""}],"container-title":"Journal of Alzheimer's Disease","id":"ITEM-1","issue":"4","issued":{"date-parts":[["2013"]]},"page":"921-935","title":"Interaction of age and APOE genotype on cerebral blood flow at rest","type":"article-journal","volume":"34"},"uris":["http://www.mendeley.com/documents/?uuid=f27932a9-dbc6-4194-b132-aa16fa223c0a"]}],"mendeley":{"formattedCitation":"(Wierenga et al., 2013)","plainTextFormattedCitation":"(Wierenga et al., 2013)","previouslyFormattedCitation":"(Wierenga et al., 2013)"},"properties":{"noteIndex":0},"schema":"https://github.com/citation-style-language/schema/raw/master/csl-citation.json"}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(Wierenga et al., 2013)</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Future studies with additional measurements of cerebral </w:t>
      </w:r>
      <w:proofErr w:type="spellStart"/>
      <w:r w:rsidRPr="00F10F41">
        <w:rPr>
          <w:rFonts w:ascii="Arial" w:hAnsi="Arial" w:cs="Arial"/>
          <w:color w:val="000000" w:themeColor="text1"/>
          <w:sz w:val="22"/>
          <w:szCs w:val="22"/>
        </w:rPr>
        <w:t>hemodynamics</w:t>
      </w:r>
      <w:proofErr w:type="spellEnd"/>
      <w:r w:rsidRPr="00F10F41">
        <w:rPr>
          <w:rFonts w:ascii="Arial" w:hAnsi="Arial" w:cs="Arial"/>
          <w:color w:val="000000" w:themeColor="text1"/>
          <w:sz w:val="22"/>
          <w:szCs w:val="22"/>
        </w:rPr>
        <w:t xml:space="preserve"> using arterial transit time sensitive ASL acquisitions or diffusion weighted ASL may be well-suited to reveal further insights into the hemodynamic changes and identify the inevitable inflection point associated with the emergence of the AD-signature pattern of hypoperfusion. </w:t>
      </w:r>
    </w:p>
    <w:p w14:paraId="3E67ABC5" w14:textId="77777777" w:rsidR="00607733" w:rsidRPr="00F10F41" w:rsidRDefault="00607733" w:rsidP="00607733">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lang w:val="en-US"/>
        </w:rPr>
        <w:lastRenderedPageBreak/>
        <w:t xml:space="preserve">A key strength of the present study is the integration of multi-modal MR imaging, enabling several inferences regarding the evolution of distinct pathological mechanisms along the preclinical spectrum. First, the coupling of EYO with DTI instead of cortical thickness provides further support to the argument that microstructural changes – typically not visible on T1-MPRAGE - predate macroscale neurodegeneration / brain atrophy, and thus could predict subsequent cognitive decline with greater sensitivity </w:t>
      </w:r>
      <w:r w:rsidRPr="00F10F41">
        <w:rPr>
          <w:rFonts w:ascii="Arial" w:hAnsi="Arial" w:cs="Arial"/>
          <w:color w:val="000000" w:themeColor="text1"/>
          <w:sz w:val="22"/>
          <w:szCs w:val="22"/>
          <w:lang w:val="en-US"/>
        </w:rPr>
        <w:fldChar w:fldCharType="begin" w:fldLock="1"/>
      </w:r>
      <w:r w:rsidRPr="00F10F41">
        <w:rPr>
          <w:rFonts w:ascii="Arial" w:hAnsi="Arial" w:cs="Arial"/>
          <w:color w:val="000000" w:themeColor="text1"/>
          <w:sz w:val="22"/>
          <w:szCs w:val="22"/>
          <w:lang w:val="en-US"/>
        </w:rPr>
        <w:instrText>ADDIN CSL_CITATION {"citationItems":[{"id":"ITEM-1","itemData":{"DOI":"10.1212/01.WNL.0000153076.46126.E9","ISBN":"1526-632X (Electronic)","ISSN":"1526-632X","PMID":"15753434","abstract":"The authors assessed whether measures of hippocampal water diffusivity at baseline can predict future progression to Alzheimer disease (AD) in amnestic mild cognitive impairment (aMCI). Higher baseline hippocampal diffusivity was associated with a greater risk of progression to AD in aMCI (p = 0.002). Magnetic resonance diffusion-weighted imaging may help identify patients with aMCI who will progress to AD as well as or better than structural MRI measures of hippocampal atrophy.","author":[{"dropping-particle":"","family":"Kantarci","given":"K","non-dropping-particle":"","parse-names":false,"suffix":""},{"dropping-particle":"","family":"Petersen","given":"R C","non-dropping-particle":"","parse-names":false,"suffix":""},{"dropping-particle":"","family":"Boeve","given":"B F","non-dropping-particle":"","parse-names":false,"suffix":""},{"dropping-particle":"","family":"Knopman","given":"D S","non-dropping-particle":"","parse-names":false,"suffix":""},{"dropping-particle":"","family":"Weigand","given":"S D","non-dropping-particle":"","parse-names":false,"suffix":""},{"dropping-particle":"","family":"O'Brien","given":"P C","non-dropping-particle":"","parse-names":false,"suffix":""},{"dropping-particle":"","family":"Shiung","given":"M M","non-dropping-particle":"","parse-names":false,"suffix":""},{"dropping-particle":"","family":"Smith","given":"G E","non-dropping-particle":"","parse-names":false,"suffix":""},{"dropping-particle":"","family":"Ivnik","given":"R J","non-dropping-particle":"","parse-names":false,"suffix":""},{"dropping-particle":"","family":"Tangalos","given":"E G","non-dropping-particle":"","parse-names":false,"suffix":""},{"dropping-particle":"","family":"Jack","given":"C R","non-dropping-particle":"","parse-names":false,"suffix":""}],"container-title":"Neurology","id":"ITEM-1","issue":"5","issued":{"date-parts":[["2005","3","8"]]},"page":"902-4","title":"DWI predicts future progression to Alzheimer disease in amnestic mild cognitive impairment.","type":"article-journal","volume":"64"},"uris":["http://www.mendeley.com/documents/?uuid=68ff4e71-3114-4885-a2ba-b941586e4143","http://www.mendeley.com/documents/?uuid=a898b164-d815-4fdf-860b-e448ce57e04c","http://www.mendeley.com/documents/?uuid=10786d02-687f-40f9-b1c8-fd101be30a66"]},{"id":"ITEM-2","itemData":{"DOI":"10.1186/s13195-015-0132-3","ISBN":"1758-9193","ISSN":"1758-9193","PMID":"26136857","abstract":"Alzheimer's disease (AD) is recognized to have a long presymptomatic period, during which there is progressive accumulation of molecular pathology, followed by inexorable neuronal damage. The ability to identify presymptomatic individuals with evidence of neurodegenerative change, to stage their disease, and to track progressive changes will be important for early diagnosis and for prevention trials. Despite recent advances, particularly in magnetic resonance imaging, our ability to identify early neurodegenerative changes reliably is limited. The development of diffusion-weighted magnetic resonance imaging, which is sensitive to microstructural changes not visible with conventional volumetric techniques, has led to a number of diffusion imaging studies in AD; these have largely focused on white matter changes. However, in AD cerebral grey matter is affected very early, with pathological studies suggesting that grey matter changes predate those in white matter. In this article we review the growing number of studies that assess grey matter diffusivity changes in AD. Although use of the technique is still at a relatively early stage, results so far have been promising. Initial studies identified changes in diffusion measures in the hippocampi of patients with mild cognitive impairment, which predated macroscopic volume loss, with positive predictive value for progression to AD dementia. More recent studies have identified abnormalities in multiple neocortical areas (particularly the posterior cingulate) at various stages of disease progression. Studies of patients who carry genetic mutations predisposing to autosomal dominant familial AD have shown cortical and subcortical grey matter diffusivity changes several years before the expected onset of the first clinical symptoms. The technique is not without potential methodological difficulties, especially relating to partial volume effects, although recent advances appear to be reducing such issues. Going forward, further utilization of grey matter diffusion measurements in AD may improve our understanding with regards to the timing and nature of the earliest presymptomatic neurodegenerative changes. This imaging technique may also be useful in comparing and contrasting subtle variations in different disease subgroups, and as a sensitive outcome measure for presymptomatic clinical trials in AD and other neurodegenerative diseases.","author":[{"dropping-particle":"","family":"Weston","given":"Philip S J","non-dropping-particle":"","parse-names":false,"suffix":""},{"dropping-particle":"","family":"Simpson","given":"Ivor J A","non-dropping-particle":"","parse-names":false,"suffix":""},{"dropping-particle":"","family":"Ryan","given":"Natalie S","non-dropping-particle":"","parse-names":false,"suffix":""},{"dropping-particle":"","family":"Ourselin","given":"Sebastien","non-dropping-particle":"","parse-names":false,"suffix":""},{"dropping-particle":"","family":"Fox","given":"Nick C","non-dropping-particle":"","parse-names":false,"suffix":""}],"container-title":"Alzheimer's research &amp; therapy","id":"ITEM-2","issue":"1","issued":{"date-parts":[["2015"]]},"page":"47","publisher":"Alzheimer's Research &amp; Therapy","title":"Diffusion imaging changes in grey matter in Alzheimer's disease: a potential marker of early neurodegeneration.","type":"article-journal","volume":"7"},"uris":["http://www.mendeley.com/documents/?uuid=70b1a7d0-b51f-45d8-85b0-5b1bdbb5d0ef","http://www.mendeley.com/documents/?uuid=55d51226-9137-4015-b118-e0f9b1b76582","http://www.mendeley.com/documents/?uuid=fa0538ab-8d55-4544-875e-62b6c5c0f465"]},{"id":"ITEM-3","itemData":{"DOI":"10.1016/j.neuroimage.2005.06.029","ISBN":"1053-8119","ISSN":"10538119","PMID":"16084115","abstract":"Hippocampal atrophy has been related to mild cognitive impairment (MCI) and early Alzheimer disease (AD), but the diagnostic significance of cross-sectionally determined hippocampal volumes is still ambiguous. Diffusion-Tensor-Imaging (DTI) in MCI patients revealed an association of microstructural changes in hippocampal areas with verbal memory decline. MRI volumetry and DTI were combined to investigate 18 MCI patients attending a memory clinic, and 18 carefully age- and gender-matched healthy controls. Neuropsychological testing, high resolution T1-weighted volume MRI scans, and DTI scans with regions-of-interest in hippocampal areas were applied. Left hippocampal volume was significantly lower (-11%, P = 0.02) in MCI patients than in control subjects. No significant differences were found for the right hippocampus (-4%). Mean diffusivity (MD) was significantly elevated in MCI patients vs. controls in left (+10%, P = 0.002) and right hippocampal areas (+13%, P = 0.02). Hippocampal volume and MD values were not significantly correlated. Combining left hippocampal volume and MD measures showed that lower left hippocampal volumes were associated with poor verbal memory performance particularly when co-occurring with high MD values. No comparable associations could be found regarding the right hippocampal formation and with respect to non-verbal memory function. The results demonstrate that microstructural abnormalities as revealed by DTI are very sensitive early indicators of hippocampal dysfunction. The combination of macro- and microstructural parameters in hippocampal areas could be promising in early detection of neurodegenerative processes. © 2005 Elsevier Inc. All rights reserved.","author":[{"dropping-particle":"","family":"Müller","given":"Matthias J.","non-dropping-particle":"","parse-names":false,"suffix":""},{"dropping-particle":"","family":"Greverus","given":"Dirk","non-dropping-particle":"","parse-names":false,"suffix":""},{"dropping-particle":"","family":"Dellani","given":"Paulo Roberto","non-dropping-particle":"","parse-names":false,"suffix":""},{"dropping-particle":"","family":"Weibrich","given":"Carsten","non-dropping-particle":"","parse-names":false,"suffix":""},{"dropping-particle":"","family":"Wille","given":"Paulo R.","non-dropping-particle":"","parse-names":false,"suffix":""},{"dropping-particle":"","family":"Scheurich","given":"Armin","non-dropping-particle":"","parse-names":false,"suffix":""},{"dropping-particle":"","family":"Stoeter","given":"Peter","non-dropping-particle":"","parse-names":false,"suffix":""},{"dropping-particle":"","family":"Fellgiebel","given":"Andreas","non-dropping-particle":"","parse-names":false,"suffix":""}],"container-title":"NeuroImage","id":"ITEM-3","issue":"4","issued":{"date-parts":[["2005"]]},"page":"1033-1042","title":"Functional implications of hippocampal volume and diffusivity in mild cognitive impairment","type":"article-journal","volume":"28"},"uris":["http://www.mendeley.com/documents/?uuid=255fc89e-3432-4d79-a28c-b40f6ed09279","http://www.mendeley.com/documents/?uuid=6c3c302a-f0c2-4d34-aed6-8a5236c7b733","http://www.mendeley.com/documents/?uuid=7f6537e1-520a-4e22-88e4-ca18088a6211"]},{"id":"ITEM-4","itemData":{"DOI":"10.1093/brain/awm102","ISBN":"1460-2156","ISSN":"00068950","PMID":"17522104","abstract":"Measures are needed that identify persons that will develop Alzheimer's disease in order to target them for preventative interventions. There is evidence from animal, pathological and imaging studies that disruption of white matter occurs in the course of Alzheimer's disease and may be an early event. Prior studies have suggested that late-myelinating regions or white matter connecting limbic structures are particularly susceptible to degradation. Persons destined to develop the disease by virtue of fully penetrant genetic alterations (familial Alzheimer's disease or FAD) provide a model in which early and even presymptomatic changes of the disease may be identified. In this study we performed diffusion tensor imaging (DTI) on 2 demented and 21 subjects at-risk for inheriting an FAD mutation. We compared global and localized fractional anisotropy (FA) measures in white matter between FAD mutation carriers and non-carriers in the preclinical (clinical dementia rating &lt;1, n = 20) and presymptomatic (clinical dementia rating = 0, n = 15) stages of the disease. There were no significant differences between mutation carriers and non-carriers with regard to absolute age, age relative to the typical age of disease diagnosis in their family, gender or Mini-Mental Status Examination Score. Among preclinical FAD mutation carriers (n = 12), mean whole brain white-matter FA (P = 0.045), FA of the columns of the fornix (P = 0.012), area of the perforant pathways bilaterally (right side: P = 0.028, left side: P = 0.027) and left orbitofrontal lobe (P = 0.024) were decreased relative to that of non-carriers (n = 8). We also found that FA in the columns of the fornix (P = 0.008) and left orbitofrontal lobe white matter (P = 0.045) were decreased in the eight presymptomatic mutation carriers compared to seven non-carriers. Logistic regression demonstrated that FA of the columns of the fornix was a better predictor of mutation status than was cross-sectional area of the fornix, global mean white-matter FA and left frontal lobe white-matter FA. In a linear regression analysis, white-matter volume (P = 0.002), hippocampal volume (P = 0.023) and mutation status (P = 0.032) significantly predicted fornix FA. We conclude that FA is decreased in the white matter in preclinical and even presymptomatic FAD mutation carriers, particularly in the late-myelinating tracts connecting limbic structures. Decreased FA in of the columns of the fornix is particularly robust in early FAD a…","author":[{"dropping-particle":"","family":"Ringman","given":"John M.","non-dropping-particle":"","parse-names":false,"suffix":""},{"dropping-particle":"","family":"O'Neill","given":"Joseph","non-dropping-particle":"","parse-names":false,"suffix":""},{"dropping-particle":"","family":"Geschwind","given":"Daniel","non-dropping-particle":"","parse-names":false,"suffix":""},{"dropping-particle":"","family":"Medina","given":"Luis","non-dropping-particle":"","parse-names":false,"suffix":""},{"dropping-particle":"","family":"Apostolova","given":"Liana G.","non-dropping-particle":"","parse-names":false,"suffix":""},{"dropping-particle":"","family":"Rodriguez","given":"Yaneth","non-dropping-particle":"","parse-names":false,"suffix":""},{"dropping-particle":"","family":"Schaffer","given":"Barbara","non-dropping-particle":"","parse-names":false,"suffix":""},{"dropping-particle":"","family":"Varpetian","given":"Arousiak","non-dropping-particle":"","parse-names":false,"suffix":""},{"dropping-particle":"","family":"Tseng","given":"Benjamin","non-dropping-particle":"","parse-names":false,"suffix":""},{"dropping-particle":"","family":"Ortiz","given":"Freddy","non-dropping-particle":"","parse-names":false,"suffix":""},{"dropping-particle":"","family":"Fitten","given":"Jaime","non-dropping-particle":"","parse-names":false,"suffix":""},{"dropping-particle":"","family":"Cummings","given":"Jeffrey L.","non-dropping-particle":"","parse-names":false,"suffix":""},{"dropping-particle":"","family":"Bartzokis","given":"George","non-dropping-particle":"","parse-names":false,"suffix":""}],"container-title":"Brain","id":"ITEM-4","issue":"7","issued":{"date-parts":[["2007"]]},"page":"1767-1776","title":"Diffusion tensor imaging in preclinical and presymptomatic carriers of familial Alzheimer's disease mutations","type":"article-journal","volume":"130"},"uris":["http://www.mendeley.com/documents/?uuid=50782be2-a518-462c-ae7f-73e207d51cb8","http://www.mendeley.com/documents/?uuid=7af8b031-a553-46b8-9587-2b4f089d6984","http://www.mendeley.com/documents/?uuid=1999cad6-4569-47f0-b817-f45edf996436"]}],"mendeley":{"formattedCitation":"(Kantarci et al., 2005; Müller et al., 2005; Ringman et al., 2007; Weston et al., 2015)","plainTextFormattedCitation":"(Kantarci et al., 2005; Müller et al., 2005; Ringman et al., 2007; Weston et al., 2015)","previouslyFormattedCitation":"(Kantarci et al., 2005; Müller et al., 2005; Ringman et al., 2007; Weston et al., 2015)"},"properties":{"noteIndex":0},"schema":"https://github.com/citation-style-language/schema/raw/master/csl-citation.json"}</w:instrText>
      </w:r>
      <w:r w:rsidRPr="00F10F41">
        <w:rPr>
          <w:rFonts w:ascii="Arial" w:hAnsi="Arial" w:cs="Arial"/>
          <w:color w:val="000000" w:themeColor="text1"/>
          <w:sz w:val="22"/>
          <w:szCs w:val="22"/>
          <w:lang w:val="en-US"/>
        </w:rPr>
        <w:fldChar w:fldCharType="separate"/>
      </w:r>
      <w:r w:rsidRPr="00F10F41">
        <w:rPr>
          <w:rFonts w:ascii="Arial" w:hAnsi="Arial" w:cs="Arial"/>
          <w:noProof/>
          <w:color w:val="000000" w:themeColor="text1"/>
          <w:sz w:val="22"/>
          <w:szCs w:val="22"/>
          <w:lang w:val="en-US"/>
        </w:rPr>
        <w:t>(Kantarci et al., 2005; Müller et al., 2005; Ringman et al., 2007; Weston et al., 2015)</w:t>
      </w:r>
      <w:r w:rsidRPr="00F10F41">
        <w:rPr>
          <w:rFonts w:ascii="Arial" w:hAnsi="Arial" w:cs="Arial"/>
          <w:color w:val="000000" w:themeColor="text1"/>
          <w:sz w:val="22"/>
          <w:szCs w:val="22"/>
          <w:lang w:val="en-US"/>
        </w:rPr>
        <w:fldChar w:fldCharType="end"/>
      </w:r>
      <w:r w:rsidRPr="00F10F41">
        <w:rPr>
          <w:rFonts w:ascii="Arial" w:hAnsi="Arial" w:cs="Arial"/>
          <w:color w:val="000000" w:themeColor="text1"/>
          <w:sz w:val="22"/>
          <w:szCs w:val="22"/>
          <w:lang w:val="en-US"/>
        </w:rPr>
        <w:t xml:space="preserve">. Secondly, against the backdrop of widespread white matter degeneration, it is tempting to speculate that elevated perfusion may reflect the </w:t>
      </w:r>
      <w:r w:rsidRPr="00F10F41">
        <w:rPr>
          <w:rFonts w:ascii="Arial" w:hAnsi="Arial" w:cs="Arial"/>
          <w:color w:val="000000" w:themeColor="text1"/>
          <w:sz w:val="22"/>
          <w:szCs w:val="22"/>
        </w:rPr>
        <w:t xml:space="preserve">harnessing of greater neural resources to help circumvent the deteriorating efficiency of cognitive networks.  There is some tangential support for this hypothesis from a recent study showing a paradoxical relationship between elevated cerebral perfusion and increased amyloid burden in a cognitively normal elderly cohort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{"citationItems":[{"id":"ITEM-1","itemData":{"DOI":"10.1002/jmri.26810","ISSN":"15222586","abstract":"Background: Arterial spin labeling (ASL) is an emerging MRI technique for noninvasive measurement of cerebral blood flow (CBF) that has been used to show hemodynamic changes in the brains of people with Alzheimer's disease (AD). CBF changes have been measured using positron emission tomography (PET) across the AD spectrum, but ASL showed limited success in measuring CBF variations in the preclinical phase of AD, where amyloid β (Aβ) plaques accumulate in the decades prior to symptom onset. Purpose: To investigate the relationship between CBF measured by multiphase-pseudocontinuous-ASL (MP-PCASL) and Aβ burden as measured by 11C-PiB PET imaging in a study of cognitively normal (CN) subjects age over 65. Study Type: Cross-sectional. Population: Forty-six CN subjects including 33 with low levels of Aβ burden and 13 with high levels of Aβ. Field Strength/Sequence: 3T/3D MP-PCASL. Assessment: The MP-PCASL method was chosen because it has a high signal-to-noise ratio. Furthermore, the data were analyzed using an efficient processing pipeline consisting of motion correction, ASL motion correction imprecision removal, temporal and spatial filtering, and partial volume effect correction. Statistical Tests: General Linear Model. Results: In CN subjects positive for Aβ burden (n = 13), we observed a positive correlation between CBF and Aβ burden in the hippocampus, amygdala, caudate (P &lt; 0.01), frontal, temporal, and insula (P &lt; 0.05). Data Conclusion: To the best of our knowledge, this is the first study using MP-PCASL in the study of AD, and the results suggest a potential compensatory hemodynamic mechanism that protects against pathology in the early stages of AD. Level of Evidence: 1. Technical Efficacy: Stage 3. J. Magn. Reson. Imaging 2020;51:505–513.","author":[{"dropping-particle":"","family":"Fazlollahi","given":"Amir","non-dropping-particle":"","parse-names":false,"suffix":""},{"dropping-particle":"","family":"Calamante","given":"Fernando","non-dropping-particle":"","parse-names":false,"suffix":""},{"dropping-particle":"","family":"Liang","given":"Xiaoyun","non-dropping-particle":"","parse-names":false,"suffix":""},{"dropping-particle":"","family":"Bourgeat","given":"Pierrick","non-dropping-particle":"","parse-names":false,"suffix":""},{"dropping-particle":"","family":"Raniga","given":"Parnesh","non-dropping-particle":"","parse-names":false,"suffix":""},{"dropping-particle":"","family":"Dore","given":"Vincent","non-dropping-particle":"","parse-names":false,"suffix":""},{"dropping-particle":"","family":"Fripp","given":"Jurgen","non-dropping-particle":"","parse-names":false,"suffix":""},{"dropping-particle":"","family":"Ames","given":"David","non-dropping-particle":"","parse-names":false,"suffix":""},{"dropping-particle":"","family":"Masters","given":"Colin L.","non-dropping-particle":"","parse-names":false,"suffix":""},{"dropping-particle":"","family":"Rowe","given":"Christopher C.","non-dropping-particle":"","parse-names":false,"suffix":""},{"dropping-particle":"","family":"Connelly","given":"Alan","non-dropping-particle":"","parse-names":false,"suffix":""},{"dropping-particle":"","family":"Villemagne","given":"Victor L.","non-dropping-particle":"","parse-names":false,"suffix":""},{"dropping-particle":"","family":"Salvado","given":"Olivier","non-dropping-particle":"","parse-names":false,"suffix":""}],"container-title":"Journal of Magnetic Resonance Imaging","id":"ITEM-1","issued":{"date-parts":[["2020"]]},"title":"Increased cerebral blood flow with increased amyloid burden in the preclinical phase of alzheimer's disease","type":"article-journal"},"uris":["http://www.mendeley.com/documents/?uuid=e922a1c1-e751-4de3-b543-1cd5a1c07b98"]}],"mendeley":{"formattedCitation":"(Fazlollahi et al., 2020)","plainTextFormattedCitation":"(Fazlollahi et al., 2020)","previouslyFormattedCitation":"(Fazlollahi et al., 2020)"},"properties":{"noteIndex":0},"schema":"https://github.com/citation-style-language/schema/raw/master/csl-citation.json"}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(Fazlollahi et al., 2020)</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Likewise, a compensatory hypothesis would have the corollary that elevated cerebral perfusion is accompanied by microstructural impairments (</w:t>
      </w:r>
      <w:r w:rsidRPr="00F10F41">
        <w:rPr>
          <w:rFonts w:ascii="Arial" w:hAnsi="Arial" w:cs="Arial"/>
          <w:color w:val="000000" w:themeColor="text1"/>
          <w:sz w:val="22"/>
          <w:szCs w:val="22"/>
        </w:rPr>
        <w:sym w:font="Symbol" w:char="F0AF"/>
      </w:r>
      <w:r w:rsidRPr="00F10F41">
        <w:rPr>
          <w:rFonts w:ascii="Arial" w:hAnsi="Arial" w:cs="Arial"/>
          <w:color w:val="000000" w:themeColor="text1"/>
          <w:sz w:val="22"/>
          <w:szCs w:val="22"/>
        </w:rPr>
        <w:t xml:space="preserve"> FA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MD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RD), as was confirmed in our post-hoc cross-modal associations between DTI and ASL. Interestingly, a recent study found the inverse relationship in patients with chronic traumatic brain injury (TBI, but </w:t>
      </w:r>
      <w:r w:rsidRPr="00F10F41">
        <w:rPr>
          <w:rFonts w:ascii="Arial" w:hAnsi="Arial" w:cs="Arial"/>
          <w:i/>
          <w:iCs/>
          <w:color w:val="000000" w:themeColor="text1"/>
          <w:sz w:val="22"/>
          <w:szCs w:val="22"/>
        </w:rPr>
        <w:t>not</w:t>
      </w:r>
      <w:r w:rsidRPr="00F10F41">
        <w:rPr>
          <w:rFonts w:ascii="Arial" w:hAnsi="Arial" w:cs="Arial"/>
          <w:color w:val="000000" w:themeColor="text1"/>
          <w:sz w:val="22"/>
          <w:szCs w:val="22"/>
        </w:rPr>
        <w:t xml:space="preserve"> in those with less remote TBI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{"citationItems":[{"id":"ITEM-1","itemData":{"DOI":"10.1016/j.nicl.2016.12.017","ISSN":"22131582","PMID":"28210542","abstract":"Objective Cerebral blood flow (CBF) plays a critical role in the maintenance of neuronal integrity, and CBF alterations have been linked to deleterious white matter changes. Although both CBF and white matter microstructural alterations have been observed within the context of traumatic brain injury (TBI), the degree to which these pathological changes relate to one another and whether this association is altered by time since injury have not been examined. The current study therefore sought to clarify associations between resting CBF and white matter microstructure post-TBI. Methods 37 veterans with history of mild or moderate TBI (mmTBI) underwent neuroimaging and completed health and psychiatric symptom questionnaires. Resting CBF was measured with multiphase pseudocontinuous arterial spin labeling (MPPCASL), and white matter microstructural integrity was measured with diffusion tensor imaging (DTI). The cingulate cortex and cingulum bundle were selected as a priori regions of interest for the ASL and DTI data, respectively, given the known vulnerability of these regions to TBI. Results Regression analyses controlling for age, sex, and posttraumatic stress disorder (PTSD) symptoms revealed a significant time since injury × resting CBF interaction for the left cingulum (p &lt; 0.005). Decreased CBF was significantly associated with reduced cingulum fractional anisotropy (FA) in the chronic phase; however, no such association was observed for participants with less remote TBI. Conclusions Our results showed that reduced CBF was associated with poorer white matter integrity in those who were further removed from their brain injury. Findings provide preliminary evidence of a possible dynamic association between CBF and white matter microstructure that warrants additional consideration within the context of the negative long-term clinical outcomes frequently observed in those with history of TBI. Additional cross-disciplinary studies integrating multiple imaging modalities (e.g., DTI, ASL) and refined neuropsychiatric assessment are needed to better understand the nature, temporal course, and dynamic association between brain changes and clinical outcomes post-injury.","author":[{"dropping-particle":"","family":"Clark","given":"Alexandra L.","non-dropping-particle":"","parse-names":false,"suffix":""},{"dropping-particle":"","family":"Bangen","given":"Katherine J.","non-dropping-particle":"","parse-names":false,"suffix":""},{"dropping-particle":"","family":"Sorg","given":"Scott F.","non-dropping-particle":"","parse-names":false,"suffix":""},{"dropping-particle":"","family":"Schiehser","given":"Dawn M.","non-dropping-particle":"","parse-names":false,"suffix":""},{"dropping-particle":"","family":"Evangelista","given":"Nicole D.","non-dropping-particle":"","parse-names":false,"suffix":""},{"dropping-particle":"","family":"McKenna","given":"Benjamin","non-dropping-particle":"","parse-names":false,"suffix":""},{"dropping-particle":"","family":"Liu","given":"Thomas T.","non-dropping-particle":"","parse-names":false,"suffix":""},{"dropping-particle":"","family":"Delano-Wood","given":"Lisa","non-dropping-particle":"","parse-names":false,"suffix":""}],"container-title":"NeuroImage: Clinical","id":"ITEM-1","issued":{"date-parts":[["2017"]]},"page":"308-315","publisher":"Elsevier Inc.","title":"Dynamic association between perfusion and white matter integrity across time since injury in Veterans with history of TBI","type":"article-journal","volume":"14"},"uris":["http://www.mendeley.com/documents/?uuid=b1a2de78-f8cb-46a0-b3fc-8083d6beae86","http://www.mendeley.com/documents/?uuid=81ac7ef3-dfce-4d64-b337-46a0ce7f6a32"]}],"mendeley":{"formattedCitation":"(Clark et al., 2017)","plainTextFormattedCitation":"(Clark et al., 2017)","previouslyFormattedCitation":"(Clark et al., 2017)"},"properties":{"noteIndex":0},"schema":"https://github.com/citation-style-language/schema/raw/master/csl-citation.json"}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(Clark et al., 2017)</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Taken together, these findings provide preliminary evidence for a dynamic association between CBF and white matter integrity that may exert deleterious effects on cognitive outcomes.</w:t>
      </w:r>
    </w:p>
    <w:p w14:paraId="2A356C6D" w14:textId="77777777" w:rsidR="00607733" w:rsidRPr="00F10F41" w:rsidRDefault="00607733" w:rsidP="00607733">
      <w:pPr>
        <w:tabs>
          <w:tab w:val="left" w:pos="3428"/>
        </w:tabs>
        <w:spacing w:line="360" w:lineRule="auto"/>
        <w:jc w:val="both"/>
        <w:outlineLvl w:val="0"/>
        <w:rPr>
          <w:rFonts w:ascii="Arial" w:hAnsi="Arial" w:cs="Arial"/>
          <w:color w:val="000000" w:themeColor="text1"/>
          <w:sz w:val="22"/>
          <w:szCs w:val="22"/>
        </w:rPr>
      </w:pPr>
    </w:p>
    <w:p w14:paraId="5E8D4C7D" w14:textId="77777777" w:rsidR="00607733" w:rsidRPr="00F10F41" w:rsidRDefault="00607733" w:rsidP="00607733">
      <w:pPr>
        <w:tabs>
          <w:tab w:val="left" w:pos="3428"/>
        </w:tabs>
        <w:spacing w:line="360" w:lineRule="auto"/>
        <w:jc w:val="both"/>
        <w:outlineLvl w:val="0"/>
        <w:rPr>
          <w:rFonts w:ascii="Arial" w:hAnsi="Arial" w:cs="Arial"/>
          <w:color w:val="000000" w:themeColor="text1"/>
          <w:sz w:val="22"/>
          <w:szCs w:val="22"/>
          <w:shd w:val="clear" w:color="auto" w:fill="FFFFFF"/>
        </w:rPr>
      </w:pPr>
      <w:r w:rsidRPr="00F10F41">
        <w:rPr>
          <w:rFonts w:ascii="Arial" w:hAnsi="Arial" w:cs="Arial"/>
          <w:color w:val="000000" w:themeColor="text1"/>
          <w:sz w:val="22"/>
          <w:szCs w:val="22"/>
        </w:rPr>
        <w:t xml:space="preserve">Valid interpretations of the EYO x imaging associations are critically dependent on the removal of age-related confounds. As expected, there was a modest correlation of R = -0.3 in our study (Supplementary Figure 2). While the narrow age range of our study may reduce the risk of spurious correlations between EYO and imaging findings, we undertook several analyses to ensure the robustness of the EYO findings against age. Firstly, our EYO findings remained significant after correcting for both the linear and quadratic terms of age in all analyses. Secondly, to assess the age-independence of the associations between EYO and imaging changes, we repeated our analyses by using age itself as the predictor of imaging changes in lieu of EYO. There were focal </w:t>
      </w:r>
      <w:r w:rsidRPr="00F10F41">
        <w:rPr>
          <w:rFonts w:ascii="Arial" w:hAnsi="Arial" w:cs="Arial"/>
          <w:color w:val="000000" w:themeColor="text1"/>
          <w:sz w:val="22"/>
          <w:szCs w:val="22"/>
          <w:shd w:val="clear" w:color="auto" w:fill="FFFFFF"/>
        </w:rPr>
        <w:t xml:space="preserve">age-associated reductions in FA within the corpus callosum, in keeping with </w:t>
      </w:r>
      <w:r>
        <w:rPr>
          <w:rFonts w:ascii="Arial" w:hAnsi="Arial" w:cs="Arial"/>
          <w:color w:val="000000" w:themeColor="text1"/>
          <w:sz w:val="22"/>
          <w:szCs w:val="22"/>
          <w:shd w:val="clear" w:color="auto" w:fill="FFFFFF"/>
        </w:rPr>
        <w:t>previous studies</w:t>
      </w:r>
      <w:r w:rsidRPr="00F10F41">
        <w:rPr>
          <w:rFonts w:ascii="Arial" w:hAnsi="Arial" w:cs="Arial"/>
          <w:color w:val="000000" w:themeColor="text1"/>
          <w:sz w:val="22"/>
          <w:szCs w:val="22"/>
          <w:shd w:val="clear" w:color="auto" w:fill="FFFFFF"/>
        </w:rPr>
        <w:t xml:space="preserve"> </w:t>
      </w:r>
      <w:r w:rsidRPr="00F10F41">
        <w:rPr>
          <w:rFonts w:ascii="Arial" w:hAnsi="Arial" w:cs="Arial"/>
          <w:color w:val="000000" w:themeColor="text1"/>
          <w:sz w:val="22"/>
          <w:szCs w:val="22"/>
          <w:shd w:val="clear" w:color="auto" w:fill="FFFFFF"/>
        </w:rPr>
        <w:fldChar w:fldCharType="begin" w:fldLock="1"/>
      </w:r>
      <w:r w:rsidRPr="00F10F41">
        <w:rPr>
          <w:rFonts w:ascii="Arial" w:hAnsi="Arial" w:cs="Arial"/>
          <w:color w:val="000000" w:themeColor="text1"/>
          <w:sz w:val="22"/>
          <w:szCs w:val="22"/>
          <w:shd w:val="clear" w:color="auto" w:fill="FFFFFF"/>
        </w:rPr>
        <w:instrText>ADDIN CSL_CITATION {"citationItems":[{"id":"ITEM-1","itemData":{"DOI":"10.1002/hbm.20872","ISSN":"10659471","PMID":"19662658","abstract":"Diffusion tensor imaging (DTI) measures diffusion of molecular water, which can be used to calculate indices of white matter integrity. Early DTI studies of aging primarily focused on two global measures of integrity; the average rate (mean diffusivity, MD) and orientation coherence (fractional anisotropy, FA) of diffusion. More recent studies have added measures of water movement parallel (axial diffusivity, AD) and perpendicular (radial diffusivity, RD) to the primary diffusion direction, which are thought to reflect the neural bases of age differences in diffusion (i.e., axonal shrinkage and demyelination, respectively). In this study, patterns of age differences in white matter integrity were assessed by comparing younger and healthy older adults on multiple measures of integrity (FA, AD, and RD). Results revealed two commonly reported patterns (Radial Increase Only and Radial/Axial Increase), and one relatively novel pattern (Radial Increase/Axial Decrease) that varied by brain region and may reflect differential aging of microstructural (e.g., degree of myelination) and macrostructural (e.g., coherence of fiber orientation) properties of white matter. In addition, larger age differences in FA in frontal white matter were consistent with the anterior-posterior gradient of age differences in white matter integrity. Together, these findings complement other recent studies in providing information about patterns of diffusivity that are characteristic of healthy aging. © 2009 Wiley-Liss, Inc.","author":[{"dropping-particle":"","family":"Bennett","given":"Ilana J.","non-dropping-particle":"","parse-names":false,"suffix":""},{"dropping-particle":"","family":"Madden","given":"David J.","non-dropping-particle":"","parse-names":false,"suffix":""},{"dropping-particle":"","family":"Vaidya","given":"Chandan J.","non-dropping-particle":"","parse-names":false,"suffix":""},{"dropping-particle":"V.","family":"Howard","given":"Darlene","non-dropping-particle":"","parse-names":false,"suffix":""},{"dropping-particle":"","family":"Howard","given":"James H.","non-dropping-particle":"","parse-names":false,"suffix":""}],"container-title":"Human Brain Mapping","id":"ITEM-1","issued":{"date-parts":[["2010"]]},"title":"Age-related differences in multiple measures of white matter integrity: A diffusion tensor imaging study of healthy aging","type":"article-journal"},"uris":["http://www.mendeley.com/documents/?uuid=50190615-9610-4228-9bc2-65cf167bb2d9","http://www.mendeley.com/documents/?uuid=03a02328-0df0-4037-9872-e02767a1895e"]},{"id":"ITEM-2","itemData":{"DOI":"10.1016/j.bbadis.2011.09.001","ISSN":"09254439","abstract":"Aging is associated with declining cognitive performance as well as structural changes in brain gray and white matter (WM). The WM deterioration contributes to a disconnection among distributed brain networks and may thus mediate age-related cognitive decline. The present diffusion tensor imaging (DTI) study investigated age-related differences in WM microstructure and their relation to cognition (episodic memory, visuospatial processing, fluency, and speed) in a large group of healthy subjects (n. = 287) covering 6 decades of the human life span. Age related decreases in fractional anisotropy (FA) and increases in mean diffusivity (MD) were observed across the entire WM skeleton as well as in specific WM tracts, supporting the WM degeneration hypothesis. The anterior section of the corpus callosum was more susceptible to aging compared to the posterior section, lending support to the anterior-posterior gradient of WM integrity in the corpus callosum. Finally, and of critical interest, WM integrity differences were found to mediate age-related reductions in processing speed but no significant mediation was found for episodic memory, visuospatial ability, or fluency. These findings suggest that compromised WM integrity is not a major contributing factor to declining cognitive performance in normal aging. This article is part of a Special Issue entitled: Imaging Brain Aging and Neurodegenerative disease. © 2011 Elsevier B.V.","author":[{"dropping-particle":"","family":"Salami","given":"Alireza","non-dropping-particle":"","parse-names":false,"suffix":""},{"dropping-particle":"","family":"Eriksson","given":"Johan","non-dropping-particle":"","parse-names":false,"suffix":""},{"dropping-particle":"","family":"Nilsson","given":"Lars Göran","non-dropping-particle":"","parse-names":false,"suffix":""},{"dropping-particle":"","family":"Nyberg","given":"Lars","non-dropping-particle":"","parse-names":false,"suffix":""}],"container-title":"Biochimica et Biophysica Acta - Molecular Basis of Disease","id":"ITEM-2","issue":"3","issued":{"date-parts":[["2012"]]},"page":"408-415","publisher":"Elsevier B.V.","title":"Age-related white matter microstructural differences partly mediate age-related decline in processing speed but not cognition","type":"article-journal","volume":"1822"},"uris":["http://www.mendeley.com/documents/?uuid=5581620c-b763-4de0-9cc5-88ac798a8baf","http://www.mendeley.com/documents/?uuid=5639caad-888f-4c5a-9481-2ee9c3a0b250"]}],"mendeley":{"formattedCitation":"(Bennett et al., 2010; Salami et al., 2012)","plainTextFormattedCitation":"(Bennett et al., 2010; Salami et al., 2012)","previouslyFormattedCitation":"(Bennett et al., 2010; Salami et al., 2012)"},"properties":{"noteIndex":0},"schema":"https://github.com/citation-style-language/schema/raw/master/csl-citation.json"}</w:instrText>
      </w:r>
      <w:r w:rsidRPr="00F10F41">
        <w:rPr>
          <w:rFonts w:ascii="Arial" w:hAnsi="Arial" w:cs="Arial"/>
          <w:color w:val="000000" w:themeColor="text1"/>
          <w:sz w:val="22"/>
          <w:szCs w:val="22"/>
          <w:shd w:val="clear" w:color="auto" w:fill="FFFFFF"/>
        </w:rPr>
        <w:fldChar w:fldCharType="separate"/>
      </w:r>
      <w:r w:rsidRPr="00F10F41">
        <w:rPr>
          <w:rFonts w:ascii="Arial" w:hAnsi="Arial" w:cs="Arial"/>
          <w:noProof/>
          <w:color w:val="000000" w:themeColor="text1"/>
          <w:sz w:val="22"/>
          <w:szCs w:val="22"/>
          <w:shd w:val="clear" w:color="auto" w:fill="FFFFFF"/>
        </w:rPr>
        <w:t>(Bennett et al., 2010; Salami et al., 2012)</w:t>
      </w:r>
      <w:r w:rsidRPr="00F10F41">
        <w:rPr>
          <w:rFonts w:ascii="Arial" w:hAnsi="Arial" w:cs="Arial"/>
          <w:color w:val="000000" w:themeColor="text1"/>
          <w:sz w:val="22"/>
          <w:szCs w:val="22"/>
          <w:shd w:val="clear" w:color="auto" w:fill="FFFFFF"/>
        </w:rPr>
        <w:fldChar w:fldCharType="end"/>
      </w:r>
      <w:r w:rsidRPr="00F10F41">
        <w:rPr>
          <w:rFonts w:ascii="Arial" w:hAnsi="Arial" w:cs="Arial"/>
          <w:color w:val="000000" w:themeColor="text1"/>
          <w:sz w:val="22"/>
          <w:szCs w:val="22"/>
          <w:shd w:val="clear" w:color="auto" w:fill="FFFFFF"/>
        </w:rPr>
        <w:t xml:space="preserve">. In contrast, the extensive associations of EYO with white matter deficits </w:t>
      </w:r>
      <w:r w:rsidRPr="00F10F41">
        <w:rPr>
          <w:rFonts w:ascii="Arial" w:hAnsi="Arial" w:cs="Arial"/>
          <w:color w:val="000000" w:themeColor="text1"/>
          <w:sz w:val="22"/>
          <w:szCs w:val="22"/>
        </w:rPr>
        <w:t>(</w:t>
      </w:r>
      <w:r w:rsidRPr="00F10F41">
        <w:rPr>
          <w:rFonts w:ascii="Arial" w:hAnsi="Arial" w:cs="Arial"/>
          <w:color w:val="000000" w:themeColor="text1"/>
          <w:sz w:val="22"/>
          <w:szCs w:val="22"/>
        </w:rPr>
        <w:sym w:font="Symbol" w:char="F0AF"/>
      </w:r>
      <w:r w:rsidRPr="00F10F41">
        <w:rPr>
          <w:rFonts w:ascii="Arial" w:hAnsi="Arial" w:cs="Arial"/>
          <w:color w:val="000000" w:themeColor="text1"/>
          <w:sz w:val="22"/>
          <w:szCs w:val="22"/>
        </w:rPr>
        <w:t xml:space="preserve"> FA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MD </w:t>
      </w:r>
      <w:r w:rsidRPr="00F10F41">
        <w:rPr>
          <w:rFonts w:ascii="Arial" w:hAnsi="Arial" w:cs="Arial"/>
          <w:color w:val="000000" w:themeColor="text1"/>
          <w:sz w:val="22"/>
          <w:szCs w:val="22"/>
        </w:rPr>
        <w:sym w:font="Symbol" w:char="F0AD"/>
      </w:r>
      <w:r w:rsidRPr="00F10F41">
        <w:rPr>
          <w:rFonts w:ascii="Arial" w:hAnsi="Arial" w:cs="Arial"/>
          <w:color w:val="000000" w:themeColor="text1"/>
          <w:sz w:val="22"/>
          <w:szCs w:val="22"/>
        </w:rPr>
        <w:t xml:space="preserve"> RD) are indicative of other </w:t>
      </w:r>
      <w:r w:rsidRPr="00F10F41">
        <w:rPr>
          <w:rFonts w:ascii="Arial" w:hAnsi="Arial" w:cs="Arial"/>
          <w:color w:val="000000" w:themeColor="text1"/>
          <w:sz w:val="22"/>
          <w:szCs w:val="22"/>
          <w:shd w:val="clear" w:color="auto" w:fill="FFFFFF"/>
        </w:rPr>
        <w:t>mechanisms that are distinct from normal ageing. Indeed, future studies investigating CSF or PET biomarkers of [</w:t>
      </w:r>
      <w:r w:rsidRPr="00F10F41">
        <w:rPr>
          <w:rFonts w:ascii="Arial" w:hAnsi="Arial" w:cs="Arial"/>
          <w:color w:val="000000" w:themeColor="text1"/>
          <w:sz w:val="22"/>
          <w:szCs w:val="22"/>
          <w:shd w:val="clear" w:color="auto" w:fill="FFFFFF"/>
          <w:vertAlign w:val="superscript"/>
        </w:rPr>
        <w:t>18</w:t>
      </w:r>
      <w:r w:rsidRPr="00F10F41">
        <w:rPr>
          <w:rFonts w:ascii="Arial" w:hAnsi="Arial" w:cs="Arial"/>
          <w:color w:val="000000" w:themeColor="text1"/>
          <w:sz w:val="22"/>
          <w:szCs w:val="22"/>
          <w:shd w:val="clear" w:color="auto" w:fill="FFFFFF"/>
        </w:rPr>
        <w:t>F]-AV1451 and [</w:t>
      </w:r>
      <w:r w:rsidRPr="00F10F41">
        <w:rPr>
          <w:rFonts w:ascii="Arial" w:hAnsi="Arial" w:cs="Arial"/>
          <w:color w:val="000000" w:themeColor="text1"/>
          <w:sz w:val="22"/>
          <w:szCs w:val="22"/>
          <w:shd w:val="clear" w:color="auto" w:fill="FFFFFF"/>
          <w:vertAlign w:val="superscript"/>
        </w:rPr>
        <w:t>11</w:t>
      </w:r>
      <w:r w:rsidRPr="00F10F41">
        <w:rPr>
          <w:rFonts w:ascii="Arial" w:hAnsi="Arial" w:cs="Arial"/>
          <w:color w:val="000000" w:themeColor="text1"/>
          <w:sz w:val="22"/>
          <w:szCs w:val="22"/>
          <w:shd w:val="clear" w:color="auto" w:fill="FFFFFF"/>
        </w:rPr>
        <w:t xml:space="preserve">C]-PiB in relation to EYO would be imperative to delineate the pathological undercurrents of white matter dysfunction as individuals approach dementia onset. </w:t>
      </w:r>
    </w:p>
    <w:p w14:paraId="62ED3B9B" w14:textId="77777777" w:rsidR="00C4548D" w:rsidRDefault="00C4548D" w:rsidP="00607733">
      <w:pPr>
        <w:tabs>
          <w:tab w:val="left" w:pos="3428"/>
        </w:tabs>
        <w:spacing w:line="360" w:lineRule="auto"/>
        <w:jc w:val="both"/>
        <w:outlineLvl w:val="0"/>
        <w:rPr>
          <w:rFonts w:ascii="Arial" w:hAnsi="Arial" w:cs="Arial"/>
          <w:color w:val="000000" w:themeColor="text1"/>
          <w:sz w:val="22"/>
          <w:szCs w:val="22"/>
        </w:rPr>
      </w:pPr>
    </w:p>
    <w:p w14:paraId="2612710C" w14:textId="3258D215" w:rsidR="00607733" w:rsidRDefault="00607733" w:rsidP="008248F3">
      <w:pPr>
        <w:tabs>
          <w:tab w:val="left" w:pos="3428"/>
        </w:tabs>
        <w:spacing w:line="360" w:lineRule="auto"/>
        <w:jc w:val="both"/>
        <w:outlineLvl w:val="0"/>
        <w:rPr>
          <w:rFonts w:ascii="Arial" w:hAnsi="Arial" w:cs="Arial"/>
          <w:color w:val="000000" w:themeColor="text1"/>
          <w:sz w:val="22"/>
          <w:szCs w:val="22"/>
        </w:rPr>
      </w:pPr>
      <w:r w:rsidRPr="00F10F41">
        <w:rPr>
          <w:rFonts w:ascii="Arial" w:hAnsi="Arial" w:cs="Arial"/>
          <w:color w:val="000000" w:themeColor="text1"/>
          <w:sz w:val="22"/>
          <w:szCs w:val="22"/>
        </w:rPr>
        <w:lastRenderedPageBreak/>
        <w:t xml:space="preserve">Our findings should also be considered with several other caveats. WMHs may confound our interpretations of DTI findings. However, our cohort is one of the youngest in the prevailing literature, and as such would be expected to have less cerebrovascular pathology </w:t>
      </w: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ADDIN CSL_CITATION {"citationItems":[{"id":"ITEM-1","itemData":{"DOI":"10.1016/j.jalz.2017.08.017","author":[{"dropping-particle":"","family":"Stefaniak","given":"James D","non-dropping-particle":"","parse-names":false,"suffix":""},{"dropping-particle":"","family":"Su","given":"Li","non-dropping-particle":"","parse-names":false,"suffix":""},{"dropping-particle":"","family":"Mak","given":"Elijah","non-dropping-particle":"","parse-names":false,"suffix":""},{"dropping-particle":"","family":"Sheikh-bahaei","given":"Nasim","non-dropping-particle":"","parse-names":false,"suffix":""},{"dropping-particle":"","family":"Wells","given":"Katie","non-dropping-particle":"","parse-names":false,"suffix":""},{"dropping-particle":"","family":"Ritchie","given":"Karen","non-dropping-particle":"","parse-names":false,"suffix":""},{"dropping-particle":"","family":"Waldman","given":"Adam","non-dropping-particle":"","parse-names":false,"suffix":""},{"dropping-particle":"","family":"Ritchie","given":"Craig W","non-dropping-particle":"","parse-names":false,"suffix":""},{"dropping-particle":"","family":"Brien","given":"John T O","non-dropping-particle":"","parse-names":false,"suffix":""}],"id":"ITEM-1","issued":{"date-parts":[["2018"]]},"page":"253-258","title":"Cerebral small vessel disease in middle age and genetic predisposition to late-onset Alzheimer ’ s disease","type":"article-journal","volume":"14"},"uris":["http://www.mendeley.com/documents/?uuid=117c6547-2f41-4921-b36d-4b08f13af6fe"]}],"mendeley":{"formattedCitation":"(Stefaniak et al., 2018)","plainTextFormattedCitation":"(Stefaniak et al., 2018)","previouslyFormattedCitation":"(Stefaniak et al., 2018)"},"properties":{"noteIndex":0},"schema":"https://github.com/citation-style-language/schema/raw/master/csl-citation.json"}</w:instrText>
      </w:r>
      <w:r w:rsidRPr="00F10F41">
        <w:rPr>
          <w:rFonts w:ascii="Arial" w:hAnsi="Arial" w:cs="Arial"/>
          <w:color w:val="000000" w:themeColor="text1"/>
          <w:sz w:val="22"/>
          <w:szCs w:val="22"/>
        </w:rPr>
        <w:fldChar w:fldCharType="separate"/>
      </w:r>
      <w:r w:rsidRPr="00F10F41">
        <w:rPr>
          <w:rFonts w:ascii="Arial" w:hAnsi="Arial" w:cs="Arial"/>
          <w:noProof/>
          <w:color w:val="000000" w:themeColor="text1"/>
          <w:sz w:val="22"/>
          <w:szCs w:val="22"/>
        </w:rPr>
        <w:t>(Stefaniak et al., 2018)</w:t>
      </w:r>
      <w:r w:rsidRPr="00F10F41">
        <w:rPr>
          <w:rFonts w:ascii="Arial" w:hAnsi="Arial" w:cs="Arial"/>
          <w:color w:val="000000" w:themeColor="text1"/>
          <w:sz w:val="22"/>
          <w:szCs w:val="22"/>
        </w:rPr>
        <w:fldChar w:fldCharType="end"/>
      </w:r>
      <w:r w:rsidRPr="00F10F41">
        <w:rPr>
          <w:rFonts w:ascii="Arial" w:hAnsi="Arial" w:cs="Arial"/>
          <w:color w:val="000000" w:themeColor="text1"/>
          <w:sz w:val="22"/>
          <w:szCs w:val="22"/>
        </w:rPr>
        <w:t xml:space="preserve">. In addition, all DTI analyses were corrected for WMH volumes. </w:t>
      </w:r>
      <w:r w:rsidRPr="00F10F41">
        <w:rPr>
          <w:rFonts w:ascii="Arial" w:hAnsi="Arial" w:cs="Arial"/>
          <w:color w:val="000000" w:themeColor="text1"/>
          <w:sz w:val="22"/>
          <w:szCs w:val="22"/>
          <w:lang w:val="en-US"/>
        </w:rPr>
        <w:t xml:space="preserve">The lack of associations between EYO and WMH could also be interpreted in the context of a previous study in FAD mutation carriers, which found an association between shorter EYO and more severe WMH only amongst individuals with </w:t>
      </w:r>
      <w:r w:rsidRPr="00F10F41">
        <w:rPr>
          <w:rFonts w:ascii="Arial" w:hAnsi="Arial" w:cs="Arial"/>
          <w:color w:val="000000" w:themeColor="text1"/>
          <w:sz w:val="22"/>
          <w:szCs w:val="22"/>
        </w:rPr>
        <w:t>autosomal dominant genetic mutations</w:t>
      </w:r>
      <w:r w:rsidRPr="00F10F41">
        <w:rPr>
          <w:rFonts w:ascii="Arial" w:hAnsi="Arial" w:cs="Arial"/>
          <w:color w:val="000000" w:themeColor="text1"/>
          <w:sz w:val="22"/>
          <w:szCs w:val="22"/>
          <w:lang w:val="en-US"/>
        </w:rPr>
        <w:t>, whereas no such correlations were found amongst the non-carriers</w:t>
      </w:r>
      <w:r>
        <w:rPr>
          <w:rFonts w:ascii="Arial" w:hAnsi="Arial" w:cs="Arial"/>
          <w:color w:val="000000" w:themeColor="text1"/>
          <w:sz w:val="22"/>
          <w:szCs w:val="22"/>
          <w:lang w:val="en-US"/>
        </w:rPr>
        <w:t xml:space="preserve"> </w:t>
      </w:r>
      <w:r w:rsidRPr="00F10F41">
        <w:rPr>
          <w:rFonts w:ascii="Arial" w:hAnsi="Arial" w:cs="Arial"/>
          <w:color w:val="000000" w:themeColor="text1"/>
          <w:sz w:val="22"/>
          <w:szCs w:val="22"/>
          <w:lang w:val="en-US"/>
        </w:rPr>
        <w:t xml:space="preserve"> </w:t>
      </w:r>
      <w:r w:rsidRPr="00F10F41">
        <w:rPr>
          <w:rFonts w:ascii="Arial" w:hAnsi="Arial" w:cs="Arial"/>
          <w:color w:val="000000" w:themeColor="text1"/>
          <w:sz w:val="22"/>
          <w:szCs w:val="22"/>
          <w:lang w:val="en-US"/>
        </w:rPr>
        <w:fldChar w:fldCharType="begin" w:fldLock="1"/>
      </w:r>
      <w:r w:rsidRPr="00F10F41">
        <w:rPr>
          <w:rFonts w:ascii="Arial" w:hAnsi="Arial" w:cs="Arial"/>
          <w:color w:val="000000" w:themeColor="text1"/>
          <w:sz w:val="22"/>
          <w:szCs w:val="22"/>
          <w:lang w:val="en-US"/>
        </w:rPr>
        <w:instrText>ADDIN CSL_CITATION {"citationItems":[{"id":"ITEM-1","itemData":{"DOI":"10.1002/ana.24647","ISSN":"15318249","abstract":"Objective White matter hyperintensities (WMHs) are areas of increased signal on T2-weighted magnetic resonance imaging (MRI) scans that most commonly reflect small vessel cerebrovascular disease. Increased WMH volume is associated with risk and progression of Alzheimer's disease (AD). These observations are typically interpreted as evidence that vascular abnormalities play an additive, independent role contributing to symptom presentation, but not core features of AD. We examined the severity and distribution of WMH in presymptomatic PSEN1, PSEN2, and APP mutation carriers to determine the extent to which WMH manifest in individuals genetically determined to develop AD. Methods The study comprised participants (n = 299; age = 39.03 ± 10.13) from the Dominantly Inherited Alzheimer Network, including 184 (61.5%) with a mutation that results in AD and 115 (38.5%) first-degree relatives who were noncarrier controls. We calculated the estimated years from expected symptom onset (EYO) by subtracting the affected parent's symptom onset age from the participant's age. Baseline MRI data were analyzed for total and regional WMH. Mixed-effects piece-wise linear regression was used to examine WMH differences between carriers and noncarriers with respect to EYO. Results Mutation carriers had greater total WMH volumes, which appeared to increase approximately 6 years before expected symptom onset. Effects were most prominent for the parietal and occipital lobe, which showed divergent effects as early as 22 years before estimated onset. Interpretation Autosomal-dominant AD is associated with increased WMH well before expected symptom onset. The findings suggest the possibility that WMHs are a core feature of AD, a potential therapeutic target, and a factor that should be integrated into pathogenic models of the disease.","author":[{"dropping-particle":"","family":"Lee","given":"Seonjoo","non-dropping-particle":"","parse-names":false,"suffix":""},{"dropping-particle":"","family":"Viqar","given":"Fawad","non-dropping-particle":"","parse-names":false,"suffix":""},{"dropping-particle":"","family":"Zimmerman","given":"Molly E.","non-dropping-particle":"","parse-names":false,"suffix":""},{"dropping-particle":"","family":"Narkhede","given":"Atul","non-dropping-particle":"","parse-names":false,"suffix":""},{"dropping-particle":"","family":"Tosto","given":"Giuseppe","non-dropping-particle":"","parse-names":false,"suffix":""},{"dropping-particle":"","family":"Benzinger","given":"Tammie L.S.","non-dropping-particle":"","parse-names":false,"suffix":""},{"dropping-particle":"","family":"Marcus","given":"Daniel S.","non-dropping-particle":"","parse-names":false,"suffix":""},{"dropping-particle":"","family":"Fagan","given":"Anne M.","non-dropping-particle":"","parse-names":false,"suffix":""},{"dropping-particle":"","family":"Goate","given":"Alison","non-dropping-particle":"","parse-names":false,"suffix":""},{"dropping-particle":"","family":"Fox","given":"Nick C.","non-dropping-particle":"","parse-names":false,"suffix":""},{"dropping-particle":"","family":"Cairns","given":"Nigel J.","non-dropping-particle":"","parse-names":false,"suffix":""},{"dropping-particle":"","family":"Holtzman","given":"David M.","non-dropping-particle":"","parse-names":false,"suffix":""},{"dropping-particle":"","family":"Buckles","given":"Virginia","non-dropping-particle":"","parse-names":false,"suffix":""},{"dropping-particle":"","family":"Ghetti","given":"Bernardino","non-dropping-particle":"","parse-names":false,"suffix":""},{"dropping-particle":"","family":"McDade","given":"Eric","non-dropping-particle":"","parse-names":false,"suffix":""},{"dropping-particle":"","family":"Martins","given":"Ralph N.","non-dropping-particle":"","parse-names":false,"suffix":""},{"dropping-particle":"","family":"Saykin","given":"Andrew J.","non-dropping-particle":"","parse-names":false,"suffix":""},{"dropping-particle":"","family":"Masters","given":"Colin L.","non-dropping-particle":"","parse-names":false,"suffix":""},{"dropping-particle":"","family":"Ringman","given":"John M.","non-dropping-particle":"","parse-names":false,"suffix":""},{"dropping-particle":"","family":"Ryan","given":"Natalie S.","non-dropping-particle":"","parse-names":false,"suffix":""},{"dropping-particle":"","family":"Förster","given":"Stefan","non-dropping-particle":"","parse-names":false,"suffix":""},{"dropping-particle":"","family":"Laske","given":"Christoph","non-dropping-particle":"","parse-names":false,"suffix":""},{"dropping-particle":"","family":"Schofield","given":"Peter R.","non-dropping-particle":"","parse-names":false,"suffix":""},{"dropping-particle":"","family":"Sperling","given":"Reisa A.","non-dropping-particle":"","parse-names":false,"suffix":""},{"dropping-particle":"","family":"Salloway","given":"Stephen","non-dropping-particle":"","parse-names":false,"suffix":""},{"dropping-particle":"","family":"Correia","given":"Stephen","non-dropping-particle":"","parse-names":false,"suffix":""},{"dropping-particle":"","family":"Jack","given":"Clifford","non-dropping-particle":"","parse-names":false,"suffix":""},{"dropping-particle":"","family":"Weiner","given":"Michael","non-dropping-particle":"","parse-names":false,"suffix":""},{"dropping-particle":"","family":"Bateman","given":"Randall J.","non-dropping-particle":"","parse-names":false,"suffix":""},{"dropping-particle":"","family":"Morris","given":"John C.","non-dropping-particle":"","parse-names":false,"suffix":""},{"dropping-particle":"","family":"Mayeux","given":"Richard","non-dropping-particle":"","parse-names":false,"suffix":""},{"dropping-particle":"","family":"Brickman","given":"Adam M.","non-dropping-particle":"","parse-names":false,"suffix":""}],"container-title":"Annals of Neurology","id":"ITEM-1","issue":"6","issued":{"date-parts":[["2016","6","1"]]},"page":"929-939","publisher":"John Wiley and Sons Inc.","title":"White matter hyperintensities are a core feature of Alzheimer's disease: Evidence from the dominantly inherited Alzheimer network","type":"article-journal","volume":"79"},"uris":["http://www.mendeley.com/documents/?uuid=665101cd-332b-395e-894e-d6b27ed6f77c","http://www.mendeley.com/documents/?uuid=b7b6ac51-9047-4a22-97e5-3a6a13dfbaea"]}],"mendeley":{"formattedCitation":"(Lee et al., 2016)","plainTextFormattedCitation":"(Lee et al., 2016)","previouslyFormattedCitation":"(Lee et al., 2016)"},"properties":{"noteIndex":0},"schema":"https://github.com/citation-style-language/schema/raw/master/csl-citation.json"}</w:instrText>
      </w:r>
      <w:r w:rsidRPr="00F10F41">
        <w:rPr>
          <w:rFonts w:ascii="Arial" w:hAnsi="Arial" w:cs="Arial"/>
          <w:color w:val="000000" w:themeColor="text1"/>
          <w:sz w:val="22"/>
          <w:szCs w:val="22"/>
          <w:lang w:val="en-US"/>
        </w:rPr>
        <w:fldChar w:fldCharType="separate"/>
      </w:r>
      <w:r w:rsidRPr="00F10F41">
        <w:rPr>
          <w:rFonts w:ascii="Arial" w:hAnsi="Arial" w:cs="Arial"/>
          <w:noProof/>
          <w:color w:val="000000" w:themeColor="text1"/>
          <w:sz w:val="22"/>
          <w:szCs w:val="22"/>
          <w:lang w:val="en-US"/>
        </w:rPr>
        <w:t>(Lee et al., 2016)</w:t>
      </w:r>
      <w:r w:rsidRPr="00F10F41">
        <w:rPr>
          <w:rFonts w:ascii="Arial" w:hAnsi="Arial" w:cs="Arial"/>
          <w:color w:val="000000" w:themeColor="text1"/>
          <w:sz w:val="22"/>
          <w:szCs w:val="22"/>
          <w:lang w:val="en-US"/>
        </w:rPr>
        <w:fldChar w:fldCharType="end"/>
      </w:r>
      <w:r w:rsidRPr="00F10F41">
        <w:rPr>
          <w:rFonts w:ascii="Arial" w:hAnsi="Arial" w:cs="Arial"/>
          <w:color w:val="000000" w:themeColor="text1"/>
          <w:sz w:val="22"/>
          <w:szCs w:val="22"/>
          <w:lang w:val="en-US"/>
        </w:rPr>
        <w:t xml:space="preserve">. </w:t>
      </w:r>
      <w:r w:rsidR="005E197F" w:rsidRPr="00F10F41">
        <w:rPr>
          <w:rFonts w:ascii="Arial" w:hAnsi="Arial" w:cs="Arial"/>
          <w:color w:val="000000" w:themeColor="text1"/>
          <w:sz w:val="22"/>
          <w:szCs w:val="22"/>
        </w:rPr>
        <w:t xml:space="preserve">Another limitation is that the utilised ASL acquisition </w:t>
      </w:r>
      <w:r w:rsidR="005E197F">
        <w:rPr>
          <w:rFonts w:ascii="Arial" w:hAnsi="Arial" w:cs="Arial"/>
          <w:color w:val="000000" w:themeColor="text1"/>
          <w:sz w:val="22"/>
          <w:szCs w:val="22"/>
        </w:rPr>
        <w:t>did</w:t>
      </w:r>
      <w:r w:rsidR="005E197F" w:rsidRPr="00F10F41">
        <w:rPr>
          <w:rFonts w:ascii="Arial" w:hAnsi="Arial" w:cs="Arial"/>
          <w:color w:val="000000" w:themeColor="text1"/>
          <w:sz w:val="22"/>
          <w:szCs w:val="22"/>
        </w:rPr>
        <w:t xml:space="preserve"> not allow for quantification of arterial transit time and the separation of arterial and tissue compartments.</w:t>
      </w:r>
      <w:r w:rsidR="005E197F">
        <w:rPr>
          <w:rFonts w:ascii="Arial" w:hAnsi="Arial" w:cs="Arial"/>
          <w:color w:val="000000" w:themeColor="text1"/>
          <w:sz w:val="22"/>
          <w:szCs w:val="22"/>
        </w:rPr>
        <w:t xml:space="preserve"> However, we do not anticipate large variability in arterial transit time given the inversion time of 1.8s in our ASL protocol. T</w:t>
      </w:r>
      <w:r w:rsidR="005E197F" w:rsidRPr="00F10F41">
        <w:rPr>
          <w:rFonts w:ascii="Arial" w:hAnsi="Arial" w:cs="Arial"/>
          <w:color w:val="000000" w:themeColor="text1"/>
          <w:sz w:val="22"/>
          <w:szCs w:val="22"/>
        </w:rPr>
        <w:t>he dominant model for perfusion quantification in ASL</w:t>
      </w:r>
      <w:r w:rsidR="005E197F">
        <w:rPr>
          <w:rFonts w:ascii="Arial" w:hAnsi="Arial" w:cs="Arial"/>
          <w:color w:val="000000" w:themeColor="text1"/>
          <w:sz w:val="22"/>
          <w:szCs w:val="22"/>
        </w:rPr>
        <w:t xml:space="preserve"> which was used in the present study, </w:t>
      </w:r>
      <w:r w:rsidR="005E197F" w:rsidRPr="00F10F41">
        <w:rPr>
          <w:rFonts w:ascii="Arial" w:hAnsi="Arial" w:cs="Arial"/>
          <w:color w:val="000000" w:themeColor="text1"/>
          <w:sz w:val="22"/>
          <w:szCs w:val="22"/>
        </w:rPr>
        <w:t>assumes instantaneous water exchange between the capillary and tissue compartments</w:t>
      </w:r>
      <w:r w:rsidR="005E197F">
        <w:rPr>
          <w:rFonts w:ascii="Arial" w:hAnsi="Arial" w:cs="Arial"/>
          <w:color w:val="000000" w:themeColor="text1"/>
          <w:sz w:val="22"/>
          <w:szCs w:val="22"/>
        </w:rPr>
        <w:t xml:space="preserve"> </w:t>
      </w:r>
      <w:r w:rsidR="005E197F" w:rsidRPr="00F10F41">
        <w:rPr>
          <w:rFonts w:ascii="Arial" w:hAnsi="Arial" w:cs="Arial"/>
          <w:color w:val="000000" w:themeColor="text1"/>
          <w:sz w:val="22"/>
          <w:szCs w:val="22"/>
        </w:rPr>
        <w:fldChar w:fldCharType="begin" w:fldLock="1"/>
      </w:r>
      <w:r w:rsidR="004834BE">
        <w:rPr>
          <w:rFonts w:ascii="Arial" w:hAnsi="Arial" w:cs="Arial"/>
          <w:color w:val="000000" w:themeColor="text1"/>
          <w:sz w:val="22"/>
          <w:szCs w:val="22"/>
        </w:rPr>
        <w:instrText>ADDIN CSL_CITATION {"citationItems":[{"id":"ITEM-1","itemData":{"DOI":"10.1002/mrm.1910400308","ISSN":"07403194","author":[{"dropping-particle":"","family":"Buxton","given":"Richard B.","non-dropping-particle":"","parse-names":false,"suffix":""},{"dropping-particle":"","family":"Frank","given":"Lawrence R.","non-dropping-particle":"","parse-names":false,"suffix":""},{"dropping-particle":"","family":"Wong","given":"Eric C.","non-dropping-particle":"","parse-names":false,"suffix":""},{"dropping-particle":"","family":"Siewert","given":"Bettina","non-dropping-particle":"","parse-names":false,"suffix":""},{"dropping-particle":"","family":"Warach","given":"Steven","non-dropping-particle":"","parse-names":false,"suffix":""},{"dropping-particle":"","family":"Edelman","given":"Robert R.","non-dropping-particle":"","parse-names":false,"suffix":""}],"container-title":"Magnetic Resonance in Medicine","id":"ITEM-1","issue":"3","issued":{"date-parts":[["1998","9"]]},"page":"383-396","title":"A general kinetic model for quantitative perfusion imaging with arterial spin labeling","type":"article-journal","volume":"40"},"uris":["http://www.mendeley.com/documents/?uuid=9581eaeb-ad60-4691-8940-79b5a998de0c"]}],"mendeley":{"formattedCitation":"(Buxton et al., 1998)","plainTextFormattedCitation":"(Buxton et al., 1998)","previouslyFormattedCitation":"(Buxton et al., 1998)"},"properties":{"noteIndex":0},"schema":"https://github.com/citation-style-language/schema/raw/master/csl-citation.json"}</w:instrText>
      </w:r>
      <w:r w:rsidR="005E197F" w:rsidRPr="00F10F41">
        <w:rPr>
          <w:rFonts w:ascii="Arial" w:hAnsi="Arial" w:cs="Arial"/>
          <w:color w:val="000000" w:themeColor="text1"/>
          <w:sz w:val="22"/>
          <w:szCs w:val="22"/>
        </w:rPr>
        <w:fldChar w:fldCharType="separate"/>
      </w:r>
      <w:r w:rsidR="005E197F" w:rsidRPr="00F10F41">
        <w:rPr>
          <w:rFonts w:ascii="Arial" w:hAnsi="Arial" w:cs="Arial"/>
          <w:noProof/>
          <w:color w:val="000000" w:themeColor="text1"/>
          <w:sz w:val="22"/>
          <w:szCs w:val="22"/>
        </w:rPr>
        <w:t>(Buxton et al., 1998)</w:t>
      </w:r>
      <w:r w:rsidR="005E197F" w:rsidRPr="00F10F41">
        <w:rPr>
          <w:rFonts w:ascii="Arial" w:hAnsi="Arial" w:cs="Arial"/>
          <w:color w:val="000000" w:themeColor="text1"/>
          <w:sz w:val="22"/>
          <w:szCs w:val="22"/>
        </w:rPr>
        <w:fldChar w:fldCharType="end"/>
      </w:r>
      <w:r w:rsidR="008248F3">
        <w:rPr>
          <w:rFonts w:ascii="Arial" w:hAnsi="Arial" w:cs="Arial"/>
          <w:color w:val="000000" w:themeColor="text1"/>
          <w:sz w:val="22"/>
          <w:szCs w:val="22"/>
        </w:rPr>
        <w:t>.</w:t>
      </w:r>
      <w:r w:rsidR="005E197F">
        <w:rPr>
          <w:rFonts w:ascii="Arial" w:hAnsi="Arial" w:cs="Arial"/>
          <w:color w:val="000000" w:themeColor="text1"/>
          <w:sz w:val="22"/>
          <w:szCs w:val="22"/>
        </w:rPr>
        <w:t xml:space="preserve"> In the case of altered water exchange rates, utilization of a single-compartment model could potentially introduce bias in CBF quantification. I</w:t>
      </w:r>
      <w:r w:rsidR="005E197F" w:rsidRPr="00F10F41">
        <w:rPr>
          <w:rFonts w:ascii="Arial" w:hAnsi="Arial" w:cs="Arial"/>
          <w:color w:val="000000" w:themeColor="text1"/>
          <w:sz w:val="22"/>
          <w:szCs w:val="22"/>
        </w:rPr>
        <w:t xml:space="preserve">t </w:t>
      </w:r>
      <w:r w:rsidR="005E197F">
        <w:rPr>
          <w:rFonts w:ascii="Arial" w:hAnsi="Arial" w:cs="Arial"/>
          <w:color w:val="000000" w:themeColor="text1"/>
          <w:sz w:val="22"/>
          <w:szCs w:val="22"/>
        </w:rPr>
        <w:t xml:space="preserve">is still </w:t>
      </w:r>
      <w:r w:rsidR="005E197F" w:rsidRPr="00F10F41">
        <w:rPr>
          <w:rFonts w:ascii="Arial" w:hAnsi="Arial" w:cs="Arial"/>
          <w:color w:val="000000" w:themeColor="text1"/>
          <w:sz w:val="22"/>
          <w:szCs w:val="22"/>
        </w:rPr>
        <w:t>unclear</w:t>
      </w:r>
      <w:r w:rsidR="005E197F">
        <w:rPr>
          <w:rFonts w:ascii="Arial" w:hAnsi="Arial" w:cs="Arial"/>
          <w:color w:val="000000" w:themeColor="text1"/>
          <w:sz w:val="22"/>
          <w:szCs w:val="22"/>
        </w:rPr>
        <w:t xml:space="preserve"> the water exchange rate differs between APOE4 carriers and non-carriers, especially during the preclinical stage of the disease. In a recent study by Montagne et al., cognitively asymptomatic APOE4 carriers demonstrated a  blood brain barrier breakdown compared to APOE3 carriers, however the examined cohort was more than 10 years older on average compared to the present study </w:t>
      </w:r>
      <w:r w:rsidR="005E197F">
        <w:rPr>
          <w:rFonts w:ascii="Arial" w:hAnsi="Arial" w:cs="Arial"/>
          <w:color w:val="000000" w:themeColor="text1"/>
          <w:sz w:val="22"/>
          <w:szCs w:val="22"/>
        </w:rPr>
        <w:fldChar w:fldCharType="begin" w:fldLock="1"/>
      </w:r>
      <w:r w:rsidR="004834BE">
        <w:rPr>
          <w:rFonts w:ascii="Arial" w:hAnsi="Arial" w:cs="Arial"/>
          <w:color w:val="000000" w:themeColor="text1"/>
          <w:sz w:val="22"/>
          <w:szCs w:val="22"/>
        </w:rPr>
        <w:instrText>ADDIN CSL_CITATION {"citationItems":[{"id":"ITEM-1","itemData":{"DOI":"10.1038/s41586-020-2247-3","ISBN":"4158602022473","ISSN":"0028-0836","abstract":"Vascular contributions to dementia and Alzheimer’s disease are increasingly recognized1–6. Recent studies have suggested that breakdown of the blood–brain barrier (BBB) is an early biomarker of human cognitive dysfunction7, including the early clinical stages of Alzheimer’s disease5,8–10. The E4 variant of apolipoprotein E (APOE4), the main susceptibility gene for Alzheimer’s disease11–14, leads to accelerated breakdown of the BBB and degeneration of brain capillary pericytes15–19, which maintain BBB integrity20–22. It is unclear, however, whether the cerebrovascular effects of APOE4 contribute to cognitive impairment. Here we show that individuals bearing APOE4 (with the ε3/ε4 or ε4/ε4 alleles) are distinguished from those without APOE4 (ε3/ε3) by breakdown of the BBB in the hippocampus and medial temporal lobe. This finding is apparent in cognitively unimpaired APOE4 carriers and more severe in those with cognitive impairment, but is not related to amyloid-β or tau pathology measured in cerebrospinal fluid or by positron emission tomography23. High baseline levels of the BBB pericyte injury biomarker soluble PDGFRβ7,8 in the cerebrospinal fluid predicted future cognitive decline in APOE4 carriers but not in non-carriers, even after controlling for amyloid-β and tau status, and were correlated with increased activity of the BBB-degrading cyclophilin A-matrix metalloproteinase-9 pathway19 in cerebrospinal fluid. Our findings suggest that breakdown of the BBB contributes to APOE4-associated cognitive decline independently of Alzheimer’s disease pathology, and might be a therapeutic target in APOE4 carriers. Breakdown of the blood–brain barrier in individuals carrying the ε4 allele of the APOE gene, but not the ε3 allele, increases with and predicts cognitive impairment and is independent of amyloid β or tau pathology.","author":[{"dropping-particle":"","family":"Montagne","given":"Axel","non-dropping-particle":"","parse-names":false,"suffix":""},{"dropping-particle":"","family":"Nation","given":"Daniel A.","non-dropping-particle":"","parse-names":false,"suffix":""},{"dropping-particle":"","family":"Sagare","given":"Abhay P.","non-dropping-particle":"","parse-names":false,"suffix":""},{"dropping-particle":"","family":"Barisano","given":"Giuseppe","non-dropping-particle":"","parse-names":false,"suffix":""},{"dropping-particle":"","family":"Sweeney","given":"Melanie D.","non-dropping-particle":"","parse-names":false,"suffix":""},{"dropping-particle":"","family":"Chakhoyan","given":"Ararat","non-dropping-particle":"","parse-names":false,"suffix":""},{"dropping-particle":"","family":"Pachicano","given":"Maricarmen","non-dropping-particle":"","parse-names":false,"suffix":""},{"dropping-particle":"","family":"Joe","given":"Elizabeth","non-dropping-particle":"","parse-names":false,"suffix":""},{"dropping-particle":"","family":"Nelson","given":"Amy R.","non-dropping-particle":"","parse-names":false,"suffix":""},{"dropping-particle":"","family":"D’Orazio","given":"Lina M.","non-dropping-particle":"","parse-names":false,"suffix":""},{"dropping-particle":"","family":"Buennagel","given":"David P.","non-dropping-particle":"","parse-names":false,"suffix":""},{"dropping-particle":"","family":"Harrington","given":"Michael G.","non-dropping-particle":"","parse-names":false,"suffix":""},{"dropping-particle":"","family":"Benzinger","given":"Tammie L. S.","non-dropping-particle":"","parse-names":false,"suffix":""},{"dropping-particle":"","family":"Fagan","given":"Anne M.","non-dropping-particle":"","parse-names":false,"suffix":""},{"dropping-particle":"","family":"Ringman","given":"John M.","non-dropping-particle":"","parse-names":false,"suffix":""},{"dropping-particle":"","family":"Schneider","given":"Lon S.","non-dropping-particle":"","parse-names":false,"suffix":""},{"dropping-particle":"","family":"Morris","given":"John C.","non-dropping-particle":"","parse-names":false,"suffix":""},{"dropping-particle":"","family":"Reiman","given":"Eric M.","non-dropping-particle":"","parse-names":false,"suffix":""},{"dropping-particle":"","family":"Caselli","given":"Richard J.","non-dropping-particle":"","parse-names":false,"suffix":""},{"dropping-particle":"","family":"Chui","given":"Helena C.","non-dropping-particle":"","parse-names":false,"suffix":""},{"dropping-particle":"","family":"TCW","given":"Julia","non-dropping-particle":"","parse-names":false,"suffix":""},{"dropping-particle":"","family":"Chen","given":"Yining","non-dropping-particle":"","parse-names":false,"suffix":""},{"dropping-particle":"","family":"Pa","given":"Judy","non-dropping-particle":"","parse-names":false,"suffix":""},{"dropping-particle":"","family":"Conti","given":"Peter S.","non-dropping-particle":"","parse-names":false,"suffix":""},{"dropping-particle":"","family":"Law","given":"Meng","non-dropping-particle":"","parse-names":false,"suffix":""},{"dropping-particle":"","family":"Toga","given":"Arthur W.","non-dropping-particle":"","parse-names":false,"suffix":""},{"dropping-particle":"V.","family":"Zlokovic","given":"Berislav","non-dropping-particle":"","parse-names":false,"suffix":""}],"container-title":"Nature","id":"ITEM-1","issue":"November 2019","issued":{"date-parts":[["2020"]]},"page":"1-6","title":"APOE4 leads to blood–brain barrier dysfunction predicting cognitive decline","type":"article-journal"},"uris":["http://www.mendeley.com/documents/?uuid=a9e80b01-3d51-4935-a8e5-ed9e2da7b47e"]}],"mendeley":{"formattedCitation":"(Montagne et al., 2020)","plainTextFormattedCitation":"(Montagne et al., 2020)","previouslyFormattedCitation":"(Montagne et al., 2020)"},"properties":{"noteIndex":0},"schema":"https://github.com/citation-style-language/schema/raw/master/csl-citation.json"}</w:instrText>
      </w:r>
      <w:r w:rsidR="005E197F">
        <w:rPr>
          <w:rFonts w:ascii="Arial" w:hAnsi="Arial" w:cs="Arial"/>
          <w:color w:val="000000" w:themeColor="text1"/>
          <w:sz w:val="22"/>
          <w:szCs w:val="22"/>
        </w:rPr>
        <w:fldChar w:fldCharType="separate"/>
      </w:r>
      <w:r w:rsidR="005E197F" w:rsidRPr="00D41ACA">
        <w:rPr>
          <w:rFonts w:ascii="Arial" w:hAnsi="Arial" w:cs="Arial"/>
          <w:noProof/>
          <w:color w:val="000000" w:themeColor="text1"/>
          <w:sz w:val="22"/>
          <w:szCs w:val="22"/>
        </w:rPr>
        <w:t>(Montagne et al., 2020)</w:t>
      </w:r>
      <w:r w:rsidR="005E197F">
        <w:rPr>
          <w:rFonts w:ascii="Arial" w:hAnsi="Arial" w:cs="Arial"/>
          <w:color w:val="000000" w:themeColor="text1"/>
          <w:sz w:val="22"/>
          <w:szCs w:val="22"/>
        </w:rPr>
        <w:fldChar w:fldCharType="end"/>
      </w:r>
      <w:r w:rsidR="005E197F">
        <w:rPr>
          <w:rFonts w:ascii="Arial" w:hAnsi="Arial" w:cs="Arial"/>
          <w:color w:val="000000" w:themeColor="text1"/>
          <w:sz w:val="22"/>
          <w:szCs w:val="22"/>
        </w:rPr>
        <w:t xml:space="preserve">. Future studies using novel ASL sequences capable of quantifying delays in the blood delivery to the tissue or changes in the water exchange rate could </w:t>
      </w:r>
      <w:r w:rsidR="00610700">
        <w:rPr>
          <w:rFonts w:ascii="Arial" w:hAnsi="Arial" w:cs="Arial"/>
          <w:color w:val="000000" w:themeColor="text1"/>
          <w:sz w:val="22"/>
          <w:szCs w:val="22"/>
        </w:rPr>
        <w:t xml:space="preserve">reveal more insights about </w:t>
      </w:r>
      <w:r w:rsidR="005E197F">
        <w:rPr>
          <w:rFonts w:ascii="Arial" w:hAnsi="Arial" w:cs="Arial"/>
          <w:color w:val="000000" w:themeColor="text1"/>
          <w:sz w:val="22"/>
          <w:szCs w:val="22"/>
        </w:rPr>
        <w:t xml:space="preserve">neurovascular changes </w:t>
      </w:r>
      <w:r w:rsidR="00610700">
        <w:rPr>
          <w:rFonts w:ascii="Arial" w:hAnsi="Arial" w:cs="Arial"/>
          <w:color w:val="000000" w:themeColor="text1"/>
          <w:sz w:val="22"/>
          <w:szCs w:val="22"/>
        </w:rPr>
        <w:t xml:space="preserve">associated with </w:t>
      </w:r>
      <w:r w:rsidR="005E197F">
        <w:rPr>
          <w:rFonts w:ascii="Arial" w:hAnsi="Arial" w:cs="Arial"/>
          <w:color w:val="000000" w:themeColor="text1"/>
          <w:sz w:val="22"/>
          <w:szCs w:val="22"/>
        </w:rPr>
        <w:t xml:space="preserve">preclinical </w:t>
      </w:r>
      <w:r w:rsidR="00610700">
        <w:rPr>
          <w:rFonts w:ascii="Arial" w:hAnsi="Arial" w:cs="Arial"/>
          <w:color w:val="000000" w:themeColor="text1"/>
          <w:sz w:val="22"/>
          <w:szCs w:val="22"/>
        </w:rPr>
        <w:t>dementia and EYO</w:t>
      </w:r>
      <w:r w:rsidR="005E197F">
        <w:rPr>
          <w:rFonts w:ascii="Arial" w:hAnsi="Arial" w:cs="Arial"/>
          <w:color w:val="000000" w:themeColor="text1"/>
          <w:sz w:val="22"/>
          <w:szCs w:val="22"/>
        </w:rPr>
        <w:t xml:space="preserve"> </w:t>
      </w:r>
      <w:r w:rsidR="005E197F">
        <w:rPr>
          <w:rFonts w:ascii="Arial" w:hAnsi="Arial" w:cs="Arial"/>
          <w:color w:val="000000" w:themeColor="text1"/>
          <w:sz w:val="22"/>
          <w:szCs w:val="22"/>
        </w:rPr>
        <w:fldChar w:fldCharType="begin" w:fldLock="1"/>
      </w:r>
      <w:r w:rsidR="004834BE">
        <w:rPr>
          <w:rFonts w:ascii="Arial" w:hAnsi="Arial" w:cs="Arial"/>
          <w:color w:val="000000" w:themeColor="text1"/>
          <w:sz w:val="22"/>
          <w:szCs w:val="22"/>
        </w:rPr>
        <w:instrText>ADDIN CSL_CITATION {"citationItems":[{"id":"ITEM-1","itemData":{"DOI":"10.1002/mrm.27632","ISSN":"15222594","PMID":"30561821","abstract":"Purpose: To present a novel MR pulse sequence and modeling algorithm to quantify the water exchange rate (kw) across the blood–brain barrier (BBB) without contrast, and to evaluate its clinical utility in a cohort of elderly subjects at risk of cerebral small vessel disease (SVD). Methods: A diffusion preparation module with spoiling of non–Carr-Purcell-Meiboom-Gill signals was integrated with pseudo-continuous arterial spin labeling (pCASL) and 3D gradient and spin echo (GRASE) readout. The tissue/capillary fraction of the arterial spin labeling (ASL) signal was separated by appropriate diffusion weighting (b = 50 s/mm2). kw was quantified using a single-pass approximation (SPA) model with total generalized variation (TGV) regularization. Nineteen elderly subjects were recruited and underwent 2 MRIs to evaluate the reproducibility of the proposed technique. Correlation analysis was performed between kw and vascular risk factors, Clinical Dementia Rating (CDR) scale, neurocognitive assessments, and white matter hyperintensity (WMH). Results: The capillary/tissue fraction of ASL signal can be reliably differentiated with the diffusion weighting of b = 50 s/mm2, given ~100-fold difference between the (pseudo-)diffusion coefficients of the 2 compartments. Good reproducibility of kw measurements (intraclass correlation coefficient = 0.75) was achieved. Average kw was 105.0 ± 20.6, 109.6 ± 18.9, and 94.1 ± 19.6 min–1for whole brain, gray and white matter. kwwas increased by 28.2%/19.5% in subjects with diabetes/hypercholesterolemia. Significant correlations between kw and vascular risk factors, CDR, executive/memory function, and the Fazekas scale of WMH were observed. Conclusion: A diffusion prepared 3D GRASE pCASL sequence with TGV regularized SPA modeling was proposed to measure BBB water permeability noninvasively with good reproducibility. kw may serve as an imaging marker of cerebral SVD and associated cognitive impairment.","author":[{"dropping-particle":"","family":"Shao","given":"Xingfeng","non-dropping-particle":"","parse-names":false,"suffix":""},{"dropping-particle":"","family":"Ma","given":"Samantha J.","non-dropping-particle":"","parse-names":false,"suffix":""},{"dropping-particle":"","family":"Casey","given":"Marlene","non-dropping-particle":"","parse-names":false,"suffix":""},{"dropping-particle":"","family":"D’Orazio","given":"Lina","non-dropping-particle":"","parse-names":false,"suffix":""},{"dropping-particle":"","family":"Ringman","given":"John M.","non-dropping-particle":"","parse-names":false,"suffix":""},{"dropping-particle":"","family":"Wang","given":"Danny J.J.","non-dropping-particle":"","parse-names":false,"suffix":""}],"container-title":"Magnetic Resonance in Medicine","id":"ITEM-1","issued":{"date-parts":[["2019"]]},"title":"Mapping water exchange across the blood–brain barrier using 3D diffusion-prepared arterial spin labeled perfusion MRI","type":"article-journal"},"uris":["http://www.mendeley.com/documents/?uuid=e0395e37-1e96-4777-be26-6359af658487"]},{"id":"ITEM-2","itemData":{"DOI":"10.1177/0271678X17743240","ISSN":"15597016","PMID":"29168667","abstract":"Arterial spin labeling (ASL) is an MRI technique that was first proposed a quarter of a century ago. It offers the prospect of non-invasive quantitative measurement of cerebral perfusion, making it potentially very useful for research and clinical studies, particularly where multiple longitudinal measurements are required. However, it has suffered from a number of challenges, including a relatively low signal-to-noise ratio, and a confusing number of sequence variants, thus hindering its clinical uptake. Recently, however, there has been a consensus adoption of an accepted acquisition and analysis framework for ASL, and thus a better penetration onto clinical MRI scanners. Here, we review the basic concepts in ASL and describe the current state-of-the-art acquisition and analysis approaches, and the versatility of the method to perform both quantitative cerebral perfusion measurement, along with quantitative cerebral angiographic measurement.","author":[{"dropping-particle":"","family":"Jezzard","given":"Peter","non-dropping-particle":"","parse-names":false,"suffix":""},{"dropping-particle":"","family":"Chappell","given":"Michael A.","non-dropping-particle":"","parse-names":false,"suffix":""},{"dropping-particle":"","family":"Okell","given":"Thomas W.","non-dropping-particle":"","parse-names":false,"suffix":""}],"container-title":"Journal of Cerebral Blood Flow and Metabolism","id":"ITEM-2","issue":"4","issued":{"date-parts":[["2018"]]},"page":"603-626","title":"Arterial spin labeling for the measurement of cerebral perfusion and angiography","type":"article-journal","volume":"38"},"uris":["http://www.mendeley.com/documents/?uuid=5e25ebe4-5e12-4a7f-bb59-351dd2a3f625"]}],"mendeley":{"formattedCitation":"(Jezzard et al., 2018; Shao et al., 2019)","plainTextFormattedCitation":"(Jezzard et al., 2018; Shao et al., 2019)","previouslyFormattedCitation":"(Jezzard et al., 2018; Shao et al., 2019)"},"properties":{"noteIndex":0},"schema":"https://github.com/citation-style-language/schema/raw/master/csl-citation.json"}</w:instrText>
      </w:r>
      <w:r w:rsidR="005E197F">
        <w:rPr>
          <w:rFonts w:ascii="Arial" w:hAnsi="Arial" w:cs="Arial"/>
          <w:color w:val="000000" w:themeColor="text1"/>
          <w:sz w:val="22"/>
          <w:szCs w:val="22"/>
        </w:rPr>
        <w:fldChar w:fldCharType="separate"/>
      </w:r>
      <w:r w:rsidR="005E197F" w:rsidRPr="00C574D5">
        <w:rPr>
          <w:rFonts w:ascii="Arial" w:hAnsi="Arial" w:cs="Arial"/>
          <w:noProof/>
          <w:color w:val="000000" w:themeColor="text1"/>
          <w:sz w:val="22"/>
          <w:szCs w:val="22"/>
        </w:rPr>
        <w:t>(Jezzard et al., 2018; Shao et al., 2019)</w:t>
      </w:r>
      <w:r w:rsidR="005E197F">
        <w:rPr>
          <w:rFonts w:ascii="Arial" w:hAnsi="Arial" w:cs="Arial"/>
          <w:color w:val="000000" w:themeColor="text1"/>
          <w:sz w:val="22"/>
          <w:szCs w:val="22"/>
        </w:rPr>
        <w:fldChar w:fldCharType="end"/>
      </w:r>
      <w:r w:rsidR="005E197F">
        <w:rPr>
          <w:rFonts w:ascii="Arial" w:hAnsi="Arial" w:cs="Arial"/>
          <w:color w:val="000000" w:themeColor="text1"/>
          <w:sz w:val="22"/>
          <w:szCs w:val="22"/>
        </w:rPr>
        <w:t>.</w:t>
      </w:r>
      <w:r w:rsidR="00610700">
        <w:rPr>
          <w:rFonts w:ascii="Arial" w:hAnsi="Arial" w:cs="Arial"/>
          <w:color w:val="000000" w:themeColor="text1"/>
          <w:sz w:val="22"/>
          <w:szCs w:val="22"/>
        </w:rPr>
        <w:t xml:space="preserve"> </w:t>
      </w:r>
      <w:r w:rsidR="008248F3" w:rsidRPr="00F10F41">
        <w:rPr>
          <w:rFonts w:ascii="Arial" w:hAnsi="Arial" w:cs="Arial"/>
          <w:color w:val="000000" w:themeColor="text1"/>
          <w:sz w:val="22"/>
          <w:szCs w:val="22"/>
        </w:rPr>
        <w:t xml:space="preserve">Finally, despite a modest genetic influence on the age of onset of AD </w:t>
      </w:r>
      <w:r w:rsidR="008248F3" w:rsidRPr="00F10F41">
        <w:rPr>
          <w:rFonts w:ascii="Arial" w:hAnsi="Arial" w:cs="Arial"/>
          <w:color w:val="000000" w:themeColor="text1"/>
          <w:sz w:val="22"/>
          <w:szCs w:val="22"/>
        </w:rPr>
        <w:fldChar w:fldCharType="begin" w:fldLock="1"/>
      </w:r>
      <w:r w:rsidR="004834BE">
        <w:rPr>
          <w:rFonts w:ascii="Arial" w:hAnsi="Arial" w:cs="Arial"/>
          <w:color w:val="000000" w:themeColor="text1"/>
          <w:sz w:val="22"/>
          <w:szCs w:val="22"/>
        </w:rPr>
        <w:instrText>ADDIN CSL_CITATION {"citationItems":[{"id":"ITEM-1","itemData":{"DOI":"10.1001/jamanetworkopen.2019.13491","ISSN":"25743805","abstract":"Importance: Acquired and heritable traits are associated with dementia risk; however, how these traits are associated with age at symptomatic onset (AAO) of Alzheimer disease (AD) is unknown. Identifying the associations of acquired and heritable factors with variability in intergenerational AAO of AD could facilitate diagnosis, assessment, and counseling of the offspring of parents with AD. Objective: To quantify the associations of acquired and heritable factors with intergenerational differences in AAO of AD. Design, Setting, and Participants: This nested cohort study used data from the Knight Alzheimer Disease Research Center that included community-dwelling participants with symptomatic AD, parental history of dementia, and available DNA data who were enrolled in prospective studies of memory and aging from September 1, 2005, to August 31, 2016. Clinical, biomarker, and genetic data were extracted on January 17, 2017, and data analyses were conducted from July 1, 2017, to August 20, 2019. Main Outcomes and Measures: The associations of acquired (ie, years of education; body mass index; history of cardiovascular disease, hypertension, hypercholesterolemia, diabetes, active depression within 2 years, traumatic brain injury, tobacco use, and unhealthy alcohol use; and retrospective determination of AAO) and heritable factors (ie, ethnicity/race, paternal or maternal inheritance, parental history of early-onset dementia, APOE ε4 allele status, and AD polygenic risk scores) to intergenerational difference in AAO of AD were quantified using stepwise forward multivariable regression. Missense or frameshift variants within genes associated with AD pathogenesis were screened using whole-exome sequencing. Results: There were 164 participants with symptomatic AD, known parental history of dementia, and available DNA data (mean [SD] age, 70.9 [8.3] years; 90 [54.9%] women) included in this study. Offspring were diagnosed with symptomatic AD a mean (SD) 6.1 (10.7) years earlier than their parents (P &lt; .001). The adjusted R2 for measured acquired and heritable factors for intergenerational difference in AAO of AD was 0.29 (F8,155 = 9.13; P &lt; .001). Paternal (β = -9.52 [95% CI, -13.79 to -5.25]) and maternal (β = -6.68 [95% CI, -11.61 to -1.75]) history of dementia, more years of education (β = -0.58 [95% CI -1.08 to -0.09]), and retrospective determination of AAO (β = -3.46 [95% CI, -6.40 to -0.52]) were associated with earlier-than-expected intergenerational di…","author":[{"dropping-particle":"","family":"Day","given":"Gregory S.","non-dropping-particle":"","parse-names":false,"suffix":""},{"dropping-particle":"","family":"Cruchaga","given":"Carlos","non-dropping-particle":"","parse-names":false,"suffix":""},{"dropping-particle":"","family":"Wingo","given":"Thomas","non-dropping-particle":"","parse-names":false,"suffix":""},{"dropping-particle":"","family":"Schindler","given":"Suzanne E.","non-dropping-particle":"","parse-names":false,"suffix":""},{"dropping-particle":"","family":"Coble","given":"Dean","non-dropping-particle":"","parse-names":false,"suffix":""},{"dropping-particle":"","family":"Morris","given":"John C.","non-dropping-particle":"","parse-names":false,"suffix":""}],"container-title":"JAMA network open","id":"ITEM-1","issue":"10","issued":{"date-parts":[["2019"]]},"page":"e1913491","title":"Association of Acquired and Heritable Factors With Intergenerational Differences in Age at Symptomatic Onset of Alzheimer Disease Between Offspring and Parents With Dementia","type":"article-journal","volume":"2"},"uris":["http://www.mendeley.com/documents/?uuid=456d6163-e17e-4fad-8f75-6684b6e91a4e"]}],"mendeley":{"formattedCitation":"(Day et al., 2019)","plainTextFormattedCitation":"(Day et al., 2019)","previouslyFormattedCitation":"(Day et al., 2019)"},"properties":{"noteIndex":0},"schema":"https://github.com/citation-style-language/schema/raw/master/csl-citation.json"}</w:instrText>
      </w:r>
      <w:r w:rsidR="008248F3" w:rsidRPr="00F10F41">
        <w:rPr>
          <w:rFonts w:ascii="Arial" w:hAnsi="Arial" w:cs="Arial"/>
          <w:color w:val="000000" w:themeColor="text1"/>
          <w:sz w:val="22"/>
          <w:szCs w:val="22"/>
        </w:rPr>
        <w:fldChar w:fldCharType="separate"/>
      </w:r>
      <w:r w:rsidR="008248F3" w:rsidRPr="00F10F41">
        <w:rPr>
          <w:rFonts w:ascii="Arial" w:hAnsi="Arial" w:cs="Arial"/>
          <w:noProof/>
          <w:color w:val="000000" w:themeColor="text1"/>
          <w:sz w:val="22"/>
          <w:szCs w:val="22"/>
        </w:rPr>
        <w:t>(Day et al., 2019)</w:t>
      </w:r>
      <w:r w:rsidR="008248F3" w:rsidRPr="00F10F41">
        <w:rPr>
          <w:rFonts w:ascii="Arial" w:hAnsi="Arial" w:cs="Arial"/>
          <w:color w:val="000000" w:themeColor="text1"/>
          <w:sz w:val="22"/>
          <w:szCs w:val="22"/>
        </w:rPr>
        <w:fldChar w:fldCharType="end"/>
      </w:r>
      <w:r w:rsidR="008248F3" w:rsidRPr="00F10F41">
        <w:rPr>
          <w:rFonts w:ascii="Arial" w:hAnsi="Arial" w:cs="Arial"/>
          <w:color w:val="000000" w:themeColor="text1"/>
          <w:sz w:val="22"/>
          <w:szCs w:val="22"/>
        </w:rPr>
        <w:t xml:space="preserve">, the EYO </w:t>
      </w:r>
      <w:r w:rsidR="008248F3">
        <w:rPr>
          <w:rFonts w:ascii="Arial" w:hAnsi="Arial" w:cs="Arial"/>
          <w:color w:val="000000" w:themeColor="text1"/>
          <w:sz w:val="22"/>
          <w:szCs w:val="22"/>
        </w:rPr>
        <w:t xml:space="preserve">variable </w:t>
      </w:r>
      <w:r w:rsidR="008248F3" w:rsidRPr="00F10F41">
        <w:rPr>
          <w:rFonts w:ascii="Arial" w:hAnsi="Arial" w:cs="Arial"/>
          <w:color w:val="000000" w:themeColor="text1"/>
          <w:sz w:val="22"/>
          <w:szCs w:val="22"/>
        </w:rPr>
        <w:t xml:space="preserve">remains </w:t>
      </w:r>
      <w:r w:rsidR="008248F3">
        <w:rPr>
          <w:rFonts w:ascii="Arial" w:hAnsi="Arial" w:cs="Arial"/>
          <w:color w:val="000000" w:themeColor="text1"/>
          <w:sz w:val="22"/>
          <w:szCs w:val="22"/>
        </w:rPr>
        <w:t>a</w:t>
      </w:r>
      <w:r w:rsidR="008248F3" w:rsidRPr="00F10F41">
        <w:rPr>
          <w:rFonts w:ascii="Arial" w:hAnsi="Arial" w:cs="Arial"/>
          <w:color w:val="000000" w:themeColor="text1"/>
          <w:sz w:val="22"/>
          <w:szCs w:val="22"/>
        </w:rPr>
        <w:t xml:space="preserve"> hypothetical stage marker of subclinical disease progression and its utility for early diagnosis in sporadic dementia </w:t>
      </w:r>
      <w:r w:rsidR="008248F3">
        <w:rPr>
          <w:rFonts w:ascii="Arial" w:hAnsi="Arial" w:cs="Arial"/>
          <w:color w:val="000000" w:themeColor="text1"/>
          <w:sz w:val="22"/>
          <w:szCs w:val="22"/>
        </w:rPr>
        <w:t>is still an open question</w:t>
      </w:r>
      <w:r w:rsidR="008248F3" w:rsidRPr="00F10F41">
        <w:rPr>
          <w:rFonts w:ascii="Arial" w:hAnsi="Arial" w:cs="Arial"/>
          <w:color w:val="000000" w:themeColor="text1"/>
          <w:sz w:val="22"/>
          <w:szCs w:val="22"/>
        </w:rPr>
        <w:t>.</w:t>
      </w:r>
      <w:r w:rsidR="008248F3">
        <w:rPr>
          <w:rFonts w:ascii="Arial" w:hAnsi="Arial" w:cs="Arial"/>
          <w:color w:val="000000" w:themeColor="text1"/>
          <w:sz w:val="22"/>
          <w:szCs w:val="22"/>
        </w:rPr>
        <w:t xml:space="preserve"> On this note, 1 subject had a negative EYO (i.e., older than his/her parental age of dementia). However, repeating the analyses without this subject did not influence our findings</w:t>
      </w:r>
      <w:r w:rsidR="00BE0837">
        <w:rPr>
          <w:rFonts w:ascii="Arial" w:hAnsi="Arial" w:cs="Arial"/>
          <w:color w:val="000000" w:themeColor="text1"/>
          <w:sz w:val="22"/>
          <w:szCs w:val="22"/>
        </w:rPr>
        <w:t>.</w:t>
      </w:r>
    </w:p>
    <w:p w14:paraId="47703793" w14:textId="77777777" w:rsidR="00BE0837" w:rsidRPr="00F10F41" w:rsidRDefault="00BE0837" w:rsidP="008248F3">
      <w:pPr>
        <w:tabs>
          <w:tab w:val="left" w:pos="3428"/>
        </w:tabs>
        <w:spacing w:line="360" w:lineRule="auto"/>
        <w:jc w:val="both"/>
        <w:outlineLvl w:val="0"/>
        <w:rPr>
          <w:rFonts w:ascii="Arial" w:hAnsi="Arial" w:cs="Arial"/>
          <w:color w:val="000000" w:themeColor="text1"/>
          <w:sz w:val="22"/>
          <w:szCs w:val="22"/>
        </w:rPr>
      </w:pPr>
    </w:p>
    <w:p w14:paraId="2C87A1D1" w14:textId="77777777" w:rsidR="00607733" w:rsidRPr="00F10F41" w:rsidRDefault="00607733" w:rsidP="00607733">
      <w:pPr>
        <w:widowControl w:val="0"/>
        <w:autoSpaceDE w:val="0"/>
        <w:autoSpaceDN w:val="0"/>
        <w:adjustRightInd w:val="0"/>
        <w:spacing w:line="360" w:lineRule="auto"/>
        <w:jc w:val="both"/>
        <w:rPr>
          <w:rFonts w:ascii="Arial" w:hAnsi="Arial" w:cs="Arial"/>
          <w:b/>
          <w:bCs/>
          <w:color w:val="000000" w:themeColor="text1"/>
          <w:sz w:val="30"/>
          <w:szCs w:val="30"/>
        </w:rPr>
      </w:pPr>
      <w:r w:rsidRPr="00F10F41">
        <w:rPr>
          <w:rFonts w:ascii="Arial" w:hAnsi="Arial" w:cs="Arial"/>
          <w:b/>
          <w:bCs/>
          <w:color w:val="000000" w:themeColor="text1"/>
          <w:sz w:val="30"/>
          <w:szCs w:val="30"/>
        </w:rPr>
        <w:t>CONCLUSIONS</w:t>
      </w:r>
    </w:p>
    <w:p w14:paraId="6A579B33" w14:textId="77777777" w:rsidR="00607733" w:rsidRPr="00F10F41" w:rsidRDefault="00607733" w:rsidP="00607733">
      <w:pPr>
        <w:spacing w:line="360" w:lineRule="auto"/>
        <w:jc w:val="both"/>
        <w:rPr>
          <w:rFonts w:ascii="Arial" w:hAnsi="Arial" w:cs="Arial"/>
          <w:b/>
          <w:bCs/>
          <w:color w:val="000000" w:themeColor="text1"/>
          <w:sz w:val="22"/>
          <w:szCs w:val="22"/>
        </w:rPr>
      </w:pPr>
      <w:r w:rsidRPr="00F10F41">
        <w:rPr>
          <w:rFonts w:ascii="Arial" w:hAnsi="Arial" w:cs="Arial"/>
          <w:color w:val="000000" w:themeColor="text1"/>
          <w:sz w:val="22"/>
          <w:szCs w:val="22"/>
        </w:rPr>
        <w:t xml:space="preserve">Building upon previous work of proximity-related brain changes in familial AD mutation carriers, the plethora of findings in this study provide compelling evidence that the preclinical phase of sporadic dementia is characterised by subtle microstructural and physiological cerebral abnormalities in the absence of grey matter atrophy. Crucially, we demonstrated that these changes are not simply a reflection of normal ageing, highlighting the estimated temporal proximity to dementia as a potential metric with valuable clinical relevance and </w:t>
      </w:r>
      <w:r w:rsidRPr="00F10F41">
        <w:rPr>
          <w:rFonts w:ascii="Arial" w:hAnsi="Arial" w:cs="Arial"/>
          <w:color w:val="000000" w:themeColor="text1"/>
          <w:sz w:val="22"/>
          <w:szCs w:val="22"/>
        </w:rPr>
        <w:lastRenderedPageBreak/>
        <w:t>prognostic utility. Further validation of th</w:t>
      </w:r>
      <w:r>
        <w:rPr>
          <w:rFonts w:ascii="Arial" w:hAnsi="Arial" w:cs="Arial"/>
          <w:color w:val="000000" w:themeColor="text1"/>
          <w:sz w:val="22"/>
          <w:szCs w:val="22"/>
        </w:rPr>
        <w:t xml:space="preserve">e EYO </w:t>
      </w:r>
      <w:r w:rsidRPr="00F10F41">
        <w:rPr>
          <w:rFonts w:ascii="Arial" w:hAnsi="Arial" w:cs="Arial"/>
          <w:color w:val="000000" w:themeColor="text1"/>
          <w:sz w:val="22"/>
          <w:szCs w:val="22"/>
        </w:rPr>
        <w:t>in larger samples of cognitively normal APOE-</w:t>
      </w:r>
      <w:r w:rsidRPr="00F10F41">
        <w:rPr>
          <w:rFonts w:ascii="Arial" w:hAnsi="Arial" w:cs="Arial"/>
          <w:color w:val="000000" w:themeColor="text1"/>
          <w:sz w:val="22"/>
          <w:szCs w:val="22"/>
          <w:lang w:val="el-GR"/>
        </w:rPr>
        <w:t>ε</w:t>
      </w:r>
      <w:r w:rsidRPr="00F10F41">
        <w:rPr>
          <w:rFonts w:ascii="Arial" w:hAnsi="Arial" w:cs="Arial"/>
          <w:color w:val="000000" w:themeColor="text1"/>
          <w:sz w:val="22"/>
          <w:szCs w:val="22"/>
        </w:rPr>
        <w:t xml:space="preserve">4 carriers / FH+ is warranted and will be </w:t>
      </w:r>
      <w:r>
        <w:rPr>
          <w:rFonts w:ascii="Arial" w:hAnsi="Arial" w:cs="Arial"/>
          <w:color w:val="000000" w:themeColor="text1"/>
          <w:sz w:val="22"/>
          <w:szCs w:val="22"/>
        </w:rPr>
        <w:t>performed</w:t>
      </w:r>
      <w:r w:rsidRPr="00F10F41">
        <w:rPr>
          <w:rFonts w:ascii="Arial" w:hAnsi="Arial" w:cs="Arial"/>
          <w:color w:val="000000" w:themeColor="text1"/>
          <w:sz w:val="22"/>
          <w:szCs w:val="22"/>
        </w:rPr>
        <w:t xml:space="preserve"> as m</w:t>
      </w:r>
      <w:r>
        <w:rPr>
          <w:rFonts w:ascii="Arial" w:hAnsi="Arial" w:cs="Arial"/>
          <w:color w:val="000000" w:themeColor="text1"/>
          <w:sz w:val="22"/>
          <w:szCs w:val="22"/>
        </w:rPr>
        <w:t xml:space="preserve">ore subjects in PREVENT-Dementia </w:t>
      </w:r>
      <w:r w:rsidRPr="00F10F41">
        <w:rPr>
          <w:rFonts w:ascii="Arial" w:hAnsi="Arial" w:cs="Arial"/>
          <w:color w:val="000000" w:themeColor="text1"/>
          <w:sz w:val="22"/>
          <w:szCs w:val="22"/>
        </w:rPr>
        <w:t>complete their follow-up assessments.</w:t>
      </w:r>
    </w:p>
    <w:p w14:paraId="33A35424" w14:textId="573E6927" w:rsidR="00607733" w:rsidRPr="00FB42D8" w:rsidRDefault="00607733" w:rsidP="00607733">
      <w:pPr>
        <w:spacing w:line="360" w:lineRule="auto"/>
        <w:jc w:val="both"/>
        <w:rPr>
          <w:rFonts w:ascii="Arial" w:hAnsi="Arial" w:cs="Arial"/>
          <w:b/>
          <w:bCs/>
          <w:color w:val="000000" w:themeColor="text1"/>
          <w:sz w:val="22"/>
          <w:szCs w:val="22"/>
        </w:rPr>
      </w:pPr>
    </w:p>
    <w:p w14:paraId="2E7417AD" w14:textId="77777777" w:rsidR="006926E8" w:rsidRDefault="006926E8">
      <w:pPr>
        <w:rPr>
          <w:rFonts w:ascii="Arial" w:hAnsi="Arial" w:cs="Arial"/>
          <w:b/>
          <w:bCs/>
          <w:color w:val="000000" w:themeColor="text1"/>
          <w:sz w:val="30"/>
          <w:szCs w:val="30"/>
        </w:rPr>
      </w:pPr>
      <w:r>
        <w:rPr>
          <w:rFonts w:ascii="Arial" w:hAnsi="Arial" w:cs="Arial"/>
          <w:b/>
          <w:bCs/>
          <w:color w:val="000000" w:themeColor="text1"/>
          <w:sz w:val="30"/>
          <w:szCs w:val="30"/>
        </w:rPr>
        <w:br w:type="page"/>
      </w:r>
    </w:p>
    <w:p w14:paraId="17E94C63" w14:textId="77777777" w:rsidR="00607733" w:rsidRPr="00D144D7" w:rsidRDefault="00607733" w:rsidP="00607733">
      <w:pPr>
        <w:spacing w:line="360" w:lineRule="auto"/>
        <w:jc w:val="both"/>
        <w:rPr>
          <w:rFonts w:ascii="Arial" w:hAnsi="Arial" w:cs="Arial"/>
          <w:b/>
          <w:bCs/>
          <w:color w:val="000000" w:themeColor="text1"/>
          <w:sz w:val="30"/>
          <w:szCs w:val="30"/>
        </w:rPr>
      </w:pPr>
      <w:r w:rsidRPr="00D144D7">
        <w:rPr>
          <w:rFonts w:ascii="Arial" w:hAnsi="Arial" w:cs="Arial"/>
          <w:b/>
          <w:bCs/>
          <w:color w:val="000000" w:themeColor="text1"/>
          <w:sz w:val="30"/>
          <w:szCs w:val="30"/>
        </w:rPr>
        <w:lastRenderedPageBreak/>
        <w:t>ACKNOWLEDGEMENTS</w:t>
      </w:r>
    </w:p>
    <w:p w14:paraId="35DD6F73" w14:textId="6BE27D72" w:rsidR="00C42146" w:rsidRDefault="00607733" w:rsidP="00A01022">
      <w:pPr>
        <w:tabs>
          <w:tab w:val="left" w:pos="1849"/>
        </w:tabs>
        <w:spacing w:line="360" w:lineRule="auto"/>
        <w:jc w:val="both"/>
        <w:rPr>
          <w:rFonts w:ascii="Arial" w:hAnsi="Arial" w:cs="Arial"/>
          <w:color w:val="000000" w:themeColor="text1"/>
          <w:sz w:val="22"/>
          <w:szCs w:val="22"/>
        </w:rPr>
      </w:pPr>
      <w:r w:rsidRPr="00F10F41">
        <w:rPr>
          <w:rFonts w:ascii="Arial" w:hAnsi="Arial" w:cs="Arial"/>
          <w:color w:val="000000" w:themeColor="text1"/>
          <w:sz w:val="22"/>
          <w:szCs w:val="22"/>
        </w:rPr>
        <w:t>Participants were recruited at West London Mental Health National Health Service (NHS) Trust (now known as West London NHS Trust) and scanning was carried out at the Clinical Imaging Facility, Imperial College London. We thank all the PREVENT-Dementia participants for their enthusiastic participation in this study.</w:t>
      </w:r>
      <w:r w:rsidR="00A01022">
        <w:rPr>
          <w:rFonts w:ascii="Arial" w:hAnsi="Arial" w:cs="Arial"/>
          <w:color w:val="000000" w:themeColor="text1"/>
          <w:sz w:val="22"/>
          <w:szCs w:val="22"/>
        </w:rPr>
        <w:t xml:space="preserve"> Infrastructure support was provided by the </w:t>
      </w:r>
      <w:proofErr w:type="gramStart"/>
      <w:r w:rsidR="00A01022">
        <w:rPr>
          <w:rFonts w:ascii="Arial" w:hAnsi="Arial" w:cs="Arial"/>
          <w:color w:val="000000" w:themeColor="text1"/>
          <w:sz w:val="22"/>
          <w:szCs w:val="22"/>
        </w:rPr>
        <w:t>High Performance</w:t>
      </w:r>
      <w:proofErr w:type="gramEnd"/>
      <w:r w:rsidR="00A01022">
        <w:rPr>
          <w:rFonts w:ascii="Arial" w:hAnsi="Arial" w:cs="Arial"/>
          <w:color w:val="000000" w:themeColor="text1"/>
          <w:sz w:val="22"/>
          <w:szCs w:val="22"/>
        </w:rPr>
        <w:t xml:space="preserve"> Hubs for Clinical Informatics (HPHI), funded by the MRC Research Infrastructure Award (</w:t>
      </w:r>
      <w:r w:rsidR="00A01022" w:rsidRPr="00361F2C">
        <w:rPr>
          <w:rFonts w:ascii="Arial" w:hAnsi="Arial" w:cs="Arial"/>
          <w:color w:val="000000" w:themeColor="text1"/>
          <w:sz w:val="22"/>
          <w:szCs w:val="22"/>
        </w:rPr>
        <w:t>MR/M009041/1</w:t>
      </w:r>
      <w:r w:rsidR="00A01022">
        <w:rPr>
          <w:rFonts w:ascii="Arial" w:hAnsi="Arial" w:cs="Arial"/>
          <w:color w:val="000000" w:themeColor="text1"/>
          <w:sz w:val="22"/>
          <w:szCs w:val="22"/>
        </w:rPr>
        <w:t>).</w:t>
      </w:r>
    </w:p>
    <w:p w14:paraId="6AF360A5" w14:textId="77777777" w:rsidR="00A01022" w:rsidRPr="00A01022" w:rsidRDefault="00A01022" w:rsidP="00A01022">
      <w:pPr>
        <w:tabs>
          <w:tab w:val="left" w:pos="1849"/>
        </w:tabs>
        <w:spacing w:line="360" w:lineRule="auto"/>
        <w:jc w:val="both"/>
        <w:rPr>
          <w:rFonts w:ascii="Arial" w:hAnsi="Arial" w:cs="Arial"/>
          <w:color w:val="000000" w:themeColor="text1"/>
          <w:sz w:val="22"/>
          <w:szCs w:val="22"/>
        </w:rPr>
      </w:pPr>
    </w:p>
    <w:p w14:paraId="0400934D" w14:textId="45BE700D" w:rsidR="00607733" w:rsidRPr="00D144D7" w:rsidRDefault="00607733" w:rsidP="00607733">
      <w:pPr>
        <w:widowControl w:val="0"/>
        <w:autoSpaceDE w:val="0"/>
        <w:autoSpaceDN w:val="0"/>
        <w:adjustRightInd w:val="0"/>
        <w:spacing w:line="360" w:lineRule="auto"/>
        <w:ind w:left="480" w:hanging="480"/>
        <w:rPr>
          <w:rFonts w:ascii="Arial" w:hAnsi="Arial" w:cs="Arial"/>
          <w:color w:val="000000" w:themeColor="text1"/>
          <w:sz w:val="30"/>
          <w:szCs w:val="30"/>
        </w:rPr>
      </w:pPr>
      <w:r w:rsidRPr="00D144D7">
        <w:rPr>
          <w:rFonts w:ascii="Arial" w:hAnsi="Arial" w:cs="Arial"/>
          <w:b/>
          <w:bCs/>
          <w:color w:val="000000" w:themeColor="text1"/>
          <w:sz w:val="30"/>
          <w:szCs w:val="30"/>
        </w:rPr>
        <w:t>FUNDING</w:t>
      </w:r>
    </w:p>
    <w:p w14:paraId="251FA1AE" w14:textId="2FF39C43" w:rsidR="00607733" w:rsidRDefault="00607733" w:rsidP="00607733">
      <w:pPr>
        <w:spacing w:line="360" w:lineRule="auto"/>
        <w:jc w:val="both"/>
        <w:rPr>
          <w:rFonts w:ascii="Arial" w:hAnsi="Arial" w:cs="Arial"/>
          <w:color w:val="000000" w:themeColor="text1"/>
          <w:sz w:val="22"/>
          <w:szCs w:val="22"/>
        </w:rPr>
      </w:pPr>
      <w:r w:rsidRPr="00BA16A6">
        <w:rPr>
          <w:rFonts w:ascii="Arial" w:hAnsi="Arial" w:cs="Arial"/>
        </w:rPr>
        <w:t xml:space="preserve">This work was funded by a grant for the PREVENT-Dementia programme from the UK Alzheimer’s Society (grant numbers 178 and 264), and the PREVENT-Dementia study is also supported by the US Alzheimer’s Association (grant number TriBEKa-17–519007) and philanthropic donations. AL is supported by the Lee </w:t>
      </w:r>
      <w:proofErr w:type="spellStart"/>
      <w:r w:rsidRPr="00BA16A6">
        <w:rPr>
          <w:rFonts w:ascii="Arial" w:hAnsi="Arial" w:cs="Arial"/>
        </w:rPr>
        <w:t>Kuan</w:t>
      </w:r>
      <w:proofErr w:type="spellEnd"/>
      <w:r w:rsidRPr="00BA16A6">
        <w:rPr>
          <w:rFonts w:ascii="Arial" w:hAnsi="Arial" w:cs="Arial"/>
        </w:rPr>
        <w:t xml:space="preserve"> Yew Fitzwilliam PhD Scholarship and the Tan </w:t>
      </w:r>
      <w:proofErr w:type="spellStart"/>
      <w:r w:rsidRPr="00BA16A6">
        <w:rPr>
          <w:rFonts w:ascii="Arial" w:hAnsi="Arial" w:cs="Arial"/>
        </w:rPr>
        <w:t>Kah</w:t>
      </w:r>
      <w:proofErr w:type="spellEnd"/>
      <w:r w:rsidRPr="00BA16A6">
        <w:rPr>
          <w:rFonts w:ascii="Arial" w:hAnsi="Arial" w:cs="Arial"/>
        </w:rPr>
        <w:t xml:space="preserve"> Kee Postgraduate Scholarship. </w:t>
      </w:r>
      <w:r w:rsidRPr="00F72280">
        <w:rPr>
          <w:rFonts w:ascii="Arial" w:hAnsi="Arial" w:cs="Arial"/>
          <w:color w:val="000000" w:themeColor="text1"/>
        </w:rPr>
        <w:t>EM is supported by Alzheimer’s Society Junior Research Fellowship (</w:t>
      </w:r>
      <w:r>
        <w:rPr>
          <w:rFonts w:ascii="Arial" w:hAnsi="Arial" w:cs="Arial"/>
          <w:color w:val="000000" w:themeColor="text1"/>
        </w:rPr>
        <w:t>443 AS JF 18017</w:t>
      </w:r>
      <w:r w:rsidRPr="00F72280">
        <w:rPr>
          <w:rFonts w:ascii="Arial" w:hAnsi="Arial" w:cs="Arial"/>
          <w:color w:val="000000" w:themeColor="text1"/>
        </w:rPr>
        <w:t>).</w:t>
      </w:r>
      <w:r>
        <w:rPr>
          <w:rFonts w:ascii="Arial" w:hAnsi="Arial" w:cs="Arial"/>
          <w:color w:val="000000" w:themeColor="text1"/>
        </w:rPr>
        <w:t xml:space="preserve"> </w:t>
      </w:r>
      <w:r w:rsidRPr="00F10F41">
        <w:rPr>
          <w:rFonts w:ascii="Arial" w:hAnsi="Arial" w:cs="Arial"/>
          <w:color w:val="000000" w:themeColor="text1"/>
          <w:sz w:val="22"/>
          <w:szCs w:val="22"/>
        </w:rPr>
        <w:t>JOB and LS are supported by the Cambridge NIHR Biomedical Research Centre. LS is also supported by Alzheimer’s Research UK (ARUK-SRF2017B-1).</w:t>
      </w:r>
    </w:p>
    <w:p w14:paraId="2FBE7EB9" w14:textId="3A104484" w:rsidR="00A97435" w:rsidRDefault="00A97435" w:rsidP="00607733">
      <w:pPr>
        <w:spacing w:line="360" w:lineRule="auto"/>
        <w:jc w:val="both"/>
        <w:rPr>
          <w:rFonts w:ascii="Arial" w:hAnsi="Arial" w:cs="Arial"/>
          <w:color w:val="000000" w:themeColor="text1"/>
          <w:sz w:val="22"/>
          <w:szCs w:val="22"/>
        </w:rPr>
      </w:pPr>
    </w:p>
    <w:p w14:paraId="504F5108" w14:textId="77777777" w:rsidR="00A97435" w:rsidRPr="00D144D7" w:rsidRDefault="00A97435" w:rsidP="00A97435">
      <w:pPr>
        <w:spacing w:line="360" w:lineRule="auto"/>
        <w:jc w:val="both"/>
        <w:rPr>
          <w:rFonts w:ascii="Arial" w:hAnsi="Arial" w:cs="Arial"/>
          <w:b/>
          <w:bCs/>
          <w:color w:val="000000" w:themeColor="text1"/>
          <w:sz w:val="30"/>
          <w:szCs w:val="30"/>
        </w:rPr>
      </w:pPr>
      <w:r w:rsidRPr="00D144D7">
        <w:rPr>
          <w:rFonts w:ascii="Arial" w:hAnsi="Arial" w:cs="Arial"/>
          <w:b/>
          <w:bCs/>
          <w:color w:val="000000" w:themeColor="text1"/>
          <w:sz w:val="30"/>
          <w:szCs w:val="30"/>
        </w:rPr>
        <w:t>FINANCIAL DISCLOSURES</w:t>
      </w:r>
    </w:p>
    <w:p w14:paraId="1D215678" w14:textId="76905907" w:rsidR="00A97435" w:rsidRPr="00F10F41" w:rsidRDefault="00A97435" w:rsidP="00A97435">
      <w:pPr>
        <w:spacing w:line="360" w:lineRule="auto"/>
        <w:jc w:val="both"/>
        <w:rPr>
          <w:rFonts w:ascii="Arial" w:hAnsi="Arial" w:cs="Arial"/>
          <w:color w:val="000000" w:themeColor="text1"/>
          <w:sz w:val="22"/>
          <w:szCs w:val="22"/>
        </w:rPr>
      </w:pPr>
      <w:r w:rsidRPr="00D144D7">
        <w:rPr>
          <w:rFonts w:ascii="Arial" w:hAnsi="Arial" w:cs="Arial"/>
          <w:sz w:val="22"/>
          <w:szCs w:val="22"/>
        </w:rPr>
        <w:t xml:space="preserve">John T. O’Brien has no conflicts related to this study. Unrelated to this work he has received honoraria for work as DSMB chair or member for </w:t>
      </w:r>
      <w:proofErr w:type="spellStart"/>
      <w:r w:rsidRPr="00D144D7">
        <w:rPr>
          <w:rFonts w:ascii="Arial" w:hAnsi="Arial" w:cs="Arial"/>
          <w:sz w:val="22"/>
          <w:szCs w:val="22"/>
        </w:rPr>
        <w:t>TauRx</w:t>
      </w:r>
      <w:proofErr w:type="spellEnd"/>
      <w:r w:rsidRPr="00D144D7">
        <w:rPr>
          <w:rFonts w:ascii="Arial" w:hAnsi="Arial" w:cs="Arial"/>
          <w:sz w:val="22"/>
          <w:szCs w:val="22"/>
        </w:rPr>
        <w:t>, Axon, Eisai, has acted as a consultant for Roche, has received research support from Alliance Medical and Merck.</w:t>
      </w:r>
      <w:r w:rsidR="00EB2A82">
        <w:rPr>
          <w:rFonts w:ascii="Arial" w:hAnsi="Arial" w:cs="Arial"/>
          <w:sz w:val="22"/>
          <w:szCs w:val="22"/>
        </w:rPr>
        <w:t xml:space="preserve"> </w:t>
      </w:r>
      <w:r w:rsidRPr="00D144D7">
        <w:rPr>
          <w:rFonts w:ascii="Arial" w:hAnsi="Arial" w:cs="Arial"/>
          <w:color w:val="000000" w:themeColor="text1"/>
          <w:sz w:val="22"/>
          <w:szCs w:val="22"/>
        </w:rPr>
        <w:t xml:space="preserve">Elijah </w:t>
      </w:r>
      <w:proofErr w:type="spellStart"/>
      <w:r w:rsidRPr="00D144D7">
        <w:rPr>
          <w:rFonts w:ascii="Arial" w:hAnsi="Arial" w:cs="Arial"/>
          <w:color w:val="000000" w:themeColor="text1"/>
          <w:sz w:val="22"/>
          <w:szCs w:val="22"/>
        </w:rPr>
        <w:t>Mak</w:t>
      </w:r>
      <w:proofErr w:type="spellEnd"/>
      <w:r w:rsidRPr="00D144D7">
        <w:rPr>
          <w:rFonts w:ascii="Arial" w:hAnsi="Arial" w:cs="Arial"/>
          <w:color w:val="000000" w:themeColor="text1"/>
          <w:sz w:val="22"/>
          <w:szCs w:val="22"/>
        </w:rPr>
        <w:t xml:space="preserve">, Maria-Eleni </w:t>
      </w:r>
      <w:proofErr w:type="spellStart"/>
      <w:r w:rsidRPr="00D144D7">
        <w:rPr>
          <w:rFonts w:ascii="Arial" w:hAnsi="Arial" w:cs="Arial"/>
          <w:color w:val="000000" w:themeColor="text1"/>
          <w:sz w:val="22"/>
          <w:szCs w:val="22"/>
        </w:rPr>
        <w:t>Dounavi</w:t>
      </w:r>
      <w:proofErr w:type="spellEnd"/>
      <w:r w:rsidRPr="00D144D7">
        <w:rPr>
          <w:rFonts w:ascii="Arial" w:hAnsi="Arial" w:cs="Arial"/>
          <w:color w:val="000000" w:themeColor="text1"/>
          <w:sz w:val="22"/>
          <w:szCs w:val="22"/>
        </w:rPr>
        <w:t xml:space="preserve">, Stephen Carter, Audrey Low, Li </w:t>
      </w:r>
      <w:proofErr w:type="spellStart"/>
      <w:r w:rsidRPr="00D144D7">
        <w:rPr>
          <w:rFonts w:ascii="Arial" w:hAnsi="Arial" w:cs="Arial"/>
          <w:color w:val="000000" w:themeColor="text1"/>
          <w:sz w:val="22"/>
          <w:szCs w:val="22"/>
        </w:rPr>
        <w:t>Su</w:t>
      </w:r>
      <w:proofErr w:type="spellEnd"/>
      <w:r w:rsidRPr="00D144D7">
        <w:rPr>
          <w:rFonts w:ascii="Arial" w:hAnsi="Arial" w:cs="Arial"/>
          <w:color w:val="000000" w:themeColor="text1"/>
          <w:sz w:val="22"/>
          <w:szCs w:val="22"/>
        </w:rPr>
        <w:t xml:space="preserve">, Elizabeth McKiernan, Karen Ritchie, Graciela Muniz, Isabelle Carriere, Guy Williams, Simon Jones and </w:t>
      </w:r>
      <w:r w:rsidRPr="00D144D7">
        <w:rPr>
          <w:rFonts w:ascii="Arial" w:hAnsi="Arial" w:cs="Arial"/>
          <w:color w:val="000000" w:themeColor="text1"/>
          <w:sz w:val="22"/>
          <w:szCs w:val="22"/>
          <w:lang w:val="fr-FR"/>
        </w:rPr>
        <w:t>Craig Ritchie</w:t>
      </w:r>
      <w:r w:rsidRPr="00D144D7">
        <w:rPr>
          <w:rFonts w:ascii="Arial" w:hAnsi="Arial" w:cs="Arial"/>
          <w:color w:val="000000" w:themeColor="text1"/>
          <w:sz w:val="22"/>
          <w:szCs w:val="22"/>
        </w:rPr>
        <w:t xml:space="preserve"> have no conflicts of interest to declare</w:t>
      </w:r>
      <w:r>
        <w:rPr>
          <w:rFonts w:ascii="Arial" w:hAnsi="Arial" w:cs="Arial"/>
          <w:i/>
          <w:iCs/>
          <w:color w:val="000000" w:themeColor="text1"/>
          <w:sz w:val="22"/>
          <w:szCs w:val="22"/>
        </w:rPr>
        <w:t>.</w:t>
      </w:r>
    </w:p>
    <w:p w14:paraId="2AFB4130" w14:textId="77777777" w:rsidR="00607733" w:rsidRPr="00F10F41" w:rsidRDefault="00607733" w:rsidP="00607733">
      <w:pPr>
        <w:spacing w:line="360" w:lineRule="auto"/>
        <w:jc w:val="both"/>
        <w:rPr>
          <w:rFonts w:ascii="Arial" w:hAnsi="Arial" w:cs="Arial"/>
          <w:color w:val="000000" w:themeColor="text1"/>
          <w:sz w:val="22"/>
          <w:szCs w:val="22"/>
        </w:rPr>
      </w:pPr>
    </w:p>
    <w:p w14:paraId="62134274" w14:textId="77777777" w:rsidR="00607733" w:rsidRPr="0080331A" w:rsidRDefault="00607733" w:rsidP="00607733">
      <w:pPr>
        <w:spacing w:line="360" w:lineRule="auto"/>
        <w:jc w:val="both"/>
        <w:rPr>
          <w:rFonts w:ascii="Arial" w:hAnsi="Arial" w:cs="Arial"/>
          <w:color w:val="000000" w:themeColor="text1"/>
          <w:sz w:val="22"/>
          <w:szCs w:val="22"/>
        </w:rPr>
      </w:pPr>
    </w:p>
    <w:p w14:paraId="5B6BD3BD" w14:textId="77777777" w:rsidR="00607733" w:rsidRDefault="00607733" w:rsidP="00FB42D8">
      <w:pPr>
        <w:tabs>
          <w:tab w:val="left" w:pos="5220"/>
        </w:tabs>
        <w:spacing w:line="360" w:lineRule="auto"/>
        <w:jc w:val="both"/>
        <w:rPr>
          <w:rFonts w:ascii="Arial" w:hAnsi="Arial" w:cs="Arial"/>
          <w:color w:val="000000" w:themeColor="text1"/>
          <w:sz w:val="22"/>
          <w:szCs w:val="22"/>
        </w:rPr>
      </w:pPr>
    </w:p>
    <w:p w14:paraId="7DC80264" w14:textId="63686B1B" w:rsidR="00877B2A" w:rsidRPr="00FB42D8" w:rsidRDefault="00607733" w:rsidP="00FB42D8">
      <w:pPr>
        <w:tabs>
          <w:tab w:val="left" w:pos="5220"/>
        </w:tabs>
        <w:rPr>
          <w:rFonts w:ascii="Arial" w:hAnsi="Arial" w:cs="Arial"/>
          <w:sz w:val="22"/>
          <w:szCs w:val="22"/>
        </w:rPr>
        <w:sectPr w:rsidR="00877B2A" w:rsidRPr="00FB42D8" w:rsidSect="005E2102">
          <w:pgSz w:w="11900" w:h="16840"/>
          <w:pgMar w:top="1440" w:right="1440" w:bottom="1440" w:left="1440" w:header="709" w:footer="709" w:gutter="0"/>
          <w:cols w:space="708"/>
          <w:docGrid w:linePitch="360"/>
        </w:sectPr>
      </w:pPr>
      <w:r>
        <w:rPr>
          <w:rFonts w:ascii="Arial" w:hAnsi="Arial" w:cs="Arial"/>
          <w:sz w:val="22"/>
          <w:szCs w:val="22"/>
        </w:rPr>
        <w:tab/>
      </w:r>
    </w:p>
    <w:p w14:paraId="0F660874" w14:textId="66C35B83" w:rsidR="00C42146" w:rsidRDefault="00C42146" w:rsidP="00C42146">
      <w:pPr>
        <w:spacing w:line="360" w:lineRule="auto"/>
        <w:jc w:val="both"/>
        <w:rPr>
          <w:rFonts w:ascii="Arial" w:hAnsi="Arial" w:cs="Arial"/>
          <w:b/>
          <w:bCs/>
          <w:color w:val="000000" w:themeColor="text1"/>
          <w:sz w:val="30"/>
          <w:szCs w:val="30"/>
        </w:rPr>
      </w:pPr>
      <w:r>
        <w:rPr>
          <w:rFonts w:ascii="Arial" w:hAnsi="Arial" w:cs="Arial"/>
          <w:b/>
          <w:bCs/>
          <w:color w:val="000000" w:themeColor="text1"/>
          <w:sz w:val="30"/>
          <w:szCs w:val="30"/>
        </w:rPr>
        <w:lastRenderedPageBreak/>
        <w:t>TABLE AND FIGURE LEGENDS</w:t>
      </w:r>
    </w:p>
    <w:p w14:paraId="585F015D" w14:textId="77777777" w:rsidR="00C42146" w:rsidRPr="00C42146" w:rsidRDefault="00C42146" w:rsidP="00C42146">
      <w:pPr>
        <w:spacing w:line="360" w:lineRule="auto"/>
        <w:jc w:val="both"/>
        <w:rPr>
          <w:rFonts w:ascii="Arial" w:hAnsi="Arial" w:cs="Arial"/>
          <w:sz w:val="22"/>
          <w:szCs w:val="22"/>
        </w:rPr>
      </w:pPr>
      <w:r w:rsidRPr="00FB42D8">
        <w:rPr>
          <w:rFonts w:ascii="Arial" w:hAnsi="Arial" w:cs="Arial"/>
          <w:sz w:val="22"/>
          <w:szCs w:val="22"/>
        </w:rPr>
        <w:t>Table 1. Participant characteristics of subjects with diffusion weighted imaging datasets</w:t>
      </w:r>
      <w:r w:rsidRPr="00C42146">
        <w:rPr>
          <w:rFonts w:ascii="Arial" w:hAnsi="Arial" w:cs="Arial"/>
          <w:sz w:val="22"/>
          <w:szCs w:val="22"/>
        </w:rPr>
        <w:t xml:space="preserve">. Abbreviations: ACE-III = </w:t>
      </w:r>
      <w:r w:rsidRPr="00C42146">
        <w:rPr>
          <w:rFonts w:ascii="Arial" w:hAnsi="Arial" w:cs="Arial"/>
          <w:sz w:val="22"/>
          <w:szCs w:val="22"/>
          <w:shd w:val="clear" w:color="auto" w:fill="FFFFFF"/>
        </w:rPr>
        <w:t>Addenbrooke’s Cognitive Examination</w:t>
      </w:r>
      <w:r w:rsidRPr="00C42146">
        <w:rPr>
          <w:rFonts w:ascii="Arial" w:hAnsi="Arial" w:cs="Arial"/>
          <w:sz w:val="22"/>
          <w:szCs w:val="22"/>
        </w:rPr>
        <w:t>, EYO = Estimated years to onset.</w:t>
      </w:r>
    </w:p>
    <w:p w14:paraId="4FC4219A" w14:textId="77777777" w:rsidR="00C42146" w:rsidRDefault="00C42146" w:rsidP="00C42146">
      <w:pPr>
        <w:spacing w:line="360" w:lineRule="auto"/>
        <w:jc w:val="both"/>
        <w:rPr>
          <w:rFonts w:ascii="Arial" w:hAnsi="Arial" w:cs="Arial"/>
          <w:sz w:val="22"/>
          <w:szCs w:val="22"/>
        </w:rPr>
      </w:pPr>
    </w:p>
    <w:p w14:paraId="324A0276" w14:textId="77777777" w:rsidR="00C42146" w:rsidRPr="00C42146" w:rsidRDefault="00C42146" w:rsidP="00C42146">
      <w:pPr>
        <w:spacing w:line="360" w:lineRule="auto"/>
        <w:jc w:val="both"/>
        <w:rPr>
          <w:rFonts w:ascii="Arial" w:hAnsi="Arial" w:cs="Arial"/>
          <w:color w:val="000000" w:themeColor="text1"/>
          <w:sz w:val="22"/>
          <w:szCs w:val="22"/>
        </w:rPr>
      </w:pPr>
      <w:r w:rsidRPr="00FB42D8">
        <w:rPr>
          <w:rFonts w:ascii="Arial" w:hAnsi="Arial" w:cs="Arial"/>
          <w:color w:val="000000" w:themeColor="text1"/>
          <w:sz w:val="22"/>
          <w:szCs w:val="22"/>
        </w:rPr>
        <w:t>Figure 1. Multi-modal neuroimaging outcome measures at both baseline and follow-up.</w:t>
      </w:r>
      <w:r w:rsidRPr="00C42146">
        <w:rPr>
          <w:rFonts w:ascii="Arial" w:hAnsi="Arial" w:cs="Arial"/>
          <w:color w:val="000000" w:themeColor="text1"/>
          <w:sz w:val="22"/>
          <w:szCs w:val="22"/>
        </w:rPr>
        <w:t xml:space="preserve"> Global FA, MD and RD were estimated using DTI-TK after generating a group-specific template that was unbiased to both time-points. T1-MPRAGE datasets were processed using </w:t>
      </w:r>
      <w:proofErr w:type="spellStart"/>
      <w:r w:rsidRPr="00C42146">
        <w:rPr>
          <w:rFonts w:ascii="Arial" w:hAnsi="Arial" w:cs="Arial"/>
          <w:color w:val="000000" w:themeColor="text1"/>
          <w:sz w:val="22"/>
          <w:szCs w:val="22"/>
        </w:rPr>
        <w:t>Freesurfer</w:t>
      </w:r>
      <w:proofErr w:type="spellEnd"/>
      <w:r w:rsidRPr="00C42146">
        <w:rPr>
          <w:rFonts w:ascii="Arial" w:hAnsi="Arial" w:cs="Arial"/>
          <w:color w:val="000000" w:themeColor="text1"/>
          <w:sz w:val="22"/>
          <w:szCs w:val="22"/>
        </w:rPr>
        <w:t xml:space="preserve"> for the segmentations of cortical thickness and hippocampus. ASL data were processed using FSL-BASIL, co-registered to the T1-MPRAGE, and visually inspected by 2 independent operators for errors in alignment. Grey matter perfusion was quantified following PVC of the CBF maps using the grey matter mask. WMHs were segmented from FLAIR data. Abbreviations: FA = Fractional Anisotropy, MD = Mean Diffusivity, RD = Radial diffusivity, DTI-TK = Diffusion Tensor Imaging Toolkit, AD = Alzheimer’s disease, ROI = Regions of Interests, ASL = Arterial Spin Labelling, WMHs = White matter hyperintensities; PVC = Partial Volume Corrected; CBF = Cerebral Blood Flow.   </w:t>
      </w:r>
    </w:p>
    <w:p w14:paraId="5C4D49D3" w14:textId="77777777" w:rsidR="00C42146" w:rsidRPr="00D144D7" w:rsidRDefault="00C42146" w:rsidP="00C42146">
      <w:pPr>
        <w:spacing w:line="360" w:lineRule="auto"/>
        <w:jc w:val="both"/>
        <w:rPr>
          <w:rFonts w:ascii="Arial" w:hAnsi="Arial" w:cs="Arial"/>
          <w:sz w:val="22"/>
          <w:szCs w:val="22"/>
        </w:rPr>
      </w:pPr>
    </w:p>
    <w:p w14:paraId="1C15FF24" w14:textId="77777777" w:rsidR="00C42146" w:rsidRPr="00C42146" w:rsidRDefault="00C42146" w:rsidP="00C42146">
      <w:pPr>
        <w:spacing w:line="360" w:lineRule="auto"/>
        <w:jc w:val="both"/>
        <w:rPr>
          <w:rFonts w:ascii="Arial" w:hAnsi="Arial" w:cs="Arial"/>
          <w:color w:val="000000" w:themeColor="text1"/>
          <w:sz w:val="22"/>
          <w:szCs w:val="22"/>
        </w:rPr>
      </w:pPr>
      <w:r w:rsidRPr="00FB42D8">
        <w:rPr>
          <w:rFonts w:ascii="Arial" w:hAnsi="Arial" w:cs="Arial"/>
          <w:color w:val="000000" w:themeColor="text1"/>
          <w:sz w:val="22"/>
          <w:szCs w:val="22"/>
        </w:rPr>
        <w:t xml:space="preserve">Figure 2. Linear mixed effect modelling of global white matter microstructure in relation to EYO. </w:t>
      </w:r>
      <w:r w:rsidRPr="00C42146">
        <w:rPr>
          <w:rFonts w:ascii="Arial" w:hAnsi="Arial" w:cs="Arial"/>
          <w:color w:val="000000" w:themeColor="text1"/>
          <w:sz w:val="22"/>
          <w:szCs w:val="22"/>
        </w:rPr>
        <w:t>Lower FA, and higher MD and RD values were associated with nearer proximity to hypothetical age of onset of dementia in FH+, after adjusting for averaged age, age</w:t>
      </w:r>
      <w:r w:rsidRPr="00C42146">
        <w:rPr>
          <w:rFonts w:ascii="Arial" w:hAnsi="Arial" w:cs="Arial"/>
          <w:color w:val="000000" w:themeColor="text1"/>
          <w:sz w:val="22"/>
          <w:szCs w:val="22"/>
          <w:vertAlign w:val="superscript"/>
        </w:rPr>
        <w:t>2</w:t>
      </w:r>
      <w:r w:rsidRPr="00C42146">
        <w:rPr>
          <w:rFonts w:ascii="Arial" w:hAnsi="Arial" w:cs="Arial"/>
          <w:color w:val="000000" w:themeColor="text1"/>
          <w:sz w:val="22"/>
          <w:szCs w:val="22"/>
        </w:rPr>
        <w:t>, gender, education years, averaged WMH volume, APOE-ε4 status, and time (</w:t>
      </w:r>
      <w:proofErr w:type="gramStart"/>
      <w:r w:rsidRPr="00C42146">
        <w:rPr>
          <w:rFonts w:ascii="Arial" w:hAnsi="Arial" w:cs="Arial"/>
          <w:color w:val="000000" w:themeColor="text1"/>
          <w:sz w:val="22"/>
          <w:szCs w:val="22"/>
        </w:rPr>
        <w:t>i.e.</w:t>
      </w:r>
      <w:proofErr w:type="gramEnd"/>
      <w:r w:rsidRPr="00C42146">
        <w:rPr>
          <w:rFonts w:ascii="Arial" w:hAnsi="Arial" w:cs="Arial"/>
          <w:color w:val="000000" w:themeColor="text1"/>
          <w:sz w:val="22"/>
          <w:szCs w:val="22"/>
        </w:rPr>
        <w:t xml:space="preserve"> demeaned within-subject age). 95% confidence intervals are illustrated by the blue and red boundaries in non-carriers and APOE-ε4 carriers respectively.</w:t>
      </w:r>
    </w:p>
    <w:p w14:paraId="12E9D99A" w14:textId="77777777" w:rsidR="00C42146" w:rsidRPr="00D144D7" w:rsidRDefault="00C42146" w:rsidP="00C42146">
      <w:pPr>
        <w:spacing w:line="360" w:lineRule="auto"/>
        <w:jc w:val="both"/>
        <w:rPr>
          <w:rFonts w:ascii="Arial" w:hAnsi="Arial" w:cs="Arial"/>
          <w:color w:val="000000" w:themeColor="text1"/>
          <w:sz w:val="22"/>
          <w:szCs w:val="22"/>
        </w:rPr>
      </w:pPr>
    </w:p>
    <w:p w14:paraId="304DB466" w14:textId="77777777" w:rsidR="00C42146" w:rsidRPr="00C42146" w:rsidRDefault="00C42146" w:rsidP="00C42146">
      <w:pPr>
        <w:spacing w:line="360" w:lineRule="auto"/>
        <w:jc w:val="both"/>
        <w:rPr>
          <w:rFonts w:ascii="Arial" w:hAnsi="Arial" w:cs="Arial"/>
          <w:color w:val="000000" w:themeColor="text1"/>
          <w:sz w:val="22"/>
          <w:szCs w:val="22"/>
        </w:rPr>
      </w:pPr>
      <w:r w:rsidRPr="00FB42D8">
        <w:rPr>
          <w:rFonts w:ascii="Arial" w:hAnsi="Arial" w:cs="Arial"/>
          <w:color w:val="000000" w:themeColor="text1"/>
          <w:sz w:val="22"/>
          <w:szCs w:val="22"/>
        </w:rPr>
        <w:t xml:space="preserve">Figure 3. Sandwich estimator voxel-wise modelling of white matter microstructural changes in relation to EYO. </w:t>
      </w:r>
      <w:r w:rsidRPr="00C42146">
        <w:rPr>
          <w:rFonts w:ascii="Arial" w:hAnsi="Arial" w:cs="Arial"/>
          <w:color w:val="000000" w:themeColor="text1"/>
          <w:sz w:val="22"/>
          <w:szCs w:val="22"/>
        </w:rPr>
        <w:t>Widespread extent of decreased FA, increased MD and RD were associated with nearer proximity to hypothetical age of onset of dementia in FH+. Images are shown in radiological convention. Abbreviations: EYO = Estimated years to onset of dementia, FA = Fractional anisotropy, MD = Mean diffusivity, RD = Radial diffusivity; TFCE = Threshold Free Cluster Enhancement, FWER = Family wise error rate.</w:t>
      </w:r>
    </w:p>
    <w:p w14:paraId="300E8386" w14:textId="77777777" w:rsidR="00C42146" w:rsidRPr="00EA5CF7" w:rsidRDefault="00C42146" w:rsidP="00C42146">
      <w:pPr>
        <w:spacing w:line="360" w:lineRule="auto"/>
        <w:jc w:val="both"/>
        <w:rPr>
          <w:rFonts w:ascii="Arial" w:hAnsi="Arial" w:cs="Arial"/>
          <w:color w:val="000000" w:themeColor="text1"/>
          <w:sz w:val="22"/>
          <w:szCs w:val="22"/>
        </w:rPr>
      </w:pPr>
    </w:p>
    <w:p w14:paraId="37D876AF" w14:textId="77777777" w:rsidR="00C42146" w:rsidRPr="00C42146" w:rsidRDefault="00C42146" w:rsidP="00C42146">
      <w:pPr>
        <w:spacing w:line="360" w:lineRule="auto"/>
        <w:jc w:val="both"/>
        <w:rPr>
          <w:rFonts w:ascii="Arial" w:hAnsi="Arial" w:cs="Arial"/>
          <w:color w:val="000000" w:themeColor="text1"/>
          <w:sz w:val="22"/>
          <w:szCs w:val="22"/>
        </w:rPr>
      </w:pPr>
      <w:r w:rsidRPr="00FB42D8">
        <w:rPr>
          <w:rFonts w:ascii="Arial" w:hAnsi="Arial" w:cs="Arial"/>
          <w:color w:val="000000" w:themeColor="text1"/>
          <w:sz w:val="22"/>
          <w:szCs w:val="22"/>
        </w:rPr>
        <w:t>Figure 4. Frequency maps of WMH distribution in our sample.</w:t>
      </w:r>
      <w:r w:rsidRPr="00C42146">
        <w:rPr>
          <w:rFonts w:ascii="Arial" w:hAnsi="Arial" w:cs="Arial"/>
          <w:color w:val="000000" w:themeColor="text1"/>
          <w:sz w:val="22"/>
          <w:szCs w:val="22"/>
        </w:rPr>
        <w:t xml:space="preserve"> Axial views demonstrate the mean pattern of WMH in our sample, overlaid on the T1-MNI152 template. The percentage of lesion probability is indicated by the colour bar. Abbreviation: WMH = White matter hyperintensities.</w:t>
      </w:r>
    </w:p>
    <w:p w14:paraId="064DEA99" w14:textId="77777777" w:rsidR="00C42146" w:rsidRPr="00EA5CF7" w:rsidRDefault="00C42146" w:rsidP="00C42146">
      <w:pPr>
        <w:spacing w:line="360" w:lineRule="auto"/>
        <w:jc w:val="both"/>
        <w:rPr>
          <w:rFonts w:ascii="Arial" w:hAnsi="Arial" w:cs="Arial"/>
          <w:color w:val="000000" w:themeColor="text1"/>
          <w:sz w:val="22"/>
          <w:szCs w:val="22"/>
        </w:rPr>
      </w:pPr>
    </w:p>
    <w:p w14:paraId="762DACF2" w14:textId="3BA4F899" w:rsidR="00C42146" w:rsidRPr="00C42146" w:rsidRDefault="00C42146" w:rsidP="00C42146">
      <w:pPr>
        <w:spacing w:line="360" w:lineRule="auto"/>
        <w:jc w:val="both"/>
        <w:rPr>
          <w:rFonts w:ascii="Arial" w:hAnsi="Arial" w:cs="Arial"/>
          <w:color w:val="000000" w:themeColor="text1"/>
          <w:sz w:val="22"/>
          <w:szCs w:val="22"/>
        </w:rPr>
      </w:pPr>
      <w:r w:rsidRPr="00FB42D8">
        <w:rPr>
          <w:rFonts w:ascii="Arial" w:hAnsi="Arial" w:cs="Arial"/>
          <w:color w:val="000000" w:themeColor="text1"/>
          <w:sz w:val="22"/>
          <w:szCs w:val="22"/>
        </w:rPr>
        <w:lastRenderedPageBreak/>
        <w:t xml:space="preserve">Figure 5. </w:t>
      </w:r>
      <w:r w:rsidR="008120F4">
        <w:rPr>
          <w:rFonts w:ascii="Arial" w:hAnsi="Arial" w:cs="Arial"/>
          <w:color w:val="000000" w:themeColor="text1"/>
          <w:sz w:val="22"/>
          <w:szCs w:val="22"/>
        </w:rPr>
        <w:t>Associations of EYO with cerebral perfusion changes</w:t>
      </w:r>
      <w:r w:rsidRPr="00FB42D8">
        <w:rPr>
          <w:rFonts w:ascii="Arial" w:hAnsi="Arial" w:cs="Arial"/>
          <w:color w:val="000000" w:themeColor="text1"/>
          <w:sz w:val="22"/>
          <w:szCs w:val="22"/>
        </w:rPr>
        <w:t xml:space="preserve">. </w:t>
      </w:r>
      <w:r w:rsidRPr="00C42146">
        <w:rPr>
          <w:rFonts w:ascii="Arial" w:hAnsi="Arial" w:cs="Arial"/>
          <w:color w:val="000000" w:themeColor="text1"/>
          <w:sz w:val="22"/>
          <w:szCs w:val="22"/>
        </w:rPr>
        <w:t>A: After adjusting for averaged age, age</w:t>
      </w:r>
      <w:r w:rsidRPr="00C42146">
        <w:rPr>
          <w:rFonts w:ascii="Arial" w:hAnsi="Arial" w:cs="Arial"/>
          <w:color w:val="000000" w:themeColor="text1"/>
          <w:sz w:val="22"/>
          <w:szCs w:val="22"/>
          <w:vertAlign w:val="superscript"/>
        </w:rPr>
        <w:t>2</w:t>
      </w:r>
      <w:r w:rsidRPr="00C42146">
        <w:rPr>
          <w:rFonts w:ascii="Arial" w:hAnsi="Arial" w:cs="Arial"/>
          <w:color w:val="000000" w:themeColor="text1"/>
          <w:sz w:val="22"/>
          <w:szCs w:val="22"/>
        </w:rPr>
        <w:t>, gender, education years, and time, there was a significant EYO x APOE-</w:t>
      </w:r>
      <w:r w:rsidRPr="00C42146">
        <w:rPr>
          <w:rFonts w:ascii="Arial" w:hAnsi="Arial" w:cs="Arial"/>
          <w:color w:val="000000" w:themeColor="text1"/>
          <w:sz w:val="22"/>
          <w:szCs w:val="22"/>
          <w:lang w:val="el-GR"/>
        </w:rPr>
        <w:t>ε</w:t>
      </w:r>
      <w:r w:rsidRPr="00C42146">
        <w:rPr>
          <w:rFonts w:ascii="Arial" w:hAnsi="Arial" w:cs="Arial"/>
          <w:color w:val="000000" w:themeColor="text1"/>
          <w:sz w:val="22"/>
          <w:szCs w:val="22"/>
        </w:rPr>
        <w:t xml:space="preserve">4 interaction, indicating a pattern of </w:t>
      </w:r>
      <w:proofErr w:type="spellStart"/>
      <w:r w:rsidRPr="00C42146">
        <w:rPr>
          <w:rFonts w:ascii="Arial" w:hAnsi="Arial" w:cs="Arial"/>
          <w:color w:val="000000" w:themeColor="text1"/>
          <w:sz w:val="22"/>
          <w:szCs w:val="22"/>
        </w:rPr>
        <w:t>hyperperfusion</w:t>
      </w:r>
      <w:proofErr w:type="spellEnd"/>
      <w:r w:rsidRPr="00C42146">
        <w:rPr>
          <w:rFonts w:ascii="Arial" w:hAnsi="Arial" w:cs="Arial"/>
          <w:color w:val="000000" w:themeColor="text1"/>
          <w:sz w:val="22"/>
          <w:szCs w:val="22"/>
        </w:rPr>
        <w:t xml:space="preserve"> as APOE-</w:t>
      </w:r>
      <w:r w:rsidRPr="00C42146">
        <w:rPr>
          <w:rFonts w:ascii="Arial" w:hAnsi="Arial" w:cs="Arial"/>
          <w:color w:val="000000" w:themeColor="text1"/>
          <w:sz w:val="22"/>
          <w:szCs w:val="22"/>
          <w:lang w:val="el-GR"/>
        </w:rPr>
        <w:t>ε</w:t>
      </w:r>
      <w:r w:rsidRPr="00C42146">
        <w:rPr>
          <w:rFonts w:ascii="Arial" w:hAnsi="Arial" w:cs="Arial"/>
          <w:color w:val="000000" w:themeColor="text1"/>
          <w:sz w:val="22"/>
          <w:szCs w:val="22"/>
        </w:rPr>
        <w:t>4 carriers approached the hypothetical age of onset of dementia. 95% confidence intervals are illustrated by the blue and red boundaries in non-carriers and APOE-</w:t>
      </w:r>
      <w:r w:rsidRPr="00C42146">
        <w:rPr>
          <w:rFonts w:ascii="Arial" w:hAnsi="Arial" w:cs="Arial"/>
          <w:color w:val="000000" w:themeColor="text1"/>
          <w:sz w:val="22"/>
          <w:szCs w:val="22"/>
          <w:lang w:val="el-GR"/>
        </w:rPr>
        <w:t>ε</w:t>
      </w:r>
      <w:r w:rsidRPr="00C42146">
        <w:rPr>
          <w:rFonts w:ascii="Arial" w:hAnsi="Arial" w:cs="Arial"/>
          <w:color w:val="000000" w:themeColor="text1"/>
          <w:sz w:val="22"/>
          <w:szCs w:val="22"/>
        </w:rPr>
        <w:t xml:space="preserve">4 carriers respectively. B: </w:t>
      </w:r>
      <w:proofErr w:type="spellStart"/>
      <w:r w:rsidRPr="00C42146">
        <w:rPr>
          <w:rFonts w:ascii="Arial" w:hAnsi="Arial" w:cs="Arial"/>
          <w:color w:val="000000" w:themeColor="text1"/>
          <w:sz w:val="22"/>
          <w:szCs w:val="22"/>
        </w:rPr>
        <w:t>SwE</w:t>
      </w:r>
      <w:proofErr w:type="spellEnd"/>
      <w:r w:rsidRPr="00C42146">
        <w:rPr>
          <w:rFonts w:ascii="Arial" w:hAnsi="Arial" w:cs="Arial"/>
          <w:color w:val="000000" w:themeColor="text1"/>
          <w:sz w:val="22"/>
          <w:szCs w:val="22"/>
        </w:rPr>
        <w:t xml:space="preserve"> voxel-wise modelling of EYO x APOE-ε4 interactions on cerebral perfusion.</w:t>
      </w:r>
      <w:r w:rsidRPr="00FB42D8">
        <w:rPr>
          <w:rFonts w:ascii="Arial" w:hAnsi="Arial" w:cs="Arial"/>
          <w:color w:val="000000" w:themeColor="text1"/>
          <w:sz w:val="22"/>
          <w:szCs w:val="22"/>
        </w:rPr>
        <w:t xml:space="preserve"> </w:t>
      </w:r>
      <w:r w:rsidRPr="00C42146">
        <w:rPr>
          <w:rFonts w:ascii="Arial" w:hAnsi="Arial" w:cs="Arial"/>
          <w:color w:val="000000" w:themeColor="text1"/>
          <w:sz w:val="22"/>
          <w:szCs w:val="22"/>
        </w:rPr>
        <w:t xml:space="preserve">Images are shown in radiological convention. Abbreviation: EYO = Estimated years to onset of dementia; FH+ = Individuals with a family history of dementia, ASL = Arterial Spin Labelling, TFCE = Threshold Free Cluster Enhancement, FWER = Family wise error rate; </w:t>
      </w:r>
      <w:proofErr w:type="spellStart"/>
      <w:r w:rsidRPr="00C42146">
        <w:rPr>
          <w:rFonts w:ascii="Arial" w:hAnsi="Arial" w:cs="Arial"/>
          <w:color w:val="000000" w:themeColor="text1"/>
          <w:sz w:val="22"/>
          <w:szCs w:val="22"/>
        </w:rPr>
        <w:t>SwE</w:t>
      </w:r>
      <w:proofErr w:type="spellEnd"/>
      <w:r w:rsidRPr="00C42146">
        <w:rPr>
          <w:rFonts w:ascii="Arial" w:hAnsi="Arial" w:cs="Arial"/>
          <w:color w:val="000000" w:themeColor="text1"/>
          <w:sz w:val="22"/>
          <w:szCs w:val="22"/>
        </w:rPr>
        <w:t xml:space="preserve"> = Sandwich Estimator.</w:t>
      </w:r>
    </w:p>
    <w:p w14:paraId="5150B70D" w14:textId="77777777" w:rsidR="00C42146" w:rsidRDefault="00C42146" w:rsidP="00C42146">
      <w:pPr>
        <w:spacing w:line="360" w:lineRule="auto"/>
        <w:jc w:val="both"/>
        <w:rPr>
          <w:rFonts w:ascii="Arial" w:hAnsi="Arial" w:cs="Arial"/>
          <w:color w:val="000000" w:themeColor="text1"/>
          <w:sz w:val="22"/>
          <w:szCs w:val="22"/>
        </w:rPr>
      </w:pPr>
    </w:p>
    <w:p w14:paraId="208B405F" w14:textId="2865D605" w:rsidR="00C42146" w:rsidRPr="00C42146" w:rsidRDefault="00C42146" w:rsidP="00C42146">
      <w:pPr>
        <w:spacing w:line="360" w:lineRule="auto"/>
        <w:jc w:val="both"/>
        <w:rPr>
          <w:rFonts w:ascii="Arial" w:hAnsi="Arial" w:cs="Arial"/>
          <w:color w:val="000000" w:themeColor="text1"/>
          <w:sz w:val="22"/>
          <w:szCs w:val="22"/>
        </w:rPr>
      </w:pPr>
      <w:r w:rsidRPr="00FB42D8">
        <w:rPr>
          <w:rFonts w:ascii="Arial" w:hAnsi="Arial" w:cs="Arial"/>
          <w:color w:val="000000" w:themeColor="text1"/>
          <w:sz w:val="22"/>
          <w:szCs w:val="22"/>
        </w:rPr>
        <w:t>Figure 6. Scatter plots of the associations between grey matter perfusion and global white matter indices.</w:t>
      </w:r>
      <w:r w:rsidRPr="00C42146">
        <w:rPr>
          <w:rFonts w:ascii="Arial" w:hAnsi="Arial" w:cs="Arial"/>
          <w:color w:val="000000" w:themeColor="text1"/>
          <w:sz w:val="22"/>
          <w:szCs w:val="22"/>
        </w:rPr>
        <w:t xml:space="preserve"> 95% confidence intervals are illustrated by the green and purple boundaries in non-carriers and APOE-</w:t>
      </w:r>
      <w:r w:rsidRPr="00C42146">
        <w:rPr>
          <w:rFonts w:ascii="Arial" w:hAnsi="Arial" w:cs="Arial"/>
          <w:color w:val="000000" w:themeColor="text1"/>
          <w:sz w:val="22"/>
          <w:szCs w:val="22"/>
          <w:lang w:val="el-GR"/>
        </w:rPr>
        <w:t>ε</w:t>
      </w:r>
      <w:r w:rsidRPr="00C42146">
        <w:rPr>
          <w:rFonts w:ascii="Arial" w:hAnsi="Arial" w:cs="Arial"/>
          <w:color w:val="000000" w:themeColor="text1"/>
          <w:sz w:val="22"/>
          <w:szCs w:val="22"/>
        </w:rPr>
        <w:t>4 carriers respectively. Abbreviation: FH+ = Individuals with a family history of dementia; FA = Fractional anisotropy, MD = Mean diffusivity, RD = Radial diffusivity.</w:t>
      </w:r>
    </w:p>
    <w:p w14:paraId="19313D67" w14:textId="77777777" w:rsidR="00C42146" w:rsidRDefault="00C42146" w:rsidP="00C42146">
      <w:pPr>
        <w:tabs>
          <w:tab w:val="left" w:pos="3428"/>
        </w:tabs>
        <w:spacing w:line="360" w:lineRule="auto"/>
        <w:jc w:val="both"/>
        <w:outlineLvl w:val="0"/>
        <w:rPr>
          <w:rFonts w:ascii="Arial" w:hAnsi="Arial" w:cs="Arial"/>
          <w:b/>
          <w:bCs/>
          <w:color w:val="000000" w:themeColor="text1"/>
          <w:sz w:val="22"/>
          <w:szCs w:val="22"/>
        </w:rPr>
      </w:pPr>
    </w:p>
    <w:p w14:paraId="110D5770" w14:textId="761E1E2F" w:rsidR="00C42146" w:rsidRPr="00C42146" w:rsidRDefault="00C42146" w:rsidP="00C42146">
      <w:pPr>
        <w:tabs>
          <w:tab w:val="left" w:pos="3428"/>
        </w:tabs>
        <w:spacing w:line="360" w:lineRule="auto"/>
        <w:jc w:val="both"/>
        <w:outlineLvl w:val="0"/>
        <w:rPr>
          <w:rFonts w:ascii="Arial" w:hAnsi="Arial" w:cs="Arial"/>
          <w:color w:val="000000" w:themeColor="text1"/>
          <w:sz w:val="22"/>
          <w:szCs w:val="22"/>
        </w:rPr>
      </w:pPr>
      <w:r w:rsidRPr="00FB42D8">
        <w:rPr>
          <w:rFonts w:ascii="Arial" w:hAnsi="Arial" w:cs="Arial"/>
          <w:color w:val="000000" w:themeColor="text1"/>
          <w:sz w:val="22"/>
          <w:szCs w:val="22"/>
        </w:rPr>
        <w:t>Figure 7. Comparing the spatial extent of FA changes with age and EYO</w:t>
      </w:r>
      <w:r w:rsidRPr="00C42146">
        <w:rPr>
          <w:rFonts w:ascii="Arial" w:hAnsi="Arial" w:cs="Arial"/>
          <w:color w:val="000000" w:themeColor="text1"/>
          <w:sz w:val="22"/>
          <w:szCs w:val="22"/>
        </w:rPr>
        <w:t xml:space="preserve">. </w:t>
      </w:r>
      <w:proofErr w:type="spellStart"/>
      <w:r w:rsidRPr="00C42146">
        <w:rPr>
          <w:rFonts w:ascii="Arial" w:hAnsi="Arial" w:cs="Arial"/>
          <w:color w:val="000000" w:themeColor="text1"/>
          <w:sz w:val="22"/>
          <w:szCs w:val="22"/>
        </w:rPr>
        <w:t>Binarised</w:t>
      </w:r>
      <w:proofErr w:type="spellEnd"/>
      <w:r w:rsidRPr="00C42146">
        <w:rPr>
          <w:rFonts w:ascii="Arial" w:hAnsi="Arial" w:cs="Arial"/>
          <w:color w:val="000000" w:themeColor="text1"/>
          <w:sz w:val="22"/>
          <w:szCs w:val="22"/>
        </w:rPr>
        <w:t xml:space="preserve"> maps of the TFCE corrected maps are shown. </w:t>
      </w:r>
      <w:r w:rsidR="00BA2E84">
        <w:rPr>
          <w:rFonts w:ascii="Arial" w:hAnsi="Arial" w:cs="Arial"/>
          <w:color w:val="000000" w:themeColor="text1"/>
          <w:sz w:val="22"/>
          <w:szCs w:val="22"/>
        </w:rPr>
        <w:t>Older age</w:t>
      </w:r>
      <w:r w:rsidRPr="00C42146">
        <w:rPr>
          <w:rFonts w:ascii="Arial" w:hAnsi="Arial" w:cs="Arial"/>
          <w:color w:val="000000" w:themeColor="text1"/>
          <w:sz w:val="22"/>
          <w:szCs w:val="22"/>
        </w:rPr>
        <w:t xml:space="preserve"> correlated with FA reductions primarily in the corpus callosum, whereas EYO was associated with a broader extent of FA reductions that encompassed the corpus callosum, inferior and superior longitudinal fasciculus, cingulum, inferior </w:t>
      </w:r>
      <w:proofErr w:type="spellStart"/>
      <w:r w:rsidRPr="00C42146">
        <w:rPr>
          <w:rFonts w:ascii="Arial" w:hAnsi="Arial" w:cs="Arial"/>
          <w:color w:val="000000" w:themeColor="text1"/>
          <w:sz w:val="22"/>
          <w:szCs w:val="22"/>
        </w:rPr>
        <w:t>fronto</w:t>
      </w:r>
      <w:proofErr w:type="spellEnd"/>
      <w:r w:rsidRPr="00C42146">
        <w:rPr>
          <w:rFonts w:ascii="Arial" w:hAnsi="Arial" w:cs="Arial"/>
          <w:color w:val="000000" w:themeColor="text1"/>
          <w:sz w:val="22"/>
          <w:szCs w:val="22"/>
        </w:rPr>
        <w:t>-occipital fasciculus and corticospinal tract. Abbreviations: EYO = Estimated years to onset of dementia, FA = Fractional anisotropy. TFCE = Threshold Free Cluster Enhancement, FWER = Family wise error rate.</w:t>
      </w:r>
    </w:p>
    <w:p w14:paraId="47E00DF2" w14:textId="77777777" w:rsidR="00C42146" w:rsidRPr="00D144D7" w:rsidRDefault="00C42146" w:rsidP="00C42146">
      <w:pPr>
        <w:spacing w:line="360" w:lineRule="auto"/>
        <w:jc w:val="both"/>
        <w:rPr>
          <w:rFonts w:ascii="Arial" w:hAnsi="Arial" w:cs="Arial"/>
          <w:color w:val="000000" w:themeColor="text1"/>
          <w:sz w:val="22"/>
          <w:szCs w:val="22"/>
        </w:rPr>
      </w:pPr>
    </w:p>
    <w:p w14:paraId="7983E7D5" w14:textId="77777777" w:rsidR="00C42146" w:rsidRPr="002C4DC2" w:rsidRDefault="00C42146" w:rsidP="00C42146">
      <w:pPr>
        <w:spacing w:line="360" w:lineRule="auto"/>
        <w:jc w:val="both"/>
        <w:rPr>
          <w:rFonts w:ascii="Arial" w:hAnsi="Arial" w:cs="Arial"/>
          <w:color w:val="000000" w:themeColor="text1"/>
          <w:sz w:val="22"/>
          <w:szCs w:val="22"/>
        </w:rPr>
      </w:pPr>
      <w:r w:rsidRPr="00FB42D8">
        <w:rPr>
          <w:rFonts w:ascii="Arial" w:hAnsi="Arial" w:cs="Arial"/>
          <w:color w:val="000000" w:themeColor="text1"/>
          <w:sz w:val="22"/>
          <w:szCs w:val="22"/>
        </w:rPr>
        <w:t>Figure 8. Proximity to dementia is the predominant contributor to white matter changes compared to age and APOE-ε4 status.</w:t>
      </w:r>
      <w:r w:rsidRPr="002C4DC2">
        <w:rPr>
          <w:rFonts w:ascii="Arial" w:hAnsi="Arial" w:cs="Arial"/>
          <w:color w:val="000000" w:themeColor="text1"/>
          <w:sz w:val="22"/>
          <w:szCs w:val="22"/>
        </w:rPr>
        <w:t xml:space="preserve"> FH+ individuals who are less than 25 years to estimated onset showed significantly reduced white matter FA compared to FH+ individuals who are ≥ 25 years away from estimated onset. EYO group had the largest effect size relative to age group and APOE-ε4 status. Abbreviation: FA = Fractional Anisotropy, EYO = Estimated years to onset.</w:t>
      </w:r>
    </w:p>
    <w:p w14:paraId="61CBD21F" w14:textId="77777777" w:rsidR="00C42146" w:rsidRPr="00F10F41" w:rsidRDefault="00C42146" w:rsidP="00FB42D8">
      <w:pPr>
        <w:spacing w:line="360" w:lineRule="auto"/>
        <w:rPr>
          <w:rFonts w:ascii="Arial" w:hAnsi="Arial" w:cs="Arial"/>
          <w:color w:val="000000" w:themeColor="text1"/>
          <w:sz w:val="22"/>
          <w:szCs w:val="22"/>
        </w:rPr>
      </w:pPr>
    </w:p>
    <w:p w14:paraId="7EF216B6" w14:textId="193A81F3" w:rsidR="00A72ED8" w:rsidRPr="00F10F41" w:rsidRDefault="00A72ED8" w:rsidP="00607733">
      <w:pPr>
        <w:widowControl w:val="0"/>
        <w:autoSpaceDE w:val="0"/>
        <w:autoSpaceDN w:val="0"/>
        <w:adjustRightInd w:val="0"/>
        <w:spacing w:after="200" w:line="360" w:lineRule="auto"/>
        <w:jc w:val="both"/>
        <w:rPr>
          <w:rFonts w:ascii="Arial" w:hAnsi="Arial" w:cs="Arial"/>
          <w:b/>
          <w:bCs/>
          <w:color w:val="000000" w:themeColor="text1"/>
          <w:sz w:val="30"/>
          <w:szCs w:val="30"/>
        </w:rPr>
      </w:pPr>
      <w:r w:rsidRPr="00F10F41">
        <w:rPr>
          <w:rFonts w:ascii="Arial" w:hAnsi="Arial" w:cs="Arial"/>
          <w:b/>
          <w:bCs/>
          <w:color w:val="000000" w:themeColor="text1"/>
          <w:sz w:val="30"/>
          <w:szCs w:val="30"/>
        </w:rPr>
        <w:t>REFERENCES</w:t>
      </w:r>
    </w:p>
    <w:p w14:paraId="503243A7" w14:textId="41157CEA" w:rsidR="004834BE" w:rsidRPr="004834BE" w:rsidRDefault="00A72ED8" w:rsidP="004834BE">
      <w:pPr>
        <w:widowControl w:val="0"/>
        <w:autoSpaceDE w:val="0"/>
        <w:autoSpaceDN w:val="0"/>
        <w:adjustRightInd w:val="0"/>
        <w:spacing w:after="200" w:line="360" w:lineRule="auto"/>
        <w:ind w:left="480" w:hanging="480"/>
        <w:rPr>
          <w:rFonts w:ascii="Arial" w:hAnsi="Arial" w:cs="Arial"/>
          <w:noProof/>
          <w:sz w:val="22"/>
        </w:rPr>
      </w:pPr>
      <w:r w:rsidRPr="00F10F41">
        <w:rPr>
          <w:rFonts w:ascii="Arial" w:hAnsi="Arial" w:cs="Arial"/>
          <w:color w:val="000000" w:themeColor="text1"/>
          <w:sz w:val="22"/>
          <w:szCs w:val="22"/>
        </w:rPr>
        <w:fldChar w:fldCharType="begin" w:fldLock="1"/>
      </w:r>
      <w:r w:rsidRPr="00F10F41">
        <w:rPr>
          <w:rFonts w:ascii="Arial" w:hAnsi="Arial" w:cs="Arial"/>
          <w:color w:val="000000" w:themeColor="text1"/>
          <w:sz w:val="22"/>
          <w:szCs w:val="22"/>
        </w:rPr>
        <w:instrText xml:space="preserve">ADDIN Mendeley Bibliography CSL_BIBLIOGRAPHY </w:instrText>
      </w:r>
      <w:r w:rsidRPr="00F10F41">
        <w:rPr>
          <w:rFonts w:ascii="Arial" w:hAnsi="Arial" w:cs="Arial"/>
          <w:color w:val="000000" w:themeColor="text1"/>
          <w:sz w:val="22"/>
          <w:szCs w:val="22"/>
        </w:rPr>
        <w:fldChar w:fldCharType="separate"/>
      </w:r>
      <w:r w:rsidR="004834BE" w:rsidRPr="004834BE">
        <w:rPr>
          <w:rFonts w:ascii="Arial" w:hAnsi="Arial" w:cs="Arial"/>
          <w:noProof/>
          <w:sz w:val="22"/>
        </w:rPr>
        <w:t>Acosta-Cabronero, J., Williams, G.B., Pengas, G., Nestor, P.J., 2010. Absolute diffusivities define the landscape of white matter degeneration in Alzheimer’s disease. Brain 133, 529–539. https://doi.org/10.1093/brain/awp257</w:t>
      </w:r>
    </w:p>
    <w:p w14:paraId="335A4273"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Adluru, N., Destiche, D.J., Lu, S.Y.F., Doran, S.T., Birdsill, A.C., Melah, K.E., Okonkwo, </w:t>
      </w:r>
      <w:r w:rsidRPr="004834BE">
        <w:rPr>
          <w:rFonts w:ascii="Arial" w:hAnsi="Arial" w:cs="Arial"/>
          <w:noProof/>
          <w:sz w:val="22"/>
        </w:rPr>
        <w:lastRenderedPageBreak/>
        <w:t>O.C., Alexander, A.L., Dowling, N.M., Johnson, S.C., Sager, M.A., Bendlin, B.B., 2014. White matter microstructure in late middle-age: Effects of apolipoprotein E4 and parental family history of Alzheimer’s disease. NeuroImage Clin. 4, 730–742. https://doi.org/10.1016/j.nicl.2014.04.008</w:t>
      </w:r>
    </w:p>
    <w:p w14:paraId="28B3F505"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Alsop, D.C., Casement, M., de Bazelaire, C., Fong, T., Press, D.Z., 2008. Hippocampal hyperperfusion in Alzheimer’s disease. Neuroimage 42, 1267–1274. https://doi.org/10.1016/j.neuroimage.2008.06.006</w:t>
      </w:r>
    </w:p>
    <w:p w14:paraId="1ACB7FF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Alsop, D.C., Dai, W., Grossman, M., Detre, J.A., 2010. Arterial spin labeling blood flow MRI: Its Role in the early characterization of Alzheimer’s disease. J. Alzheimer’s Dis. https://doi.org/10.3233/JAD-2010-091699</w:t>
      </w:r>
    </w:p>
    <w:p w14:paraId="0BF99EBF"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Alsop, D.C., Detre, J.A., Golay, X., Günther, M., Hendrikse, J., Hernandez-Garcia, L., Lu, H., MacIntosh, B.J., Parkes, L.M., Smits, M., van Osch, M.J.P., Wang, D.J.J., Wong, E.C., Zaharchuk, G., 2015. Recommended implementation of arterial spin-labeled perfusion MRI for clinical applications: A consensus of the ISMRM perfusion study group and the European consortium for ASL in dementia. Magn. Reson. Med. 73, 102–116. https://doi.org/10.1002/mrm.25197</w:t>
      </w:r>
    </w:p>
    <w:p w14:paraId="024BC1B5"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Andersson, J.L.R., Graham, M.S., Drobnjak, I., Zhang, H., Filippini, N., Bastiani, M., 2017. Towards a comprehensive framework for movement and distortion correction of diffusion MR images: Within volume movement. Neuroimage 152, 450–466. https://doi.org/10.1016/j.neuroimage.2017.02.085</w:t>
      </w:r>
    </w:p>
    <w:p w14:paraId="2F52F8B3"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Andersson, J.L.R., Graham, M.S., Zsoldos, E., Sotiropoulos, S.N., 2016. Incorporating outlier detection and replacement into a non-parametric framework for movement and distortion correction of diffusion MR images. Neuroimage 141, 556–572. https://doi.org/10.1016/j.neuroimage.2016.06.058</w:t>
      </w:r>
    </w:p>
    <w:p w14:paraId="1D1BAA7F"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Ashburner, J., 2007. A fast diffeomorphic image registration algorithm. Neuroimage 38, 95–113. https://doi.org/10.1016/j.neuroimage.2007.07.007</w:t>
      </w:r>
    </w:p>
    <w:p w14:paraId="49688ED9"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Bangen, K.J., Restom, K., Liu, T.T., Wierenga, C.E., Jak, A.J., Salmon, D.P., Bondi, M.W., 2012. Assessment of Alzheimer’s disease risk with functional magnetic resonance imaging: An arterial spin labeling study. J. Alzheimer’s Dis. https://doi.org/10.3233/JAD-2012-120292</w:t>
      </w:r>
    </w:p>
    <w:p w14:paraId="4B3CE3F6"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Bateman, R.J., Xiong, C., Benzinger, T.L.S., Fagan, A.M., Goate, A., Fox, N.C., Marcus, D.S., Cairns, N.J., Xie, X., Blazey, T.M., Holtzman, D.M., Santacruz, A., Buckles, V., </w:t>
      </w:r>
      <w:r w:rsidRPr="004834BE">
        <w:rPr>
          <w:rFonts w:ascii="Arial" w:hAnsi="Arial" w:cs="Arial"/>
          <w:noProof/>
          <w:sz w:val="22"/>
        </w:rPr>
        <w:lastRenderedPageBreak/>
        <w:t>Oliver, A., Moulder, K., Aisen, P.S., Ghetti, B., Klunk, W.E., McDade, E., Martins, R.N., Masters, C.L., Mayeux, R., Ringman, J.M., Rossor, M.N., Schofield, P.R., Sperling, R.A., Salloway, S., Morris, J.C., 2012. Clinical and biomarker changes in dominantly inherited Alzheimer’s disease. N. Engl. J. Med. 367, 795–804. https://doi.org/10.1056/NEJMoa1202753</w:t>
      </w:r>
    </w:p>
    <w:p w14:paraId="7A0238FE"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Bates, D., Mächler, M., Bolker, B., Walker, S., 2015. Fitting Linear Mixed-Effects Models Using lme4. J. Stat. Softw. 67, 1–48. https://doi.org/10.18637/jss.v067.i01</w:t>
      </w:r>
    </w:p>
    <w:p w14:paraId="4251664E"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Bennett, I.J., Madden, D.J., Vaidya, C.J., Howard, D. V., Howard, J.H., 2010. Age-related differences in multiple measures of white matter integrity: A diffusion tensor imaging study of healthy aging. Hum. Brain Mapp. https://doi.org/10.1002/hbm.20872</w:t>
      </w:r>
    </w:p>
    <w:p w14:paraId="47CE85E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Benzinger, T.L.S., Blazey, T., Jack, C.R., Koeppe, R.A., Su, Y., Xiong, C., Raichle, M.E., Snyder, A.Z., Ances, B.M., Bateman, R.J., Cairns, N.J., Fagan, A.M., Goate, A., Marcus, D.S., Aisen, P.S., Christensen, J.J., Ercole, L., Hornbeck, R.C., Farrar, A.M., Aldea, P., Jasielec, M.S., Owen, C.J., Xie, X., Mayeux, R., Brickman, A., McDade, E., Klunk, W., Mathis, C.A., Ringman, J., Thompson, P.M., Ghetti, B., Saykin, A.J., Sperling, R.A., Johnson, K.A., Salloway, S., Correia, S., Schofield, P.R., Masters, C.L., Rowe, C., Villemagne, V.L., Martins, R., Ourselin, S., Rossor, M.N., Fox, N.C., Cash, D.M., Weiner, M.W., Holtzman, D.M., Buckles, V.D., Moulder, K., Morris, J.C., 2013. Regional variability of imaging biomarkers in autosomal dominant Alzheimer’s disease. Proc. Natl. Acad. Sci. U. S. A. 110, E4502-9. https://doi.org/10.1073/pnas.1317918110</w:t>
      </w:r>
    </w:p>
    <w:p w14:paraId="58F36793"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Buxton, R.B., Frank, L.R., Wong, E.C., Siewert, B., Warach, S., Edelman, R.R., 1998. A general kinetic model for quantitative perfusion imaging with arterial spin labeling. Magn. Reson. Med. 40, 383–396. https://doi.org/10.1002/mrm.1910400308</w:t>
      </w:r>
    </w:p>
    <w:p w14:paraId="0CD953E3"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Caballero, M.Á.A., Suárez-Calvet, M., Duering, M., Franzmeier, N., Benzinger, T., Fagan, A.M., Bateman, R.J., Jack, C.R., Levin, J., Dichgans, M., Jucker, M., Karch, C., Masters, C.L., Morris, J.C., Weiner, M., Rossor, M., Fox, N.C., Lee, J.H., Salloway, S., Danek, A., Goate, A., Yakushev, I., Hassenstab, J., Schofield, P.R., Haass, C., Ewers, M., 2018. White matter diffusion alterations precede symptom onset in autosomal dominant Alzheimer’s disease. Brain 141, 3065–3080. https://doi.org/10.1093/brain/awy229</w:t>
      </w:r>
    </w:p>
    <w:p w14:paraId="0873EB02"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Cash, D.M., Ridgway, G.R., Liang, Y., Ryan, N.S., Kinnunen, K.M., Yeatman, T., Malone, I.B., Benzinger, T.L.S., Jack, C.R., Thompson, P.M., Ghetti, B.F., Saykin, A.J., Masters, C.L., Ringman, J.M., Salloway, S.P., Schofield, P.R., Sperling, R.A., Cairns, N.J., </w:t>
      </w:r>
      <w:r w:rsidRPr="004834BE">
        <w:rPr>
          <w:rFonts w:ascii="Arial" w:hAnsi="Arial" w:cs="Arial"/>
          <w:noProof/>
          <w:sz w:val="22"/>
        </w:rPr>
        <w:lastRenderedPageBreak/>
        <w:t>Marcus, D.S., Xiong, C., Bateman, R.J., Morris, J.C., Rossor, M.N., Ourselin, S., Fox, N.C., 2013. The pattern of atrophy in familial alzheimer disease: Volumetric MRI results from the DIAN study. Neurology 81, 1425–1433. https://doi.org/10.1212/WNL.0b013e3182a841c6</w:t>
      </w:r>
    </w:p>
    <w:p w14:paraId="620B6066"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Chappell, M.A., Groves, A.R., MacIntosh, B.J., Donahue, M.J., Jezzard, P., Woolrich, M.W., 2011. Partial volume correction of multiple inversion time arterial spin labeling MRI data. Magn. Reson. Med. 65, 1173–1183. https://doi.org/10.1002/mrm.22641</w:t>
      </w:r>
    </w:p>
    <w:p w14:paraId="697E1D7E"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Chappell, M.A., Groves, A.R., Whitcher, B., Woolrich, M.W., 2009. Variational Bayesian Inference for a Nonlinear Forward Model. IEEE Trans. Signal Process. 57, 223–236. https://doi.org/10.1109/TSP.2008.2005752</w:t>
      </w:r>
    </w:p>
    <w:p w14:paraId="263E4EF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Clark, A.L., Bangen, K.J., Sorg, S.F., Schiehser, D.M., Evangelista, N.D., McKenna, B., Liu, T.T., Delano-Wood, L., 2017. Dynamic association between perfusion and white matter integrity across time since injury in Veterans with history of TBI. NeuroImage Clin. 14, 308–315. https://doi.org/10.1016/j.nicl.2016.12.017</w:t>
      </w:r>
    </w:p>
    <w:p w14:paraId="3F67BAD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Day, G.S., Cruchaga, C., Wingo, T., Schindler, S.E., Coble, D., Morris, J.C., 2019. Association of Acquired and Heritable Factors With Intergenerational Differences in Age at Symptomatic Onset of Alzheimer Disease Between Offspring and Parents With Dementia. JAMA Netw. open 2, e1913491. https://doi.org/10.1001/jamanetworkopen.2019.13491</w:t>
      </w:r>
    </w:p>
    <w:p w14:paraId="09786A0F"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Dolui, S., Vidorreta, M., Wang, Z., Nasrallah, I.M., Alavi, A., Wolk, D.A., Detre, J.A., 2017. Comparison of PASL, PCASL, and background-suppressed 3D PCASL in mild cognitive impairment. Hum. Brain Mapp. 38, 5260–5273. https://doi.org/10.1002/hbm.23732</w:t>
      </w:r>
    </w:p>
    <w:p w14:paraId="6B8976A5"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Fazlollahi, A., Calamante, F., Liang, X., Bourgeat, P., Raniga, P., Dore, V., Fripp, J., Ames, D., Masters, C.L., Rowe, C.C., Connelly, A., Villemagne, V.L., Salvado, O., 2020. Increased cerebral blood flow with increased amyloid burden in the preclinical phase of alzheimer’s disease. J. Magn. Reson. Imaging. https://doi.org/10.1002/jmri.26810</w:t>
      </w:r>
    </w:p>
    <w:p w14:paraId="139996C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Firbank, M.J., Minett, T., O’Brien, J.T., 2003. Changes in DWI and MRS associated with white matter hyperintensities in elderly subjects. Neurology 61, 950–954.</w:t>
      </w:r>
    </w:p>
    <w:p w14:paraId="063AD785"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Fischl, B., 2012. FreeSurfer. Neuroimage 62, 774–781. https://doi.org/10.1016/j.neuroimage.2012.01.021.FreeSurfer</w:t>
      </w:r>
    </w:p>
    <w:p w14:paraId="1A6AC0C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Fox, J., Monette, G., 1992. Generalized collinearity diagnostics. J. Am. Stat. Assoc. </w:t>
      </w:r>
      <w:r w:rsidRPr="004834BE">
        <w:rPr>
          <w:rFonts w:ascii="Arial" w:hAnsi="Arial" w:cs="Arial"/>
          <w:noProof/>
          <w:sz w:val="22"/>
        </w:rPr>
        <w:lastRenderedPageBreak/>
        <w:t>https://doi.org/10.1080/01621459.1992.10475190</w:t>
      </w:r>
    </w:p>
    <w:p w14:paraId="0C71E291"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Fox, J., Weisberg, S., 2019. CAR - An R Companion to Applied Regression, Thousand Oaks CA: Sage.</w:t>
      </w:r>
    </w:p>
    <w:p w14:paraId="080D9378"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Gatz, M., Reynolds, C.A., Fratiglioni, L., Johansson, B., Mortimer, J.A., Berg, S., Fiske, A., Pedersen, N.L., 2006. Role of genes and environments for explaining Alzheimer disease. Arch. Gen. Psychiatry. https://doi.org/10.1001/archpsyc.63.2.168</w:t>
      </w:r>
    </w:p>
    <w:p w14:paraId="0BDF1E51"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Guillaume, B., Hua, X., Thompson, P.M., Waldorp, L., 2013. Fast and accurate modelling of longitudinal neuroimaging data : an application to ADNI data 2013.</w:t>
      </w:r>
    </w:p>
    <w:p w14:paraId="099AB3FD"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Guillaume, B., Nichols, T.E., Adni,  the, 2015. Non-parametric Inference for Longitudinal and Repeated-Measures Neuroimaging Data with the Wild Bootstrap. Organ. Hum. Brain Mapp. 2.</w:t>
      </w:r>
    </w:p>
    <w:p w14:paraId="0EF7AAF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Habib, M., Mak, E., Gabel, S., Su, L., Williams, G., Waldman, A., Wells, K., Ritchie, K., Ritchie, C., O’Brien, J.T., 2017. Functional neuroimaging findings in healthy middle-aged adults at risk of alzheimer’s disease. Ageing Res. Rev. https://doi.org/10.1016/j.arr.2017.03.004</w:t>
      </w:r>
    </w:p>
    <w:p w14:paraId="4E673041"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Honea, R.A., Swerdlow, R.H., Vidoni, E.D., Goodwin, J., Burns, J.M., 2010. Reduced gray matter volume in normal adults with a maternal family history of Alzheimer disease. Neurology 74, 113–120. https://doi.org/10.1212/WNL.0b013e3181c918cb</w:t>
      </w:r>
    </w:p>
    <w:p w14:paraId="67B31BFB"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Jezzard, P., Chappell, M.A., Okell, T.W., 2018. Arterial spin labeling for the measurement of cerebral perfusion and angiography. J. Cereb. Blood Flow Metab. 38, 603–626. https://doi.org/10.1177/0271678X17743240</w:t>
      </w:r>
    </w:p>
    <w:p w14:paraId="5D455B60"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Kantarci, K., Murray, M.E., Schwarz, C.G., Reid, R.I., Przybelski, S.A., Lesnick, T., Zuk, S.M., Raman, M.R., Senjem, M.L., Gunter, J.L., Boeve, B.F., Knopman, D.S., Parisi, J.E., Petersen, R.C., Jack, C.R., Dickson, D.W., 2017. White-matter integrity on DTI and the pathologic staging of Alzheimer’s disease. Neurobiol. Aging 56, 172–179. https://doi.org/10.1016/j.neurobiolaging.2017.04.024</w:t>
      </w:r>
    </w:p>
    <w:p w14:paraId="48CF60FE"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Kantarci, K., Petersen, R.C., Boeve, B.F., Knopman, D.S., Weigand, S.D., O’Brien, P.C., Shiung, M.M., Smith, G.E., Ivnik, R.J., Tangalos, E.G., Jack, C.R., 2005. DWI predicts future progression to Alzheimer disease in amnestic mild cognitive impairment. Neurology 64, 902–4. https://doi.org/10.1212/01.WNL.0000153076.46126.E9</w:t>
      </w:r>
    </w:p>
    <w:p w14:paraId="56C8D86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Kodiweera, C., Alexander, A.L., Harezlak, J., McAllister, T.W., Wu, Y.-C., 2016. Age effects </w:t>
      </w:r>
      <w:r w:rsidRPr="004834BE">
        <w:rPr>
          <w:rFonts w:ascii="Arial" w:hAnsi="Arial" w:cs="Arial"/>
          <w:noProof/>
          <w:sz w:val="22"/>
        </w:rPr>
        <w:lastRenderedPageBreak/>
        <w:t>and sex differences in human brain white matter of young to middle-aged adults: A DTI, NODDI, and q-space study. Neuroimage 128, 180–192. https://doi.org/10.1016/j.neuroimage.2015.12.033</w:t>
      </w:r>
    </w:p>
    <w:p w14:paraId="72239381"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Lee, S., Viqar, F., Zimmerman, M.E., Narkhede, A., Tosto, G., Benzinger, T.L.S., Marcus, D.S., Fagan, A.M., Goate, A., Fox, N.C., Cairns, N.J., Holtzman, D.M., Buckles, V., Ghetti, B., McDade, E., Martins, R.N., Saykin, A.J., Masters, C.L., Ringman, J.M., Ryan, N.S., Förster, S., Laske, C., Schofield, P.R., Sperling, R.A., Salloway, S., Correia, S., Jack, C., Weiner, M., Bateman, R.J., Morris, J.C., Mayeux, R., Brickman, A.M., 2016. White matter hyperintensities are a core feature of Alzheimer’s disease: Evidence from the dominantly inherited Alzheimer network. Ann. Neurol. 79, 929–939. https://doi.org/10.1002/ana.24647</w:t>
      </w:r>
    </w:p>
    <w:p w14:paraId="59DEA7C2"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Leemans, A., Jones, D.K., 2009. The B-matrix must be rotated when correcting for subject motion in DTI data. Magn. Reson. Med. 61, 1336–49. https://doi.org/10.1002/mrm.21890</w:t>
      </w:r>
    </w:p>
    <w:p w14:paraId="4DD6ACE5"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Mak, E., Gabel, S., Mirette, H., Su, L., Williams, G.B., Waldman, A., Wells, K., Ritchie, K., Ritchie, C., O’Brien, J., 2017. Structural neuroimaging in preclinical dementia: From microstructural deficits and grey matter atrophy to macroscale connectomic changes. Ageing Res. Rev. 35, 250–264. https://doi.org/10.1016/j.arr.2016.10.001</w:t>
      </w:r>
    </w:p>
    <w:p w14:paraId="3FB3AADA"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McEwen, B.S., 1997. Possible mechanisms for atrophy of the human hippocampus. Mol. Psychiatry 2, 255–262. https://doi.org/10.1038/sj.mp.4000254</w:t>
      </w:r>
    </w:p>
    <w:p w14:paraId="6AAE48FB"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Miller, K.L., Alfaro-Almagro, F., Bangerter, N.K., Thomas, D.L., Yacoub, E., Xu, J., Bartsch, A.J., Jbabdi, S., Sotiropoulos, S.N., Andersson, J.L.R., Griffanti, L., Douaud, G., Okell, T.W., Weale, P., Dragonu, I., Garratt, S., Hudson, S., Collins, R., Jenkinson, M., Matthews, P.M., Smith, S.M., 2016. Multimodal population brain imaging in the UK Biobank prospective epidemiological study. Nat. Neurosci. 19, 1523–1536. https://doi.org/10.1038/nn.4393</w:t>
      </w:r>
    </w:p>
    <w:p w14:paraId="3B32B29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Montagne, A., Nation, D.A., Sagare, A.P., Barisano, G., Sweeney, M.D., Chakhoyan, A., Pachicano, M., Joe, E., Nelson, A.R., D’Orazio, L.M., Buennagel, D.P., Harrington, M.G., Benzinger, T.L.S., Fagan, A.M., Ringman, J.M., Schneider, L.S., Morris, J.C., Reiman, E.M., Caselli, R.J., Chui, H.C., TCW, J., Chen, Y., Pa, J., Conti, P.S., Law, M., Toga, A.W., Zlokovic, B. V., 2020. APOE4 leads to blood–brain barrier dysfunction predicting cognitive decline. Nature 1–6. https://doi.org/10.1038/s41586-020-2247-3</w:t>
      </w:r>
    </w:p>
    <w:p w14:paraId="22F9B919"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Müller, M.J., Greverus, D., Dellani, P.R., Weibrich, C., Wille, P.R., Scheurich, A., Stoeter, P., </w:t>
      </w:r>
      <w:r w:rsidRPr="004834BE">
        <w:rPr>
          <w:rFonts w:ascii="Arial" w:hAnsi="Arial" w:cs="Arial"/>
          <w:noProof/>
          <w:sz w:val="22"/>
        </w:rPr>
        <w:lastRenderedPageBreak/>
        <w:t>Fellgiebel, A., 2005. Functional implications of hippocampal volume and diffusivity in mild cognitive impairment. Neuroimage 28, 1033–1042. https://doi.org/10.1016/j.neuroimage.2005.06.029</w:t>
      </w:r>
    </w:p>
    <w:p w14:paraId="613ECC0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Østergaard, L., Aamand, R., Gutiérrez-Jiménez, E., Ho, Y.C.L., Blicher, J.U., Madsen, S.M., Nagenthiraja, K., Dalby, R.B., Drasbek, K.R., Møller, A., Brændgaard, H., Mouridsen, K., Jespersen, S.N., Jensen, M.S., West, M.J., 2013. The capillary dysfunction hypothesis of Alzheimer’s disease. Neurobiol. Aging 34, 1018–1031. https://doi.org/10.1016/j.neurobiolaging.2012.09.011</w:t>
      </w:r>
    </w:p>
    <w:p w14:paraId="4126CBA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Pedersen, N.L., Gatz, M., Berg, S., Johansson, B., 2004. How Heritable Is Alzheimer’s Disease Late in Life? Findings from Swedish Twins. Ann. Neurol. https://doi.org/10.1002/ana.10999</w:t>
      </w:r>
    </w:p>
    <w:p w14:paraId="085F1FE8"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Reuter, M., Rosas, H.D., Fischl, B., 2012. Longitudinal FreeSurfer for Reliable Imaging Biomarkers. Proc. MICCAI Nov. Neuroimaging Biomarkers Alzheimer’s Dis. Relat. Disord. Work. Chall. 12.</w:t>
      </w:r>
    </w:p>
    <w:p w14:paraId="4457CC2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Reuter, M., Rosas, H.D., Fischl, B., 2010. Highly accurate inverse consistent registration: a robust approach. Neuroimage 53, 1181–96. https://doi.org/10.1016/j.neuroimage.2010.07.020</w:t>
      </w:r>
    </w:p>
    <w:p w14:paraId="773F582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Ringman, J.M., Medina, L.D., Braskie, M., Rodriguez-Agudelo, Y., Geschwind, D.H., MacIas-Islas, M.A., Cummings, J.L., Bookheimer, S., 2011. Effects of risk genes on BOLD activation in presymptomatic carriers of familial alzheimer’s disease mutations during a novelty encoding task. Cereb. Cortex 21, 877–883. https://doi.org/10.1093/cercor/bhq158</w:t>
      </w:r>
    </w:p>
    <w:p w14:paraId="54255FD4"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Ringman, J.M., O’Neill, J., Geschwind, D., Medina, L., Apostolova, L.G., Rodriguez, Y., Schaffer, B., Varpetian, A., Tseng, B., Ortiz, F., Fitten, J., Cummings, J.L., Bartzokis, G., 2007. Diffusion tensor imaging in preclinical and presymptomatic carriers of familial Alzheimer’s disease mutations. Brain 130, 1767–1776. https://doi.org/10.1093/brain/awm102</w:t>
      </w:r>
    </w:p>
    <w:p w14:paraId="38DA2082"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Ritchie, C.W., Ritchie, K., 2012. The PREVENT study: a prospective cohort study to identify mid-life biomarkers of late-onset Alzheimer’s disease. BMJ Open 2, 1–6. https://doi.org/10.1136/bmjopen-2012-001893</w:t>
      </w:r>
    </w:p>
    <w:p w14:paraId="231DE28F"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Ritchie, C.W., Wells, K., Ritchie, K., 2013. The PREVENT research programme – A novel research programme to identify and manage midlife risk for dementia: the conceptual </w:t>
      </w:r>
      <w:r w:rsidRPr="004834BE">
        <w:rPr>
          <w:rFonts w:ascii="Arial" w:hAnsi="Arial" w:cs="Arial"/>
          <w:noProof/>
          <w:sz w:val="22"/>
        </w:rPr>
        <w:lastRenderedPageBreak/>
        <w:t>framework. Int. Rev. Psychiatry 25, 748–754. https://doi.org/10.3109/09540261.2013.869195</w:t>
      </w:r>
    </w:p>
    <w:p w14:paraId="4C895ECA"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Ritchie, K., Carrière, I., Berr, C., Amieva, H., Dartigues, J.-F., Ancelin, M.-L., Ritchie, C.W., 2016. The clinical picture of alzheimer’s disease in the decade before diagnosis: clinical and biomarker trajectories. J. Clin. Psychiatry 77, e305-11. https://doi.org/10.4088/JCP.15m09989</w:t>
      </w:r>
    </w:p>
    <w:p w14:paraId="4D06593A"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Ritchie, K., Carrière, I., Su, L., O’Brien, J.T., Lovestone, S., Wells, K., Ritchie, C.W., 2017. The midlife cognitive profiles of adults at high risk of late-onset Alzheimer’s disease: The PREVENT study. Alzheimer’s Dement. 13, 1089–1097. https://doi.org/10.1016/j.jalz.2017.02.008</w:t>
      </w:r>
    </w:p>
    <w:p w14:paraId="0799EADA"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Salami, A., Eriksson, J., Nilsson, L.G., Nyberg, L., 2012. Age-related white matter microstructural differences partly mediate age-related decline in processing speed but not cognition. Biochim. Biophys. Acta - Mol. Basis Dis. 1822, 408–415. https://doi.org/10.1016/j.bbadis.2011.09.001</w:t>
      </w:r>
    </w:p>
    <w:p w14:paraId="36D36C70"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Scarabino, D., Gambina, G., Broggio, E., Pelliccia, F., Corbo, R.M., 2016. Influence of family history of dementia in the development and progression of late-onset Alzheimer’s disease. Am. J. Med. Genet. Part B Neuropsychiatr. Genet. 171, 250–256. https://doi.org/10.1002/ajmg.b.32399</w:t>
      </w:r>
    </w:p>
    <w:p w14:paraId="67F3C3DA"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Shao, X., Ma, S.J., Casey, M., D’Orazio, L., Ringman, J.M., Wang, D.J.J., 2019. Mapping water exchange across the blood–brain barrier using 3D diffusion-prepared arterial spin labeled perfusion MRI. Magn. Reson. Med. https://doi.org/10.1002/mrm.27632</w:t>
      </w:r>
    </w:p>
    <w:p w14:paraId="0DAD60C2"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Smart, S.D., Firbank, M.J., O’Brien, J.T., 2011. Validation of automated white matter hyperintensity segmentation. J. Aging Res. 2011, 391783. https://doi.org/10.4061/2011/391783</w:t>
      </w:r>
    </w:p>
    <w:p w14:paraId="4F65AECB"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Smith, S.M., Nichols, T.E., 2009. Threshold-free cluster enhancement: addressing problems of smoothing, threshold dependence and localisation in cluster inference. Neuroimage 44, 83–98. https://doi.org/10.1016/j.neuroimage.2008.03.061</w:t>
      </w:r>
    </w:p>
    <w:p w14:paraId="0AEF840E"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Stefaniak, J.D., Su, L., Mak, E., Sheikh-bahaei, N., Wells, K., Ritchie, K., Waldman, A., Ritchie, C.W., Brien, J.T.O., 2018. Cerebral small vessel disease in middle age and genetic predisposition to late-onset Alzheimer ’ s disease 14, 253–258. https://doi.org/10.1016/j.jalz.2017.08.017</w:t>
      </w:r>
    </w:p>
    <w:p w14:paraId="21A9CC8D"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Villeneuve, S., Vogel, J.W., Gonneaud, J., Pichet Binette, A., Rosa-Neto, P., Gauthier, S., </w:t>
      </w:r>
      <w:r w:rsidRPr="004834BE">
        <w:rPr>
          <w:rFonts w:ascii="Arial" w:hAnsi="Arial" w:cs="Arial"/>
          <w:noProof/>
          <w:sz w:val="22"/>
        </w:rPr>
        <w:lastRenderedPageBreak/>
        <w:t>Bateman, R.J., Fagan, A.M., Morris, J.C., Benzinger, T.L.S., Johnson, S.C., Breitner, J.C.S., Poirier, J., Barkun, A., Evans, A., Salaciak, A., Tam, A., Labonté, A., Faubert, A.M., Mathieu, A., Courcot, B., Hyman, B.T., Madjar, C., Carrier, C.E., Dansereau, C., Kazazian, C., Tardif, C., Lepage, C., Cuello, C., Debacker, C., Jack, C.R., Picard, C., Maillet, D., Fontaine, D., Knopman, D.S., Michaud, D., Couture, D., Dea, D., Teigner, E., Anthal, E., Yu, E., Vachon-Presseau, E., Saint-Fort, E.F., Ferdinand, F., Benbouhoud, F., Pogossova, G., Maultaup, G., Mayrand, G., Duclair, G., Ayranci, G., Gagné, G., Newbold-Fox, H., Leppert, I., Vallée, I., Near, J., Brandt, J., Maltais, J.R., Leoutsakos, J.M., Tremblay-Mercier, J., Pruessner, J., Frenette, J., Frappier, J., Kat, J., Miron, J., Wan, K., Cheewakriengkrai, L., Mahar, L., Carmo, L., Münter, L.M., Collins, L., Théroux, L., Dadar, M., Chakravarty, M., Dufour, M., Lafaille-Magnan, M.E., Dauar-Tedeschi, M., Sager, M.A., Eisenberg, M., Appleby, M., Savard, M., Tuwaig, M., Petkova, M., Rajah, N., Aisen, P., Toussaint, P.J., Kostopoulos, P., Bellec, P., Etienne, P., Tariot, P.N., Orban, P., Rioux, P., Meyer, P.F., El-Khoury, R., Sperling, R.A., Desautels, R., Gordon, R., Giles, R., Hoge, R., Thomas, R.G., Das, S., Verfaillie, S.C.J., Farzin, S., Wang, S., Tabrizi, S., Tullo, S., Mathotaarachchi, S., Craft, S., Dubuc, S., Lee, T., Pascoal, T.A., Montine, T.J., Beaudry, T., Gervais, V., Nair, V., Bohbot, V., Pagé, V., Venugopalan, V., Fonov, V., Ituria-Medina, Y., Khachaturian, Z.S., 2018. Proximity to parental symptom onset and amyloid-β burden in sporadic Alzheimer disease. JAMA Neurol. 75, 608–619. https://doi.org/10.1001/jamaneurol.2017.5135</w:t>
      </w:r>
    </w:p>
    <w:p w14:paraId="0A19114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Viqar, F., S., L., M.E., Z., A., N., G., T., T.L.S., B., D.S., M., R.J., B., J.C., M., R., M., 2015. White matter hyperintensities are a core feature of Alzheimer’s disease: Evidence from the dominantly inherited Alzheimer’s network. Alzheimer’s Dement. 11, P172–P173. https://doi.org/10.1002/ana.24647</w:t>
      </w:r>
    </w:p>
    <w:p w14:paraId="7EB93C70"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Vogel, J.W., Vachon-Presseau, E., Pichet Binette, A., Tam, A., Orban, P., La Joie, R., Savard, M., Picard, C., Poirier, J., Bellec, P., Breitner, J.C.S., Villeneuve, S., 2018. Brain properties predict proximity to symptom onset in sporadic Alzheimer’s disease. Brain 141, 1871–1883. https://doi.org/10.1093/brain/awy093</w:t>
      </w:r>
    </w:p>
    <w:p w14:paraId="23509EDB"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Weston, P.S.J., Simpson, I.J.A., Ryan, N.S., Ourselin, S., Fox, N.C., 2015. Diffusion imaging changes in grey matter in Alzheimer’s disease: a potential marker of early neurodegeneration. Alzheimers. Res. Ther. 7, 47. https://doi.org/10.1186/s13195-015-0132-3</w:t>
      </w:r>
    </w:p>
    <w:p w14:paraId="66EB0F4C"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 xml:space="preserve">Wierenga, C.E., Clark, L.R., Dev, S.I., Shin, D.D., Jurick, S.M., Rissman, R.A., Liu, T.T., Bondi, M.W., 2013. Interaction of age and APOE genotype on cerebral blood flow at </w:t>
      </w:r>
      <w:r w:rsidRPr="004834BE">
        <w:rPr>
          <w:rFonts w:ascii="Arial" w:hAnsi="Arial" w:cs="Arial"/>
          <w:noProof/>
          <w:sz w:val="22"/>
        </w:rPr>
        <w:lastRenderedPageBreak/>
        <w:t>rest. J. Alzheimer’s Dis. 34, 921–935. https://doi.org/10.3233/JAD-121897</w:t>
      </w:r>
    </w:p>
    <w:p w14:paraId="62B6CB59" w14:textId="77777777" w:rsidR="004834BE" w:rsidRPr="004834BE" w:rsidRDefault="004834BE" w:rsidP="004834BE">
      <w:pPr>
        <w:widowControl w:val="0"/>
        <w:autoSpaceDE w:val="0"/>
        <w:autoSpaceDN w:val="0"/>
        <w:adjustRightInd w:val="0"/>
        <w:spacing w:after="200" w:line="360" w:lineRule="auto"/>
        <w:ind w:left="480" w:hanging="480"/>
        <w:rPr>
          <w:rFonts w:ascii="Arial" w:hAnsi="Arial" w:cs="Arial"/>
          <w:noProof/>
          <w:sz w:val="22"/>
        </w:rPr>
      </w:pPr>
      <w:r w:rsidRPr="004834BE">
        <w:rPr>
          <w:rFonts w:ascii="Arial" w:hAnsi="Arial" w:cs="Arial"/>
          <w:noProof/>
          <w:sz w:val="22"/>
        </w:rPr>
        <w:t>Wierenga, C.E., Hays, C.C., Zlatar, Z.Z., 2014. Cerebral blood flow measured by arterial spin labeling MRI as a preclinical marker of alzheimer’s disease. J. Alzheimer’s Dis. https://doi.org/10.3233/JAD-141467</w:t>
      </w:r>
    </w:p>
    <w:p w14:paraId="35E3FFCE" w14:textId="19A3EF06" w:rsidR="003F3212" w:rsidRDefault="00A72ED8" w:rsidP="004834BE">
      <w:pPr>
        <w:widowControl w:val="0"/>
        <w:autoSpaceDE w:val="0"/>
        <w:autoSpaceDN w:val="0"/>
        <w:adjustRightInd w:val="0"/>
        <w:spacing w:after="200" w:line="360" w:lineRule="auto"/>
        <w:ind w:left="480" w:hanging="480"/>
        <w:rPr>
          <w:rFonts w:ascii="Arial" w:hAnsi="Arial" w:cs="Arial"/>
          <w:color w:val="000000" w:themeColor="text1"/>
          <w:sz w:val="22"/>
          <w:szCs w:val="22"/>
        </w:rPr>
      </w:pPr>
      <w:r w:rsidRPr="00F10F41">
        <w:rPr>
          <w:rFonts w:ascii="Arial" w:hAnsi="Arial" w:cs="Arial"/>
          <w:color w:val="000000" w:themeColor="text1"/>
          <w:sz w:val="22"/>
          <w:szCs w:val="22"/>
        </w:rPr>
        <w:fldChar w:fldCharType="end"/>
      </w:r>
    </w:p>
    <w:p w14:paraId="479BD6B4" w14:textId="35208D53" w:rsidR="006B241F" w:rsidRPr="00F10F41" w:rsidRDefault="006B241F" w:rsidP="00FB42D8">
      <w:pPr>
        <w:pStyle w:val="Caption"/>
        <w:spacing w:after="0" w:line="360" w:lineRule="auto"/>
        <w:jc w:val="both"/>
        <w:rPr>
          <w:i w:val="0"/>
          <w:iCs w:val="0"/>
        </w:rPr>
        <w:sectPr w:rsidR="006B241F" w:rsidRPr="00F10F41" w:rsidSect="00FB42D8">
          <w:pgSz w:w="11900" w:h="16840"/>
          <w:pgMar w:top="1440" w:right="1440" w:bottom="1440" w:left="1440" w:header="709" w:footer="709" w:gutter="0"/>
          <w:cols w:space="708"/>
          <w:docGrid w:linePitch="360"/>
        </w:sectPr>
      </w:pPr>
    </w:p>
    <w:p w14:paraId="50490DCE" w14:textId="4EB56F3A" w:rsidR="00B53D3F" w:rsidRPr="00F10F41" w:rsidRDefault="00B53D3F" w:rsidP="00AB1AE7">
      <w:pPr>
        <w:spacing w:line="360" w:lineRule="auto"/>
        <w:rPr>
          <w:rFonts w:ascii="Arial" w:hAnsi="Arial" w:cs="Arial"/>
          <w:sz w:val="22"/>
          <w:szCs w:val="22"/>
        </w:rPr>
      </w:pPr>
    </w:p>
    <w:sectPr w:rsidR="00B53D3F" w:rsidRPr="00F10F41" w:rsidSect="00432F89">
      <w:pgSz w:w="11900" w:h="16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306E08" w14:textId="77777777" w:rsidR="000363D3" w:rsidRDefault="000363D3" w:rsidP="001A40FE">
      <w:r>
        <w:separator/>
      </w:r>
    </w:p>
  </w:endnote>
  <w:endnote w:type="continuationSeparator" w:id="0">
    <w:p w14:paraId="2CC44807" w14:textId="77777777" w:rsidR="000363D3" w:rsidRDefault="000363D3" w:rsidP="001A4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Yu Mincho">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altName w:val="Sylfaen"/>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18188211"/>
      <w:docPartObj>
        <w:docPartGallery w:val="Page Numbers (Bottom of Page)"/>
        <w:docPartUnique/>
      </w:docPartObj>
    </w:sdtPr>
    <w:sdtEndPr>
      <w:rPr>
        <w:rStyle w:val="PageNumber"/>
      </w:rPr>
    </w:sdtEndPr>
    <w:sdtContent>
      <w:p w14:paraId="27DD777E" w14:textId="77777777" w:rsidR="00877B2A" w:rsidRDefault="00877B2A" w:rsidP="00F731C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63DD498" w14:textId="77777777" w:rsidR="00877B2A" w:rsidRDefault="00877B2A" w:rsidP="00F731C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sz w:val="22"/>
        <w:szCs w:val="22"/>
      </w:rPr>
      <w:id w:val="-1810321649"/>
      <w:docPartObj>
        <w:docPartGallery w:val="Page Numbers (Bottom of Page)"/>
        <w:docPartUnique/>
      </w:docPartObj>
    </w:sdtPr>
    <w:sdtEndPr>
      <w:rPr>
        <w:rStyle w:val="PageNumber"/>
      </w:rPr>
    </w:sdtEndPr>
    <w:sdtContent>
      <w:p w14:paraId="6B5762AC" w14:textId="50959AC3" w:rsidR="00877B2A" w:rsidRPr="00125438" w:rsidRDefault="00877B2A" w:rsidP="00125438">
        <w:pPr>
          <w:pStyle w:val="Footer"/>
          <w:framePr w:wrap="none" w:vAnchor="text" w:hAnchor="margin" w:xAlign="right" w:y="1"/>
          <w:jc w:val="center"/>
          <w:rPr>
            <w:rStyle w:val="PageNumber"/>
            <w:sz w:val="22"/>
            <w:szCs w:val="22"/>
          </w:rPr>
        </w:pPr>
        <w:r w:rsidRPr="00125438">
          <w:rPr>
            <w:rStyle w:val="PageNumber"/>
            <w:sz w:val="22"/>
            <w:szCs w:val="22"/>
          </w:rPr>
          <w:fldChar w:fldCharType="begin"/>
        </w:r>
        <w:r w:rsidRPr="00125438">
          <w:rPr>
            <w:rStyle w:val="PageNumber"/>
            <w:sz w:val="22"/>
            <w:szCs w:val="22"/>
          </w:rPr>
          <w:instrText xml:space="preserve"> PAGE </w:instrText>
        </w:r>
        <w:r w:rsidRPr="00125438">
          <w:rPr>
            <w:rStyle w:val="PageNumber"/>
            <w:sz w:val="22"/>
            <w:szCs w:val="22"/>
          </w:rPr>
          <w:fldChar w:fldCharType="separate"/>
        </w:r>
        <w:r w:rsidRPr="00125438">
          <w:rPr>
            <w:rStyle w:val="PageNumber"/>
            <w:noProof/>
            <w:sz w:val="22"/>
            <w:szCs w:val="22"/>
          </w:rPr>
          <w:t>1</w:t>
        </w:r>
        <w:r w:rsidRPr="00125438">
          <w:rPr>
            <w:rStyle w:val="PageNumber"/>
            <w:sz w:val="22"/>
            <w:szCs w:val="22"/>
          </w:rPr>
          <w:fldChar w:fldCharType="end"/>
        </w:r>
      </w:p>
    </w:sdtContent>
  </w:sdt>
  <w:p w14:paraId="137785DE" w14:textId="77777777" w:rsidR="00877B2A" w:rsidRDefault="00877B2A" w:rsidP="00F731C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3CCB0FD" w14:textId="77777777" w:rsidR="000363D3" w:rsidRDefault="000363D3" w:rsidP="001A40FE">
      <w:r>
        <w:separator/>
      </w:r>
    </w:p>
  </w:footnote>
  <w:footnote w:type="continuationSeparator" w:id="0">
    <w:p w14:paraId="64D59D93" w14:textId="77777777" w:rsidR="000363D3" w:rsidRDefault="000363D3" w:rsidP="001A4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AF060F" w14:textId="5E4AB0AC" w:rsidR="00877B2A" w:rsidRPr="00CE73FA" w:rsidRDefault="00877B2A" w:rsidP="00125438">
    <w:pPr>
      <w:pStyle w:val="Header"/>
      <w:jc w:val="center"/>
      <w:rPr>
        <w:rFonts w:ascii="Arial" w:hAnsi="Arial" w:cs="Arial"/>
        <w:sz w:val="22"/>
        <w:szCs w:val="2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127E5C"/>
    <w:multiLevelType w:val="multilevel"/>
    <w:tmpl w:val="B13CC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10A39AA"/>
    <w:multiLevelType w:val="hybridMultilevel"/>
    <w:tmpl w:val="7E46D2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4B6EA2"/>
    <w:multiLevelType w:val="hybridMultilevel"/>
    <w:tmpl w:val="FB0EC9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9753234"/>
    <w:multiLevelType w:val="hybridMultilevel"/>
    <w:tmpl w:val="83DC1CBC"/>
    <w:lvl w:ilvl="0" w:tplc="8670D538">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5193475"/>
    <w:multiLevelType w:val="hybridMultilevel"/>
    <w:tmpl w:val="5D3E75A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C0F404D"/>
    <w:multiLevelType w:val="hybridMultilevel"/>
    <w:tmpl w:val="FE581DF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CE1487F"/>
    <w:multiLevelType w:val="hybridMultilevel"/>
    <w:tmpl w:val="1848CB60"/>
    <w:lvl w:ilvl="0" w:tplc="86640F3E">
      <w:start w:val="17"/>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2"/>
  </w:num>
  <w:num w:numId="5">
    <w:abstractNumId w:val="1"/>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ED8"/>
    <w:rsid w:val="0000051C"/>
    <w:rsid w:val="000007EB"/>
    <w:rsid w:val="00000861"/>
    <w:rsid w:val="00000A0D"/>
    <w:rsid w:val="0000140C"/>
    <w:rsid w:val="000014B5"/>
    <w:rsid w:val="00002328"/>
    <w:rsid w:val="0000315F"/>
    <w:rsid w:val="0000353E"/>
    <w:rsid w:val="0000462D"/>
    <w:rsid w:val="00004A33"/>
    <w:rsid w:val="00005374"/>
    <w:rsid w:val="00005F68"/>
    <w:rsid w:val="000069A7"/>
    <w:rsid w:val="000072DF"/>
    <w:rsid w:val="0000745B"/>
    <w:rsid w:val="00007656"/>
    <w:rsid w:val="000079FD"/>
    <w:rsid w:val="00010271"/>
    <w:rsid w:val="00011024"/>
    <w:rsid w:val="000114AF"/>
    <w:rsid w:val="00011C8F"/>
    <w:rsid w:val="0001209F"/>
    <w:rsid w:val="00012C60"/>
    <w:rsid w:val="00012DC1"/>
    <w:rsid w:val="00015017"/>
    <w:rsid w:val="000152E4"/>
    <w:rsid w:val="000154ED"/>
    <w:rsid w:val="000158F8"/>
    <w:rsid w:val="0001678B"/>
    <w:rsid w:val="0002000B"/>
    <w:rsid w:val="0002053D"/>
    <w:rsid w:val="00020B95"/>
    <w:rsid w:val="00020FB2"/>
    <w:rsid w:val="00020FE7"/>
    <w:rsid w:val="00021447"/>
    <w:rsid w:val="00021568"/>
    <w:rsid w:val="00021782"/>
    <w:rsid w:val="00021998"/>
    <w:rsid w:val="00021CEA"/>
    <w:rsid w:val="00021D8C"/>
    <w:rsid w:val="00021DA6"/>
    <w:rsid w:val="00022964"/>
    <w:rsid w:val="000239B3"/>
    <w:rsid w:val="00023E90"/>
    <w:rsid w:val="000243D1"/>
    <w:rsid w:val="000245D1"/>
    <w:rsid w:val="00024695"/>
    <w:rsid w:val="00024865"/>
    <w:rsid w:val="00024B3A"/>
    <w:rsid w:val="00024E9C"/>
    <w:rsid w:val="00025251"/>
    <w:rsid w:val="0002534D"/>
    <w:rsid w:val="00025482"/>
    <w:rsid w:val="000257D7"/>
    <w:rsid w:val="00025A6B"/>
    <w:rsid w:val="00025CB1"/>
    <w:rsid w:val="000262D8"/>
    <w:rsid w:val="000265D8"/>
    <w:rsid w:val="00026A89"/>
    <w:rsid w:val="00026D99"/>
    <w:rsid w:val="00026F87"/>
    <w:rsid w:val="0002711B"/>
    <w:rsid w:val="000306D0"/>
    <w:rsid w:val="00030A02"/>
    <w:rsid w:val="00030F1A"/>
    <w:rsid w:val="00031F5E"/>
    <w:rsid w:val="00031FE7"/>
    <w:rsid w:val="00032D6E"/>
    <w:rsid w:val="0003307B"/>
    <w:rsid w:val="00033151"/>
    <w:rsid w:val="00033FBC"/>
    <w:rsid w:val="00034011"/>
    <w:rsid w:val="0003464D"/>
    <w:rsid w:val="000347BD"/>
    <w:rsid w:val="0003497E"/>
    <w:rsid w:val="00035C42"/>
    <w:rsid w:val="000363D3"/>
    <w:rsid w:val="0003658D"/>
    <w:rsid w:val="00036A6C"/>
    <w:rsid w:val="00036BD8"/>
    <w:rsid w:val="00036F7C"/>
    <w:rsid w:val="000371F7"/>
    <w:rsid w:val="0003742A"/>
    <w:rsid w:val="00037D25"/>
    <w:rsid w:val="00040288"/>
    <w:rsid w:val="00040493"/>
    <w:rsid w:val="0004086F"/>
    <w:rsid w:val="00040B63"/>
    <w:rsid w:val="00040C5F"/>
    <w:rsid w:val="00040C68"/>
    <w:rsid w:val="00041B32"/>
    <w:rsid w:val="00041B3B"/>
    <w:rsid w:val="00041CE7"/>
    <w:rsid w:val="00042237"/>
    <w:rsid w:val="00042A87"/>
    <w:rsid w:val="00043CA3"/>
    <w:rsid w:val="00043E37"/>
    <w:rsid w:val="00044309"/>
    <w:rsid w:val="000448BE"/>
    <w:rsid w:val="00044E2C"/>
    <w:rsid w:val="00044E30"/>
    <w:rsid w:val="00045113"/>
    <w:rsid w:val="0004590F"/>
    <w:rsid w:val="00045BCB"/>
    <w:rsid w:val="00045D3C"/>
    <w:rsid w:val="000463FC"/>
    <w:rsid w:val="0004648C"/>
    <w:rsid w:val="00046846"/>
    <w:rsid w:val="00046D3D"/>
    <w:rsid w:val="000518B4"/>
    <w:rsid w:val="000518ED"/>
    <w:rsid w:val="00051B0E"/>
    <w:rsid w:val="00052181"/>
    <w:rsid w:val="00052554"/>
    <w:rsid w:val="000525EA"/>
    <w:rsid w:val="00052AFE"/>
    <w:rsid w:val="00052B43"/>
    <w:rsid w:val="00052E44"/>
    <w:rsid w:val="0005307F"/>
    <w:rsid w:val="000535E6"/>
    <w:rsid w:val="00053A1C"/>
    <w:rsid w:val="00053C5E"/>
    <w:rsid w:val="000542AD"/>
    <w:rsid w:val="00054454"/>
    <w:rsid w:val="000545FD"/>
    <w:rsid w:val="00054756"/>
    <w:rsid w:val="000547A5"/>
    <w:rsid w:val="00054A7C"/>
    <w:rsid w:val="00055172"/>
    <w:rsid w:val="00055345"/>
    <w:rsid w:val="00055AAD"/>
    <w:rsid w:val="0005774C"/>
    <w:rsid w:val="00057AD5"/>
    <w:rsid w:val="00060146"/>
    <w:rsid w:val="0006080C"/>
    <w:rsid w:val="00060821"/>
    <w:rsid w:val="00060AEF"/>
    <w:rsid w:val="0006101A"/>
    <w:rsid w:val="00061691"/>
    <w:rsid w:val="00061743"/>
    <w:rsid w:val="00061E1F"/>
    <w:rsid w:val="00062601"/>
    <w:rsid w:val="00062699"/>
    <w:rsid w:val="00062869"/>
    <w:rsid w:val="00062A60"/>
    <w:rsid w:val="00062DAD"/>
    <w:rsid w:val="00063E31"/>
    <w:rsid w:val="00064539"/>
    <w:rsid w:val="00064E4D"/>
    <w:rsid w:val="000650C2"/>
    <w:rsid w:val="00065507"/>
    <w:rsid w:val="000655C8"/>
    <w:rsid w:val="00066316"/>
    <w:rsid w:val="00066360"/>
    <w:rsid w:val="0006641B"/>
    <w:rsid w:val="00066591"/>
    <w:rsid w:val="00066890"/>
    <w:rsid w:val="00066AE2"/>
    <w:rsid w:val="00067440"/>
    <w:rsid w:val="00070A32"/>
    <w:rsid w:val="00070B7A"/>
    <w:rsid w:val="0007115A"/>
    <w:rsid w:val="00071330"/>
    <w:rsid w:val="000717BD"/>
    <w:rsid w:val="0007278E"/>
    <w:rsid w:val="000733B8"/>
    <w:rsid w:val="00073600"/>
    <w:rsid w:val="00074820"/>
    <w:rsid w:val="00075079"/>
    <w:rsid w:val="00075395"/>
    <w:rsid w:val="00075A6B"/>
    <w:rsid w:val="00076008"/>
    <w:rsid w:val="000762D8"/>
    <w:rsid w:val="000767F5"/>
    <w:rsid w:val="00076A1C"/>
    <w:rsid w:val="00076C4D"/>
    <w:rsid w:val="00077590"/>
    <w:rsid w:val="00077766"/>
    <w:rsid w:val="000779D0"/>
    <w:rsid w:val="00077F8E"/>
    <w:rsid w:val="00077FAA"/>
    <w:rsid w:val="00077FF3"/>
    <w:rsid w:val="00080712"/>
    <w:rsid w:val="000810B3"/>
    <w:rsid w:val="000814D0"/>
    <w:rsid w:val="0008241F"/>
    <w:rsid w:val="00083734"/>
    <w:rsid w:val="00084629"/>
    <w:rsid w:val="00085709"/>
    <w:rsid w:val="00085A6E"/>
    <w:rsid w:val="000861B4"/>
    <w:rsid w:val="000869AF"/>
    <w:rsid w:val="00086BBD"/>
    <w:rsid w:val="00086C70"/>
    <w:rsid w:val="000871A9"/>
    <w:rsid w:val="00087B97"/>
    <w:rsid w:val="00090474"/>
    <w:rsid w:val="000909AE"/>
    <w:rsid w:val="00090BE5"/>
    <w:rsid w:val="0009165A"/>
    <w:rsid w:val="00091A26"/>
    <w:rsid w:val="00091ADB"/>
    <w:rsid w:val="00091CEC"/>
    <w:rsid w:val="00092125"/>
    <w:rsid w:val="0009231E"/>
    <w:rsid w:val="00092760"/>
    <w:rsid w:val="00092EA7"/>
    <w:rsid w:val="0009304D"/>
    <w:rsid w:val="000938DD"/>
    <w:rsid w:val="00093BD2"/>
    <w:rsid w:val="00094039"/>
    <w:rsid w:val="00094800"/>
    <w:rsid w:val="00094D62"/>
    <w:rsid w:val="0009523E"/>
    <w:rsid w:val="0009563A"/>
    <w:rsid w:val="000957FF"/>
    <w:rsid w:val="00095A61"/>
    <w:rsid w:val="00096931"/>
    <w:rsid w:val="00097538"/>
    <w:rsid w:val="000A01DB"/>
    <w:rsid w:val="000A181C"/>
    <w:rsid w:val="000A1BAF"/>
    <w:rsid w:val="000A1D70"/>
    <w:rsid w:val="000A2BB4"/>
    <w:rsid w:val="000A2D47"/>
    <w:rsid w:val="000A34E0"/>
    <w:rsid w:val="000A353A"/>
    <w:rsid w:val="000A3587"/>
    <w:rsid w:val="000A3776"/>
    <w:rsid w:val="000A3EB2"/>
    <w:rsid w:val="000A4BC8"/>
    <w:rsid w:val="000A52D5"/>
    <w:rsid w:val="000A5382"/>
    <w:rsid w:val="000A5FF0"/>
    <w:rsid w:val="000A69B8"/>
    <w:rsid w:val="000A7123"/>
    <w:rsid w:val="000A7DAC"/>
    <w:rsid w:val="000A7FEB"/>
    <w:rsid w:val="000B05E2"/>
    <w:rsid w:val="000B0DEE"/>
    <w:rsid w:val="000B13C1"/>
    <w:rsid w:val="000B194D"/>
    <w:rsid w:val="000B2375"/>
    <w:rsid w:val="000B3491"/>
    <w:rsid w:val="000B353C"/>
    <w:rsid w:val="000B3A1C"/>
    <w:rsid w:val="000B6175"/>
    <w:rsid w:val="000B647F"/>
    <w:rsid w:val="000B6FF3"/>
    <w:rsid w:val="000B764B"/>
    <w:rsid w:val="000B77FC"/>
    <w:rsid w:val="000B7CA1"/>
    <w:rsid w:val="000C0688"/>
    <w:rsid w:val="000C2221"/>
    <w:rsid w:val="000C2271"/>
    <w:rsid w:val="000C23EB"/>
    <w:rsid w:val="000C270F"/>
    <w:rsid w:val="000C2C59"/>
    <w:rsid w:val="000C329E"/>
    <w:rsid w:val="000C3A96"/>
    <w:rsid w:val="000C3AD6"/>
    <w:rsid w:val="000C3B14"/>
    <w:rsid w:val="000C40EF"/>
    <w:rsid w:val="000C48B3"/>
    <w:rsid w:val="000C4AF7"/>
    <w:rsid w:val="000C4E3E"/>
    <w:rsid w:val="000C4F02"/>
    <w:rsid w:val="000C5004"/>
    <w:rsid w:val="000C5395"/>
    <w:rsid w:val="000C61B8"/>
    <w:rsid w:val="000C73CC"/>
    <w:rsid w:val="000C7C61"/>
    <w:rsid w:val="000D0609"/>
    <w:rsid w:val="000D2045"/>
    <w:rsid w:val="000D2112"/>
    <w:rsid w:val="000D2678"/>
    <w:rsid w:val="000D2ADF"/>
    <w:rsid w:val="000D2CD9"/>
    <w:rsid w:val="000D487F"/>
    <w:rsid w:val="000D49DC"/>
    <w:rsid w:val="000D4D63"/>
    <w:rsid w:val="000D5444"/>
    <w:rsid w:val="000D55BD"/>
    <w:rsid w:val="000D5E4F"/>
    <w:rsid w:val="000D63A2"/>
    <w:rsid w:val="000D64A5"/>
    <w:rsid w:val="000D6A25"/>
    <w:rsid w:val="000D6B30"/>
    <w:rsid w:val="000D7184"/>
    <w:rsid w:val="000D7AA7"/>
    <w:rsid w:val="000E0F86"/>
    <w:rsid w:val="000E1962"/>
    <w:rsid w:val="000E1ABC"/>
    <w:rsid w:val="000E1D2B"/>
    <w:rsid w:val="000E1FA3"/>
    <w:rsid w:val="000E22E1"/>
    <w:rsid w:val="000E2EB1"/>
    <w:rsid w:val="000E3540"/>
    <w:rsid w:val="000E40A8"/>
    <w:rsid w:val="000E47AA"/>
    <w:rsid w:val="000E4D2C"/>
    <w:rsid w:val="000E6019"/>
    <w:rsid w:val="000E6737"/>
    <w:rsid w:val="000E67E3"/>
    <w:rsid w:val="000E696B"/>
    <w:rsid w:val="000E6970"/>
    <w:rsid w:val="000E718F"/>
    <w:rsid w:val="000E721C"/>
    <w:rsid w:val="000E76C2"/>
    <w:rsid w:val="000E7ACF"/>
    <w:rsid w:val="000E7DEB"/>
    <w:rsid w:val="000F0CE4"/>
    <w:rsid w:val="000F1341"/>
    <w:rsid w:val="000F1987"/>
    <w:rsid w:val="000F1A74"/>
    <w:rsid w:val="000F1CF6"/>
    <w:rsid w:val="000F28A2"/>
    <w:rsid w:val="000F2F1E"/>
    <w:rsid w:val="000F305C"/>
    <w:rsid w:val="000F30F7"/>
    <w:rsid w:val="000F312B"/>
    <w:rsid w:val="000F3503"/>
    <w:rsid w:val="000F4109"/>
    <w:rsid w:val="000F42F8"/>
    <w:rsid w:val="000F449A"/>
    <w:rsid w:val="000F4787"/>
    <w:rsid w:val="000F490F"/>
    <w:rsid w:val="000F4D2A"/>
    <w:rsid w:val="000F4DDB"/>
    <w:rsid w:val="000F5582"/>
    <w:rsid w:val="000F57C1"/>
    <w:rsid w:val="000F5D19"/>
    <w:rsid w:val="000F635E"/>
    <w:rsid w:val="000F64B5"/>
    <w:rsid w:val="000F6CD6"/>
    <w:rsid w:val="000F7338"/>
    <w:rsid w:val="000F7941"/>
    <w:rsid w:val="001004AF"/>
    <w:rsid w:val="00100E9E"/>
    <w:rsid w:val="00100EAB"/>
    <w:rsid w:val="0010103D"/>
    <w:rsid w:val="001010A3"/>
    <w:rsid w:val="00101223"/>
    <w:rsid w:val="00101B4F"/>
    <w:rsid w:val="00101E11"/>
    <w:rsid w:val="00101F3D"/>
    <w:rsid w:val="001020E0"/>
    <w:rsid w:val="00103763"/>
    <w:rsid w:val="00104046"/>
    <w:rsid w:val="00104556"/>
    <w:rsid w:val="001045D0"/>
    <w:rsid w:val="001053FA"/>
    <w:rsid w:val="001055C2"/>
    <w:rsid w:val="0010576F"/>
    <w:rsid w:val="001058C3"/>
    <w:rsid w:val="00106220"/>
    <w:rsid w:val="001069AC"/>
    <w:rsid w:val="0010715C"/>
    <w:rsid w:val="001076D0"/>
    <w:rsid w:val="001100D2"/>
    <w:rsid w:val="001101A0"/>
    <w:rsid w:val="00110392"/>
    <w:rsid w:val="00110B51"/>
    <w:rsid w:val="00110DAD"/>
    <w:rsid w:val="00110FE6"/>
    <w:rsid w:val="00111AFF"/>
    <w:rsid w:val="00111BB1"/>
    <w:rsid w:val="0011208C"/>
    <w:rsid w:val="001121F9"/>
    <w:rsid w:val="00112379"/>
    <w:rsid w:val="0011261A"/>
    <w:rsid w:val="00113F10"/>
    <w:rsid w:val="001141CF"/>
    <w:rsid w:val="001145BD"/>
    <w:rsid w:val="00114731"/>
    <w:rsid w:val="00114EFD"/>
    <w:rsid w:val="00115DEA"/>
    <w:rsid w:val="0011654D"/>
    <w:rsid w:val="00116DE8"/>
    <w:rsid w:val="00120406"/>
    <w:rsid w:val="00120A3E"/>
    <w:rsid w:val="00120A62"/>
    <w:rsid w:val="00120DDE"/>
    <w:rsid w:val="00122D9B"/>
    <w:rsid w:val="00122E2E"/>
    <w:rsid w:val="00123274"/>
    <w:rsid w:val="00123E9E"/>
    <w:rsid w:val="00124297"/>
    <w:rsid w:val="001243A8"/>
    <w:rsid w:val="00124A8F"/>
    <w:rsid w:val="00125438"/>
    <w:rsid w:val="00125763"/>
    <w:rsid w:val="00125A04"/>
    <w:rsid w:val="00125B7E"/>
    <w:rsid w:val="00125E62"/>
    <w:rsid w:val="0012617D"/>
    <w:rsid w:val="00126309"/>
    <w:rsid w:val="0012652E"/>
    <w:rsid w:val="00126704"/>
    <w:rsid w:val="001268F0"/>
    <w:rsid w:val="00127087"/>
    <w:rsid w:val="001273E5"/>
    <w:rsid w:val="00127899"/>
    <w:rsid w:val="00127AC6"/>
    <w:rsid w:val="0013026E"/>
    <w:rsid w:val="00130438"/>
    <w:rsid w:val="00130F5F"/>
    <w:rsid w:val="001311D5"/>
    <w:rsid w:val="001313DE"/>
    <w:rsid w:val="00131490"/>
    <w:rsid w:val="001320B4"/>
    <w:rsid w:val="0013279C"/>
    <w:rsid w:val="00132F7B"/>
    <w:rsid w:val="00133869"/>
    <w:rsid w:val="00133D46"/>
    <w:rsid w:val="00133EB9"/>
    <w:rsid w:val="0013434E"/>
    <w:rsid w:val="00134928"/>
    <w:rsid w:val="00135129"/>
    <w:rsid w:val="001358F8"/>
    <w:rsid w:val="001359FE"/>
    <w:rsid w:val="00135E95"/>
    <w:rsid w:val="00136D92"/>
    <w:rsid w:val="0013701D"/>
    <w:rsid w:val="001373A4"/>
    <w:rsid w:val="001379DE"/>
    <w:rsid w:val="00137B46"/>
    <w:rsid w:val="00137DB3"/>
    <w:rsid w:val="001403EB"/>
    <w:rsid w:val="00140794"/>
    <w:rsid w:val="00140987"/>
    <w:rsid w:val="00140CBD"/>
    <w:rsid w:val="0014192C"/>
    <w:rsid w:val="00141A90"/>
    <w:rsid w:val="00142417"/>
    <w:rsid w:val="00142DE9"/>
    <w:rsid w:val="00143184"/>
    <w:rsid w:val="0014340E"/>
    <w:rsid w:val="001437E3"/>
    <w:rsid w:val="00143B9E"/>
    <w:rsid w:val="001440AE"/>
    <w:rsid w:val="0014410B"/>
    <w:rsid w:val="001447B9"/>
    <w:rsid w:val="00144FCA"/>
    <w:rsid w:val="001469A4"/>
    <w:rsid w:val="00146AC6"/>
    <w:rsid w:val="00146F8F"/>
    <w:rsid w:val="001476DE"/>
    <w:rsid w:val="00147F35"/>
    <w:rsid w:val="00150320"/>
    <w:rsid w:val="001503DC"/>
    <w:rsid w:val="0015183F"/>
    <w:rsid w:val="00152412"/>
    <w:rsid w:val="00152441"/>
    <w:rsid w:val="00152885"/>
    <w:rsid w:val="00152B1E"/>
    <w:rsid w:val="001531AC"/>
    <w:rsid w:val="00153A27"/>
    <w:rsid w:val="001542D7"/>
    <w:rsid w:val="00154A43"/>
    <w:rsid w:val="00154D21"/>
    <w:rsid w:val="001560D5"/>
    <w:rsid w:val="001564C5"/>
    <w:rsid w:val="00156D38"/>
    <w:rsid w:val="00156F7C"/>
    <w:rsid w:val="0015725A"/>
    <w:rsid w:val="001572D7"/>
    <w:rsid w:val="00157438"/>
    <w:rsid w:val="00157738"/>
    <w:rsid w:val="00157D5F"/>
    <w:rsid w:val="0016044C"/>
    <w:rsid w:val="00160D5A"/>
    <w:rsid w:val="00161BCD"/>
    <w:rsid w:val="00161CF5"/>
    <w:rsid w:val="00162EC1"/>
    <w:rsid w:val="00162EC2"/>
    <w:rsid w:val="00162EDB"/>
    <w:rsid w:val="00163050"/>
    <w:rsid w:val="00163B94"/>
    <w:rsid w:val="00164172"/>
    <w:rsid w:val="001649ED"/>
    <w:rsid w:val="00164B60"/>
    <w:rsid w:val="00165461"/>
    <w:rsid w:val="0016555D"/>
    <w:rsid w:val="001663A3"/>
    <w:rsid w:val="0016660F"/>
    <w:rsid w:val="00166AC4"/>
    <w:rsid w:val="00167FA5"/>
    <w:rsid w:val="001709A2"/>
    <w:rsid w:val="001709E4"/>
    <w:rsid w:val="00170A0C"/>
    <w:rsid w:val="00170C50"/>
    <w:rsid w:val="00170EC2"/>
    <w:rsid w:val="0017221E"/>
    <w:rsid w:val="001722A7"/>
    <w:rsid w:val="0017324B"/>
    <w:rsid w:val="0017363F"/>
    <w:rsid w:val="00174528"/>
    <w:rsid w:val="00174D77"/>
    <w:rsid w:val="00175A49"/>
    <w:rsid w:val="00175EA8"/>
    <w:rsid w:val="0017643B"/>
    <w:rsid w:val="00176810"/>
    <w:rsid w:val="00176912"/>
    <w:rsid w:val="00177011"/>
    <w:rsid w:val="001770B4"/>
    <w:rsid w:val="00177449"/>
    <w:rsid w:val="00177DED"/>
    <w:rsid w:val="00177ED6"/>
    <w:rsid w:val="00180183"/>
    <w:rsid w:val="00180213"/>
    <w:rsid w:val="00180DCF"/>
    <w:rsid w:val="001825BC"/>
    <w:rsid w:val="00182B5D"/>
    <w:rsid w:val="00182E96"/>
    <w:rsid w:val="00183749"/>
    <w:rsid w:val="0018384F"/>
    <w:rsid w:val="0018475A"/>
    <w:rsid w:val="00184959"/>
    <w:rsid w:val="00184D19"/>
    <w:rsid w:val="00184D58"/>
    <w:rsid w:val="00185065"/>
    <w:rsid w:val="00186377"/>
    <w:rsid w:val="00186871"/>
    <w:rsid w:val="00186B3F"/>
    <w:rsid w:val="00186BE9"/>
    <w:rsid w:val="00187219"/>
    <w:rsid w:val="00187783"/>
    <w:rsid w:val="0018792D"/>
    <w:rsid w:val="00190253"/>
    <w:rsid w:val="00190D9D"/>
    <w:rsid w:val="00190FB1"/>
    <w:rsid w:val="001914D6"/>
    <w:rsid w:val="001914E8"/>
    <w:rsid w:val="00191ABE"/>
    <w:rsid w:val="00192438"/>
    <w:rsid w:val="001929E5"/>
    <w:rsid w:val="001936C8"/>
    <w:rsid w:val="00193766"/>
    <w:rsid w:val="001947DC"/>
    <w:rsid w:val="00194BB2"/>
    <w:rsid w:val="00194E02"/>
    <w:rsid w:val="0019594D"/>
    <w:rsid w:val="00195D48"/>
    <w:rsid w:val="00196162"/>
    <w:rsid w:val="0019648D"/>
    <w:rsid w:val="00196881"/>
    <w:rsid w:val="0019692D"/>
    <w:rsid w:val="001971F9"/>
    <w:rsid w:val="001973C0"/>
    <w:rsid w:val="00197997"/>
    <w:rsid w:val="00197F71"/>
    <w:rsid w:val="001A053F"/>
    <w:rsid w:val="001A06FD"/>
    <w:rsid w:val="001A097D"/>
    <w:rsid w:val="001A099A"/>
    <w:rsid w:val="001A0B0C"/>
    <w:rsid w:val="001A0B5F"/>
    <w:rsid w:val="001A12D9"/>
    <w:rsid w:val="001A1421"/>
    <w:rsid w:val="001A17B0"/>
    <w:rsid w:val="001A1E2E"/>
    <w:rsid w:val="001A2CE4"/>
    <w:rsid w:val="001A3123"/>
    <w:rsid w:val="001A382C"/>
    <w:rsid w:val="001A3EDE"/>
    <w:rsid w:val="001A40FE"/>
    <w:rsid w:val="001A453B"/>
    <w:rsid w:val="001A4E60"/>
    <w:rsid w:val="001A5DCC"/>
    <w:rsid w:val="001A650A"/>
    <w:rsid w:val="001A6CBD"/>
    <w:rsid w:val="001A72AC"/>
    <w:rsid w:val="001A76E7"/>
    <w:rsid w:val="001A791C"/>
    <w:rsid w:val="001A7956"/>
    <w:rsid w:val="001A7958"/>
    <w:rsid w:val="001B0433"/>
    <w:rsid w:val="001B08FD"/>
    <w:rsid w:val="001B09BD"/>
    <w:rsid w:val="001B10FC"/>
    <w:rsid w:val="001B202C"/>
    <w:rsid w:val="001B205D"/>
    <w:rsid w:val="001B2102"/>
    <w:rsid w:val="001B2A14"/>
    <w:rsid w:val="001B3441"/>
    <w:rsid w:val="001B34A9"/>
    <w:rsid w:val="001B38E3"/>
    <w:rsid w:val="001B3BD3"/>
    <w:rsid w:val="001B3C22"/>
    <w:rsid w:val="001B3C5C"/>
    <w:rsid w:val="001B47B4"/>
    <w:rsid w:val="001B4CFC"/>
    <w:rsid w:val="001B4D22"/>
    <w:rsid w:val="001B6385"/>
    <w:rsid w:val="001B6D62"/>
    <w:rsid w:val="001B6D7A"/>
    <w:rsid w:val="001B6E70"/>
    <w:rsid w:val="001B72C5"/>
    <w:rsid w:val="001B744A"/>
    <w:rsid w:val="001C004A"/>
    <w:rsid w:val="001C0300"/>
    <w:rsid w:val="001C0E08"/>
    <w:rsid w:val="001C1754"/>
    <w:rsid w:val="001C2046"/>
    <w:rsid w:val="001C3AA6"/>
    <w:rsid w:val="001C3D5D"/>
    <w:rsid w:val="001C4F85"/>
    <w:rsid w:val="001C5246"/>
    <w:rsid w:val="001C55D4"/>
    <w:rsid w:val="001C5BC6"/>
    <w:rsid w:val="001C5CA9"/>
    <w:rsid w:val="001C71FD"/>
    <w:rsid w:val="001C722F"/>
    <w:rsid w:val="001C7232"/>
    <w:rsid w:val="001C7435"/>
    <w:rsid w:val="001C744D"/>
    <w:rsid w:val="001D01A2"/>
    <w:rsid w:val="001D053C"/>
    <w:rsid w:val="001D094D"/>
    <w:rsid w:val="001D1B45"/>
    <w:rsid w:val="001D214A"/>
    <w:rsid w:val="001D2624"/>
    <w:rsid w:val="001D2CD3"/>
    <w:rsid w:val="001D4BDB"/>
    <w:rsid w:val="001D4DD9"/>
    <w:rsid w:val="001D5995"/>
    <w:rsid w:val="001D635F"/>
    <w:rsid w:val="001D6372"/>
    <w:rsid w:val="001D6A8D"/>
    <w:rsid w:val="001D6B0C"/>
    <w:rsid w:val="001D6EED"/>
    <w:rsid w:val="001D74DA"/>
    <w:rsid w:val="001D7B7F"/>
    <w:rsid w:val="001D7CE4"/>
    <w:rsid w:val="001D7F25"/>
    <w:rsid w:val="001E0E87"/>
    <w:rsid w:val="001E1763"/>
    <w:rsid w:val="001E182A"/>
    <w:rsid w:val="001E1B3A"/>
    <w:rsid w:val="001E1C62"/>
    <w:rsid w:val="001E2123"/>
    <w:rsid w:val="001E373E"/>
    <w:rsid w:val="001E49FF"/>
    <w:rsid w:val="001E4B5A"/>
    <w:rsid w:val="001E4C53"/>
    <w:rsid w:val="001E4F31"/>
    <w:rsid w:val="001E5218"/>
    <w:rsid w:val="001E5251"/>
    <w:rsid w:val="001E59FB"/>
    <w:rsid w:val="001E5C8D"/>
    <w:rsid w:val="001E5E13"/>
    <w:rsid w:val="001E6337"/>
    <w:rsid w:val="001E66CA"/>
    <w:rsid w:val="001E6BCB"/>
    <w:rsid w:val="001E7008"/>
    <w:rsid w:val="001E726F"/>
    <w:rsid w:val="001E7E95"/>
    <w:rsid w:val="001F02EF"/>
    <w:rsid w:val="001F0827"/>
    <w:rsid w:val="001F091F"/>
    <w:rsid w:val="001F0CBD"/>
    <w:rsid w:val="001F0D91"/>
    <w:rsid w:val="001F0F57"/>
    <w:rsid w:val="001F11A5"/>
    <w:rsid w:val="001F16C5"/>
    <w:rsid w:val="001F2734"/>
    <w:rsid w:val="001F2965"/>
    <w:rsid w:val="001F307F"/>
    <w:rsid w:val="001F32E4"/>
    <w:rsid w:val="001F3BC0"/>
    <w:rsid w:val="001F3D23"/>
    <w:rsid w:val="001F4209"/>
    <w:rsid w:val="001F4448"/>
    <w:rsid w:val="001F457B"/>
    <w:rsid w:val="001F46E0"/>
    <w:rsid w:val="001F478F"/>
    <w:rsid w:val="001F47CE"/>
    <w:rsid w:val="001F5B5C"/>
    <w:rsid w:val="001F5B75"/>
    <w:rsid w:val="001F5C88"/>
    <w:rsid w:val="001F6099"/>
    <w:rsid w:val="001F68EF"/>
    <w:rsid w:val="001F6C3A"/>
    <w:rsid w:val="001F6D78"/>
    <w:rsid w:val="001F7802"/>
    <w:rsid w:val="001F7973"/>
    <w:rsid w:val="001F7981"/>
    <w:rsid w:val="001F7D11"/>
    <w:rsid w:val="001F7F7B"/>
    <w:rsid w:val="00200212"/>
    <w:rsid w:val="002002F8"/>
    <w:rsid w:val="002007C0"/>
    <w:rsid w:val="00201360"/>
    <w:rsid w:val="002016F5"/>
    <w:rsid w:val="0020188E"/>
    <w:rsid w:val="00201DF2"/>
    <w:rsid w:val="00201EDE"/>
    <w:rsid w:val="00202265"/>
    <w:rsid w:val="002033E7"/>
    <w:rsid w:val="002035B6"/>
    <w:rsid w:val="002038D3"/>
    <w:rsid w:val="00203BE3"/>
    <w:rsid w:val="00203D3B"/>
    <w:rsid w:val="00203EF0"/>
    <w:rsid w:val="00204A20"/>
    <w:rsid w:val="002051B1"/>
    <w:rsid w:val="00205470"/>
    <w:rsid w:val="002054CE"/>
    <w:rsid w:val="00205C42"/>
    <w:rsid w:val="00206A7B"/>
    <w:rsid w:val="00206B11"/>
    <w:rsid w:val="00206B7E"/>
    <w:rsid w:val="0021034C"/>
    <w:rsid w:val="00210354"/>
    <w:rsid w:val="002103BC"/>
    <w:rsid w:val="00210850"/>
    <w:rsid w:val="0021099F"/>
    <w:rsid w:val="00210BF0"/>
    <w:rsid w:val="00210F1F"/>
    <w:rsid w:val="00211963"/>
    <w:rsid w:val="00211EF1"/>
    <w:rsid w:val="00211F92"/>
    <w:rsid w:val="00211FB2"/>
    <w:rsid w:val="00212202"/>
    <w:rsid w:val="00212973"/>
    <w:rsid w:val="00213E5F"/>
    <w:rsid w:val="00214833"/>
    <w:rsid w:val="0021497C"/>
    <w:rsid w:val="00214CE7"/>
    <w:rsid w:val="00215323"/>
    <w:rsid w:val="002164AD"/>
    <w:rsid w:val="0021690C"/>
    <w:rsid w:val="00220463"/>
    <w:rsid w:val="002206A9"/>
    <w:rsid w:val="00220D7F"/>
    <w:rsid w:val="002210F6"/>
    <w:rsid w:val="00221450"/>
    <w:rsid w:val="00221682"/>
    <w:rsid w:val="00221F18"/>
    <w:rsid w:val="002224B5"/>
    <w:rsid w:val="002234F4"/>
    <w:rsid w:val="00224437"/>
    <w:rsid w:val="0022452E"/>
    <w:rsid w:val="0022540F"/>
    <w:rsid w:val="002254C8"/>
    <w:rsid w:val="002255C3"/>
    <w:rsid w:val="002262A0"/>
    <w:rsid w:val="002273B0"/>
    <w:rsid w:val="0022756B"/>
    <w:rsid w:val="002277F3"/>
    <w:rsid w:val="00227AA9"/>
    <w:rsid w:val="00227B3A"/>
    <w:rsid w:val="00227C77"/>
    <w:rsid w:val="002309D8"/>
    <w:rsid w:val="00230E40"/>
    <w:rsid w:val="0023162A"/>
    <w:rsid w:val="0023165B"/>
    <w:rsid w:val="00232C18"/>
    <w:rsid w:val="00232E70"/>
    <w:rsid w:val="00233A84"/>
    <w:rsid w:val="0023434D"/>
    <w:rsid w:val="002354E7"/>
    <w:rsid w:val="0023594A"/>
    <w:rsid w:val="00235A50"/>
    <w:rsid w:val="00236887"/>
    <w:rsid w:val="0023720F"/>
    <w:rsid w:val="002376FC"/>
    <w:rsid w:val="00237755"/>
    <w:rsid w:val="0023778E"/>
    <w:rsid w:val="00237CFA"/>
    <w:rsid w:val="0024090C"/>
    <w:rsid w:val="00240F56"/>
    <w:rsid w:val="00240F7A"/>
    <w:rsid w:val="00241089"/>
    <w:rsid w:val="0024134F"/>
    <w:rsid w:val="0024198E"/>
    <w:rsid w:val="00241CA0"/>
    <w:rsid w:val="0024237B"/>
    <w:rsid w:val="00242A28"/>
    <w:rsid w:val="00242AE9"/>
    <w:rsid w:val="00243445"/>
    <w:rsid w:val="00243CC8"/>
    <w:rsid w:val="00243DE9"/>
    <w:rsid w:val="002442D1"/>
    <w:rsid w:val="00244A79"/>
    <w:rsid w:val="00244E17"/>
    <w:rsid w:val="0024518A"/>
    <w:rsid w:val="0024650D"/>
    <w:rsid w:val="00246B96"/>
    <w:rsid w:val="002473EC"/>
    <w:rsid w:val="00247543"/>
    <w:rsid w:val="00247B95"/>
    <w:rsid w:val="00247D73"/>
    <w:rsid w:val="00250499"/>
    <w:rsid w:val="002508B8"/>
    <w:rsid w:val="00250A4D"/>
    <w:rsid w:val="00250D8D"/>
    <w:rsid w:val="00250E20"/>
    <w:rsid w:val="00251065"/>
    <w:rsid w:val="00251D6C"/>
    <w:rsid w:val="00251F4D"/>
    <w:rsid w:val="0025271F"/>
    <w:rsid w:val="0025279A"/>
    <w:rsid w:val="00252885"/>
    <w:rsid w:val="00252A0D"/>
    <w:rsid w:val="00252BDF"/>
    <w:rsid w:val="0025350C"/>
    <w:rsid w:val="00253ACB"/>
    <w:rsid w:val="00254904"/>
    <w:rsid w:val="00254A7F"/>
    <w:rsid w:val="00254AB6"/>
    <w:rsid w:val="00254B02"/>
    <w:rsid w:val="00254D1A"/>
    <w:rsid w:val="00255469"/>
    <w:rsid w:val="00255618"/>
    <w:rsid w:val="00255DF0"/>
    <w:rsid w:val="00255F1C"/>
    <w:rsid w:val="00255FAA"/>
    <w:rsid w:val="00256C75"/>
    <w:rsid w:val="00256FF4"/>
    <w:rsid w:val="002574CD"/>
    <w:rsid w:val="002574DF"/>
    <w:rsid w:val="00257635"/>
    <w:rsid w:val="0025764E"/>
    <w:rsid w:val="00260429"/>
    <w:rsid w:val="00260DF0"/>
    <w:rsid w:val="0026188E"/>
    <w:rsid w:val="00261CE6"/>
    <w:rsid w:val="00261D48"/>
    <w:rsid w:val="00262F8C"/>
    <w:rsid w:val="00263341"/>
    <w:rsid w:val="002634D4"/>
    <w:rsid w:val="0026429C"/>
    <w:rsid w:val="00264734"/>
    <w:rsid w:val="00264D5C"/>
    <w:rsid w:val="002666F5"/>
    <w:rsid w:val="00267645"/>
    <w:rsid w:val="0026797C"/>
    <w:rsid w:val="00267A09"/>
    <w:rsid w:val="002704D5"/>
    <w:rsid w:val="00270E90"/>
    <w:rsid w:val="002710EA"/>
    <w:rsid w:val="00271299"/>
    <w:rsid w:val="00271681"/>
    <w:rsid w:val="00271B83"/>
    <w:rsid w:val="00271BDF"/>
    <w:rsid w:val="00271DBE"/>
    <w:rsid w:val="00272088"/>
    <w:rsid w:val="00272F33"/>
    <w:rsid w:val="002737BC"/>
    <w:rsid w:val="002742BC"/>
    <w:rsid w:val="002747C3"/>
    <w:rsid w:val="00274A16"/>
    <w:rsid w:val="00274DCD"/>
    <w:rsid w:val="00275A63"/>
    <w:rsid w:val="00275C9C"/>
    <w:rsid w:val="00275E58"/>
    <w:rsid w:val="0027647C"/>
    <w:rsid w:val="0027671B"/>
    <w:rsid w:val="00276A13"/>
    <w:rsid w:val="00277AE7"/>
    <w:rsid w:val="00277CC9"/>
    <w:rsid w:val="00280A30"/>
    <w:rsid w:val="00280F27"/>
    <w:rsid w:val="002812CA"/>
    <w:rsid w:val="002816BB"/>
    <w:rsid w:val="002817BD"/>
    <w:rsid w:val="00281B2B"/>
    <w:rsid w:val="00282404"/>
    <w:rsid w:val="002824BD"/>
    <w:rsid w:val="00282D6B"/>
    <w:rsid w:val="00282EB4"/>
    <w:rsid w:val="0028347A"/>
    <w:rsid w:val="00283CA3"/>
    <w:rsid w:val="00283E5B"/>
    <w:rsid w:val="00284B9F"/>
    <w:rsid w:val="002857F7"/>
    <w:rsid w:val="00286382"/>
    <w:rsid w:val="002867D6"/>
    <w:rsid w:val="00287089"/>
    <w:rsid w:val="0028744C"/>
    <w:rsid w:val="002878D9"/>
    <w:rsid w:val="00287AA1"/>
    <w:rsid w:val="00290022"/>
    <w:rsid w:val="00290378"/>
    <w:rsid w:val="002912EF"/>
    <w:rsid w:val="002917E2"/>
    <w:rsid w:val="00291B10"/>
    <w:rsid w:val="00291F72"/>
    <w:rsid w:val="00292517"/>
    <w:rsid w:val="00292772"/>
    <w:rsid w:val="002929BC"/>
    <w:rsid w:val="002929DD"/>
    <w:rsid w:val="00292CC1"/>
    <w:rsid w:val="00293112"/>
    <w:rsid w:val="00293632"/>
    <w:rsid w:val="0029444A"/>
    <w:rsid w:val="0029544E"/>
    <w:rsid w:val="00295623"/>
    <w:rsid w:val="002959B9"/>
    <w:rsid w:val="00295D6D"/>
    <w:rsid w:val="00295EFF"/>
    <w:rsid w:val="00296707"/>
    <w:rsid w:val="002970B9"/>
    <w:rsid w:val="002972E7"/>
    <w:rsid w:val="002973F1"/>
    <w:rsid w:val="0029752D"/>
    <w:rsid w:val="002979DD"/>
    <w:rsid w:val="00297BA4"/>
    <w:rsid w:val="00297CB2"/>
    <w:rsid w:val="00297FDF"/>
    <w:rsid w:val="002A06FA"/>
    <w:rsid w:val="002A09E0"/>
    <w:rsid w:val="002A0B61"/>
    <w:rsid w:val="002A0C50"/>
    <w:rsid w:val="002A1FC9"/>
    <w:rsid w:val="002A261D"/>
    <w:rsid w:val="002A26EB"/>
    <w:rsid w:val="002A2F0B"/>
    <w:rsid w:val="002A32B3"/>
    <w:rsid w:val="002A3F16"/>
    <w:rsid w:val="002A4F33"/>
    <w:rsid w:val="002A5E6D"/>
    <w:rsid w:val="002A5EB6"/>
    <w:rsid w:val="002A6C3D"/>
    <w:rsid w:val="002A7232"/>
    <w:rsid w:val="002A7939"/>
    <w:rsid w:val="002A7DA8"/>
    <w:rsid w:val="002A7F70"/>
    <w:rsid w:val="002B013E"/>
    <w:rsid w:val="002B0171"/>
    <w:rsid w:val="002B056D"/>
    <w:rsid w:val="002B0623"/>
    <w:rsid w:val="002B0653"/>
    <w:rsid w:val="002B0A3F"/>
    <w:rsid w:val="002B0DF8"/>
    <w:rsid w:val="002B10DC"/>
    <w:rsid w:val="002B14E9"/>
    <w:rsid w:val="002B188E"/>
    <w:rsid w:val="002B1B64"/>
    <w:rsid w:val="002B21F6"/>
    <w:rsid w:val="002B29AA"/>
    <w:rsid w:val="002B2C36"/>
    <w:rsid w:val="002B3196"/>
    <w:rsid w:val="002B38C1"/>
    <w:rsid w:val="002B3BF8"/>
    <w:rsid w:val="002B4274"/>
    <w:rsid w:val="002B43AE"/>
    <w:rsid w:val="002B4F0E"/>
    <w:rsid w:val="002B5542"/>
    <w:rsid w:val="002B5913"/>
    <w:rsid w:val="002B5FE7"/>
    <w:rsid w:val="002B618C"/>
    <w:rsid w:val="002B66F8"/>
    <w:rsid w:val="002B6BED"/>
    <w:rsid w:val="002B70E0"/>
    <w:rsid w:val="002B726D"/>
    <w:rsid w:val="002B7B7B"/>
    <w:rsid w:val="002B7DF9"/>
    <w:rsid w:val="002C0280"/>
    <w:rsid w:val="002C0593"/>
    <w:rsid w:val="002C0BFB"/>
    <w:rsid w:val="002C1399"/>
    <w:rsid w:val="002C143D"/>
    <w:rsid w:val="002C1671"/>
    <w:rsid w:val="002C1EAC"/>
    <w:rsid w:val="002C29E8"/>
    <w:rsid w:val="002C2DFF"/>
    <w:rsid w:val="002C2FAD"/>
    <w:rsid w:val="002C3299"/>
    <w:rsid w:val="002C3639"/>
    <w:rsid w:val="002C368C"/>
    <w:rsid w:val="002C3777"/>
    <w:rsid w:val="002C3A6C"/>
    <w:rsid w:val="002C3D47"/>
    <w:rsid w:val="002C4128"/>
    <w:rsid w:val="002C4243"/>
    <w:rsid w:val="002C49AB"/>
    <w:rsid w:val="002C4DC2"/>
    <w:rsid w:val="002C5652"/>
    <w:rsid w:val="002C57DD"/>
    <w:rsid w:val="002C7B19"/>
    <w:rsid w:val="002C7CB8"/>
    <w:rsid w:val="002C7E55"/>
    <w:rsid w:val="002D096E"/>
    <w:rsid w:val="002D09DA"/>
    <w:rsid w:val="002D0B50"/>
    <w:rsid w:val="002D0C2D"/>
    <w:rsid w:val="002D0D44"/>
    <w:rsid w:val="002D0D5B"/>
    <w:rsid w:val="002D16EF"/>
    <w:rsid w:val="002D1A34"/>
    <w:rsid w:val="002D32C6"/>
    <w:rsid w:val="002D3BAD"/>
    <w:rsid w:val="002D481F"/>
    <w:rsid w:val="002D482A"/>
    <w:rsid w:val="002D4C64"/>
    <w:rsid w:val="002D4D67"/>
    <w:rsid w:val="002D5E1F"/>
    <w:rsid w:val="002D744A"/>
    <w:rsid w:val="002D747A"/>
    <w:rsid w:val="002D7835"/>
    <w:rsid w:val="002E0AF5"/>
    <w:rsid w:val="002E0F4E"/>
    <w:rsid w:val="002E23FE"/>
    <w:rsid w:val="002E2441"/>
    <w:rsid w:val="002E24F6"/>
    <w:rsid w:val="002E3A32"/>
    <w:rsid w:val="002E42E8"/>
    <w:rsid w:val="002E462F"/>
    <w:rsid w:val="002E4760"/>
    <w:rsid w:val="002E4CDF"/>
    <w:rsid w:val="002E4E6E"/>
    <w:rsid w:val="002E5826"/>
    <w:rsid w:val="002E59E2"/>
    <w:rsid w:val="002E673D"/>
    <w:rsid w:val="002E6790"/>
    <w:rsid w:val="002E685D"/>
    <w:rsid w:val="002E6D1B"/>
    <w:rsid w:val="002E6FCE"/>
    <w:rsid w:val="002E7149"/>
    <w:rsid w:val="002E77BE"/>
    <w:rsid w:val="002E7918"/>
    <w:rsid w:val="002E7E9C"/>
    <w:rsid w:val="002E7FDB"/>
    <w:rsid w:val="002F0077"/>
    <w:rsid w:val="002F0338"/>
    <w:rsid w:val="002F0827"/>
    <w:rsid w:val="002F0EF3"/>
    <w:rsid w:val="002F1CEA"/>
    <w:rsid w:val="002F1F40"/>
    <w:rsid w:val="002F2211"/>
    <w:rsid w:val="002F241D"/>
    <w:rsid w:val="002F2F27"/>
    <w:rsid w:val="002F3263"/>
    <w:rsid w:val="002F3754"/>
    <w:rsid w:val="002F3BDC"/>
    <w:rsid w:val="002F3DAC"/>
    <w:rsid w:val="002F3DB8"/>
    <w:rsid w:val="002F3ED5"/>
    <w:rsid w:val="002F3F6F"/>
    <w:rsid w:val="002F4B2F"/>
    <w:rsid w:val="002F5340"/>
    <w:rsid w:val="002F5444"/>
    <w:rsid w:val="002F56FF"/>
    <w:rsid w:val="002F5D56"/>
    <w:rsid w:val="002F61FF"/>
    <w:rsid w:val="002F6518"/>
    <w:rsid w:val="002F653A"/>
    <w:rsid w:val="002F6BF5"/>
    <w:rsid w:val="002F74B7"/>
    <w:rsid w:val="002F7550"/>
    <w:rsid w:val="002F7B7D"/>
    <w:rsid w:val="002F7BBD"/>
    <w:rsid w:val="002F7CEA"/>
    <w:rsid w:val="002F7EAF"/>
    <w:rsid w:val="00300515"/>
    <w:rsid w:val="0030086D"/>
    <w:rsid w:val="00300D0B"/>
    <w:rsid w:val="0030107A"/>
    <w:rsid w:val="003015B1"/>
    <w:rsid w:val="003016C5"/>
    <w:rsid w:val="0030233B"/>
    <w:rsid w:val="003027D6"/>
    <w:rsid w:val="00302DB2"/>
    <w:rsid w:val="003031CD"/>
    <w:rsid w:val="00303AE2"/>
    <w:rsid w:val="00303B1F"/>
    <w:rsid w:val="00304346"/>
    <w:rsid w:val="00304BD8"/>
    <w:rsid w:val="00304FB1"/>
    <w:rsid w:val="003053D5"/>
    <w:rsid w:val="0030676E"/>
    <w:rsid w:val="00306CEC"/>
    <w:rsid w:val="00307282"/>
    <w:rsid w:val="003111B8"/>
    <w:rsid w:val="00311AAB"/>
    <w:rsid w:val="0031230F"/>
    <w:rsid w:val="0031290C"/>
    <w:rsid w:val="00312B50"/>
    <w:rsid w:val="00312B6F"/>
    <w:rsid w:val="00312C34"/>
    <w:rsid w:val="00312F58"/>
    <w:rsid w:val="003130B2"/>
    <w:rsid w:val="00313F69"/>
    <w:rsid w:val="00314841"/>
    <w:rsid w:val="00314CE6"/>
    <w:rsid w:val="003150EB"/>
    <w:rsid w:val="0031512E"/>
    <w:rsid w:val="00315563"/>
    <w:rsid w:val="00315A39"/>
    <w:rsid w:val="00316330"/>
    <w:rsid w:val="003163EC"/>
    <w:rsid w:val="003163FF"/>
    <w:rsid w:val="00316781"/>
    <w:rsid w:val="00316790"/>
    <w:rsid w:val="00316C5A"/>
    <w:rsid w:val="00316FAF"/>
    <w:rsid w:val="003171CD"/>
    <w:rsid w:val="00317830"/>
    <w:rsid w:val="003207C6"/>
    <w:rsid w:val="00320918"/>
    <w:rsid w:val="003213EF"/>
    <w:rsid w:val="003217BB"/>
    <w:rsid w:val="00321C36"/>
    <w:rsid w:val="00321C99"/>
    <w:rsid w:val="003223B8"/>
    <w:rsid w:val="003225E3"/>
    <w:rsid w:val="0032296B"/>
    <w:rsid w:val="003231CA"/>
    <w:rsid w:val="00324589"/>
    <w:rsid w:val="00324A27"/>
    <w:rsid w:val="003253DB"/>
    <w:rsid w:val="00325B26"/>
    <w:rsid w:val="00325E09"/>
    <w:rsid w:val="00325F6B"/>
    <w:rsid w:val="0032619E"/>
    <w:rsid w:val="00326704"/>
    <w:rsid w:val="00326CD9"/>
    <w:rsid w:val="00326E1A"/>
    <w:rsid w:val="0032701B"/>
    <w:rsid w:val="00327048"/>
    <w:rsid w:val="00330324"/>
    <w:rsid w:val="00330718"/>
    <w:rsid w:val="003308EA"/>
    <w:rsid w:val="00330B80"/>
    <w:rsid w:val="00330DDB"/>
    <w:rsid w:val="003311B8"/>
    <w:rsid w:val="00331E9E"/>
    <w:rsid w:val="003323D1"/>
    <w:rsid w:val="00332DD0"/>
    <w:rsid w:val="0033344B"/>
    <w:rsid w:val="00333F6E"/>
    <w:rsid w:val="003355F7"/>
    <w:rsid w:val="00335B0A"/>
    <w:rsid w:val="00335F0C"/>
    <w:rsid w:val="003369F9"/>
    <w:rsid w:val="00337022"/>
    <w:rsid w:val="0033736B"/>
    <w:rsid w:val="00337D1F"/>
    <w:rsid w:val="003402F2"/>
    <w:rsid w:val="00340331"/>
    <w:rsid w:val="00340A97"/>
    <w:rsid w:val="00340D9A"/>
    <w:rsid w:val="00340DB2"/>
    <w:rsid w:val="003412BE"/>
    <w:rsid w:val="003412DB"/>
    <w:rsid w:val="00341F30"/>
    <w:rsid w:val="003425B2"/>
    <w:rsid w:val="003426D6"/>
    <w:rsid w:val="00342A97"/>
    <w:rsid w:val="003431A9"/>
    <w:rsid w:val="00343D18"/>
    <w:rsid w:val="00344228"/>
    <w:rsid w:val="00344E97"/>
    <w:rsid w:val="00345AD1"/>
    <w:rsid w:val="0034628F"/>
    <w:rsid w:val="003463E9"/>
    <w:rsid w:val="003466DB"/>
    <w:rsid w:val="003467FD"/>
    <w:rsid w:val="00346D2F"/>
    <w:rsid w:val="0034765E"/>
    <w:rsid w:val="003479AB"/>
    <w:rsid w:val="00347B08"/>
    <w:rsid w:val="003500BE"/>
    <w:rsid w:val="00351101"/>
    <w:rsid w:val="003512AA"/>
    <w:rsid w:val="0035140B"/>
    <w:rsid w:val="00353319"/>
    <w:rsid w:val="003537F4"/>
    <w:rsid w:val="0035382A"/>
    <w:rsid w:val="00353C29"/>
    <w:rsid w:val="003543F1"/>
    <w:rsid w:val="0035475F"/>
    <w:rsid w:val="0035485B"/>
    <w:rsid w:val="00354ADF"/>
    <w:rsid w:val="00354B87"/>
    <w:rsid w:val="00355218"/>
    <w:rsid w:val="00355712"/>
    <w:rsid w:val="00356802"/>
    <w:rsid w:val="003576D9"/>
    <w:rsid w:val="00357A14"/>
    <w:rsid w:val="00357BC6"/>
    <w:rsid w:val="00357F0A"/>
    <w:rsid w:val="003610A3"/>
    <w:rsid w:val="003613C9"/>
    <w:rsid w:val="00361707"/>
    <w:rsid w:val="0036263D"/>
    <w:rsid w:val="00362868"/>
    <w:rsid w:val="00362C7F"/>
    <w:rsid w:val="003632B4"/>
    <w:rsid w:val="003637FB"/>
    <w:rsid w:val="003640A9"/>
    <w:rsid w:val="00364E6A"/>
    <w:rsid w:val="003650E5"/>
    <w:rsid w:val="00365E12"/>
    <w:rsid w:val="00366037"/>
    <w:rsid w:val="00366882"/>
    <w:rsid w:val="0036698E"/>
    <w:rsid w:val="00366B24"/>
    <w:rsid w:val="00367176"/>
    <w:rsid w:val="0036782B"/>
    <w:rsid w:val="00367DB0"/>
    <w:rsid w:val="00367F84"/>
    <w:rsid w:val="003707C6"/>
    <w:rsid w:val="00370FF7"/>
    <w:rsid w:val="003710D3"/>
    <w:rsid w:val="00371748"/>
    <w:rsid w:val="00371A55"/>
    <w:rsid w:val="00371E94"/>
    <w:rsid w:val="00372728"/>
    <w:rsid w:val="00373046"/>
    <w:rsid w:val="0037308F"/>
    <w:rsid w:val="00373805"/>
    <w:rsid w:val="00373A3B"/>
    <w:rsid w:val="00373D99"/>
    <w:rsid w:val="003747DC"/>
    <w:rsid w:val="00374B99"/>
    <w:rsid w:val="00374F9A"/>
    <w:rsid w:val="00375C46"/>
    <w:rsid w:val="00376BDF"/>
    <w:rsid w:val="00376BF5"/>
    <w:rsid w:val="00376F0B"/>
    <w:rsid w:val="00377EF0"/>
    <w:rsid w:val="0038010C"/>
    <w:rsid w:val="00381654"/>
    <w:rsid w:val="00381A81"/>
    <w:rsid w:val="00381FD1"/>
    <w:rsid w:val="00382532"/>
    <w:rsid w:val="0038269A"/>
    <w:rsid w:val="00383BF0"/>
    <w:rsid w:val="00383F1E"/>
    <w:rsid w:val="003845F4"/>
    <w:rsid w:val="00384D61"/>
    <w:rsid w:val="00385212"/>
    <w:rsid w:val="00385C8E"/>
    <w:rsid w:val="0038689F"/>
    <w:rsid w:val="00386B87"/>
    <w:rsid w:val="003875F6"/>
    <w:rsid w:val="003878F9"/>
    <w:rsid w:val="00387A61"/>
    <w:rsid w:val="00387C5E"/>
    <w:rsid w:val="00387D2B"/>
    <w:rsid w:val="00387DB5"/>
    <w:rsid w:val="00390204"/>
    <w:rsid w:val="0039024C"/>
    <w:rsid w:val="00390A61"/>
    <w:rsid w:val="00390E46"/>
    <w:rsid w:val="00390E99"/>
    <w:rsid w:val="0039221F"/>
    <w:rsid w:val="0039244E"/>
    <w:rsid w:val="00392B33"/>
    <w:rsid w:val="00393484"/>
    <w:rsid w:val="003936E2"/>
    <w:rsid w:val="00393BF1"/>
    <w:rsid w:val="003944E7"/>
    <w:rsid w:val="003953A1"/>
    <w:rsid w:val="00395475"/>
    <w:rsid w:val="00395BFD"/>
    <w:rsid w:val="00395F43"/>
    <w:rsid w:val="00396E53"/>
    <w:rsid w:val="003970FE"/>
    <w:rsid w:val="00397A15"/>
    <w:rsid w:val="00397FFD"/>
    <w:rsid w:val="003A002F"/>
    <w:rsid w:val="003A0525"/>
    <w:rsid w:val="003A0833"/>
    <w:rsid w:val="003A142C"/>
    <w:rsid w:val="003A15C0"/>
    <w:rsid w:val="003A1708"/>
    <w:rsid w:val="003A1BB0"/>
    <w:rsid w:val="003A1E77"/>
    <w:rsid w:val="003A2074"/>
    <w:rsid w:val="003A20D8"/>
    <w:rsid w:val="003A23FD"/>
    <w:rsid w:val="003A26DE"/>
    <w:rsid w:val="003A2F3D"/>
    <w:rsid w:val="003A32BF"/>
    <w:rsid w:val="003A3338"/>
    <w:rsid w:val="003A3857"/>
    <w:rsid w:val="003A3B0C"/>
    <w:rsid w:val="003A3E62"/>
    <w:rsid w:val="003A4210"/>
    <w:rsid w:val="003A479C"/>
    <w:rsid w:val="003A4ABF"/>
    <w:rsid w:val="003A57C5"/>
    <w:rsid w:val="003A6542"/>
    <w:rsid w:val="003A6804"/>
    <w:rsid w:val="003A7E35"/>
    <w:rsid w:val="003B0120"/>
    <w:rsid w:val="003B067B"/>
    <w:rsid w:val="003B099D"/>
    <w:rsid w:val="003B0A77"/>
    <w:rsid w:val="003B0C07"/>
    <w:rsid w:val="003B1E3E"/>
    <w:rsid w:val="003B202F"/>
    <w:rsid w:val="003B3F36"/>
    <w:rsid w:val="003B428E"/>
    <w:rsid w:val="003B4691"/>
    <w:rsid w:val="003B5631"/>
    <w:rsid w:val="003B56BB"/>
    <w:rsid w:val="003B6392"/>
    <w:rsid w:val="003B6864"/>
    <w:rsid w:val="003B6E7B"/>
    <w:rsid w:val="003B7560"/>
    <w:rsid w:val="003C1672"/>
    <w:rsid w:val="003C1804"/>
    <w:rsid w:val="003C1C79"/>
    <w:rsid w:val="003C267A"/>
    <w:rsid w:val="003C33CF"/>
    <w:rsid w:val="003C3A37"/>
    <w:rsid w:val="003C574D"/>
    <w:rsid w:val="003C59CD"/>
    <w:rsid w:val="003C5E10"/>
    <w:rsid w:val="003C5F74"/>
    <w:rsid w:val="003C624E"/>
    <w:rsid w:val="003C65E5"/>
    <w:rsid w:val="003C7250"/>
    <w:rsid w:val="003C7F38"/>
    <w:rsid w:val="003D0260"/>
    <w:rsid w:val="003D0797"/>
    <w:rsid w:val="003D1582"/>
    <w:rsid w:val="003D18F1"/>
    <w:rsid w:val="003D1FE1"/>
    <w:rsid w:val="003D20E3"/>
    <w:rsid w:val="003D2295"/>
    <w:rsid w:val="003D22B3"/>
    <w:rsid w:val="003D25D4"/>
    <w:rsid w:val="003D2F9A"/>
    <w:rsid w:val="003D4196"/>
    <w:rsid w:val="003D4352"/>
    <w:rsid w:val="003D4FAA"/>
    <w:rsid w:val="003D51AC"/>
    <w:rsid w:val="003D55A6"/>
    <w:rsid w:val="003D585F"/>
    <w:rsid w:val="003D6456"/>
    <w:rsid w:val="003D654F"/>
    <w:rsid w:val="003D6940"/>
    <w:rsid w:val="003D696D"/>
    <w:rsid w:val="003D70B0"/>
    <w:rsid w:val="003D7844"/>
    <w:rsid w:val="003D7D86"/>
    <w:rsid w:val="003E05F3"/>
    <w:rsid w:val="003E13C2"/>
    <w:rsid w:val="003E15E0"/>
    <w:rsid w:val="003E1712"/>
    <w:rsid w:val="003E19F1"/>
    <w:rsid w:val="003E1CB2"/>
    <w:rsid w:val="003E2925"/>
    <w:rsid w:val="003E2990"/>
    <w:rsid w:val="003E29FE"/>
    <w:rsid w:val="003E2BA2"/>
    <w:rsid w:val="003E3935"/>
    <w:rsid w:val="003E3FDB"/>
    <w:rsid w:val="003E43DE"/>
    <w:rsid w:val="003E4A76"/>
    <w:rsid w:val="003E6963"/>
    <w:rsid w:val="003E696C"/>
    <w:rsid w:val="003E6F9F"/>
    <w:rsid w:val="003E7235"/>
    <w:rsid w:val="003E740E"/>
    <w:rsid w:val="003E7555"/>
    <w:rsid w:val="003E78CD"/>
    <w:rsid w:val="003F054E"/>
    <w:rsid w:val="003F0A7F"/>
    <w:rsid w:val="003F1233"/>
    <w:rsid w:val="003F1613"/>
    <w:rsid w:val="003F17D9"/>
    <w:rsid w:val="003F1CF2"/>
    <w:rsid w:val="003F1FBF"/>
    <w:rsid w:val="003F3212"/>
    <w:rsid w:val="003F34D8"/>
    <w:rsid w:val="003F46C5"/>
    <w:rsid w:val="003F46DA"/>
    <w:rsid w:val="003F47E1"/>
    <w:rsid w:val="003F491F"/>
    <w:rsid w:val="003F4974"/>
    <w:rsid w:val="003F4D2C"/>
    <w:rsid w:val="003F50E0"/>
    <w:rsid w:val="003F5C0C"/>
    <w:rsid w:val="003F6231"/>
    <w:rsid w:val="003F62B8"/>
    <w:rsid w:val="003F649E"/>
    <w:rsid w:val="003F6F10"/>
    <w:rsid w:val="003F7300"/>
    <w:rsid w:val="003F7A81"/>
    <w:rsid w:val="003F7E47"/>
    <w:rsid w:val="003F7ECF"/>
    <w:rsid w:val="00400297"/>
    <w:rsid w:val="00400B1D"/>
    <w:rsid w:val="00400D5A"/>
    <w:rsid w:val="004014E5"/>
    <w:rsid w:val="00401536"/>
    <w:rsid w:val="00401B84"/>
    <w:rsid w:val="00401CDE"/>
    <w:rsid w:val="0040216E"/>
    <w:rsid w:val="004024C0"/>
    <w:rsid w:val="00402645"/>
    <w:rsid w:val="004035CA"/>
    <w:rsid w:val="00403BD8"/>
    <w:rsid w:val="0040423D"/>
    <w:rsid w:val="00404798"/>
    <w:rsid w:val="0040498E"/>
    <w:rsid w:val="00405518"/>
    <w:rsid w:val="00405D24"/>
    <w:rsid w:val="00405F1F"/>
    <w:rsid w:val="004065E9"/>
    <w:rsid w:val="0040679E"/>
    <w:rsid w:val="00406866"/>
    <w:rsid w:val="00406E0A"/>
    <w:rsid w:val="0040772A"/>
    <w:rsid w:val="00410150"/>
    <w:rsid w:val="0041032F"/>
    <w:rsid w:val="00410BFD"/>
    <w:rsid w:val="00410E2C"/>
    <w:rsid w:val="00411CF5"/>
    <w:rsid w:val="00411F0D"/>
    <w:rsid w:val="00411FE9"/>
    <w:rsid w:val="0041272D"/>
    <w:rsid w:val="004127A1"/>
    <w:rsid w:val="00412813"/>
    <w:rsid w:val="004131F1"/>
    <w:rsid w:val="00413AC7"/>
    <w:rsid w:val="00413B7E"/>
    <w:rsid w:val="0041494D"/>
    <w:rsid w:val="00414CA5"/>
    <w:rsid w:val="00414E51"/>
    <w:rsid w:val="00416553"/>
    <w:rsid w:val="00416E61"/>
    <w:rsid w:val="00417567"/>
    <w:rsid w:val="00417CB3"/>
    <w:rsid w:val="00417CB8"/>
    <w:rsid w:val="00417F6D"/>
    <w:rsid w:val="00420E52"/>
    <w:rsid w:val="00420F71"/>
    <w:rsid w:val="00421ABA"/>
    <w:rsid w:val="004223E6"/>
    <w:rsid w:val="00422B57"/>
    <w:rsid w:val="00422E72"/>
    <w:rsid w:val="00423C09"/>
    <w:rsid w:val="00423C3F"/>
    <w:rsid w:val="00423D58"/>
    <w:rsid w:val="00424F8C"/>
    <w:rsid w:val="00425DAB"/>
    <w:rsid w:val="00426083"/>
    <w:rsid w:val="00426C63"/>
    <w:rsid w:val="00427170"/>
    <w:rsid w:val="004274CA"/>
    <w:rsid w:val="0042759B"/>
    <w:rsid w:val="004303E6"/>
    <w:rsid w:val="004304F1"/>
    <w:rsid w:val="00430D30"/>
    <w:rsid w:val="00430D82"/>
    <w:rsid w:val="00431530"/>
    <w:rsid w:val="004321A2"/>
    <w:rsid w:val="00432406"/>
    <w:rsid w:val="00432590"/>
    <w:rsid w:val="004328AA"/>
    <w:rsid w:val="004328FB"/>
    <w:rsid w:val="00432F89"/>
    <w:rsid w:val="00433A7B"/>
    <w:rsid w:val="00433D66"/>
    <w:rsid w:val="004345DC"/>
    <w:rsid w:val="0043468D"/>
    <w:rsid w:val="00434DFB"/>
    <w:rsid w:val="00434F5B"/>
    <w:rsid w:val="00435017"/>
    <w:rsid w:val="00435527"/>
    <w:rsid w:val="0043587E"/>
    <w:rsid w:val="00436734"/>
    <w:rsid w:val="00436A12"/>
    <w:rsid w:val="00436D0E"/>
    <w:rsid w:val="00437032"/>
    <w:rsid w:val="0043719B"/>
    <w:rsid w:val="00437470"/>
    <w:rsid w:val="004375C7"/>
    <w:rsid w:val="0044010B"/>
    <w:rsid w:val="00440252"/>
    <w:rsid w:val="00440516"/>
    <w:rsid w:val="00442304"/>
    <w:rsid w:val="00442689"/>
    <w:rsid w:val="00443302"/>
    <w:rsid w:val="004434ED"/>
    <w:rsid w:val="0044388A"/>
    <w:rsid w:val="004438EC"/>
    <w:rsid w:val="00443968"/>
    <w:rsid w:val="004442C1"/>
    <w:rsid w:val="00444580"/>
    <w:rsid w:val="00444696"/>
    <w:rsid w:val="004447AC"/>
    <w:rsid w:val="004449ED"/>
    <w:rsid w:val="00444D87"/>
    <w:rsid w:val="00445123"/>
    <w:rsid w:val="0044518A"/>
    <w:rsid w:val="0044522C"/>
    <w:rsid w:val="004454A5"/>
    <w:rsid w:val="004454F4"/>
    <w:rsid w:val="00445A35"/>
    <w:rsid w:val="00445D9C"/>
    <w:rsid w:val="00446257"/>
    <w:rsid w:val="0044676C"/>
    <w:rsid w:val="00447A5B"/>
    <w:rsid w:val="004515C6"/>
    <w:rsid w:val="0045175C"/>
    <w:rsid w:val="004520C5"/>
    <w:rsid w:val="0045227A"/>
    <w:rsid w:val="004524B8"/>
    <w:rsid w:val="00452AD1"/>
    <w:rsid w:val="00453BDB"/>
    <w:rsid w:val="00453FF2"/>
    <w:rsid w:val="00454397"/>
    <w:rsid w:val="00454486"/>
    <w:rsid w:val="004549E0"/>
    <w:rsid w:val="00454AEC"/>
    <w:rsid w:val="00455D4E"/>
    <w:rsid w:val="0045615F"/>
    <w:rsid w:val="00456781"/>
    <w:rsid w:val="00456890"/>
    <w:rsid w:val="00456C59"/>
    <w:rsid w:val="00457C2B"/>
    <w:rsid w:val="00460180"/>
    <w:rsid w:val="004613E4"/>
    <w:rsid w:val="004614C2"/>
    <w:rsid w:val="00461592"/>
    <w:rsid w:val="00461A83"/>
    <w:rsid w:val="00462AB7"/>
    <w:rsid w:val="00462C35"/>
    <w:rsid w:val="00462DD5"/>
    <w:rsid w:val="00463AD1"/>
    <w:rsid w:val="00463E6D"/>
    <w:rsid w:val="00464753"/>
    <w:rsid w:val="00465858"/>
    <w:rsid w:val="00465C67"/>
    <w:rsid w:val="0046634C"/>
    <w:rsid w:val="0046680F"/>
    <w:rsid w:val="0046696D"/>
    <w:rsid w:val="00467731"/>
    <w:rsid w:val="00470E76"/>
    <w:rsid w:val="00471132"/>
    <w:rsid w:val="004711FA"/>
    <w:rsid w:val="004718A2"/>
    <w:rsid w:val="004718D7"/>
    <w:rsid w:val="00471A7D"/>
    <w:rsid w:val="00471AB4"/>
    <w:rsid w:val="00471DAE"/>
    <w:rsid w:val="004720A0"/>
    <w:rsid w:val="00472BDC"/>
    <w:rsid w:val="00472DF2"/>
    <w:rsid w:val="004733E6"/>
    <w:rsid w:val="0047375C"/>
    <w:rsid w:val="00473E0F"/>
    <w:rsid w:val="004740BE"/>
    <w:rsid w:val="0047422E"/>
    <w:rsid w:val="00474397"/>
    <w:rsid w:val="00474A6B"/>
    <w:rsid w:val="00474D5E"/>
    <w:rsid w:val="004752AC"/>
    <w:rsid w:val="00475CA6"/>
    <w:rsid w:val="0047645E"/>
    <w:rsid w:val="004765C9"/>
    <w:rsid w:val="00476618"/>
    <w:rsid w:val="00476DA4"/>
    <w:rsid w:val="00477056"/>
    <w:rsid w:val="00477374"/>
    <w:rsid w:val="00477A6C"/>
    <w:rsid w:val="00477E02"/>
    <w:rsid w:val="00477EC5"/>
    <w:rsid w:val="00480632"/>
    <w:rsid w:val="004806AE"/>
    <w:rsid w:val="0048147A"/>
    <w:rsid w:val="004814B0"/>
    <w:rsid w:val="00481BC9"/>
    <w:rsid w:val="0048283F"/>
    <w:rsid w:val="00482D16"/>
    <w:rsid w:val="00482D38"/>
    <w:rsid w:val="00482DCF"/>
    <w:rsid w:val="004834BE"/>
    <w:rsid w:val="00483CE3"/>
    <w:rsid w:val="00483F54"/>
    <w:rsid w:val="00484A9F"/>
    <w:rsid w:val="00484C27"/>
    <w:rsid w:val="004851AF"/>
    <w:rsid w:val="00485298"/>
    <w:rsid w:val="00485543"/>
    <w:rsid w:val="004859DC"/>
    <w:rsid w:val="00485B05"/>
    <w:rsid w:val="00485C7F"/>
    <w:rsid w:val="00486070"/>
    <w:rsid w:val="00486FB6"/>
    <w:rsid w:val="00487BCD"/>
    <w:rsid w:val="00487D76"/>
    <w:rsid w:val="00490280"/>
    <w:rsid w:val="004906FB"/>
    <w:rsid w:val="0049073E"/>
    <w:rsid w:val="00490DAE"/>
    <w:rsid w:val="00490E1F"/>
    <w:rsid w:val="00491228"/>
    <w:rsid w:val="0049137E"/>
    <w:rsid w:val="004915C9"/>
    <w:rsid w:val="004917F0"/>
    <w:rsid w:val="00491917"/>
    <w:rsid w:val="0049195C"/>
    <w:rsid w:val="00492F39"/>
    <w:rsid w:val="004933A7"/>
    <w:rsid w:val="00493863"/>
    <w:rsid w:val="00493978"/>
    <w:rsid w:val="004940D7"/>
    <w:rsid w:val="0049453F"/>
    <w:rsid w:val="00494845"/>
    <w:rsid w:val="00495029"/>
    <w:rsid w:val="004952A5"/>
    <w:rsid w:val="00496D5B"/>
    <w:rsid w:val="00497149"/>
    <w:rsid w:val="004973A3"/>
    <w:rsid w:val="00497588"/>
    <w:rsid w:val="00497672"/>
    <w:rsid w:val="00497FE7"/>
    <w:rsid w:val="004A053F"/>
    <w:rsid w:val="004A0676"/>
    <w:rsid w:val="004A090F"/>
    <w:rsid w:val="004A0FAB"/>
    <w:rsid w:val="004A1869"/>
    <w:rsid w:val="004A1985"/>
    <w:rsid w:val="004A223A"/>
    <w:rsid w:val="004A43A2"/>
    <w:rsid w:val="004A494D"/>
    <w:rsid w:val="004A501F"/>
    <w:rsid w:val="004A50D3"/>
    <w:rsid w:val="004A5458"/>
    <w:rsid w:val="004A5910"/>
    <w:rsid w:val="004A5B7E"/>
    <w:rsid w:val="004A6648"/>
    <w:rsid w:val="004A6DAB"/>
    <w:rsid w:val="004A701A"/>
    <w:rsid w:val="004A70F2"/>
    <w:rsid w:val="004B06B6"/>
    <w:rsid w:val="004B0AEE"/>
    <w:rsid w:val="004B0ED6"/>
    <w:rsid w:val="004B1394"/>
    <w:rsid w:val="004B230D"/>
    <w:rsid w:val="004B4308"/>
    <w:rsid w:val="004B4810"/>
    <w:rsid w:val="004B4DD3"/>
    <w:rsid w:val="004B59C8"/>
    <w:rsid w:val="004B6118"/>
    <w:rsid w:val="004B6588"/>
    <w:rsid w:val="004B6B4C"/>
    <w:rsid w:val="004B7654"/>
    <w:rsid w:val="004B7AA6"/>
    <w:rsid w:val="004C0E3C"/>
    <w:rsid w:val="004C0F0F"/>
    <w:rsid w:val="004C13E7"/>
    <w:rsid w:val="004C1410"/>
    <w:rsid w:val="004C232B"/>
    <w:rsid w:val="004C2493"/>
    <w:rsid w:val="004C267A"/>
    <w:rsid w:val="004C2833"/>
    <w:rsid w:val="004C2A9C"/>
    <w:rsid w:val="004C31AB"/>
    <w:rsid w:val="004C3958"/>
    <w:rsid w:val="004C3F7E"/>
    <w:rsid w:val="004C458B"/>
    <w:rsid w:val="004C49CD"/>
    <w:rsid w:val="004C4E1D"/>
    <w:rsid w:val="004C5085"/>
    <w:rsid w:val="004C55CD"/>
    <w:rsid w:val="004C56BC"/>
    <w:rsid w:val="004C5C04"/>
    <w:rsid w:val="004C5DC4"/>
    <w:rsid w:val="004C68CD"/>
    <w:rsid w:val="004C6C2B"/>
    <w:rsid w:val="004C70A0"/>
    <w:rsid w:val="004C7999"/>
    <w:rsid w:val="004C7BD3"/>
    <w:rsid w:val="004C7CDA"/>
    <w:rsid w:val="004D0C22"/>
    <w:rsid w:val="004D0CE5"/>
    <w:rsid w:val="004D0DCC"/>
    <w:rsid w:val="004D1283"/>
    <w:rsid w:val="004D2498"/>
    <w:rsid w:val="004D26A6"/>
    <w:rsid w:val="004D27A6"/>
    <w:rsid w:val="004D2CFA"/>
    <w:rsid w:val="004D4079"/>
    <w:rsid w:val="004D4422"/>
    <w:rsid w:val="004D44D1"/>
    <w:rsid w:val="004D4E5F"/>
    <w:rsid w:val="004D6D10"/>
    <w:rsid w:val="004D74C8"/>
    <w:rsid w:val="004E03EA"/>
    <w:rsid w:val="004E06E4"/>
    <w:rsid w:val="004E09FF"/>
    <w:rsid w:val="004E1003"/>
    <w:rsid w:val="004E1577"/>
    <w:rsid w:val="004E2323"/>
    <w:rsid w:val="004E2494"/>
    <w:rsid w:val="004E25C9"/>
    <w:rsid w:val="004E269C"/>
    <w:rsid w:val="004E2A2E"/>
    <w:rsid w:val="004E2B80"/>
    <w:rsid w:val="004E30CE"/>
    <w:rsid w:val="004E34EA"/>
    <w:rsid w:val="004E3BD3"/>
    <w:rsid w:val="004E3FBB"/>
    <w:rsid w:val="004E4D0D"/>
    <w:rsid w:val="004E5C7E"/>
    <w:rsid w:val="004E5CE8"/>
    <w:rsid w:val="004E5D5F"/>
    <w:rsid w:val="004E5E9C"/>
    <w:rsid w:val="004E5ED6"/>
    <w:rsid w:val="004E6013"/>
    <w:rsid w:val="004E6090"/>
    <w:rsid w:val="004E6923"/>
    <w:rsid w:val="004E6CBF"/>
    <w:rsid w:val="004E70A7"/>
    <w:rsid w:val="004E722F"/>
    <w:rsid w:val="004E752C"/>
    <w:rsid w:val="004E7C82"/>
    <w:rsid w:val="004F0A05"/>
    <w:rsid w:val="004F24B9"/>
    <w:rsid w:val="004F35CB"/>
    <w:rsid w:val="004F456C"/>
    <w:rsid w:val="004F4A91"/>
    <w:rsid w:val="004F4EFA"/>
    <w:rsid w:val="004F5ED4"/>
    <w:rsid w:val="004F6801"/>
    <w:rsid w:val="004F73F7"/>
    <w:rsid w:val="004F7C25"/>
    <w:rsid w:val="004F7FB3"/>
    <w:rsid w:val="00500A91"/>
    <w:rsid w:val="00500FB2"/>
    <w:rsid w:val="005012D3"/>
    <w:rsid w:val="005013E2"/>
    <w:rsid w:val="00501A40"/>
    <w:rsid w:val="00502484"/>
    <w:rsid w:val="00502869"/>
    <w:rsid w:val="00502CDF"/>
    <w:rsid w:val="005042C4"/>
    <w:rsid w:val="005044B3"/>
    <w:rsid w:val="0050502F"/>
    <w:rsid w:val="00505459"/>
    <w:rsid w:val="00505508"/>
    <w:rsid w:val="00505642"/>
    <w:rsid w:val="00505A83"/>
    <w:rsid w:val="00506BAB"/>
    <w:rsid w:val="00506CDD"/>
    <w:rsid w:val="00506F85"/>
    <w:rsid w:val="00507D3D"/>
    <w:rsid w:val="00507EE3"/>
    <w:rsid w:val="00510A75"/>
    <w:rsid w:val="00510F7A"/>
    <w:rsid w:val="00511066"/>
    <w:rsid w:val="0051172B"/>
    <w:rsid w:val="005117F3"/>
    <w:rsid w:val="00511B84"/>
    <w:rsid w:val="00511B85"/>
    <w:rsid w:val="005123A4"/>
    <w:rsid w:val="00513E04"/>
    <w:rsid w:val="00514921"/>
    <w:rsid w:val="00514D6F"/>
    <w:rsid w:val="00515570"/>
    <w:rsid w:val="005159B2"/>
    <w:rsid w:val="005162AE"/>
    <w:rsid w:val="005164D7"/>
    <w:rsid w:val="00516574"/>
    <w:rsid w:val="00517E61"/>
    <w:rsid w:val="00520131"/>
    <w:rsid w:val="00520293"/>
    <w:rsid w:val="00520BD9"/>
    <w:rsid w:val="00521D3D"/>
    <w:rsid w:val="00521E73"/>
    <w:rsid w:val="00522359"/>
    <w:rsid w:val="005223FA"/>
    <w:rsid w:val="00522B02"/>
    <w:rsid w:val="00522DC4"/>
    <w:rsid w:val="00523333"/>
    <w:rsid w:val="0052339E"/>
    <w:rsid w:val="00523891"/>
    <w:rsid w:val="00524109"/>
    <w:rsid w:val="00524163"/>
    <w:rsid w:val="00525204"/>
    <w:rsid w:val="00525B71"/>
    <w:rsid w:val="00526121"/>
    <w:rsid w:val="00526551"/>
    <w:rsid w:val="0052708C"/>
    <w:rsid w:val="00527539"/>
    <w:rsid w:val="0052780C"/>
    <w:rsid w:val="00527BF3"/>
    <w:rsid w:val="00530207"/>
    <w:rsid w:val="00530D28"/>
    <w:rsid w:val="005310D8"/>
    <w:rsid w:val="0053112B"/>
    <w:rsid w:val="005311D9"/>
    <w:rsid w:val="0053133F"/>
    <w:rsid w:val="0053145C"/>
    <w:rsid w:val="00531CA4"/>
    <w:rsid w:val="00531D94"/>
    <w:rsid w:val="00532D37"/>
    <w:rsid w:val="0053378A"/>
    <w:rsid w:val="00533FAA"/>
    <w:rsid w:val="00534603"/>
    <w:rsid w:val="0053562A"/>
    <w:rsid w:val="005363F4"/>
    <w:rsid w:val="00536F87"/>
    <w:rsid w:val="005371FC"/>
    <w:rsid w:val="0053733B"/>
    <w:rsid w:val="005376BA"/>
    <w:rsid w:val="0053770F"/>
    <w:rsid w:val="00537B21"/>
    <w:rsid w:val="00537EDE"/>
    <w:rsid w:val="00537EE4"/>
    <w:rsid w:val="00537F5E"/>
    <w:rsid w:val="00540350"/>
    <w:rsid w:val="00540667"/>
    <w:rsid w:val="00540B63"/>
    <w:rsid w:val="00540DBE"/>
    <w:rsid w:val="00540FDF"/>
    <w:rsid w:val="00541403"/>
    <w:rsid w:val="005417B4"/>
    <w:rsid w:val="00541A4B"/>
    <w:rsid w:val="00541C06"/>
    <w:rsid w:val="00542251"/>
    <w:rsid w:val="00542A9E"/>
    <w:rsid w:val="00542F8B"/>
    <w:rsid w:val="005436E3"/>
    <w:rsid w:val="00543D5D"/>
    <w:rsid w:val="0054432C"/>
    <w:rsid w:val="00544DDB"/>
    <w:rsid w:val="00544E9C"/>
    <w:rsid w:val="005454E3"/>
    <w:rsid w:val="00545AF6"/>
    <w:rsid w:val="00545D39"/>
    <w:rsid w:val="00546644"/>
    <w:rsid w:val="00546A82"/>
    <w:rsid w:val="00547C99"/>
    <w:rsid w:val="00550278"/>
    <w:rsid w:val="00550695"/>
    <w:rsid w:val="00550962"/>
    <w:rsid w:val="00550DC0"/>
    <w:rsid w:val="00551500"/>
    <w:rsid w:val="00551850"/>
    <w:rsid w:val="00551CAB"/>
    <w:rsid w:val="005522E5"/>
    <w:rsid w:val="005528DC"/>
    <w:rsid w:val="00552EF3"/>
    <w:rsid w:val="005536C1"/>
    <w:rsid w:val="00554241"/>
    <w:rsid w:val="0055476C"/>
    <w:rsid w:val="00554DDE"/>
    <w:rsid w:val="005550A9"/>
    <w:rsid w:val="005553CE"/>
    <w:rsid w:val="005556B6"/>
    <w:rsid w:val="00556B6B"/>
    <w:rsid w:val="00556DE0"/>
    <w:rsid w:val="00556F00"/>
    <w:rsid w:val="00557097"/>
    <w:rsid w:val="0055729F"/>
    <w:rsid w:val="00557617"/>
    <w:rsid w:val="005576C7"/>
    <w:rsid w:val="005608D2"/>
    <w:rsid w:val="00560EC4"/>
    <w:rsid w:val="00560EEF"/>
    <w:rsid w:val="005615B5"/>
    <w:rsid w:val="00561C35"/>
    <w:rsid w:val="00561C78"/>
    <w:rsid w:val="005628C0"/>
    <w:rsid w:val="00562AA9"/>
    <w:rsid w:val="00562ACC"/>
    <w:rsid w:val="00562DBE"/>
    <w:rsid w:val="0056328A"/>
    <w:rsid w:val="00563D6D"/>
    <w:rsid w:val="005650D6"/>
    <w:rsid w:val="005659A6"/>
    <w:rsid w:val="00565FD9"/>
    <w:rsid w:val="00566045"/>
    <w:rsid w:val="00566487"/>
    <w:rsid w:val="00566C8B"/>
    <w:rsid w:val="00566CED"/>
    <w:rsid w:val="00566FDB"/>
    <w:rsid w:val="00567120"/>
    <w:rsid w:val="00567A0E"/>
    <w:rsid w:val="00567F4E"/>
    <w:rsid w:val="00570120"/>
    <w:rsid w:val="005704D9"/>
    <w:rsid w:val="005709A4"/>
    <w:rsid w:val="00570A8F"/>
    <w:rsid w:val="00570C27"/>
    <w:rsid w:val="00571481"/>
    <w:rsid w:val="00571819"/>
    <w:rsid w:val="00571BB9"/>
    <w:rsid w:val="00571C0A"/>
    <w:rsid w:val="00571F73"/>
    <w:rsid w:val="005721F7"/>
    <w:rsid w:val="005722CD"/>
    <w:rsid w:val="0057239F"/>
    <w:rsid w:val="005733B6"/>
    <w:rsid w:val="00573481"/>
    <w:rsid w:val="00573A16"/>
    <w:rsid w:val="00573D12"/>
    <w:rsid w:val="005740A2"/>
    <w:rsid w:val="00574430"/>
    <w:rsid w:val="00575178"/>
    <w:rsid w:val="005752C1"/>
    <w:rsid w:val="0057715B"/>
    <w:rsid w:val="00577CE4"/>
    <w:rsid w:val="0058013B"/>
    <w:rsid w:val="00580995"/>
    <w:rsid w:val="00580BB0"/>
    <w:rsid w:val="00581092"/>
    <w:rsid w:val="005814A7"/>
    <w:rsid w:val="00581534"/>
    <w:rsid w:val="005815C2"/>
    <w:rsid w:val="00582235"/>
    <w:rsid w:val="005822C8"/>
    <w:rsid w:val="005823DE"/>
    <w:rsid w:val="0058271B"/>
    <w:rsid w:val="00583664"/>
    <w:rsid w:val="00583BC2"/>
    <w:rsid w:val="00583C29"/>
    <w:rsid w:val="005841A3"/>
    <w:rsid w:val="00584621"/>
    <w:rsid w:val="0058533A"/>
    <w:rsid w:val="00585391"/>
    <w:rsid w:val="005857EF"/>
    <w:rsid w:val="00585DEC"/>
    <w:rsid w:val="00587049"/>
    <w:rsid w:val="00587ABA"/>
    <w:rsid w:val="00587B2D"/>
    <w:rsid w:val="00587FF6"/>
    <w:rsid w:val="00590094"/>
    <w:rsid w:val="005903D2"/>
    <w:rsid w:val="005906DC"/>
    <w:rsid w:val="0059122D"/>
    <w:rsid w:val="00591237"/>
    <w:rsid w:val="00591893"/>
    <w:rsid w:val="00592B50"/>
    <w:rsid w:val="005931F2"/>
    <w:rsid w:val="00593814"/>
    <w:rsid w:val="005938D9"/>
    <w:rsid w:val="00593DB0"/>
    <w:rsid w:val="00594196"/>
    <w:rsid w:val="00594408"/>
    <w:rsid w:val="005948EE"/>
    <w:rsid w:val="00594FF2"/>
    <w:rsid w:val="0059528D"/>
    <w:rsid w:val="00595475"/>
    <w:rsid w:val="0059673D"/>
    <w:rsid w:val="00597513"/>
    <w:rsid w:val="005A004C"/>
    <w:rsid w:val="005A0857"/>
    <w:rsid w:val="005A1388"/>
    <w:rsid w:val="005A18F3"/>
    <w:rsid w:val="005A2F4F"/>
    <w:rsid w:val="005A33BC"/>
    <w:rsid w:val="005A34E5"/>
    <w:rsid w:val="005A3E40"/>
    <w:rsid w:val="005A45F3"/>
    <w:rsid w:val="005A54F0"/>
    <w:rsid w:val="005A57CF"/>
    <w:rsid w:val="005A5EF6"/>
    <w:rsid w:val="005A6080"/>
    <w:rsid w:val="005A69DE"/>
    <w:rsid w:val="005A7222"/>
    <w:rsid w:val="005A76C0"/>
    <w:rsid w:val="005B057B"/>
    <w:rsid w:val="005B0DF4"/>
    <w:rsid w:val="005B0ED6"/>
    <w:rsid w:val="005B1257"/>
    <w:rsid w:val="005B198E"/>
    <w:rsid w:val="005B1AFB"/>
    <w:rsid w:val="005B21FE"/>
    <w:rsid w:val="005B34ED"/>
    <w:rsid w:val="005B3A82"/>
    <w:rsid w:val="005B3DB0"/>
    <w:rsid w:val="005B4AA9"/>
    <w:rsid w:val="005B4CB6"/>
    <w:rsid w:val="005B4FE5"/>
    <w:rsid w:val="005B6030"/>
    <w:rsid w:val="005B60EC"/>
    <w:rsid w:val="005B6802"/>
    <w:rsid w:val="005B6AF4"/>
    <w:rsid w:val="005B73C5"/>
    <w:rsid w:val="005B7576"/>
    <w:rsid w:val="005B7B5E"/>
    <w:rsid w:val="005C0643"/>
    <w:rsid w:val="005C0B4B"/>
    <w:rsid w:val="005C1022"/>
    <w:rsid w:val="005C1162"/>
    <w:rsid w:val="005C1646"/>
    <w:rsid w:val="005C203A"/>
    <w:rsid w:val="005C21C5"/>
    <w:rsid w:val="005C22A7"/>
    <w:rsid w:val="005C2652"/>
    <w:rsid w:val="005C2980"/>
    <w:rsid w:val="005C5683"/>
    <w:rsid w:val="005C62B5"/>
    <w:rsid w:val="005C6BD2"/>
    <w:rsid w:val="005C6D35"/>
    <w:rsid w:val="005C6F8A"/>
    <w:rsid w:val="005C712F"/>
    <w:rsid w:val="005C74EF"/>
    <w:rsid w:val="005D0741"/>
    <w:rsid w:val="005D0D1F"/>
    <w:rsid w:val="005D1432"/>
    <w:rsid w:val="005D1624"/>
    <w:rsid w:val="005D17E8"/>
    <w:rsid w:val="005D18A3"/>
    <w:rsid w:val="005D279A"/>
    <w:rsid w:val="005D2EF3"/>
    <w:rsid w:val="005D3676"/>
    <w:rsid w:val="005D36CA"/>
    <w:rsid w:val="005D3CBF"/>
    <w:rsid w:val="005D3F59"/>
    <w:rsid w:val="005D42C1"/>
    <w:rsid w:val="005D4492"/>
    <w:rsid w:val="005D4799"/>
    <w:rsid w:val="005D47DE"/>
    <w:rsid w:val="005D48FF"/>
    <w:rsid w:val="005D4E9F"/>
    <w:rsid w:val="005D50AF"/>
    <w:rsid w:val="005D5EB9"/>
    <w:rsid w:val="005D6611"/>
    <w:rsid w:val="005D676B"/>
    <w:rsid w:val="005D693D"/>
    <w:rsid w:val="005D6B79"/>
    <w:rsid w:val="005D7589"/>
    <w:rsid w:val="005E108B"/>
    <w:rsid w:val="005E197F"/>
    <w:rsid w:val="005E1F9A"/>
    <w:rsid w:val="005E2102"/>
    <w:rsid w:val="005E2922"/>
    <w:rsid w:val="005E485D"/>
    <w:rsid w:val="005E4DAC"/>
    <w:rsid w:val="005E550A"/>
    <w:rsid w:val="005E57DB"/>
    <w:rsid w:val="005E5834"/>
    <w:rsid w:val="005E5D6A"/>
    <w:rsid w:val="005E61F3"/>
    <w:rsid w:val="005E6E16"/>
    <w:rsid w:val="005E6EC4"/>
    <w:rsid w:val="005E6FB6"/>
    <w:rsid w:val="005E7DB9"/>
    <w:rsid w:val="005F0392"/>
    <w:rsid w:val="005F0B02"/>
    <w:rsid w:val="005F0CE9"/>
    <w:rsid w:val="005F1A26"/>
    <w:rsid w:val="005F1AC4"/>
    <w:rsid w:val="005F1B7A"/>
    <w:rsid w:val="005F1B83"/>
    <w:rsid w:val="005F1BF2"/>
    <w:rsid w:val="005F21A4"/>
    <w:rsid w:val="005F2204"/>
    <w:rsid w:val="005F259D"/>
    <w:rsid w:val="005F2DB4"/>
    <w:rsid w:val="005F3900"/>
    <w:rsid w:val="005F3C78"/>
    <w:rsid w:val="005F61D1"/>
    <w:rsid w:val="005F6828"/>
    <w:rsid w:val="005F6ABB"/>
    <w:rsid w:val="005F6F8A"/>
    <w:rsid w:val="005F6FE7"/>
    <w:rsid w:val="005F72E1"/>
    <w:rsid w:val="005F7DA1"/>
    <w:rsid w:val="00600E87"/>
    <w:rsid w:val="00601436"/>
    <w:rsid w:val="006019AE"/>
    <w:rsid w:val="0060281F"/>
    <w:rsid w:val="00603502"/>
    <w:rsid w:val="00603F72"/>
    <w:rsid w:val="006040E9"/>
    <w:rsid w:val="00604222"/>
    <w:rsid w:val="00604353"/>
    <w:rsid w:val="00604827"/>
    <w:rsid w:val="006057E6"/>
    <w:rsid w:val="006062CC"/>
    <w:rsid w:val="0060642A"/>
    <w:rsid w:val="00606A7E"/>
    <w:rsid w:val="006070B6"/>
    <w:rsid w:val="00607733"/>
    <w:rsid w:val="00610076"/>
    <w:rsid w:val="006100F8"/>
    <w:rsid w:val="00610700"/>
    <w:rsid w:val="00610776"/>
    <w:rsid w:val="0061081D"/>
    <w:rsid w:val="00610969"/>
    <w:rsid w:val="00610C12"/>
    <w:rsid w:val="006116AB"/>
    <w:rsid w:val="006120F3"/>
    <w:rsid w:val="00612AD1"/>
    <w:rsid w:val="00612AF0"/>
    <w:rsid w:val="00612D6A"/>
    <w:rsid w:val="00612DD5"/>
    <w:rsid w:val="00612DE7"/>
    <w:rsid w:val="006131FE"/>
    <w:rsid w:val="0061346F"/>
    <w:rsid w:val="0061397D"/>
    <w:rsid w:val="00613E45"/>
    <w:rsid w:val="00614F86"/>
    <w:rsid w:val="006153F8"/>
    <w:rsid w:val="006157AB"/>
    <w:rsid w:val="006159DE"/>
    <w:rsid w:val="00615A77"/>
    <w:rsid w:val="00615A82"/>
    <w:rsid w:val="00617263"/>
    <w:rsid w:val="00617413"/>
    <w:rsid w:val="00620395"/>
    <w:rsid w:val="006205AC"/>
    <w:rsid w:val="006206EA"/>
    <w:rsid w:val="00620D2F"/>
    <w:rsid w:val="00620F63"/>
    <w:rsid w:val="006216AD"/>
    <w:rsid w:val="006216E0"/>
    <w:rsid w:val="006218B8"/>
    <w:rsid w:val="00621EC3"/>
    <w:rsid w:val="006222C4"/>
    <w:rsid w:val="00622524"/>
    <w:rsid w:val="00622AE4"/>
    <w:rsid w:val="00623051"/>
    <w:rsid w:val="006232AE"/>
    <w:rsid w:val="006236F8"/>
    <w:rsid w:val="00623AC2"/>
    <w:rsid w:val="00624D6F"/>
    <w:rsid w:val="006258E8"/>
    <w:rsid w:val="00626566"/>
    <w:rsid w:val="00626ED6"/>
    <w:rsid w:val="0062750F"/>
    <w:rsid w:val="00627606"/>
    <w:rsid w:val="00627BD9"/>
    <w:rsid w:val="00630D97"/>
    <w:rsid w:val="00630E62"/>
    <w:rsid w:val="006310D8"/>
    <w:rsid w:val="00631E7C"/>
    <w:rsid w:val="00631EC9"/>
    <w:rsid w:val="00632DF1"/>
    <w:rsid w:val="006335E1"/>
    <w:rsid w:val="00634192"/>
    <w:rsid w:val="0063434D"/>
    <w:rsid w:val="0063462D"/>
    <w:rsid w:val="00635F6F"/>
    <w:rsid w:val="00636202"/>
    <w:rsid w:val="0063640E"/>
    <w:rsid w:val="0063690A"/>
    <w:rsid w:val="00636AAB"/>
    <w:rsid w:val="0063730E"/>
    <w:rsid w:val="00637B81"/>
    <w:rsid w:val="00640158"/>
    <w:rsid w:val="0064073E"/>
    <w:rsid w:val="00641919"/>
    <w:rsid w:val="00642871"/>
    <w:rsid w:val="006429EB"/>
    <w:rsid w:val="006430D1"/>
    <w:rsid w:val="00643467"/>
    <w:rsid w:val="0064393F"/>
    <w:rsid w:val="00643C04"/>
    <w:rsid w:val="00644EBB"/>
    <w:rsid w:val="00645773"/>
    <w:rsid w:val="00645FF3"/>
    <w:rsid w:val="00646A77"/>
    <w:rsid w:val="00647639"/>
    <w:rsid w:val="006500CF"/>
    <w:rsid w:val="0065015E"/>
    <w:rsid w:val="006505B5"/>
    <w:rsid w:val="0065097F"/>
    <w:rsid w:val="00650E61"/>
    <w:rsid w:val="0065132A"/>
    <w:rsid w:val="006519AB"/>
    <w:rsid w:val="006527C5"/>
    <w:rsid w:val="00652DB8"/>
    <w:rsid w:val="00652E0E"/>
    <w:rsid w:val="0065321A"/>
    <w:rsid w:val="00653226"/>
    <w:rsid w:val="006532B6"/>
    <w:rsid w:val="00653510"/>
    <w:rsid w:val="006538D8"/>
    <w:rsid w:val="00654249"/>
    <w:rsid w:val="00654815"/>
    <w:rsid w:val="00654A6D"/>
    <w:rsid w:val="00654DFD"/>
    <w:rsid w:val="00654E40"/>
    <w:rsid w:val="006557FB"/>
    <w:rsid w:val="00655A15"/>
    <w:rsid w:val="00655D26"/>
    <w:rsid w:val="0065683E"/>
    <w:rsid w:val="00656E2E"/>
    <w:rsid w:val="00657624"/>
    <w:rsid w:val="006576DE"/>
    <w:rsid w:val="00657ED2"/>
    <w:rsid w:val="00657FE6"/>
    <w:rsid w:val="006605E2"/>
    <w:rsid w:val="006606E7"/>
    <w:rsid w:val="00660A28"/>
    <w:rsid w:val="00662FFD"/>
    <w:rsid w:val="0066345D"/>
    <w:rsid w:val="00663546"/>
    <w:rsid w:val="00663B86"/>
    <w:rsid w:val="006641FE"/>
    <w:rsid w:val="006646B7"/>
    <w:rsid w:val="00664A31"/>
    <w:rsid w:val="00664C66"/>
    <w:rsid w:val="00664CBF"/>
    <w:rsid w:val="0066541C"/>
    <w:rsid w:val="00665527"/>
    <w:rsid w:val="006669CA"/>
    <w:rsid w:val="006670D9"/>
    <w:rsid w:val="0066723C"/>
    <w:rsid w:val="0066744C"/>
    <w:rsid w:val="0066771A"/>
    <w:rsid w:val="00667832"/>
    <w:rsid w:val="0067072B"/>
    <w:rsid w:val="00670ED3"/>
    <w:rsid w:val="00671582"/>
    <w:rsid w:val="00671E7C"/>
    <w:rsid w:val="006723A2"/>
    <w:rsid w:val="0067254E"/>
    <w:rsid w:val="00672A38"/>
    <w:rsid w:val="006732E8"/>
    <w:rsid w:val="00673D43"/>
    <w:rsid w:val="00673ECD"/>
    <w:rsid w:val="00674089"/>
    <w:rsid w:val="006745D3"/>
    <w:rsid w:val="00674C21"/>
    <w:rsid w:val="00674E74"/>
    <w:rsid w:val="006750BA"/>
    <w:rsid w:val="0067516D"/>
    <w:rsid w:val="006753DB"/>
    <w:rsid w:val="00675670"/>
    <w:rsid w:val="006756D9"/>
    <w:rsid w:val="006765D4"/>
    <w:rsid w:val="00677F2D"/>
    <w:rsid w:val="00680D54"/>
    <w:rsid w:val="00681B5B"/>
    <w:rsid w:val="006822BE"/>
    <w:rsid w:val="006822FB"/>
    <w:rsid w:val="00682562"/>
    <w:rsid w:val="006825A1"/>
    <w:rsid w:val="00682AE6"/>
    <w:rsid w:val="00682B55"/>
    <w:rsid w:val="00683136"/>
    <w:rsid w:val="0068351C"/>
    <w:rsid w:val="00683790"/>
    <w:rsid w:val="006842C6"/>
    <w:rsid w:val="00684767"/>
    <w:rsid w:val="00684A69"/>
    <w:rsid w:val="0068511B"/>
    <w:rsid w:val="006851D4"/>
    <w:rsid w:val="006852A0"/>
    <w:rsid w:val="00685A1A"/>
    <w:rsid w:val="00686BCD"/>
    <w:rsid w:val="00687277"/>
    <w:rsid w:val="00687F80"/>
    <w:rsid w:val="0069064F"/>
    <w:rsid w:val="00690B2E"/>
    <w:rsid w:val="00690BF9"/>
    <w:rsid w:val="00691506"/>
    <w:rsid w:val="00691672"/>
    <w:rsid w:val="00691C1D"/>
    <w:rsid w:val="00691D6F"/>
    <w:rsid w:val="00691E67"/>
    <w:rsid w:val="00691F0D"/>
    <w:rsid w:val="006926B4"/>
    <w:rsid w:val="006926E8"/>
    <w:rsid w:val="006927BA"/>
    <w:rsid w:val="006931FC"/>
    <w:rsid w:val="006933E0"/>
    <w:rsid w:val="00693502"/>
    <w:rsid w:val="00694EED"/>
    <w:rsid w:val="00695214"/>
    <w:rsid w:val="00695891"/>
    <w:rsid w:val="006963CC"/>
    <w:rsid w:val="00696967"/>
    <w:rsid w:val="00696BD9"/>
    <w:rsid w:val="00696ED5"/>
    <w:rsid w:val="00697756"/>
    <w:rsid w:val="006978DE"/>
    <w:rsid w:val="00697CE1"/>
    <w:rsid w:val="006A026B"/>
    <w:rsid w:val="006A0304"/>
    <w:rsid w:val="006A13F2"/>
    <w:rsid w:val="006A150C"/>
    <w:rsid w:val="006A1EBD"/>
    <w:rsid w:val="006A2210"/>
    <w:rsid w:val="006A23E0"/>
    <w:rsid w:val="006A35B3"/>
    <w:rsid w:val="006A36D7"/>
    <w:rsid w:val="006A4EA2"/>
    <w:rsid w:val="006A536D"/>
    <w:rsid w:val="006A5701"/>
    <w:rsid w:val="006A6987"/>
    <w:rsid w:val="006A6EEB"/>
    <w:rsid w:val="006A70B6"/>
    <w:rsid w:val="006A742D"/>
    <w:rsid w:val="006A7ADC"/>
    <w:rsid w:val="006A7C5F"/>
    <w:rsid w:val="006A7D29"/>
    <w:rsid w:val="006A7DC3"/>
    <w:rsid w:val="006B00D6"/>
    <w:rsid w:val="006B01DA"/>
    <w:rsid w:val="006B1075"/>
    <w:rsid w:val="006B11C7"/>
    <w:rsid w:val="006B1390"/>
    <w:rsid w:val="006B2204"/>
    <w:rsid w:val="006B241F"/>
    <w:rsid w:val="006B2616"/>
    <w:rsid w:val="006B2F9D"/>
    <w:rsid w:val="006B2FF0"/>
    <w:rsid w:val="006B3645"/>
    <w:rsid w:val="006B37ED"/>
    <w:rsid w:val="006B3B37"/>
    <w:rsid w:val="006B41DC"/>
    <w:rsid w:val="006B445D"/>
    <w:rsid w:val="006B46CF"/>
    <w:rsid w:val="006B46FD"/>
    <w:rsid w:val="006B4871"/>
    <w:rsid w:val="006B4BDE"/>
    <w:rsid w:val="006B4E7C"/>
    <w:rsid w:val="006B5963"/>
    <w:rsid w:val="006B5C8A"/>
    <w:rsid w:val="006B5F79"/>
    <w:rsid w:val="006B64A4"/>
    <w:rsid w:val="006B65D4"/>
    <w:rsid w:val="006B6AEE"/>
    <w:rsid w:val="006B6D77"/>
    <w:rsid w:val="006B6EE0"/>
    <w:rsid w:val="006B7190"/>
    <w:rsid w:val="006B759F"/>
    <w:rsid w:val="006C00E4"/>
    <w:rsid w:val="006C0E2D"/>
    <w:rsid w:val="006C1161"/>
    <w:rsid w:val="006C1545"/>
    <w:rsid w:val="006C1C0C"/>
    <w:rsid w:val="006C1CE6"/>
    <w:rsid w:val="006C25E0"/>
    <w:rsid w:val="006C2898"/>
    <w:rsid w:val="006C2D31"/>
    <w:rsid w:val="006C3009"/>
    <w:rsid w:val="006C3720"/>
    <w:rsid w:val="006C4128"/>
    <w:rsid w:val="006C4523"/>
    <w:rsid w:val="006C50C1"/>
    <w:rsid w:val="006C57F7"/>
    <w:rsid w:val="006C59B4"/>
    <w:rsid w:val="006C59BE"/>
    <w:rsid w:val="006C59DE"/>
    <w:rsid w:val="006C5D5B"/>
    <w:rsid w:val="006C5D82"/>
    <w:rsid w:val="006C6E7D"/>
    <w:rsid w:val="006C7425"/>
    <w:rsid w:val="006C76CB"/>
    <w:rsid w:val="006C7E5E"/>
    <w:rsid w:val="006D03B4"/>
    <w:rsid w:val="006D0506"/>
    <w:rsid w:val="006D0541"/>
    <w:rsid w:val="006D076D"/>
    <w:rsid w:val="006D0C02"/>
    <w:rsid w:val="006D1268"/>
    <w:rsid w:val="006D132E"/>
    <w:rsid w:val="006D1370"/>
    <w:rsid w:val="006D13E1"/>
    <w:rsid w:val="006D1592"/>
    <w:rsid w:val="006D18CD"/>
    <w:rsid w:val="006D1F17"/>
    <w:rsid w:val="006D2257"/>
    <w:rsid w:val="006D2711"/>
    <w:rsid w:val="006D2914"/>
    <w:rsid w:val="006D30FC"/>
    <w:rsid w:val="006D34C1"/>
    <w:rsid w:val="006D37F6"/>
    <w:rsid w:val="006D3A29"/>
    <w:rsid w:val="006D3F04"/>
    <w:rsid w:val="006D4029"/>
    <w:rsid w:val="006D4125"/>
    <w:rsid w:val="006D57CA"/>
    <w:rsid w:val="006D601D"/>
    <w:rsid w:val="006D6A7F"/>
    <w:rsid w:val="006D6B9F"/>
    <w:rsid w:val="006D7FBA"/>
    <w:rsid w:val="006E02E2"/>
    <w:rsid w:val="006E04CE"/>
    <w:rsid w:val="006E0A6C"/>
    <w:rsid w:val="006E16AF"/>
    <w:rsid w:val="006E1A36"/>
    <w:rsid w:val="006E1E49"/>
    <w:rsid w:val="006E2028"/>
    <w:rsid w:val="006E22EB"/>
    <w:rsid w:val="006E2B94"/>
    <w:rsid w:val="006E2DE0"/>
    <w:rsid w:val="006E3015"/>
    <w:rsid w:val="006E34E0"/>
    <w:rsid w:val="006E3583"/>
    <w:rsid w:val="006E3C84"/>
    <w:rsid w:val="006E4096"/>
    <w:rsid w:val="006E4FA4"/>
    <w:rsid w:val="006E60AA"/>
    <w:rsid w:val="006E6474"/>
    <w:rsid w:val="006E7BC6"/>
    <w:rsid w:val="006F002B"/>
    <w:rsid w:val="006F02F0"/>
    <w:rsid w:val="006F0D36"/>
    <w:rsid w:val="006F1C3F"/>
    <w:rsid w:val="006F2A14"/>
    <w:rsid w:val="006F301F"/>
    <w:rsid w:val="006F31A3"/>
    <w:rsid w:val="006F414F"/>
    <w:rsid w:val="006F499A"/>
    <w:rsid w:val="006F4B8D"/>
    <w:rsid w:val="006F4E03"/>
    <w:rsid w:val="006F57AE"/>
    <w:rsid w:val="006F5820"/>
    <w:rsid w:val="006F5F0F"/>
    <w:rsid w:val="006F6145"/>
    <w:rsid w:val="006F650C"/>
    <w:rsid w:val="006F65F3"/>
    <w:rsid w:val="006F6EF3"/>
    <w:rsid w:val="006F71FE"/>
    <w:rsid w:val="006F7449"/>
    <w:rsid w:val="006F75DC"/>
    <w:rsid w:val="006F7B04"/>
    <w:rsid w:val="00700C3C"/>
    <w:rsid w:val="00700EBA"/>
    <w:rsid w:val="00701996"/>
    <w:rsid w:val="00701B0C"/>
    <w:rsid w:val="00701BC2"/>
    <w:rsid w:val="00701D81"/>
    <w:rsid w:val="007024EE"/>
    <w:rsid w:val="00702F88"/>
    <w:rsid w:val="00704455"/>
    <w:rsid w:val="00706F4C"/>
    <w:rsid w:val="0070748E"/>
    <w:rsid w:val="007079B6"/>
    <w:rsid w:val="007100B8"/>
    <w:rsid w:val="00710744"/>
    <w:rsid w:val="00710B75"/>
    <w:rsid w:val="007114E7"/>
    <w:rsid w:val="00712936"/>
    <w:rsid w:val="00712FF3"/>
    <w:rsid w:val="007137A7"/>
    <w:rsid w:val="00714157"/>
    <w:rsid w:val="0071417C"/>
    <w:rsid w:val="00714475"/>
    <w:rsid w:val="007144C3"/>
    <w:rsid w:val="00714E6E"/>
    <w:rsid w:val="00714EC0"/>
    <w:rsid w:val="00715312"/>
    <w:rsid w:val="0071630D"/>
    <w:rsid w:val="0071661D"/>
    <w:rsid w:val="0071706F"/>
    <w:rsid w:val="00717695"/>
    <w:rsid w:val="00717ADF"/>
    <w:rsid w:val="00717F30"/>
    <w:rsid w:val="00720A3F"/>
    <w:rsid w:val="0072100A"/>
    <w:rsid w:val="00721057"/>
    <w:rsid w:val="007210D1"/>
    <w:rsid w:val="00721A58"/>
    <w:rsid w:val="00721FE2"/>
    <w:rsid w:val="007222C9"/>
    <w:rsid w:val="00722A43"/>
    <w:rsid w:val="0072364A"/>
    <w:rsid w:val="007237D5"/>
    <w:rsid w:val="00723A5D"/>
    <w:rsid w:val="00724A51"/>
    <w:rsid w:val="00724B68"/>
    <w:rsid w:val="00724D7A"/>
    <w:rsid w:val="00725BEE"/>
    <w:rsid w:val="007269A4"/>
    <w:rsid w:val="00726ADA"/>
    <w:rsid w:val="00727123"/>
    <w:rsid w:val="00727200"/>
    <w:rsid w:val="00727403"/>
    <w:rsid w:val="007274B4"/>
    <w:rsid w:val="00727AC7"/>
    <w:rsid w:val="00727DD2"/>
    <w:rsid w:val="0073029C"/>
    <w:rsid w:val="00730A80"/>
    <w:rsid w:val="00730D2B"/>
    <w:rsid w:val="00732682"/>
    <w:rsid w:val="007327D7"/>
    <w:rsid w:val="007333B5"/>
    <w:rsid w:val="00733E97"/>
    <w:rsid w:val="00734093"/>
    <w:rsid w:val="007342F0"/>
    <w:rsid w:val="007344B9"/>
    <w:rsid w:val="00734826"/>
    <w:rsid w:val="007365FA"/>
    <w:rsid w:val="007376DF"/>
    <w:rsid w:val="0073788C"/>
    <w:rsid w:val="00737943"/>
    <w:rsid w:val="00737ECD"/>
    <w:rsid w:val="00740780"/>
    <w:rsid w:val="00740BBC"/>
    <w:rsid w:val="0074160E"/>
    <w:rsid w:val="00741A89"/>
    <w:rsid w:val="00741B27"/>
    <w:rsid w:val="007438C5"/>
    <w:rsid w:val="00743D11"/>
    <w:rsid w:val="00743F1D"/>
    <w:rsid w:val="00744A1E"/>
    <w:rsid w:val="00744A5C"/>
    <w:rsid w:val="00744BE9"/>
    <w:rsid w:val="00746314"/>
    <w:rsid w:val="00746680"/>
    <w:rsid w:val="00746A84"/>
    <w:rsid w:val="00746C23"/>
    <w:rsid w:val="00747F7B"/>
    <w:rsid w:val="00750281"/>
    <w:rsid w:val="007502E1"/>
    <w:rsid w:val="0075090B"/>
    <w:rsid w:val="00751837"/>
    <w:rsid w:val="0075193C"/>
    <w:rsid w:val="00752192"/>
    <w:rsid w:val="00752241"/>
    <w:rsid w:val="00752596"/>
    <w:rsid w:val="00753036"/>
    <w:rsid w:val="007533EA"/>
    <w:rsid w:val="00754071"/>
    <w:rsid w:val="0075558E"/>
    <w:rsid w:val="007555D1"/>
    <w:rsid w:val="0075577E"/>
    <w:rsid w:val="0075581E"/>
    <w:rsid w:val="00755FCF"/>
    <w:rsid w:val="00756FE2"/>
    <w:rsid w:val="007574E7"/>
    <w:rsid w:val="007579F8"/>
    <w:rsid w:val="00760D5F"/>
    <w:rsid w:val="00760D61"/>
    <w:rsid w:val="0076106E"/>
    <w:rsid w:val="0076154D"/>
    <w:rsid w:val="00761B3F"/>
    <w:rsid w:val="00761D78"/>
    <w:rsid w:val="0076236F"/>
    <w:rsid w:val="00762C0A"/>
    <w:rsid w:val="00762C39"/>
    <w:rsid w:val="00762F3F"/>
    <w:rsid w:val="00762FE9"/>
    <w:rsid w:val="00764119"/>
    <w:rsid w:val="0076453C"/>
    <w:rsid w:val="00765297"/>
    <w:rsid w:val="00765369"/>
    <w:rsid w:val="00765486"/>
    <w:rsid w:val="007656EE"/>
    <w:rsid w:val="007658B6"/>
    <w:rsid w:val="00765AD4"/>
    <w:rsid w:val="00765D0A"/>
    <w:rsid w:val="0076619B"/>
    <w:rsid w:val="00766559"/>
    <w:rsid w:val="0076764F"/>
    <w:rsid w:val="00767C80"/>
    <w:rsid w:val="00767D4C"/>
    <w:rsid w:val="00770426"/>
    <w:rsid w:val="00771B52"/>
    <w:rsid w:val="00771FAC"/>
    <w:rsid w:val="00772055"/>
    <w:rsid w:val="00772E3A"/>
    <w:rsid w:val="0077328C"/>
    <w:rsid w:val="007734A2"/>
    <w:rsid w:val="00773581"/>
    <w:rsid w:val="00773AA6"/>
    <w:rsid w:val="00773B3C"/>
    <w:rsid w:val="0077406B"/>
    <w:rsid w:val="00774590"/>
    <w:rsid w:val="00775897"/>
    <w:rsid w:val="00775A3E"/>
    <w:rsid w:val="0077646C"/>
    <w:rsid w:val="007764EA"/>
    <w:rsid w:val="0077654D"/>
    <w:rsid w:val="00776F1C"/>
    <w:rsid w:val="007770ED"/>
    <w:rsid w:val="00777319"/>
    <w:rsid w:val="00777980"/>
    <w:rsid w:val="00777A5E"/>
    <w:rsid w:val="0078015C"/>
    <w:rsid w:val="00780F51"/>
    <w:rsid w:val="00781193"/>
    <w:rsid w:val="00781854"/>
    <w:rsid w:val="00781A2A"/>
    <w:rsid w:val="00781A78"/>
    <w:rsid w:val="007820FC"/>
    <w:rsid w:val="00782B18"/>
    <w:rsid w:val="00782FD0"/>
    <w:rsid w:val="00782FD5"/>
    <w:rsid w:val="007834D4"/>
    <w:rsid w:val="00783576"/>
    <w:rsid w:val="007836A7"/>
    <w:rsid w:val="007839A3"/>
    <w:rsid w:val="007849E3"/>
    <w:rsid w:val="00784AB7"/>
    <w:rsid w:val="00784EB2"/>
    <w:rsid w:val="0078509C"/>
    <w:rsid w:val="0078722B"/>
    <w:rsid w:val="007907D2"/>
    <w:rsid w:val="00791F5D"/>
    <w:rsid w:val="00792B68"/>
    <w:rsid w:val="00792E98"/>
    <w:rsid w:val="0079308B"/>
    <w:rsid w:val="007930B5"/>
    <w:rsid w:val="0079328D"/>
    <w:rsid w:val="007933DD"/>
    <w:rsid w:val="0079387E"/>
    <w:rsid w:val="00793C00"/>
    <w:rsid w:val="00794027"/>
    <w:rsid w:val="0079437D"/>
    <w:rsid w:val="0079509B"/>
    <w:rsid w:val="007952BE"/>
    <w:rsid w:val="00795680"/>
    <w:rsid w:val="00795683"/>
    <w:rsid w:val="00795B35"/>
    <w:rsid w:val="00795ECD"/>
    <w:rsid w:val="00796296"/>
    <w:rsid w:val="007969F4"/>
    <w:rsid w:val="00797997"/>
    <w:rsid w:val="00797AC2"/>
    <w:rsid w:val="007A0265"/>
    <w:rsid w:val="007A0D15"/>
    <w:rsid w:val="007A182B"/>
    <w:rsid w:val="007A293D"/>
    <w:rsid w:val="007A2DB1"/>
    <w:rsid w:val="007A3140"/>
    <w:rsid w:val="007A32C7"/>
    <w:rsid w:val="007A409E"/>
    <w:rsid w:val="007A494D"/>
    <w:rsid w:val="007A4C90"/>
    <w:rsid w:val="007A4EAF"/>
    <w:rsid w:val="007A4F5B"/>
    <w:rsid w:val="007A5CBE"/>
    <w:rsid w:val="007A5D59"/>
    <w:rsid w:val="007A5E20"/>
    <w:rsid w:val="007A60F6"/>
    <w:rsid w:val="007A617C"/>
    <w:rsid w:val="007A6B16"/>
    <w:rsid w:val="007A6F64"/>
    <w:rsid w:val="007A7A12"/>
    <w:rsid w:val="007B15CF"/>
    <w:rsid w:val="007B15E5"/>
    <w:rsid w:val="007B2619"/>
    <w:rsid w:val="007B2CF5"/>
    <w:rsid w:val="007B2EB9"/>
    <w:rsid w:val="007B3313"/>
    <w:rsid w:val="007B344B"/>
    <w:rsid w:val="007B5110"/>
    <w:rsid w:val="007B5296"/>
    <w:rsid w:val="007B5CD6"/>
    <w:rsid w:val="007B608E"/>
    <w:rsid w:val="007B62BB"/>
    <w:rsid w:val="007B674D"/>
    <w:rsid w:val="007B6C3B"/>
    <w:rsid w:val="007B6F6E"/>
    <w:rsid w:val="007B768E"/>
    <w:rsid w:val="007B76E1"/>
    <w:rsid w:val="007B7822"/>
    <w:rsid w:val="007B789D"/>
    <w:rsid w:val="007B7900"/>
    <w:rsid w:val="007C031C"/>
    <w:rsid w:val="007C0C72"/>
    <w:rsid w:val="007C18C2"/>
    <w:rsid w:val="007C2B27"/>
    <w:rsid w:val="007C2B7C"/>
    <w:rsid w:val="007C2D9D"/>
    <w:rsid w:val="007C361A"/>
    <w:rsid w:val="007C459D"/>
    <w:rsid w:val="007C477E"/>
    <w:rsid w:val="007C485B"/>
    <w:rsid w:val="007C4876"/>
    <w:rsid w:val="007C5AE2"/>
    <w:rsid w:val="007C5C23"/>
    <w:rsid w:val="007C5D4F"/>
    <w:rsid w:val="007C5E19"/>
    <w:rsid w:val="007C5E68"/>
    <w:rsid w:val="007C5F07"/>
    <w:rsid w:val="007C5F81"/>
    <w:rsid w:val="007C6CCC"/>
    <w:rsid w:val="007C70B3"/>
    <w:rsid w:val="007C7403"/>
    <w:rsid w:val="007C7524"/>
    <w:rsid w:val="007D0E2A"/>
    <w:rsid w:val="007D13BA"/>
    <w:rsid w:val="007D21EE"/>
    <w:rsid w:val="007D2597"/>
    <w:rsid w:val="007D29E8"/>
    <w:rsid w:val="007D31C7"/>
    <w:rsid w:val="007D3D5D"/>
    <w:rsid w:val="007D4315"/>
    <w:rsid w:val="007D443B"/>
    <w:rsid w:val="007D45F3"/>
    <w:rsid w:val="007D4BC4"/>
    <w:rsid w:val="007D4F30"/>
    <w:rsid w:val="007D5010"/>
    <w:rsid w:val="007D5553"/>
    <w:rsid w:val="007D5B7A"/>
    <w:rsid w:val="007D5C4F"/>
    <w:rsid w:val="007D6481"/>
    <w:rsid w:val="007D64A2"/>
    <w:rsid w:val="007D66FF"/>
    <w:rsid w:val="007D7297"/>
    <w:rsid w:val="007D7696"/>
    <w:rsid w:val="007D774E"/>
    <w:rsid w:val="007D787D"/>
    <w:rsid w:val="007D7C21"/>
    <w:rsid w:val="007D7E13"/>
    <w:rsid w:val="007E0F0E"/>
    <w:rsid w:val="007E15C9"/>
    <w:rsid w:val="007E16CA"/>
    <w:rsid w:val="007E21A0"/>
    <w:rsid w:val="007E2558"/>
    <w:rsid w:val="007E2E5F"/>
    <w:rsid w:val="007E3A6E"/>
    <w:rsid w:val="007E3AD5"/>
    <w:rsid w:val="007E3C38"/>
    <w:rsid w:val="007E3E33"/>
    <w:rsid w:val="007E4334"/>
    <w:rsid w:val="007E5211"/>
    <w:rsid w:val="007E5FEB"/>
    <w:rsid w:val="007E6390"/>
    <w:rsid w:val="007E6391"/>
    <w:rsid w:val="007E697A"/>
    <w:rsid w:val="007E73C1"/>
    <w:rsid w:val="007E74AB"/>
    <w:rsid w:val="007F032C"/>
    <w:rsid w:val="007F05D8"/>
    <w:rsid w:val="007F0928"/>
    <w:rsid w:val="007F0BB4"/>
    <w:rsid w:val="007F1225"/>
    <w:rsid w:val="007F1366"/>
    <w:rsid w:val="007F1BD4"/>
    <w:rsid w:val="007F20A7"/>
    <w:rsid w:val="007F3274"/>
    <w:rsid w:val="007F35E0"/>
    <w:rsid w:val="007F3C15"/>
    <w:rsid w:val="007F3D78"/>
    <w:rsid w:val="007F3E6E"/>
    <w:rsid w:val="007F3FEA"/>
    <w:rsid w:val="007F4A54"/>
    <w:rsid w:val="007F5469"/>
    <w:rsid w:val="007F54D0"/>
    <w:rsid w:val="007F56CC"/>
    <w:rsid w:val="007F5ADB"/>
    <w:rsid w:val="007F65DE"/>
    <w:rsid w:val="007F66BA"/>
    <w:rsid w:val="007F6991"/>
    <w:rsid w:val="007F6D23"/>
    <w:rsid w:val="007F7101"/>
    <w:rsid w:val="008009AF"/>
    <w:rsid w:val="008018D1"/>
    <w:rsid w:val="00801B25"/>
    <w:rsid w:val="00801B33"/>
    <w:rsid w:val="00801E24"/>
    <w:rsid w:val="0080290A"/>
    <w:rsid w:val="00802FEE"/>
    <w:rsid w:val="00803044"/>
    <w:rsid w:val="0080331A"/>
    <w:rsid w:val="00803BCC"/>
    <w:rsid w:val="00803D3F"/>
    <w:rsid w:val="00804496"/>
    <w:rsid w:val="0080489F"/>
    <w:rsid w:val="00805599"/>
    <w:rsid w:val="00806161"/>
    <w:rsid w:val="00807B63"/>
    <w:rsid w:val="00807ED5"/>
    <w:rsid w:val="00810B7C"/>
    <w:rsid w:val="0081112D"/>
    <w:rsid w:val="00811977"/>
    <w:rsid w:val="008120F4"/>
    <w:rsid w:val="00812EA7"/>
    <w:rsid w:val="00812F4E"/>
    <w:rsid w:val="00813509"/>
    <w:rsid w:val="008141EE"/>
    <w:rsid w:val="008155CC"/>
    <w:rsid w:val="00815924"/>
    <w:rsid w:val="00815C79"/>
    <w:rsid w:val="0081720D"/>
    <w:rsid w:val="00817B16"/>
    <w:rsid w:val="00817CA1"/>
    <w:rsid w:val="00817D00"/>
    <w:rsid w:val="00817F76"/>
    <w:rsid w:val="0082011F"/>
    <w:rsid w:val="00821B3D"/>
    <w:rsid w:val="00821C60"/>
    <w:rsid w:val="00821F23"/>
    <w:rsid w:val="00822008"/>
    <w:rsid w:val="00822552"/>
    <w:rsid w:val="008225C1"/>
    <w:rsid w:val="008232BB"/>
    <w:rsid w:val="0082345E"/>
    <w:rsid w:val="00823876"/>
    <w:rsid w:val="00823ABE"/>
    <w:rsid w:val="00823E4A"/>
    <w:rsid w:val="008248F3"/>
    <w:rsid w:val="00824C9A"/>
    <w:rsid w:val="00824DF8"/>
    <w:rsid w:val="0082516E"/>
    <w:rsid w:val="00825835"/>
    <w:rsid w:val="008258B2"/>
    <w:rsid w:val="00825F2C"/>
    <w:rsid w:val="00826EF1"/>
    <w:rsid w:val="008274AA"/>
    <w:rsid w:val="0082752F"/>
    <w:rsid w:val="00827592"/>
    <w:rsid w:val="00827EA9"/>
    <w:rsid w:val="0083063F"/>
    <w:rsid w:val="00830C5D"/>
    <w:rsid w:val="00831608"/>
    <w:rsid w:val="00831978"/>
    <w:rsid w:val="0083225C"/>
    <w:rsid w:val="0083256E"/>
    <w:rsid w:val="00832A50"/>
    <w:rsid w:val="0083332C"/>
    <w:rsid w:val="00833409"/>
    <w:rsid w:val="00833419"/>
    <w:rsid w:val="00833744"/>
    <w:rsid w:val="00833F25"/>
    <w:rsid w:val="0083409A"/>
    <w:rsid w:val="008345B5"/>
    <w:rsid w:val="008346BE"/>
    <w:rsid w:val="00834C13"/>
    <w:rsid w:val="0083513D"/>
    <w:rsid w:val="00836353"/>
    <w:rsid w:val="008365EC"/>
    <w:rsid w:val="00837DA3"/>
    <w:rsid w:val="00837F84"/>
    <w:rsid w:val="008401CD"/>
    <w:rsid w:val="008402E0"/>
    <w:rsid w:val="00840536"/>
    <w:rsid w:val="00840A6A"/>
    <w:rsid w:val="008416F9"/>
    <w:rsid w:val="00841E7A"/>
    <w:rsid w:val="00841F2E"/>
    <w:rsid w:val="00841FE2"/>
    <w:rsid w:val="008422BD"/>
    <w:rsid w:val="00842400"/>
    <w:rsid w:val="00842801"/>
    <w:rsid w:val="00842938"/>
    <w:rsid w:val="00842CF1"/>
    <w:rsid w:val="00842E59"/>
    <w:rsid w:val="00843109"/>
    <w:rsid w:val="00843111"/>
    <w:rsid w:val="00843346"/>
    <w:rsid w:val="008433FF"/>
    <w:rsid w:val="0084342B"/>
    <w:rsid w:val="008437E7"/>
    <w:rsid w:val="008438C8"/>
    <w:rsid w:val="00843A22"/>
    <w:rsid w:val="00843B99"/>
    <w:rsid w:val="00843C0C"/>
    <w:rsid w:val="00843EC3"/>
    <w:rsid w:val="0084586E"/>
    <w:rsid w:val="00846182"/>
    <w:rsid w:val="00846F31"/>
    <w:rsid w:val="00846F7F"/>
    <w:rsid w:val="00846FB5"/>
    <w:rsid w:val="008470F5"/>
    <w:rsid w:val="00847308"/>
    <w:rsid w:val="0085081F"/>
    <w:rsid w:val="0085088B"/>
    <w:rsid w:val="008511F6"/>
    <w:rsid w:val="008519CA"/>
    <w:rsid w:val="00852172"/>
    <w:rsid w:val="008524C5"/>
    <w:rsid w:val="008525B0"/>
    <w:rsid w:val="00853152"/>
    <w:rsid w:val="00853348"/>
    <w:rsid w:val="008533CB"/>
    <w:rsid w:val="008541A9"/>
    <w:rsid w:val="00854866"/>
    <w:rsid w:val="00854A2A"/>
    <w:rsid w:val="00854BAF"/>
    <w:rsid w:val="00854D3B"/>
    <w:rsid w:val="00855493"/>
    <w:rsid w:val="008567EF"/>
    <w:rsid w:val="00856986"/>
    <w:rsid w:val="00857CD8"/>
    <w:rsid w:val="00857D18"/>
    <w:rsid w:val="00857DC3"/>
    <w:rsid w:val="00857F50"/>
    <w:rsid w:val="00857FB0"/>
    <w:rsid w:val="008603A3"/>
    <w:rsid w:val="008613C4"/>
    <w:rsid w:val="00861777"/>
    <w:rsid w:val="00862120"/>
    <w:rsid w:val="008624C0"/>
    <w:rsid w:val="008627B8"/>
    <w:rsid w:val="00862DBD"/>
    <w:rsid w:val="00864E24"/>
    <w:rsid w:val="00865148"/>
    <w:rsid w:val="00865DB8"/>
    <w:rsid w:val="008662AC"/>
    <w:rsid w:val="0086771C"/>
    <w:rsid w:val="00867A7D"/>
    <w:rsid w:val="00870041"/>
    <w:rsid w:val="00870290"/>
    <w:rsid w:val="008705D9"/>
    <w:rsid w:val="00870820"/>
    <w:rsid w:val="00870D64"/>
    <w:rsid w:val="00870EF4"/>
    <w:rsid w:val="00871359"/>
    <w:rsid w:val="0087146A"/>
    <w:rsid w:val="008714EF"/>
    <w:rsid w:val="00871A5F"/>
    <w:rsid w:val="00872E54"/>
    <w:rsid w:val="00873552"/>
    <w:rsid w:val="008735C6"/>
    <w:rsid w:val="00873F06"/>
    <w:rsid w:val="0087413E"/>
    <w:rsid w:val="0087478D"/>
    <w:rsid w:val="00875244"/>
    <w:rsid w:val="00875B25"/>
    <w:rsid w:val="00876360"/>
    <w:rsid w:val="0087647B"/>
    <w:rsid w:val="00876578"/>
    <w:rsid w:val="008765AF"/>
    <w:rsid w:val="00877289"/>
    <w:rsid w:val="008773DF"/>
    <w:rsid w:val="008775C0"/>
    <w:rsid w:val="008779ED"/>
    <w:rsid w:val="00877B2A"/>
    <w:rsid w:val="008805D3"/>
    <w:rsid w:val="00880972"/>
    <w:rsid w:val="00881595"/>
    <w:rsid w:val="00883070"/>
    <w:rsid w:val="008838C8"/>
    <w:rsid w:val="00883B02"/>
    <w:rsid w:val="00883B87"/>
    <w:rsid w:val="00883C3B"/>
    <w:rsid w:val="00883CE2"/>
    <w:rsid w:val="00883DFB"/>
    <w:rsid w:val="008843A2"/>
    <w:rsid w:val="008846AF"/>
    <w:rsid w:val="00884C3C"/>
    <w:rsid w:val="00884D1B"/>
    <w:rsid w:val="00884DEE"/>
    <w:rsid w:val="00884FBD"/>
    <w:rsid w:val="0088529F"/>
    <w:rsid w:val="008853B2"/>
    <w:rsid w:val="0088575B"/>
    <w:rsid w:val="00885892"/>
    <w:rsid w:val="008861D9"/>
    <w:rsid w:val="008867BD"/>
    <w:rsid w:val="00886EC6"/>
    <w:rsid w:val="00886F22"/>
    <w:rsid w:val="00890761"/>
    <w:rsid w:val="0089084D"/>
    <w:rsid w:val="00890860"/>
    <w:rsid w:val="00890C54"/>
    <w:rsid w:val="00891192"/>
    <w:rsid w:val="0089119D"/>
    <w:rsid w:val="0089171A"/>
    <w:rsid w:val="00891AC5"/>
    <w:rsid w:val="00892047"/>
    <w:rsid w:val="00892466"/>
    <w:rsid w:val="00892CBB"/>
    <w:rsid w:val="008934C8"/>
    <w:rsid w:val="00893D0D"/>
    <w:rsid w:val="0089445D"/>
    <w:rsid w:val="00894764"/>
    <w:rsid w:val="00894C55"/>
    <w:rsid w:val="00894FAF"/>
    <w:rsid w:val="00895447"/>
    <w:rsid w:val="00895D9D"/>
    <w:rsid w:val="0089676B"/>
    <w:rsid w:val="00896949"/>
    <w:rsid w:val="008969D0"/>
    <w:rsid w:val="00896C78"/>
    <w:rsid w:val="00896F02"/>
    <w:rsid w:val="00896FC7"/>
    <w:rsid w:val="00897229"/>
    <w:rsid w:val="008A12D6"/>
    <w:rsid w:val="008A1897"/>
    <w:rsid w:val="008A18C5"/>
    <w:rsid w:val="008A1FFD"/>
    <w:rsid w:val="008A26E3"/>
    <w:rsid w:val="008A299E"/>
    <w:rsid w:val="008A2E73"/>
    <w:rsid w:val="008A3D5D"/>
    <w:rsid w:val="008A4244"/>
    <w:rsid w:val="008A5B15"/>
    <w:rsid w:val="008A5D28"/>
    <w:rsid w:val="008A6CC8"/>
    <w:rsid w:val="008A7FDA"/>
    <w:rsid w:val="008B02FF"/>
    <w:rsid w:val="008B148C"/>
    <w:rsid w:val="008B155D"/>
    <w:rsid w:val="008B1F03"/>
    <w:rsid w:val="008B21E8"/>
    <w:rsid w:val="008B25CF"/>
    <w:rsid w:val="008B31C1"/>
    <w:rsid w:val="008B3589"/>
    <w:rsid w:val="008B35BB"/>
    <w:rsid w:val="008B360C"/>
    <w:rsid w:val="008B381E"/>
    <w:rsid w:val="008B3DE9"/>
    <w:rsid w:val="008B41A2"/>
    <w:rsid w:val="008B4A3E"/>
    <w:rsid w:val="008B4C7E"/>
    <w:rsid w:val="008B618E"/>
    <w:rsid w:val="008B68B9"/>
    <w:rsid w:val="008B7030"/>
    <w:rsid w:val="008C1CCE"/>
    <w:rsid w:val="008C1D88"/>
    <w:rsid w:val="008C2B67"/>
    <w:rsid w:val="008C4065"/>
    <w:rsid w:val="008C4937"/>
    <w:rsid w:val="008C4F3F"/>
    <w:rsid w:val="008C541D"/>
    <w:rsid w:val="008C592A"/>
    <w:rsid w:val="008C5A48"/>
    <w:rsid w:val="008C5E7C"/>
    <w:rsid w:val="008C6069"/>
    <w:rsid w:val="008C607D"/>
    <w:rsid w:val="008C62CA"/>
    <w:rsid w:val="008C6F86"/>
    <w:rsid w:val="008C741F"/>
    <w:rsid w:val="008C7958"/>
    <w:rsid w:val="008D0D41"/>
    <w:rsid w:val="008D16FC"/>
    <w:rsid w:val="008D297D"/>
    <w:rsid w:val="008D31FA"/>
    <w:rsid w:val="008D334E"/>
    <w:rsid w:val="008D3812"/>
    <w:rsid w:val="008D40B4"/>
    <w:rsid w:val="008D456F"/>
    <w:rsid w:val="008D519B"/>
    <w:rsid w:val="008D5498"/>
    <w:rsid w:val="008E01C8"/>
    <w:rsid w:val="008E0259"/>
    <w:rsid w:val="008E0751"/>
    <w:rsid w:val="008E0A66"/>
    <w:rsid w:val="008E0B84"/>
    <w:rsid w:val="008E0E95"/>
    <w:rsid w:val="008E0FDA"/>
    <w:rsid w:val="008E11CF"/>
    <w:rsid w:val="008E29CB"/>
    <w:rsid w:val="008E2CF9"/>
    <w:rsid w:val="008E2D36"/>
    <w:rsid w:val="008E320C"/>
    <w:rsid w:val="008E35DE"/>
    <w:rsid w:val="008E390A"/>
    <w:rsid w:val="008E3A8B"/>
    <w:rsid w:val="008E3B74"/>
    <w:rsid w:val="008E3BCD"/>
    <w:rsid w:val="008E422F"/>
    <w:rsid w:val="008E46CD"/>
    <w:rsid w:val="008E48A0"/>
    <w:rsid w:val="008E4C25"/>
    <w:rsid w:val="008E5336"/>
    <w:rsid w:val="008E53A1"/>
    <w:rsid w:val="008E627A"/>
    <w:rsid w:val="008E6E2E"/>
    <w:rsid w:val="008E70EC"/>
    <w:rsid w:val="008E7674"/>
    <w:rsid w:val="008E7775"/>
    <w:rsid w:val="008E78A6"/>
    <w:rsid w:val="008E7FA0"/>
    <w:rsid w:val="008F0C77"/>
    <w:rsid w:val="008F1536"/>
    <w:rsid w:val="008F1886"/>
    <w:rsid w:val="008F22F4"/>
    <w:rsid w:val="008F2BE9"/>
    <w:rsid w:val="008F303E"/>
    <w:rsid w:val="008F3301"/>
    <w:rsid w:val="008F3D1C"/>
    <w:rsid w:val="008F43DA"/>
    <w:rsid w:val="008F44C2"/>
    <w:rsid w:val="008F50DC"/>
    <w:rsid w:val="008F5E0F"/>
    <w:rsid w:val="008F5E31"/>
    <w:rsid w:val="008F5E93"/>
    <w:rsid w:val="008F71EC"/>
    <w:rsid w:val="008F7242"/>
    <w:rsid w:val="008F76A3"/>
    <w:rsid w:val="008F7E11"/>
    <w:rsid w:val="00901268"/>
    <w:rsid w:val="009022FC"/>
    <w:rsid w:val="0090250A"/>
    <w:rsid w:val="00902923"/>
    <w:rsid w:val="009037C6"/>
    <w:rsid w:val="00903D76"/>
    <w:rsid w:val="009047FD"/>
    <w:rsid w:val="009048D3"/>
    <w:rsid w:val="009058A1"/>
    <w:rsid w:val="009058D9"/>
    <w:rsid w:val="00906675"/>
    <w:rsid w:val="00906785"/>
    <w:rsid w:val="00906A90"/>
    <w:rsid w:val="00906EB6"/>
    <w:rsid w:val="0090706E"/>
    <w:rsid w:val="009072F1"/>
    <w:rsid w:val="00907372"/>
    <w:rsid w:val="009103D2"/>
    <w:rsid w:val="00910882"/>
    <w:rsid w:val="00911031"/>
    <w:rsid w:val="00911193"/>
    <w:rsid w:val="00911B3C"/>
    <w:rsid w:val="00912B39"/>
    <w:rsid w:val="00913CDB"/>
    <w:rsid w:val="009157AA"/>
    <w:rsid w:val="00915CFE"/>
    <w:rsid w:val="0091612B"/>
    <w:rsid w:val="00916217"/>
    <w:rsid w:val="00916601"/>
    <w:rsid w:val="00916DCC"/>
    <w:rsid w:val="009173AD"/>
    <w:rsid w:val="00917B0D"/>
    <w:rsid w:val="009212C2"/>
    <w:rsid w:val="00921820"/>
    <w:rsid w:val="00921FBD"/>
    <w:rsid w:val="00922589"/>
    <w:rsid w:val="00922752"/>
    <w:rsid w:val="0092457B"/>
    <w:rsid w:val="00924730"/>
    <w:rsid w:val="00924996"/>
    <w:rsid w:val="00924C7E"/>
    <w:rsid w:val="00924ED0"/>
    <w:rsid w:val="0092524F"/>
    <w:rsid w:val="0092586E"/>
    <w:rsid w:val="00925ACA"/>
    <w:rsid w:val="00925CD0"/>
    <w:rsid w:val="00925FB6"/>
    <w:rsid w:val="009261B3"/>
    <w:rsid w:val="00926302"/>
    <w:rsid w:val="009266BE"/>
    <w:rsid w:val="00926B8F"/>
    <w:rsid w:val="00927500"/>
    <w:rsid w:val="00927793"/>
    <w:rsid w:val="009277F9"/>
    <w:rsid w:val="0092781E"/>
    <w:rsid w:val="00927F4B"/>
    <w:rsid w:val="009301E9"/>
    <w:rsid w:val="0093026A"/>
    <w:rsid w:val="00930392"/>
    <w:rsid w:val="00930F31"/>
    <w:rsid w:val="0093104B"/>
    <w:rsid w:val="00931D8C"/>
    <w:rsid w:val="0093263B"/>
    <w:rsid w:val="00932D11"/>
    <w:rsid w:val="00933110"/>
    <w:rsid w:val="00933894"/>
    <w:rsid w:val="00933B13"/>
    <w:rsid w:val="00933E7D"/>
    <w:rsid w:val="009340C9"/>
    <w:rsid w:val="00934858"/>
    <w:rsid w:val="00934A1B"/>
    <w:rsid w:val="00934E20"/>
    <w:rsid w:val="00935180"/>
    <w:rsid w:val="00935315"/>
    <w:rsid w:val="009360FE"/>
    <w:rsid w:val="00936264"/>
    <w:rsid w:val="0093685E"/>
    <w:rsid w:val="009371FF"/>
    <w:rsid w:val="00937680"/>
    <w:rsid w:val="009376DD"/>
    <w:rsid w:val="00937EA7"/>
    <w:rsid w:val="00940CD2"/>
    <w:rsid w:val="00941328"/>
    <w:rsid w:val="00942243"/>
    <w:rsid w:val="009426E9"/>
    <w:rsid w:val="0094271F"/>
    <w:rsid w:val="00942A32"/>
    <w:rsid w:val="00942D57"/>
    <w:rsid w:val="00942D7E"/>
    <w:rsid w:val="0094359C"/>
    <w:rsid w:val="00943715"/>
    <w:rsid w:val="00943DFE"/>
    <w:rsid w:val="00944059"/>
    <w:rsid w:val="00944223"/>
    <w:rsid w:val="0094424B"/>
    <w:rsid w:val="009447EF"/>
    <w:rsid w:val="00944C68"/>
    <w:rsid w:val="00945FCB"/>
    <w:rsid w:val="00946609"/>
    <w:rsid w:val="0094676D"/>
    <w:rsid w:val="00946A2B"/>
    <w:rsid w:val="009474A1"/>
    <w:rsid w:val="00950408"/>
    <w:rsid w:val="00950881"/>
    <w:rsid w:val="009509EB"/>
    <w:rsid w:val="00950BFE"/>
    <w:rsid w:val="00950CE6"/>
    <w:rsid w:val="009516C9"/>
    <w:rsid w:val="00951905"/>
    <w:rsid w:val="00951E1E"/>
    <w:rsid w:val="00952774"/>
    <w:rsid w:val="00952923"/>
    <w:rsid w:val="00952EE2"/>
    <w:rsid w:val="00954312"/>
    <w:rsid w:val="00954842"/>
    <w:rsid w:val="0095519C"/>
    <w:rsid w:val="0095580B"/>
    <w:rsid w:val="00955F2A"/>
    <w:rsid w:val="00956284"/>
    <w:rsid w:val="009563DD"/>
    <w:rsid w:val="00956855"/>
    <w:rsid w:val="009568C6"/>
    <w:rsid w:val="00956AF6"/>
    <w:rsid w:val="009575D1"/>
    <w:rsid w:val="00957B09"/>
    <w:rsid w:val="00957CF0"/>
    <w:rsid w:val="00957FA9"/>
    <w:rsid w:val="009602AE"/>
    <w:rsid w:val="0096068B"/>
    <w:rsid w:val="009609A7"/>
    <w:rsid w:val="00961CA2"/>
    <w:rsid w:val="00961F9A"/>
    <w:rsid w:val="00963B67"/>
    <w:rsid w:val="00963F22"/>
    <w:rsid w:val="00964972"/>
    <w:rsid w:val="00964AF3"/>
    <w:rsid w:val="00964B57"/>
    <w:rsid w:val="00964BC1"/>
    <w:rsid w:val="00964BC5"/>
    <w:rsid w:val="00964E49"/>
    <w:rsid w:val="00965018"/>
    <w:rsid w:val="009650A8"/>
    <w:rsid w:val="009651EF"/>
    <w:rsid w:val="00965487"/>
    <w:rsid w:val="009658E3"/>
    <w:rsid w:val="009659AD"/>
    <w:rsid w:val="00966A49"/>
    <w:rsid w:val="00966AD9"/>
    <w:rsid w:val="00966D46"/>
    <w:rsid w:val="00967414"/>
    <w:rsid w:val="00967442"/>
    <w:rsid w:val="009678DE"/>
    <w:rsid w:val="00967ED8"/>
    <w:rsid w:val="00970279"/>
    <w:rsid w:val="0097033C"/>
    <w:rsid w:val="00970626"/>
    <w:rsid w:val="00970754"/>
    <w:rsid w:val="0097195E"/>
    <w:rsid w:val="00971B12"/>
    <w:rsid w:val="00971D0A"/>
    <w:rsid w:val="0097216D"/>
    <w:rsid w:val="00972AA6"/>
    <w:rsid w:val="00973070"/>
    <w:rsid w:val="00973DD7"/>
    <w:rsid w:val="0097478E"/>
    <w:rsid w:val="00975A29"/>
    <w:rsid w:val="0097646B"/>
    <w:rsid w:val="00976683"/>
    <w:rsid w:val="00976DE3"/>
    <w:rsid w:val="00976DE6"/>
    <w:rsid w:val="009776BA"/>
    <w:rsid w:val="009776EF"/>
    <w:rsid w:val="0098058A"/>
    <w:rsid w:val="00980846"/>
    <w:rsid w:val="00981032"/>
    <w:rsid w:val="0098199D"/>
    <w:rsid w:val="00981B09"/>
    <w:rsid w:val="00983C7B"/>
    <w:rsid w:val="00985923"/>
    <w:rsid w:val="009868DE"/>
    <w:rsid w:val="00986967"/>
    <w:rsid w:val="00987B71"/>
    <w:rsid w:val="00987C0E"/>
    <w:rsid w:val="00987CA6"/>
    <w:rsid w:val="009904AD"/>
    <w:rsid w:val="009911D4"/>
    <w:rsid w:val="00991460"/>
    <w:rsid w:val="00991484"/>
    <w:rsid w:val="00991A0D"/>
    <w:rsid w:val="00991EF8"/>
    <w:rsid w:val="00992BB8"/>
    <w:rsid w:val="00993B35"/>
    <w:rsid w:val="00993C10"/>
    <w:rsid w:val="00993D4F"/>
    <w:rsid w:val="009945C8"/>
    <w:rsid w:val="00994877"/>
    <w:rsid w:val="0099549C"/>
    <w:rsid w:val="00995644"/>
    <w:rsid w:val="00995DD7"/>
    <w:rsid w:val="00996285"/>
    <w:rsid w:val="00997686"/>
    <w:rsid w:val="00997950"/>
    <w:rsid w:val="009A0658"/>
    <w:rsid w:val="009A0772"/>
    <w:rsid w:val="009A16CB"/>
    <w:rsid w:val="009A1D6E"/>
    <w:rsid w:val="009A27E4"/>
    <w:rsid w:val="009A2A42"/>
    <w:rsid w:val="009A2ED2"/>
    <w:rsid w:val="009A2FD9"/>
    <w:rsid w:val="009A3BED"/>
    <w:rsid w:val="009A5753"/>
    <w:rsid w:val="009A5AD4"/>
    <w:rsid w:val="009A5B04"/>
    <w:rsid w:val="009A6066"/>
    <w:rsid w:val="009A61C4"/>
    <w:rsid w:val="009A63D9"/>
    <w:rsid w:val="009A6A75"/>
    <w:rsid w:val="009A6CC0"/>
    <w:rsid w:val="009A6CC7"/>
    <w:rsid w:val="009A775B"/>
    <w:rsid w:val="009A79CA"/>
    <w:rsid w:val="009A7FBF"/>
    <w:rsid w:val="009A7FDA"/>
    <w:rsid w:val="009B007D"/>
    <w:rsid w:val="009B053B"/>
    <w:rsid w:val="009B1115"/>
    <w:rsid w:val="009B114D"/>
    <w:rsid w:val="009B17D8"/>
    <w:rsid w:val="009B1839"/>
    <w:rsid w:val="009B21CE"/>
    <w:rsid w:val="009B24EF"/>
    <w:rsid w:val="009B2989"/>
    <w:rsid w:val="009B2998"/>
    <w:rsid w:val="009B2FDB"/>
    <w:rsid w:val="009B47F0"/>
    <w:rsid w:val="009B4975"/>
    <w:rsid w:val="009B4C18"/>
    <w:rsid w:val="009B52D7"/>
    <w:rsid w:val="009B52F0"/>
    <w:rsid w:val="009B5694"/>
    <w:rsid w:val="009B671D"/>
    <w:rsid w:val="009B6CC3"/>
    <w:rsid w:val="009B73BE"/>
    <w:rsid w:val="009B73D3"/>
    <w:rsid w:val="009B78C4"/>
    <w:rsid w:val="009C0019"/>
    <w:rsid w:val="009C040B"/>
    <w:rsid w:val="009C072C"/>
    <w:rsid w:val="009C0C4E"/>
    <w:rsid w:val="009C1851"/>
    <w:rsid w:val="009C1F0C"/>
    <w:rsid w:val="009C1FE6"/>
    <w:rsid w:val="009C2088"/>
    <w:rsid w:val="009C3393"/>
    <w:rsid w:val="009C3447"/>
    <w:rsid w:val="009C4099"/>
    <w:rsid w:val="009C417B"/>
    <w:rsid w:val="009C4EB9"/>
    <w:rsid w:val="009C5CA1"/>
    <w:rsid w:val="009C66DB"/>
    <w:rsid w:val="009C708A"/>
    <w:rsid w:val="009C714E"/>
    <w:rsid w:val="009C7658"/>
    <w:rsid w:val="009C7F7F"/>
    <w:rsid w:val="009D0233"/>
    <w:rsid w:val="009D049E"/>
    <w:rsid w:val="009D0881"/>
    <w:rsid w:val="009D13E9"/>
    <w:rsid w:val="009D20D0"/>
    <w:rsid w:val="009D2999"/>
    <w:rsid w:val="009D2B47"/>
    <w:rsid w:val="009D31C6"/>
    <w:rsid w:val="009D3AF9"/>
    <w:rsid w:val="009D56D6"/>
    <w:rsid w:val="009D5E94"/>
    <w:rsid w:val="009D73FC"/>
    <w:rsid w:val="009D74C2"/>
    <w:rsid w:val="009D7A67"/>
    <w:rsid w:val="009E01E3"/>
    <w:rsid w:val="009E1613"/>
    <w:rsid w:val="009E1C71"/>
    <w:rsid w:val="009E37FA"/>
    <w:rsid w:val="009E385B"/>
    <w:rsid w:val="009E4801"/>
    <w:rsid w:val="009E4B0D"/>
    <w:rsid w:val="009E4BEA"/>
    <w:rsid w:val="009E4DDF"/>
    <w:rsid w:val="009E4F1B"/>
    <w:rsid w:val="009E564D"/>
    <w:rsid w:val="009E73DF"/>
    <w:rsid w:val="009E767A"/>
    <w:rsid w:val="009E77E4"/>
    <w:rsid w:val="009E7A0C"/>
    <w:rsid w:val="009F0005"/>
    <w:rsid w:val="009F02AC"/>
    <w:rsid w:val="009F072A"/>
    <w:rsid w:val="009F0C6C"/>
    <w:rsid w:val="009F0E69"/>
    <w:rsid w:val="009F1066"/>
    <w:rsid w:val="009F19B4"/>
    <w:rsid w:val="009F20DF"/>
    <w:rsid w:val="009F3AC0"/>
    <w:rsid w:val="009F3BC4"/>
    <w:rsid w:val="009F4061"/>
    <w:rsid w:val="009F40E9"/>
    <w:rsid w:val="009F4169"/>
    <w:rsid w:val="009F47E1"/>
    <w:rsid w:val="009F4869"/>
    <w:rsid w:val="009F4D72"/>
    <w:rsid w:val="009F5B43"/>
    <w:rsid w:val="009F5CA8"/>
    <w:rsid w:val="009F5F15"/>
    <w:rsid w:val="009F6F50"/>
    <w:rsid w:val="009F7811"/>
    <w:rsid w:val="009F7A3D"/>
    <w:rsid w:val="00A000CA"/>
    <w:rsid w:val="00A003C7"/>
    <w:rsid w:val="00A0094F"/>
    <w:rsid w:val="00A00D38"/>
    <w:rsid w:val="00A01022"/>
    <w:rsid w:val="00A01672"/>
    <w:rsid w:val="00A02A0B"/>
    <w:rsid w:val="00A02D5F"/>
    <w:rsid w:val="00A03DEA"/>
    <w:rsid w:val="00A04257"/>
    <w:rsid w:val="00A0504F"/>
    <w:rsid w:val="00A059B6"/>
    <w:rsid w:val="00A05B33"/>
    <w:rsid w:val="00A05B76"/>
    <w:rsid w:val="00A05DF4"/>
    <w:rsid w:val="00A05EDB"/>
    <w:rsid w:val="00A060D1"/>
    <w:rsid w:val="00A0619D"/>
    <w:rsid w:val="00A066EA"/>
    <w:rsid w:val="00A07715"/>
    <w:rsid w:val="00A078A6"/>
    <w:rsid w:val="00A07DD2"/>
    <w:rsid w:val="00A10E03"/>
    <w:rsid w:val="00A1108A"/>
    <w:rsid w:val="00A1152F"/>
    <w:rsid w:val="00A1191D"/>
    <w:rsid w:val="00A124D0"/>
    <w:rsid w:val="00A12B1B"/>
    <w:rsid w:val="00A12CEE"/>
    <w:rsid w:val="00A136F4"/>
    <w:rsid w:val="00A13752"/>
    <w:rsid w:val="00A16749"/>
    <w:rsid w:val="00A16773"/>
    <w:rsid w:val="00A16E05"/>
    <w:rsid w:val="00A17499"/>
    <w:rsid w:val="00A17ED4"/>
    <w:rsid w:val="00A17FC4"/>
    <w:rsid w:val="00A20178"/>
    <w:rsid w:val="00A209C2"/>
    <w:rsid w:val="00A21760"/>
    <w:rsid w:val="00A220E5"/>
    <w:rsid w:val="00A226A8"/>
    <w:rsid w:val="00A227A9"/>
    <w:rsid w:val="00A23073"/>
    <w:rsid w:val="00A232FA"/>
    <w:rsid w:val="00A23571"/>
    <w:rsid w:val="00A236A1"/>
    <w:rsid w:val="00A239AB"/>
    <w:rsid w:val="00A23E7F"/>
    <w:rsid w:val="00A26029"/>
    <w:rsid w:val="00A264DB"/>
    <w:rsid w:val="00A26B22"/>
    <w:rsid w:val="00A270AB"/>
    <w:rsid w:val="00A27967"/>
    <w:rsid w:val="00A27A5F"/>
    <w:rsid w:val="00A27AA4"/>
    <w:rsid w:val="00A27BC5"/>
    <w:rsid w:val="00A3097F"/>
    <w:rsid w:val="00A30F06"/>
    <w:rsid w:val="00A30FFD"/>
    <w:rsid w:val="00A311A4"/>
    <w:rsid w:val="00A325A3"/>
    <w:rsid w:val="00A32E11"/>
    <w:rsid w:val="00A333D3"/>
    <w:rsid w:val="00A34FF7"/>
    <w:rsid w:val="00A3521E"/>
    <w:rsid w:val="00A357B7"/>
    <w:rsid w:val="00A35A76"/>
    <w:rsid w:val="00A35CF2"/>
    <w:rsid w:val="00A36998"/>
    <w:rsid w:val="00A36FAE"/>
    <w:rsid w:val="00A37BBC"/>
    <w:rsid w:val="00A4002A"/>
    <w:rsid w:val="00A404AB"/>
    <w:rsid w:val="00A407D8"/>
    <w:rsid w:val="00A41696"/>
    <w:rsid w:val="00A41885"/>
    <w:rsid w:val="00A4195F"/>
    <w:rsid w:val="00A41E11"/>
    <w:rsid w:val="00A42017"/>
    <w:rsid w:val="00A427B1"/>
    <w:rsid w:val="00A42D9A"/>
    <w:rsid w:val="00A4323C"/>
    <w:rsid w:val="00A436FD"/>
    <w:rsid w:val="00A43864"/>
    <w:rsid w:val="00A4389D"/>
    <w:rsid w:val="00A43AEA"/>
    <w:rsid w:val="00A43F0D"/>
    <w:rsid w:val="00A444B7"/>
    <w:rsid w:val="00A44816"/>
    <w:rsid w:val="00A448BA"/>
    <w:rsid w:val="00A44CA2"/>
    <w:rsid w:val="00A44D98"/>
    <w:rsid w:val="00A44EDB"/>
    <w:rsid w:val="00A45F2A"/>
    <w:rsid w:val="00A50203"/>
    <w:rsid w:val="00A50341"/>
    <w:rsid w:val="00A5050C"/>
    <w:rsid w:val="00A506D6"/>
    <w:rsid w:val="00A507D7"/>
    <w:rsid w:val="00A50B7C"/>
    <w:rsid w:val="00A51117"/>
    <w:rsid w:val="00A517FA"/>
    <w:rsid w:val="00A51B0C"/>
    <w:rsid w:val="00A51CB9"/>
    <w:rsid w:val="00A5209E"/>
    <w:rsid w:val="00A52298"/>
    <w:rsid w:val="00A53517"/>
    <w:rsid w:val="00A53584"/>
    <w:rsid w:val="00A53B7B"/>
    <w:rsid w:val="00A53D7E"/>
    <w:rsid w:val="00A53DC9"/>
    <w:rsid w:val="00A54484"/>
    <w:rsid w:val="00A54D1F"/>
    <w:rsid w:val="00A55FE1"/>
    <w:rsid w:val="00A57276"/>
    <w:rsid w:val="00A57DD6"/>
    <w:rsid w:val="00A602B2"/>
    <w:rsid w:val="00A6060A"/>
    <w:rsid w:val="00A60D98"/>
    <w:rsid w:val="00A60EEE"/>
    <w:rsid w:val="00A61054"/>
    <w:rsid w:val="00A6111F"/>
    <w:rsid w:val="00A617D5"/>
    <w:rsid w:val="00A63344"/>
    <w:rsid w:val="00A6344D"/>
    <w:rsid w:val="00A63756"/>
    <w:rsid w:val="00A63F83"/>
    <w:rsid w:val="00A640BF"/>
    <w:rsid w:val="00A65026"/>
    <w:rsid w:val="00A65666"/>
    <w:rsid w:val="00A66106"/>
    <w:rsid w:val="00A663AC"/>
    <w:rsid w:val="00A66902"/>
    <w:rsid w:val="00A6720A"/>
    <w:rsid w:val="00A70662"/>
    <w:rsid w:val="00A71248"/>
    <w:rsid w:val="00A71453"/>
    <w:rsid w:val="00A72BD8"/>
    <w:rsid w:val="00A72ED8"/>
    <w:rsid w:val="00A72F26"/>
    <w:rsid w:val="00A72F27"/>
    <w:rsid w:val="00A73353"/>
    <w:rsid w:val="00A738B8"/>
    <w:rsid w:val="00A73AB5"/>
    <w:rsid w:val="00A74195"/>
    <w:rsid w:val="00A7442B"/>
    <w:rsid w:val="00A74533"/>
    <w:rsid w:val="00A7501B"/>
    <w:rsid w:val="00A75155"/>
    <w:rsid w:val="00A752A1"/>
    <w:rsid w:val="00A754FD"/>
    <w:rsid w:val="00A7597C"/>
    <w:rsid w:val="00A75ADF"/>
    <w:rsid w:val="00A76031"/>
    <w:rsid w:val="00A76127"/>
    <w:rsid w:val="00A76175"/>
    <w:rsid w:val="00A764E3"/>
    <w:rsid w:val="00A769CD"/>
    <w:rsid w:val="00A7712B"/>
    <w:rsid w:val="00A774DB"/>
    <w:rsid w:val="00A77AED"/>
    <w:rsid w:val="00A77C32"/>
    <w:rsid w:val="00A77D60"/>
    <w:rsid w:val="00A807B0"/>
    <w:rsid w:val="00A808A2"/>
    <w:rsid w:val="00A80FD9"/>
    <w:rsid w:val="00A8110F"/>
    <w:rsid w:val="00A8181F"/>
    <w:rsid w:val="00A81A0F"/>
    <w:rsid w:val="00A81EF2"/>
    <w:rsid w:val="00A8218C"/>
    <w:rsid w:val="00A82203"/>
    <w:rsid w:val="00A8293D"/>
    <w:rsid w:val="00A82CC9"/>
    <w:rsid w:val="00A82D08"/>
    <w:rsid w:val="00A82D12"/>
    <w:rsid w:val="00A83041"/>
    <w:rsid w:val="00A83446"/>
    <w:rsid w:val="00A83AC6"/>
    <w:rsid w:val="00A83B23"/>
    <w:rsid w:val="00A83CD4"/>
    <w:rsid w:val="00A83FA9"/>
    <w:rsid w:val="00A845F7"/>
    <w:rsid w:val="00A84DCF"/>
    <w:rsid w:val="00A85811"/>
    <w:rsid w:val="00A85A49"/>
    <w:rsid w:val="00A87020"/>
    <w:rsid w:val="00A87052"/>
    <w:rsid w:val="00A87526"/>
    <w:rsid w:val="00A87987"/>
    <w:rsid w:val="00A90185"/>
    <w:rsid w:val="00A904E5"/>
    <w:rsid w:val="00A90A3C"/>
    <w:rsid w:val="00A90F7B"/>
    <w:rsid w:val="00A910B5"/>
    <w:rsid w:val="00A914F4"/>
    <w:rsid w:val="00A91B73"/>
    <w:rsid w:val="00A91F2A"/>
    <w:rsid w:val="00A9270E"/>
    <w:rsid w:val="00A928FA"/>
    <w:rsid w:val="00A92D7F"/>
    <w:rsid w:val="00A92E1B"/>
    <w:rsid w:val="00A938FD"/>
    <w:rsid w:val="00A93955"/>
    <w:rsid w:val="00A94469"/>
    <w:rsid w:val="00A945D4"/>
    <w:rsid w:val="00A94829"/>
    <w:rsid w:val="00A94F9A"/>
    <w:rsid w:val="00A950D9"/>
    <w:rsid w:val="00A954EA"/>
    <w:rsid w:val="00A95E3E"/>
    <w:rsid w:val="00A960F6"/>
    <w:rsid w:val="00A964EB"/>
    <w:rsid w:val="00A972F8"/>
    <w:rsid w:val="00A97435"/>
    <w:rsid w:val="00A97ACB"/>
    <w:rsid w:val="00A97C8D"/>
    <w:rsid w:val="00AA03A7"/>
    <w:rsid w:val="00AA03E3"/>
    <w:rsid w:val="00AA0448"/>
    <w:rsid w:val="00AA0903"/>
    <w:rsid w:val="00AA0A55"/>
    <w:rsid w:val="00AA0F19"/>
    <w:rsid w:val="00AA10CC"/>
    <w:rsid w:val="00AA1FCF"/>
    <w:rsid w:val="00AA23DC"/>
    <w:rsid w:val="00AA2478"/>
    <w:rsid w:val="00AA28D3"/>
    <w:rsid w:val="00AA29CE"/>
    <w:rsid w:val="00AA337C"/>
    <w:rsid w:val="00AA398B"/>
    <w:rsid w:val="00AA39D3"/>
    <w:rsid w:val="00AA3A2D"/>
    <w:rsid w:val="00AA3DF6"/>
    <w:rsid w:val="00AA3ED1"/>
    <w:rsid w:val="00AA4093"/>
    <w:rsid w:val="00AA462A"/>
    <w:rsid w:val="00AA50E1"/>
    <w:rsid w:val="00AA594C"/>
    <w:rsid w:val="00AA5CF2"/>
    <w:rsid w:val="00AA7406"/>
    <w:rsid w:val="00AA77C9"/>
    <w:rsid w:val="00AA78D8"/>
    <w:rsid w:val="00AA7AB8"/>
    <w:rsid w:val="00AA7BB6"/>
    <w:rsid w:val="00AB0B2C"/>
    <w:rsid w:val="00AB0B9F"/>
    <w:rsid w:val="00AB1AE7"/>
    <w:rsid w:val="00AB1CD4"/>
    <w:rsid w:val="00AB204F"/>
    <w:rsid w:val="00AB20F5"/>
    <w:rsid w:val="00AB220F"/>
    <w:rsid w:val="00AB2868"/>
    <w:rsid w:val="00AB2896"/>
    <w:rsid w:val="00AB305B"/>
    <w:rsid w:val="00AB3122"/>
    <w:rsid w:val="00AB32E6"/>
    <w:rsid w:val="00AB33E4"/>
    <w:rsid w:val="00AB3759"/>
    <w:rsid w:val="00AB426E"/>
    <w:rsid w:val="00AB429E"/>
    <w:rsid w:val="00AB4AC7"/>
    <w:rsid w:val="00AB4E9F"/>
    <w:rsid w:val="00AB5F6B"/>
    <w:rsid w:val="00AB6BE3"/>
    <w:rsid w:val="00AB6D18"/>
    <w:rsid w:val="00AB7478"/>
    <w:rsid w:val="00AB74FA"/>
    <w:rsid w:val="00AB7555"/>
    <w:rsid w:val="00AB76CE"/>
    <w:rsid w:val="00AB7BFD"/>
    <w:rsid w:val="00AC0855"/>
    <w:rsid w:val="00AC0CEE"/>
    <w:rsid w:val="00AC16C4"/>
    <w:rsid w:val="00AC1877"/>
    <w:rsid w:val="00AC3789"/>
    <w:rsid w:val="00AC3A10"/>
    <w:rsid w:val="00AC3B05"/>
    <w:rsid w:val="00AC3B64"/>
    <w:rsid w:val="00AC3B78"/>
    <w:rsid w:val="00AC4704"/>
    <w:rsid w:val="00AC4985"/>
    <w:rsid w:val="00AC5698"/>
    <w:rsid w:val="00AC56FB"/>
    <w:rsid w:val="00AC5B5F"/>
    <w:rsid w:val="00AC5C31"/>
    <w:rsid w:val="00AC5F0C"/>
    <w:rsid w:val="00AC7721"/>
    <w:rsid w:val="00AC7891"/>
    <w:rsid w:val="00AC7B74"/>
    <w:rsid w:val="00AD104D"/>
    <w:rsid w:val="00AD1527"/>
    <w:rsid w:val="00AD1AF1"/>
    <w:rsid w:val="00AD219C"/>
    <w:rsid w:val="00AD28C1"/>
    <w:rsid w:val="00AD2EBB"/>
    <w:rsid w:val="00AD2FD3"/>
    <w:rsid w:val="00AD342A"/>
    <w:rsid w:val="00AD3DFD"/>
    <w:rsid w:val="00AD4DF3"/>
    <w:rsid w:val="00AD4E69"/>
    <w:rsid w:val="00AD5031"/>
    <w:rsid w:val="00AD5110"/>
    <w:rsid w:val="00AD5D8D"/>
    <w:rsid w:val="00AD73AC"/>
    <w:rsid w:val="00AD7F03"/>
    <w:rsid w:val="00AE037D"/>
    <w:rsid w:val="00AE03E0"/>
    <w:rsid w:val="00AE0C54"/>
    <w:rsid w:val="00AE127E"/>
    <w:rsid w:val="00AE140A"/>
    <w:rsid w:val="00AE1565"/>
    <w:rsid w:val="00AE15C5"/>
    <w:rsid w:val="00AE1EC9"/>
    <w:rsid w:val="00AE278A"/>
    <w:rsid w:val="00AE2919"/>
    <w:rsid w:val="00AE31F4"/>
    <w:rsid w:val="00AE3300"/>
    <w:rsid w:val="00AE398C"/>
    <w:rsid w:val="00AE39A5"/>
    <w:rsid w:val="00AE3BAE"/>
    <w:rsid w:val="00AE3DED"/>
    <w:rsid w:val="00AE3F52"/>
    <w:rsid w:val="00AE55E2"/>
    <w:rsid w:val="00AE58CB"/>
    <w:rsid w:val="00AE6B90"/>
    <w:rsid w:val="00AE706B"/>
    <w:rsid w:val="00AE72E9"/>
    <w:rsid w:val="00AE77C0"/>
    <w:rsid w:val="00AE7ED5"/>
    <w:rsid w:val="00AF0876"/>
    <w:rsid w:val="00AF2092"/>
    <w:rsid w:val="00AF21C9"/>
    <w:rsid w:val="00AF2293"/>
    <w:rsid w:val="00AF26B3"/>
    <w:rsid w:val="00AF27B0"/>
    <w:rsid w:val="00AF2E09"/>
    <w:rsid w:val="00AF2F3E"/>
    <w:rsid w:val="00AF5692"/>
    <w:rsid w:val="00AF5724"/>
    <w:rsid w:val="00AF58E6"/>
    <w:rsid w:val="00AF5E97"/>
    <w:rsid w:val="00AF64E7"/>
    <w:rsid w:val="00AF65A0"/>
    <w:rsid w:val="00AF6D0A"/>
    <w:rsid w:val="00AF6E93"/>
    <w:rsid w:val="00AF6EEF"/>
    <w:rsid w:val="00AF7D87"/>
    <w:rsid w:val="00AF7DD1"/>
    <w:rsid w:val="00AF7F40"/>
    <w:rsid w:val="00B0012E"/>
    <w:rsid w:val="00B00D7F"/>
    <w:rsid w:val="00B01565"/>
    <w:rsid w:val="00B0280B"/>
    <w:rsid w:val="00B028FF"/>
    <w:rsid w:val="00B029F8"/>
    <w:rsid w:val="00B02B7E"/>
    <w:rsid w:val="00B03323"/>
    <w:rsid w:val="00B0359C"/>
    <w:rsid w:val="00B035FD"/>
    <w:rsid w:val="00B03B3A"/>
    <w:rsid w:val="00B03F6B"/>
    <w:rsid w:val="00B0519D"/>
    <w:rsid w:val="00B064D8"/>
    <w:rsid w:val="00B066A7"/>
    <w:rsid w:val="00B0756F"/>
    <w:rsid w:val="00B07790"/>
    <w:rsid w:val="00B07AFC"/>
    <w:rsid w:val="00B07EC9"/>
    <w:rsid w:val="00B100B3"/>
    <w:rsid w:val="00B10203"/>
    <w:rsid w:val="00B10CBA"/>
    <w:rsid w:val="00B11255"/>
    <w:rsid w:val="00B1141F"/>
    <w:rsid w:val="00B11D8C"/>
    <w:rsid w:val="00B128BC"/>
    <w:rsid w:val="00B12B18"/>
    <w:rsid w:val="00B12E50"/>
    <w:rsid w:val="00B1340F"/>
    <w:rsid w:val="00B13B74"/>
    <w:rsid w:val="00B140BB"/>
    <w:rsid w:val="00B14B1E"/>
    <w:rsid w:val="00B14C19"/>
    <w:rsid w:val="00B14CE5"/>
    <w:rsid w:val="00B151CD"/>
    <w:rsid w:val="00B1537F"/>
    <w:rsid w:val="00B161A3"/>
    <w:rsid w:val="00B16636"/>
    <w:rsid w:val="00B16A96"/>
    <w:rsid w:val="00B16F22"/>
    <w:rsid w:val="00B16FC1"/>
    <w:rsid w:val="00B17230"/>
    <w:rsid w:val="00B17559"/>
    <w:rsid w:val="00B17C75"/>
    <w:rsid w:val="00B20118"/>
    <w:rsid w:val="00B20D80"/>
    <w:rsid w:val="00B21CF7"/>
    <w:rsid w:val="00B21D5C"/>
    <w:rsid w:val="00B220D4"/>
    <w:rsid w:val="00B22721"/>
    <w:rsid w:val="00B2360A"/>
    <w:rsid w:val="00B24457"/>
    <w:rsid w:val="00B2606D"/>
    <w:rsid w:val="00B26235"/>
    <w:rsid w:val="00B26592"/>
    <w:rsid w:val="00B26CEF"/>
    <w:rsid w:val="00B26F61"/>
    <w:rsid w:val="00B27D67"/>
    <w:rsid w:val="00B27E8F"/>
    <w:rsid w:val="00B30540"/>
    <w:rsid w:val="00B312DB"/>
    <w:rsid w:val="00B3176F"/>
    <w:rsid w:val="00B3180C"/>
    <w:rsid w:val="00B31FE3"/>
    <w:rsid w:val="00B32171"/>
    <w:rsid w:val="00B32518"/>
    <w:rsid w:val="00B326D5"/>
    <w:rsid w:val="00B327BF"/>
    <w:rsid w:val="00B32B07"/>
    <w:rsid w:val="00B335CF"/>
    <w:rsid w:val="00B338FF"/>
    <w:rsid w:val="00B33E37"/>
    <w:rsid w:val="00B34C7F"/>
    <w:rsid w:val="00B356E0"/>
    <w:rsid w:val="00B356EC"/>
    <w:rsid w:val="00B35A16"/>
    <w:rsid w:val="00B36420"/>
    <w:rsid w:val="00B36656"/>
    <w:rsid w:val="00B3682D"/>
    <w:rsid w:val="00B368EE"/>
    <w:rsid w:val="00B36C99"/>
    <w:rsid w:val="00B36EE6"/>
    <w:rsid w:val="00B373B4"/>
    <w:rsid w:val="00B374F6"/>
    <w:rsid w:val="00B37BA1"/>
    <w:rsid w:val="00B37D39"/>
    <w:rsid w:val="00B37ED6"/>
    <w:rsid w:val="00B40289"/>
    <w:rsid w:val="00B40D5F"/>
    <w:rsid w:val="00B40DB9"/>
    <w:rsid w:val="00B410F3"/>
    <w:rsid w:val="00B41183"/>
    <w:rsid w:val="00B41191"/>
    <w:rsid w:val="00B414C4"/>
    <w:rsid w:val="00B41524"/>
    <w:rsid w:val="00B4167C"/>
    <w:rsid w:val="00B41CF7"/>
    <w:rsid w:val="00B41DAC"/>
    <w:rsid w:val="00B4285C"/>
    <w:rsid w:val="00B42A03"/>
    <w:rsid w:val="00B43BF3"/>
    <w:rsid w:val="00B43D68"/>
    <w:rsid w:val="00B43F7F"/>
    <w:rsid w:val="00B43FA5"/>
    <w:rsid w:val="00B44AF3"/>
    <w:rsid w:val="00B45C12"/>
    <w:rsid w:val="00B461A8"/>
    <w:rsid w:val="00B46391"/>
    <w:rsid w:val="00B46DDA"/>
    <w:rsid w:val="00B470F7"/>
    <w:rsid w:val="00B4732C"/>
    <w:rsid w:val="00B4756E"/>
    <w:rsid w:val="00B4799D"/>
    <w:rsid w:val="00B47A8B"/>
    <w:rsid w:val="00B505F8"/>
    <w:rsid w:val="00B508FC"/>
    <w:rsid w:val="00B50C0A"/>
    <w:rsid w:val="00B514CD"/>
    <w:rsid w:val="00B51DAA"/>
    <w:rsid w:val="00B53052"/>
    <w:rsid w:val="00B53774"/>
    <w:rsid w:val="00B53D3F"/>
    <w:rsid w:val="00B543A4"/>
    <w:rsid w:val="00B54495"/>
    <w:rsid w:val="00B54608"/>
    <w:rsid w:val="00B5466C"/>
    <w:rsid w:val="00B54B86"/>
    <w:rsid w:val="00B55399"/>
    <w:rsid w:val="00B55A09"/>
    <w:rsid w:val="00B55CD9"/>
    <w:rsid w:val="00B5606D"/>
    <w:rsid w:val="00B56345"/>
    <w:rsid w:val="00B5672F"/>
    <w:rsid w:val="00B5676F"/>
    <w:rsid w:val="00B577F8"/>
    <w:rsid w:val="00B60C25"/>
    <w:rsid w:val="00B612D2"/>
    <w:rsid w:val="00B616BA"/>
    <w:rsid w:val="00B61E66"/>
    <w:rsid w:val="00B61EF0"/>
    <w:rsid w:val="00B623AE"/>
    <w:rsid w:val="00B625D9"/>
    <w:rsid w:val="00B6327B"/>
    <w:rsid w:val="00B632E0"/>
    <w:rsid w:val="00B6424B"/>
    <w:rsid w:val="00B64381"/>
    <w:rsid w:val="00B64F10"/>
    <w:rsid w:val="00B65944"/>
    <w:rsid w:val="00B65E17"/>
    <w:rsid w:val="00B65E9D"/>
    <w:rsid w:val="00B66759"/>
    <w:rsid w:val="00B66C57"/>
    <w:rsid w:val="00B673B2"/>
    <w:rsid w:val="00B67C9A"/>
    <w:rsid w:val="00B67CE2"/>
    <w:rsid w:val="00B7019E"/>
    <w:rsid w:val="00B70E0B"/>
    <w:rsid w:val="00B7112A"/>
    <w:rsid w:val="00B717D5"/>
    <w:rsid w:val="00B71B3F"/>
    <w:rsid w:val="00B71F45"/>
    <w:rsid w:val="00B71F5A"/>
    <w:rsid w:val="00B73194"/>
    <w:rsid w:val="00B73AD3"/>
    <w:rsid w:val="00B746DB"/>
    <w:rsid w:val="00B74C6A"/>
    <w:rsid w:val="00B7566F"/>
    <w:rsid w:val="00B7571C"/>
    <w:rsid w:val="00B75AAA"/>
    <w:rsid w:val="00B76213"/>
    <w:rsid w:val="00B77060"/>
    <w:rsid w:val="00B7713B"/>
    <w:rsid w:val="00B775CA"/>
    <w:rsid w:val="00B802E8"/>
    <w:rsid w:val="00B80809"/>
    <w:rsid w:val="00B80A2B"/>
    <w:rsid w:val="00B80A93"/>
    <w:rsid w:val="00B81471"/>
    <w:rsid w:val="00B81D5C"/>
    <w:rsid w:val="00B82CD3"/>
    <w:rsid w:val="00B835BC"/>
    <w:rsid w:val="00B83746"/>
    <w:rsid w:val="00B83A6B"/>
    <w:rsid w:val="00B84E31"/>
    <w:rsid w:val="00B856B8"/>
    <w:rsid w:val="00B85B41"/>
    <w:rsid w:val="00B867BD"/>
    <w:rsid w:val="00B86941"/>
    <w:rsid w:val="00B86DAF"/>
    <w:rsid w:val="00B87B29"/>
    <w:rsid w:val="00B87BD5"/>
    <w:rsid w:val="00B87CE5"/>
    <w:rsid w:val="00B87E13"/>
    <w:rsid w:val="00B87E82"/>
    <w:rsid w:val="00B87F04"/>
    <w:rsid w:val="00B90F65"/>
    <w:rsid w:val="00B911A5"/>
    <w:rsid w:val="00B9176D"/>
    <w:rsid w:val="00B9203C"/>
    <w:rsid w:val="00B924E2"/>
    <w:rsid w:val="00B92875"/>
    <w:rsid w:val="00B92EA2"/>
    <w:rsid w:val="00B93172"/>
    <w:rsid w:val="00B9389D"/>
    <w:rsid w:val="00B93B49"/>
    <w:rsid w:val="00B93C96"/>
    <w:rsid w:val="00B94887"/>
    <w:rsid w:val="00B94B55"/>
    <w:rsid w:val="00B95706"/>
    <w:rsid w:val="00B95C7A"/>
    <w:rsid w:val="00B96CD1"/>
    <w:rsid w:val="00B96E0C"/>
    <w:rsid w:val="00B9745E"/>
    <w:rsid w:val="00B978EB"/>
    <w:rsid w:val="00B979C9"/>
    <w:rsid w:val="00BA03C5"/>
    <w:rsid w:val="00BA0CC5"/>
    <w:rsid w:val="00BA0CC7"/>
    <w:rsid w:val="00BA10A3"/>
    <w:rsid w:val="00BA1434"/>
    <w:rsid w:val="00BA17C2"/>
    <w:rsid w:val="00BA2734"/>
    <w:rsid w:val="00BA2BB3"/>
    <w:rsid w:val="00BA2E84"/>
    <w:rsid w:val="00BA2EB5"/>
    <w:rsid w:val="00BA2F6B"/>
    <w:rsid w:val="00BA309F"/>
    <w:rsid w:val="00BA30D7"/>
    <w:rsid w:val="00BA3DCF"/>
    <w:rsid w:val="00BA4608"/>
    <w:rsid w:val="00BA592B"/>
    <w:rsid w:val="00BA59C6"/>
    <w:rsid w:val="00BA5D42"/>
    <w:rsid w:val="00BA5D7D"/>
    <w:rsid w:val="00BA716F"/>
    <w:rsid w:val="00BA767D"/>
    <w:rsid w:val="00BB0481"/>
    <w:rsid w:val="00BB04B7"/>
    <w:rsid w:val="00BB06F3"/>
    <w:rsid w:val="00BB07EE"/>
    <w:rsid w:val="00BB0C18"/>
    <w:rsid w:val="00BB0D45"/>
    <w:rsid w:val="00BB1940"/>
    <w:rsid w:val="00BB1BB9"/>
    <w:rsid w:val="00BB298E"/>
    <w:rsid w:val="00BB2C0E"/>
    <w:rsid w:val="00BB2C64"/>
    <w:rsid w:val="00BB2CDD"/>
    <w:rsid w:val="00BB2D28"/>
    <w:rsid w:val="00BB4426"/>
    <w:rsid w:val="00BB4F99"/>
    <w:rsid w:val="00BB5047"/>
    <w:rsid w:val="00BB543F"/>
    <w:rsid w:val="00BB5B22"/>
    <w:rsid w:val="00BB5CA9"/>
    <w:rsid w:val="00BB66DA"/>
    <w:rsid w:val="00BB6AA6"/>
    <w:rsid w:val="00BB6AE0"/>
    <w:rsid w:val="00BB76F4"/>
    <w:rsid w:val="00BB7E35"/>
    <w:rsid w:val="00BC04CA"/>
    <w:rsid w:val="00BC074F"/>
    <w:rsid w:val="00BC08FE"/>
    <w:rsid w:val="00BC131E"/>
    <w:rsid w:val="00BC155D"/>
    <w:rsid w:val="00BC163E"/>
    <w:rsid w:val="00BC1C4A"/>
    <w:rsid w:val="00BC1DC9"/>
    <w:rsid w:val="00BC1E21"/>
    <w:rsid w:val="00BC2EC9"/>
    <w:rsid w:val="00BC3C1E"/>
    <w:rsid w:val="00BC4235"/>
    <w:rsid w:val="00BC4F19"/>
    <w:rsid w:val="00BC50F2"/>
    <w:rsid w:val="00BC5835"/>
    <w:rsid w:val="00BC678C"/>
    <w:rsid w:val="00BC6E86"/>
    <w:rsid w:val="00BC775E"/>
    <w:rsid w:val="00BD04C4"/>
    <w:rsid w:val="00BD04CC"/>
    <w:rsid w:val="00BD07C0"/>
    <w:rsid w:val="00BD09F9"/>
    <w:rsid w:val="00BD0FE8"/>
    <w:rsid w:val="00BD16BE"/>
    <w:rsid w:val="00BD17D3"/>
    <w:rsid w:val="00BD19D1"/>
    <w:rsid w:val="00BD23C7"/>
    <w:rsid w:val="00BD3089"/>
    <w:rsid w:val="00BD378C"/>
    <w:rsid w:val="00BD3B0F"/>
    <w:rsid w:val="00BD3FF2"/>
    <w:rsid w:val="00BD46C2"/>
    <w:rsid w:val="00BD4BA3"/>
    <w:rsid w:val="00BD4CDA"/>
    <w:rsid w:val="00BD4D0C"/>
    <w:rsid w:val="00BD50CB"/>
    <w:rsid w:val="00BD52F7"/>
    <w:rsid w:val="00BD546B"/>
    <w:rsid w:val="00BD637E"/>
    <w:rsid w:val="00BD6CB8"/>
    <w:rsid w:val="00BD7157"/>
    <w:rsid w:val="00BD72A8"/>
    <w:rsid w:val="00BD7FF3"/>
    <w:rsid w:val="00BE0757"/>
    <w:rsid w:val="00BE0837"/>
    <w:rsid w:val="00BE0BB0"/>
    <w:rsid w:val="00BE0BCA"/>
    <w:rsid w:val="00BE0D79"/>
    <w:rsid w:val="00BE1B4C"/>
    <w:rsid w:val="00BE1FE8"/>
    <w:rsid w:val="00BE23D2"/>
    <w:rsid w:val="00BE2893"/>
    <w:rsid w:val="00BE3A70"/>
    <w:rsid w:val="00BE421E"/>
    <w:rsid w:val="00BE42C4"/>
    <w:rsid w:val="00BE447B"/>
    <w:rsid w:val="00BE46A0"/>
    <w:rsid w:val="00BE4D9D"/>
    <w:rsid w:val="00BE50F1"/>
    <w:rsid w:val="00BE5435"/>
    <w:rsid w:val="00BE54AD"/>
    <w:rsid w:val="00BE5B0C"/>
    <w:rsid w:val="00BE6078"/>
    <w:rsid w:val="00BE614B"/>
    <w:rsid w:val="00BE6A85"/>
    <w:rsid w:val="00BE6DFD"/>
    <w:rsid w:val="00BE7009"/>
    <w:rsid w:val="00BE70EE"/>
    <w:rsid w:val="00BF0040"/>
    <w:rsid w:val="00BF0D14"/>
    <w:rsid w:val="00BF1014"/>
    <w:rsid w:val="00BF1C5E"/>
    <w:rsid w:val="00BF2085"/>
    <w:rsid w:val="00BF2B1A"/>
    <w:rsid w:val="00BF385E"/>
    <w:rsid w:val="00BF3CC5"/>
    <w:rsid w:val="00BF42E3"/>
    <w:rsid w:val="00BF4340"/>
    <w:rsid w:val="00BF4381"/>
    <w:rsid w:val="00BF4747"/>
    <w:rsid w:val="00BF4B07"/>
    <w:rsid w:val="00BF4BA6"/>
    <w:rsid w:val="00BF500A"/>
    <w:rsid w:val="00BF5170"/>
    <w:rsid w:val="00BF627C"/>
    <w:rsid w:val="00BF6794"/>
    <w:rsid w:val="00BF6C7F"/>
    <w:rsid w:val="00BF76A6"/>
    <w:rsid w:val="00BF79B0"/>
    <w:rsid w:val="00C0004E"/>
    <w:rsid w:val="00C00834"/>
    <w:rsid w:val="00C00B92"/>
    <w:rsid w:val="00C01068"/>
    <w:rsid w:val="00C0110C"/>
    <w:rsid w:val="00C01B9D"/>
    <w:rsid w:val="00C02995"/>
    <w:rsid w:val="00C034BF"/>
    <w:rsid w:val="00C03CCD"/>
    <w:rsid w:val="00C047CF"/>
    <w:rsid w:val="00C050DF"/>
    <w:rsid w:val="00C05977"/>
    <w:rsid w:val="00C05BC6"/>
    <w:rsid w:val="00C05D48"/>
    <w:rsid w:val="00C05F82"/>
    <w:rsid w:val="00C0606B"/>
    <w:rsid w:val="00C061DC"/>
    <w:rsid w:val="00C06266"/>
    <w:rsid w:val="00C0647E"/>
    <w:rsid w:val="00C06D9E"/>
    <w:rsid w:val="00C074B4"/>
    <w:rsid w:val="00C07953"/>
    <w:rsid w:val="00C1032B"/>
    <w:rsid w:val="00C106C7"/>
    <w:rsid w:val="00C10AE8"/>
    <w:rsid w:val="00C10F2A"/>
    <w:rsid w:val="00C1165B"/>
    <w:rsid w:val="00C119C4"/>
    <w:rsid w:val="00C13007"/>
    <w:rsid w:val="00C130B3"/>
    <w:rsid w:val="00C133DE"/>
    <w:rsid w:val="00C13C57"/>
    <w:rsid w:val="00C13FCD"/>
    <w:rsid w:val="00C14441"/>
    <w:rsid w:val="00C1457D"/>
    <w:rsid w:val="00C15672"/>
    <w:rsid w:val="00C15FAB"/>
    <w:rsid w:val="00C16315"/>
    <w:rsid w:val="00C16716"/>
    <w:rsid w:val="00C16D4A"/>
    <w:rsid w:val="00C177FE"/>
    <w:rsid w:val="00C17A09"/>
    <w:rsid w:val="00C17AA2"/>
    <w:rsid w:val="00C203A1"/>
    <w:rsid w:val="00C204BC"/>
    <w:rsid w:val="00C2054F"/>
    <w:rsid w:val="00C20A7A"/>
    <w:rsid w:val="00C20A82"/>
    <w:rsid w:val="00C21ED5"/>
    <w:rsid w:val="00C220BD"/>
    <w:rsid w:val="00C22B05"/>
    <w:rsid w:val="00C22D68"/>
    <w:rsid w:val="00C22DD0"/>
    <w:rsid w:val="00C22E8A"/>
    <w:rsid w:val="00C2332D"/>
    <w:rsid w:val="00C244BE"/>
    <w:rsid w:val="00C260FC"/>
    <w:rsid w:val="00C2643E"/>
    <w:rsid w:val="00C264A9"/>
    <w:rsid w:val="00C2690E"/>
    <w:rsid w:val="00C26B85"/>
    <w:rsid w:val="00C2743D"/>
    <w:rsid w:val="00C27AA2"/>
    <w:rsid w:val="00C27CA4"/>
    <w:rsid w:val="00C300F4"/>
    <w:rsid w:val="00C309A0"/>
    <w:rsid w:val="00C313EA"/>
    <w:rsid w:val="00C31C70"/>
    <w:rsid w:val="00C31E03"/>
    <w:rsid w:val="00C32587"/>
    <w:rsid w:val="00C32A69"/>
    <w:rsid w:val="00C3330D"/>
    <w:rsid w:val="00C333FB"/>
    <w:rsid w:val="00C334E9"/>
    <w:rsid w:val="00C3368B"/>
    <w:rsid w:val="00C3443B"/>
    <w:rsid w:val="00C344DD"/>
    <w:rsid w:val="00C34A46"/>
    <w:rsid w:val="00C34B60"/>
    <w:rsid w:val="00C35300"/>
    <w:rsid w:val="00C3676E"/>
    <w:rsid w:val="00C36E60"/>
    <w:rsid w:val="00C3770A"/>
    <w:rsid w:val="00C37AE8"/>
    <w:rsid w:val="00C37F91"/>
    <w:rsid w:val="00C403A4"/>
    <w:rsid w:val="00C40B7C"/>
    <w:rsid w:val="00C40FAB"/>
    <w:rsid w:val="00C412C8"/>
    <w:rsid w:val="00C41473"/>
    <w:rsid w:val="00C414FB"/>
    <w:rsid w:val="00C41567"/>
    <w:rsid w:val="00C4164E"/>
    <w:rsid w:val="00C416A1"/>
    <w:rsid w:val="00C42146"/>
    <w:rsid w:val="00C421DD"/>
    <w:rsid w:val="00C42351"/>
    <w:rsid w:val="00C42601"/>
    <w:rsid w:val="00C42CE5"/>
    <w:rsid w:val="00C42E90"/>
    <w:rsid w:val="00C43753"/>
    <w:rsid w:val="00C43763"/>
    <w:rsid w:val="00C44617"/>
    <w:rsid w:val="00C44A2B"/>
    <w:rsid w:val="00C44D7A"/>
    <w:rsid w:val="00C45022"/>
    <w:rsid w:val="00C4548D"/>
    <w:rsid w:val="00C455B0"/>
    <w:rsid w:val="00C4565D"/>
    <w:rsid w:val="00C459A2"/>
    <w:rsid w:val="00C45A24"/>
    <w:rsid w:val="00C45AE5"/>
    <w:rsid w:val="00C45E0C"/>
    <w:rsid w:val="00C45E17"/>
    <w:rsid w:val="00C46571"/>
    <w:rsid w:val="00C46683"/>
    <w:rsid w:val="00C46C10"/>
    <w:rsid w:val="00C46DBE"/>
    <w:rsid w:val="00C46F79"/>
    <w:rsid w:val="00C47225"/>
    <w:rsid w:val="00C47419"/>
    <w:rsid w:val="00C47B88"/>
    <w:rsid w:val="00C47E0B"/>
    <w:rsid w:val="00C5006F"/>
    <w:rsid w:val="00C50201"/>
    <w:rsid w:val="00C5042B"/>
    <w:rsid w:val="00C5068E"/>
    <w:rsid w:val="00C506AA"/>
    <w:rsid w:val="00C506B5"/>
    <w:rsid w:val="00C50FCF"/>
    <w:rsid w:val="00C51AD7"/>
    <w:rsid w:val="00C51BB4"/>
    <w:rsid w:val="00C51DD6"/>
    <w:rsid w:val="00C52176"/>
    <w:rsid w:val="00C5279F"/>
    <w:rsid w:val="00C52833"/>
    <w:rsid w:val="00C5299A"/>
    <w:rsid w:val="00C52A60"/>
    <w:rsid w:val="00C52D5D"/>
    <w:rsid w:val="00C52DB6"/>
    <w:rsid w:val="00C5383E"/>
    <w:rsid w:val="00C53E5D"/>
    <w:rsid w:val="00C540A3"/>
    <w:rsid w:val="00C546E0"/>
    <w:rsid w:val="00C5484B"/>
    <w:rsid w:val="00C5587B"/>
    <w:rsid w:val="00C56133"/>
    <w:rsid w:val="00C56D6E"/>
    <w:rsid w:val="00C5708B"/>
    <w:rsid w:val="00C5778F"/>
    <w:rsid w:val="00C5787E"/>
    <w:rsid w:val="00C6033F"/>
    <w:rsid w:val="00C60CD5"/>
    <w:rsid w:val="00C6147F"/>
    <w:rsid w:val="00C616C2"/>
    <w:rsid w:val="00C61913"/>
    <w:rsid w:val="00C61FA7"/>
    <w:rsid w:val="00C623FC"/>
    <w:rsid w:val="00C62EBC"/>
    <w:rsid w:val="00C63129"/>
    <w:rsid w:val="00C637A9"/>
    <w:rsid w:val="00C6408E"/>
    <w:rsid w:val="00C640F7"/>
    <w:rsid w:val="00C64224"/>
    <w:rsid w:val="00C64440"/>
    <w:rsid w:val="00C64A1A"/>
    <w:rsid w:val="00C64FFE"/>
    <w:rsid w:val="00C65302"/>
    <w:rsid w:val="00C6595A"/>
    <w:rsid w:val="00C65DAA"/>
    <w:rsid w:val="00C65ED4"/>
    <w:rsid w:val="00C66196"/>
    <w:rsid w:val="00C66288"/>
    <w:rsid w:val="00C662D3"/>
    <w:rsid w:val="00C66374"/>
    <w:rsid w:val="00C66E9F"/>
    <w:rsid w:val="00C678CC"/>
    <w:rsid w:val="00C67DD4"/>
    <w:rsid w:val="00C67DEC"/>
    <w:rsid w:val="00C67FF0"/>
    <w:rsid w:val="00C70669"/>
    <w:rsid w:val="00C7068B"/>
    <w:rsid w:val="00C71114"/>
    <w:rsid w:val="00C71652"/>
    <w:rsid w:val="00C71A39"/>
    <w:rsid w:val="00C71F2F"/>
    <w:rsid w:val="00C71F88"/>
    <w:rsid w:val="00C7239A"/>
    <w:rsid w:val="00C72BAC"/>
    <w:rsid w:val="00C72C03"/>
    <w:rsid w:val="00C741E7"/>
    <w:rsid w:val="00C74543"/>
    <w:rsid w:val="00C74A16"/>
    <w:rsid w:val="00C75810"/>
    <w:rsid w:val="00C75B1F"/>
    <w:rsid w:val="00C75C12"/>
    <w:rsid w:val="00C75F3D"/>
    <w:rsid w:val="00C767BA"/>
    <w:rsid w:val="00C769F6"/>
    <w:rsid w:val="00C76E36"/>
    <w:rsid w:val="00C77727"/>
    <w:rsid w:val="00C77D15"/>
    <w:rsid w:val="00C801F7"/>
    <w:rsid w:val="00C80641"/>
    <w:rsid w:val="00C80A70"/>
    <w:rsid w:val="00C810A4"/>
    <w:rsid w:val="00C811EA"/>
    <w:rsid w:val="00C8129D"/>
    <w:rsid w:val="00C81756"/>
    <w:rsid w:val="00C8196A"/>
    <w:rsid w:val="00C819AB"/>
    <w:rsid w:val="00C819ED"/>
    <w:rsid w:val="00C81E7D"/>
    <w:rsid w:val="00C82623"/>
    <w:rsid w:val="00C8289C"/>
    <w:rsid w:val="00C82A6E"/>
    <w:rsid w:val="00C840C3"/>
    <w:rsid w:val="00C8489F"/>
    <w:rsid w:val="00C84B1D"/>
    <w:rsid w:val="00C85066"/>
    <w:rsid w:val="00C85844"/>
    <w:rsid w:val="00C858C0"/>
    <w:rsid w:val="00C85B2D"/>
    <w:rsid w:val="00C86895"/>
    <w:rsid w:val="00C86E22"/>
    <w:rsid w:val="00C87C74"/>
    <w:rsid w:val="00C9007C"/>
    <w:rsid w:val="00C905C7"/>
    <w:rsid w:val="00C909F8"/>
    <w:rsid w:val="00C90A6B"/>
    <w:rsid w:val="00C90FAD"/>
    <w:rsid w:val="00C91EFA"/>
    <w:rsid w:val="00C92216"/>
    <w:rsid w:val="00C922C8"/>
    <w:rsid w:val="00C92590"/>
    <w:rsid w:val="00C92C02"/>
    <w:rsid w:val="00C933F0"/>
    <w:rsid w:val="00C938A8"/>
    <w:rsid w:val="00C94047"/>
    <w:rsid w:val="00C942BC"/>
    <w:rsid w:val="00C942D4"/>
    <w:rsid w:val="00C94F26"/>
    <w:rsid w:val="00C95A0C"/>
    <w:rsid w:val="00C96B8B"/>
    <w:rsid w:val="00C96D34"/>
    <w:rsid w:val="00C96F55"/>
    <w:rsid w:val="00C9756F"/>
    <w:rsid w:val="00CA0BDA"/>
    <w:rsid w:val="00CA0EF5"/>
    <w:rsid w:val="00CA114F"/>
    <w:rsid w:val="00CA127A"/>
    <w:rsid w:val="00CA1710"/>
    <w:rsid w:val="00CA211F"/>
    <w:rsid w:val="00CA2377"/>
    <w:rsid w:val="00CA23E2"/>
    <w:rsid w:val="00CA24BF"/>
    <w:rsid w:val="00CA29FC"/>
    <w:rsid w:val="00CA2C78"/>
    <w:rsid w:val="00CA2EDB"/>
    <w:rsid w:val="00CA3422"/>
    <w:rsid w:val="00CA446B"/>
    <w:rsid w:val="00CA4669"/>
    <w:rsid w:val="00CA4A52"/>
    <w:rsid w:val="00CA4A6A"/>
    <w:rsid w:val="00CA50A3"/>
    <w:rsid w:val="00CA5217"/>
    <w:rsid w:val="00CA52BA"/>
    <w:rsid w:val="00CA63DE"/>
    <w:rsid w:val="00CA7019"/>
    <w:rsid w:val="00CA7212"/>
    <w:rsid w:val="00CA73F1"/>
    <w:rsid w:val="00CA74D5"/>
    <w:rsid w:val="00CB0455"/>
    <w:rsid w:val="00CB099A"/>
    <w:rsid w:val="00CB0AB5"/>
    <w:rsid w:val="00CB11DA"/>
    <w:rsid w:val="00CB1754"/>
    <w:rsid w:val="00CB1C2E"/>
    <w:rsid w:val="00CB2040"/>
    <w:rsid w:val="00CB22CC"/>
    <w:rsid w:val="00CB28E6"/>
    <w:rsid w:val="00CB2C0F"/>
    <w:rsid w:val="00CB2C20"/>
    <w:rsid w:val="00CB345F"/>
    <w:rsid w:val="00CB357C"/>
    <w:rsid w:val="00CB36FD"/>
    <w:rsid w:val="00CB4511"/>
    <w:rsid w:val="00CB4D2B"/>
    <w:rsid w:val="00CB4F11"/>
    <w:rsid w:val="00CB5478"/>
    <w:rsid w:val="00CB5A5F"/>
    <w:rsid w:val="00CB5C49"/>
    <w:rsid w:val="00CB6934"/>
    <w:rsid w:val="00CB6E07"/>
    <w:rsid w:val="00CB7DEB"/>
    <w:rsid w:val="00CB7E02"/>
    <w:rsid w:val="00CC0590"/>
    <w:rsid w:val="00CC07B7"/>
    <w:rsid w:val="00CC124F"/>
    <w:rsid w:val="00CC2FC2"/>
    <w:rsid w:val="00CC30D0"/>
    <w:rsid w:val="00CC318D"/>
    <w:rsid w:val="00CC3A69"/>
    <w:rsid w:val="00CC3DC8"/>
    <w:rsid w:val="00CC4203"/>
    <w:rsid w:val="00CC453D"/>
    <w:rsid w:val="00CC5B48"/>
    <w:rsid w:val="00CC5C8B"/>
    <w:rsid w:val="00CC642A"/>
    <w:rsid w:val="00CC6470"/>
    <w:rsid w:val="00CC6A1F"/>
    <w:rsid w:val="00CC7159"/>
    <w:rsid w:val="00CC7501"/>
    <w:rsid w:val="00CD0A0E"/>
    <w:rsid w:val="00CD0AAE"/>
    <w:rsid w:val="00CD1789"/>
    <w:rsid w:val="00CD1B22"/>
    <w:rsid w:val="00CD1C42"/>
    <w:rsid w:val="00CD1E42"/>
    <w:rsid w:val="00CD1F0A"/>
    <w:rsid w:val="00CD233B"/>
    <w:rsid w:val="00CD2FBD"/>
    <w:rsid w:val="00CD3529"/>
    <w:rsid w:val="00CD35C2"/>
    <w:rsid w:val="00CD3D7C"/>
    <w:rsid w:val="00CD41BE"/>
    <w:rsid w:val="00CD42C7"/>
    <w:rsid w:val="00CD4D06"/>
    <w:rsid w:val="00CD5498"/>
    <w:rsid w:val="00CD611F"/>
    <w:rsid w:val="00CD6FB7"/>
    <w:rsid w:val="00CD7D8B"/>
    <w:rsid w:val="00CE062C"/>
    <w:rsid w:val="00CE0F6E"/>
    <w:rsid w:val="00CE11BB"/>
    <w:rsid w:val="00CE222B"/>
    <w:rsid w:val="00CE280D"/>
    <w:rsid w:val="00CE3AC6"/>
    <w:rsid w:val="00CE3F3C"/>
    <w:rsid w:val="00CE4211"/>
    <w:rsid w:val="00CE501C"/>
    <w:rsid w:val="00CE50E6"/>
    <w:rsid w:val="00CE5379"/>
    <w:rsid w:val="00CE5525"/>
    <w:rsid w:val="00CE572F"/>
    <w:rsid w:val="00CE5C33"/>
    <w:rsid w:val="00CE6256"/>
    <w:rsid w:val="00CE72B0"/>
    <w:rsid w:val="00CE73FA"/>
    <w:rsid w:val="00CE7748"/>
    <w:rsid w:val="00CE7B85"/>
    <w:rsid w:val="00CE7ED4"/>
    <w:rsid w:val="00CE7FE0"/>
    <w:rsid w:val="00CF02A4"/>
    <w:rsid w:val="00CF0DF2"/>
    <w:rsid w:val="00CF15FD"/>
    <w:rsid w:val="00CF1A58"/>
    <w:rsid w:val="00CF1BEC"/>
    <w:rsid w:val="00CF2D95"/>
    <w:rsid w:val="00CF3697"/>
    <w:rsid w:val="00CF3BCA"/>
    <w:rsid w:val="00CF407E"/>
    <w:rsid w:val="00CF40C9"/>
    <w:rsid w:val="00CF43EB"/>
    <w:rsid w:val="00CF5A04"/>
    <w:rsid w:val="00CF5C26"/>
    <w:rsid w:val="00CF63AF"/>
    <w:rsid w:val="00CF6583"/>
    <w:rsid w:val="00CF7260"/>
    <w:rsid w:val="00CF7B54"/>
    <w:rsid w:val="00CF7E6B"/>
    <w:rsid w:val="00D000E4"/>
    <w:rsid w:val="00D0017E"/>
    <w:rsid w:val="00D007B1"/>
    <w:rsid w:val="00D00F30"/>
    <w:rsid w:val="00D00F4B"/>
    <w:rsid w:val="00D0107D"/>
    <w:rsid w:val="00D022C2"/>
    <w:rsid w:val="00D02D64"/>
    <w:rsid w:val="00D02EBA"/>
    <w:rsid w:val="00D02ED8"/>
    <w:rsid w:val="00D033B1"/>
    <w:rsid w:val="00D03628"/>
    <w:rsid w:val="00D04A06"/>
    <w:rsid w:val="00D04AAF"/>
    <w:rsid w:val="00D04BF8"/>
    <w:rsid w:val="00D06FD1"/>
    <w:rsid w:val="00D0721C"/>
    <w:rsid w:val="00D0727C"/>
    <w:rsid w:val="00D073DD"/>
    <w:rsid w:val="00D0789F"/>
    <w:rsid w:val="00D07CCC"/>
    <w:rsid w:val="00D07FBA"/>
    <w:rsid w:val="00D10423"/>
    <w:rsid w:val="00D10437"/>
    <w:rsid w:val="00D10DA6"/>
    <w:rsid w:val="00D11001"/>
    <w:rsid w:val="00D123E0"/>
    <w:rsid w:val="00D13204"/>
    <w:rsid w:val="00D1359D"/>
    <w:rsid w:val="00D13C01"/>
    <w:rsid w:val="00D1451F"/>
    <w:rsid w:val="00D14796"/>
    <w:rsid w:val="00D149D4"/>
    <w:rsid w:val="00D15027"/>
    <w:rsid w:val="00D15400"/>
    <w:rsid w:val="00D15CED"/>
    <w:rsid w:val="00D16004"/>
    <w:rsid w:val="00D1608A"/>
    <w:rsid w:val="00D164F7"/>
    <w:rsid w:val="00D165FA"/>
    <w:rsid w:val="00D16AD7"/>
    <w:rsid w:val="00D174FD"/>
    <w:rsid w:val="00D1758A"/>
    <w:rsid w:val="00D201C0"/>
    <w:rsid w:val="00D20500"/>
    <w:rsid w:val="00D208EB"/>
    <w:rsid w:val="00D20D89"/>
    <w:rsid w:val="00D21089"/>
    <w:rsid w:val="00D21172"/>
    <w:rsid w:val="00D21229"/>
    <w:rsid w:val="00D2123D"/>
    <w:rsid w:val="00D213AF"/>
    <w:rsid w:val="00D217A3"/>
    <w:rsid w:val="00D217F7"/>
    <w:rsid w:val="00D21817"/>
    <w:rsid w:val="00D21B64"/>
    <w:rsid w:val="00D21E5F"/>
    <w:rsid w:val="00D21EDA"/>
    <w:rsid w:val="00D2226B"/>
    <w:rsid w:val="00D22808"/>
    <w:rsid w:val="00D23076"/>
    <w:rsid w:val="00D23E0E"/>
    <w:rsid w:val="00D2419F"/>
    <w:rsid w:val="00D24604"/>
    <w:rsid w:val="00D2474E"/>
    <w:rsid w:val="00D24CB7"/>
    <w:rsid w:val="00D25057"/>
    <w:rsid w:val="00D25395"/>
    <w:rsid w:val="00D2631F"/>
    <w:rsid w:val="00D26592"/>
    <w:rsid w:val="00D26658"/>
    <w:rsid w:val="00D267E0"/>
    <w:rsid w:val="00D26B6E"/>
    <w:rsid w:val="00D271E3"/>
    <w:rsid w:val="00D27537"/>
    <w:rsid w:val="00D27985"/>
    <w:rsid w:val="00D27A55"/>
    <w:rsid w:val="00D27DA1"/>
    <w:rsid w:val="00D301F2"/>
    <w:rsid w:val="00D304E8"/>
    <w:rsid w:val="00D3140A"/>
    <w:rsid w:val="00D319CC"/>
    <w:rsid w:val="00D321FD"/>
    <w:rsid w:val="00D325C1"/>
    <w:rsid w:val="00D32820"/>
    <w:rsid w:val="00D335EF"/>
    <w:rsid w:val="00D33D1F"/>
    <w:rsid w:val="00D33F13"/>
    <w:rsid w:val="00D344AA"/>
    <w:rsid w:val="00D34878"/>
    <w:rsid w:val="00D34AD4"/>
    <w:rsid w:val="00D34CDD"/>
    <w:rsid w:val="00D3565D"/>
    <w:rsid w:val="00D3570F"/>
    <w:rsid w:val="00D36E4D"/>
    <w:rsid w:val="00D37A00"/>
    <w:rsid w:val="00D37D89"/>
    <w:rsid w:val="00D4052F"/>
    <w:rsid w:val="00D4092C"/>
    <w:rsid w:val="00D40AB2"/>
    <w:rsid w:val="00D417BC"/>
    <w:rsid w:val="00D419FF"/>
    <w:rsid w:val="00D41D8E"/>
    <w:rsid w:val="00D42E3C"/>
    <w:rsid w:val="00D42E54"/>
    <w:rsid w:val="00D42EAC"/>
    <w:rsid w:val="00D443D0"/>
    <w:rsid w:val="00D4499A"/>
    <w:rsid w:val="00D44B7D"/>
    <w:rsid w:val="00D44C41"/>
    <w:rsid w:val="00D44D26"/>
    <w:rsid w:val="00D44FC0"/>
    <w:rsid w:val="00D4550B"/>
    <w:rsid w:val="00D459E8"/>
    <w:rsid w:val="00D45DB2"/>
    <w:rsid w:val="00D46AD4"/>
    <w:rsid w:val="00D46E6F"/>
    <w:rsid w:val="00D474FB"/>
    <w:rsid w:val="00D47B3C"/>
    <w:rsid w:val="00D47D1C"/>
    <w:rsid w:val="00D5043E"/>
    <w:rsid w:val="00D50A6D"/>
    <w:rsid w:val="00D51BB9"/>
    <w:rsid w:val="00D51C76"/>
    <w:rsid w:val="00D51C81"/>
    <w:rsid w:val="00D520DA"/>
    <w:rsid w:val="00D524F0"/>
    <w:rsid w:val="00D52790"/>
    <w:rsid w:val="00D52D9E"/>
    <w:rsid w:val="00D535AF"/>
    <w:rsid w:val="00D535DD"/>
    <w:rsid w:val="00D543BC"/>
    <w:rsid w:val="00D54489"/>
    <w:rsid w:val="00D54CCB"/>
    <w:rsid w:val="00D552B2"/>
    <w:rsid w:val="00D55F69"/>
    <w:rsid w:val="00D573ED"/>
    <w:rsid w:val="00D5759B"/>
    <w:rsid w:val="00D57F11"/>
    <w:rsid w:val="00D60020"/>
    <w:rsid w:val="00D60265"/>
    <w:rsid w:val="00D602C4"/>
    <w:rsid w:val="00D60491"/>
    <w:rsid w:val="00D606C8"/>
    <w:rsid w:val="00D6075D"/>
    <w:rsid w:val="00D615DB"/>
    <w:rsid w:val="00D617D2"/>
    <w:rsid w:val="00D61B98"/>
    <w:rsid w:val="00D621A2"/>
    <w:rsid w:val="00D62828"/>
    <w:rsid w:val="00D628DC"/>
    <w:rsid w:val="00D62A81"/>
    <w:rsid w:val="00D6351F"/>
    <w:rsid w:val="00D6387D"/>
    <w:rsid w:val="00D639CD"/>
    <w:rsid w:val="00D63D5F"/>
    <w:rsid w:val="00D640D6"/>
    <w:rsid w:val="00D64E99"/>
    <w:rsid w:val="00D65A64"/>
    <w:rsid w:val="00D6622F"/>
    <w:rsid w:val="00D667BB"/>
    <w:rsid w:val="00D6697E"/>
    <w:rsid w:val="00D66B5B"/>
    <w:rsid w:val="00D673D0"/>
    <w:rsid w:val="00D67BB4"/>
    <w:rsid w:val="00D67D30"/>
    <w:rsid w:val="00D67E94"/>
    <w:rsid w:val="00D7004E"/>
    <w:rsid w:val="00D7053B"/>
    <w:rsid w:val="00D709E0"/>
    <w:rsid w:val="00D70B90"/>
    <w:rsid w:val="00D70DCE"/>
    <w:rsid w:val="00D71C25"/>
    <w:rsid w:val="00D71CF3"/>
    <w:rsid w:val="00D71D99"/>
    <w:rsid w:val="00D7220C"/>
    <w:rsid w:val="00D73102"/>
    <w:rsid w:val="00D731D6"/>
    <w:rsid w:val="00D73A68"/>
    <w:rsid w:val="00D73FEC"/>
    <w:rsid w:val="00D74A6C"/>
    <w:rsid w:val="00D74B34"/>
    <w:rsid w:val="00D74D51"/>
    <w:rsid w:val="00D75060"/>
    <w:rsid w:val="00D75982"/>
    <w:rsid w:val="00D75B19"/>
    <w:rsid w:val="00D75CE2"/>
    <w:rsid w:val="00D768DA"/>
    <w:rsid w:val="00D76AF3"/>
    <w:rsid w:val="00D76D4C"/>
    <w:rsid w:val="00D76F06"/>
    <w:rsid w:val="00D775F8"/>
    <w:rsid w:val="00D77C01"/>
    <w:rsid w:val="00D805AF"/>
    <w:rsid w:val="00D805D9"/>
    <w:rsid w:val="00D8087C"/>
    <w:rsid w:val="00D80C31"/>
    <w:rsid w:val="00D81339"/>
    <w:rsid w:val="00D813F0"/>
    <w:rsid w:val="00D814C4"/>
    <w:rsid w:val="00D8267D"/>
    <w:rsid w:val="00D82B53"/>
    <w:rsid w:val="00D82DB0"/>
    <w:rsid w:val="00D83080"/>
    <w:rsid w:val="00D83BB0"/>
    <w:rsid w:val="00D83CFD"/>
    <w:rsid w:val="00D84027"/>
    <w:rsid w:val="00D84120"/>
    <w:rsid w:val="00D84851"/>
    <w:rsid w:val="00D848B8"/>
    <w:rsid w:val="00D8505B"/>
    <w:rsid w:val="00D85091"/>
    <w:rsid w:val="00D851E5"/>
    <w:rsid w:val="00D85683"/>
    <w:rsid w:val="00D85845"/>
    <w:rsid w:val="00D86557"/>
    <w:rsid w:val="00D8740D"/>
    <w:rsid w:val="00D87606"/>
    <w:rsid w:val="00D87B6A"/>
    <w:rsid w:val="00D911A3"/>
    <w:rsid w:val="00D91248"/>
    <w:rsid w:val="00D91C0D"/>
    <w:rsid w:val="00D922C5"/>
    <w:rsid w:val="00D923CA"/>
    <w:rsid w:val="00D92972"/>
    <w:rsid w:val="00D9323C"/>
    <w:rsid w:val="00D93A0B"/>
    <w:rsid w:val="00D93B31"/>
    <w:rsid w:val="00D9411B"/>
    <w:rsid w:val="00D94776"/>
    <w:rsid w:val="00D9484E"/>
    <w:rsid w:val="00D95175"/>
    <w:rsid w:val="00D9524C"/>
    <w:rsid w:val="00D95295"/>
    <w:rsid w:val="00D9557A"/>
    <w:rsid w:val="00D9584E"/>
    <w:rsid w:val="00D95BD6"/>
    <w:rsid w:val="00D95D2D"/>
    <w:rsid w:val="00D95E91"/>
    <w:rsid w:val="00D963CB"/>
    <w:rsid w:val="00D96EE0"/>
    <w:rsid w:val="00D97CBA"/>
    <w:rsid w:val="00DA013A"/>
    <w:rsid w:val="00DA0DE6"/>
    <w:rsid w:val="00DA13BD"/>
    <w:rsid w:val="00DA1987"/>
    <w:rsid w:val="00DA1EFA"/>
    <w:rsid w:val="00DA20AF"/>
    <w:rsid w:val="00DA20E9"/>
    <w:rsid w:val="00DA27CD"/>
    <w:rsid w:val="00DA30C4"/>
    <w:rsid w:val="00DA34D3"/>
    <w:rsid w:val="00DA35EF"/>
    <w:rsid w:val="00DA38AC"/>
    <w:rsid w:val="00DA4222"/>
    <w:rsid w:val="00DA44C4"/>
    <w:rsid w:val="00DA4BFE"/>
    <w:rsid w:val="00DA4E91"/>
    <w:rsid w:val="00DA4ECC"/>
    <w:rsid w:val="00DA542A"/>
    <w:rsid w:val="00DA650B"/>
    <w:rsid w:val="00DA6CFF"/>
    <w:rsid w:val="00DA765E"/>
    <w:rsid w:val="00DB1177"/>
    <w:rsid w:val="00DB18A4"/>
    <w:rsid w:val="00DB18AC"/>
    <w:rsid w:val="00DB19BB"/>
    <w:rsid w:val="00DB22AA"/>
    <w:rsid w:val="00DB22F2"/>
    <w:rsid w:val="00DB2AEC"/>
    <w:rsid w:val="00DB31AC"/>
    <w:rsid w:val="00DB3314"/>
    <w:rsid w:val="00DB348A"/>
    <w:rsid w:val="00DB37DF"/>
    <w:rsid w:val="00DB3EE0"/>
    <w:rsid w:val="00DB4184"/>
    <w:rsid w:val="00DB4329"/>
    <w:rsid w:val="00DB438D"/>
    <w:rsid w:val="00DB574C"/>
    <w:rsid w:val="00DB5782"/>
    <w:rsid w:val="00DB5AF0"/>
    <w:rsid w:val="00DB622A"/>
    <w:rsid w:val="00DB67EA"/>
    <w:rsid w:val="00DB7592"/>
    <w:rsid w:val="00DB7984"/>
    <w:rsid w:val="00DB7D08"/>
    <w:rsid w:val="00DC148C"/>
    <w:rsid w:val="00DC1A74"/>
    <w:rsid w:val="00DC1CB4"/>
    <w:rsid w:val="00DC28D3"/>
    <w:rsid w:val="00DC2ACB"/>
    <w:rsid w:val="00DC2B9D"/>
    <w:rsid w:val="00DC2C77"/>
    <w:rsid w:val="00DC2DE7"/>
    <w:rsid w:val="00DC2F8D"/>
    <w:rsid w:val="00DC3251"/>
    <w:rsid w:val="00DC374E"/>
    <w:rsid w:val="00DC55A7"/>
    <w:rsid w:val="00DC5754"/>
    <w:rsid w:val="00DC5EC7"/>
    <w:rsid w:val="00DC6331"/>
    <w:rsid w:val="00DC72EB"/>
    <w:rsid w:val="00DC78A4"/>
    <w:rsid w:val="00DC7AA6"/>
    <w:rsid w:val="00DD01E4"/>
    <w:rsid w:val="00DD05B0"/>
    <w:rsid w:val="00DD0723"/>
    <w:rsid w:val="00DD0E6E"/>
    <w:rsid w:val="00DD1439"/>
    <w:rsid w:val="00DD17E8"/>
    <w:rsid w:val="00DD1A53"/>
    <w:rsid w:val="00DD1AE6"/>
    <w:rsid w:val="00DD21B8"/>
    <w:rsid w:val="00DD2F7E"/>
    <w:rsid w:val="00DD46BD"/>
    <w:rsid w:val="00DD60A1"/>
    <w:rsid w:val="00DD63EA"/>
    <w:rsid w:val="00DD6863"/>
    <w:rsid w:val="00DD7268"/>
    <w:rsid w:val="00DD79BC"/>
    <w:rsid w:val="00DD79E5"/>
    <w:rsid w:val="00DE0088"/>
    <w:rsid w:val="00DE0F45"/>
    <w:rsid w:val="00DE1112"/>
    <w:rsid w:val="00DE12CA"/>
    <w:rsid w:val="00DE1335"/>
    <w:rsid w:val="00DE152B"/>
    <w:rsid w:val="00DE15FD"/>
    <w:rsid w:val="00DE180D"/>
    <w:rsid w:val="00DE2586"/>
    <w:rsid w:val="00DE2AB7"/>
    <w:rsid w:val="00DE2B1A"/>
    <w:rsid w:val="00DE2B88"/>
    <w:rsid w:val="00DE32AE"/>
    <w:rsid w:val="00DE3BBA"/>
    <w:rsid w:val="00DE3D0A"/>
    <w:rsid w:val="00DE4274"/>
    <w:rsid w:val="00DE484A"/>
    <w:rsid w:val="00DE5005"/>
    <w:rsid w:val="00DE54A4"/>
    <w:rsid w:val="00DE5A50"/>
    <w:rsid w:val="00DE6385"/>
    <w:rsid w:val="00DE68F5"/>
    <w:rsid w:val="00DE6964"/>
    <w:rsid w:val="00DE6E6A"/>
    <w:rsid w:val="00DE70FF"/>
    <w:rsid w:val="00DE72E7"/>
    <w:rsid w:val="00DE7428"/>
    <w:rsid w:val="00DF18D8"/>
    <w:rsid w:val="00DF2D14"/>
    <w:rsid w:val="00DF2E10"/>
    <w:rsid w:val="00DF3502"/>
    <w:rsid w:val="00DF3E4D"/>
    <w:rsid w:val="00DF4F95"/>
    <w:rsid w:val="00DF6109"/>
    <w:rsid w:val="00DF6995"/>
    <w:rsid w:val="00DF6B6C"/>
    <w:rsid w:val="00DF6D17"/>
    <w:rsid w:val="00DF6DE9"/>
    <w:rsid w:val="00DF7452"/>
    <w:rsid w:val="00DF7E43"/>
    <w:rsid w:val="00E0024F"/>
    <w:rsid w:val="00E002C9"/>
    <w:rsid w:val="00E0073C"/>
    <w:rsid w:val="00E00DD9"/>
    <w:rsid w:val="00E01B43"/>
    <w:rsid w:val="00E01D4E"/>
    <w:rsid w:val="00E0233B"/>
    <w:rsid w:val="00E025AE"/>
    <w:rsid w:val="00E02984"/>
    <w:rsid w:val="00E02C13"/>
    <w:rsid w:val="00E0320B"/>
    <w:rsid w:val="00E03A93"/>
    <w:rsid w:val="00E03AAC"/>
    <w:rsid w:val="00E03CB9"/>
    <w:rsid w:val="00E04258"/>
    <w:rsid w:val="00E045C4"/>
    <w:rsid w:val="00E04AED"/>
    <w:rsid w:val="00E0668C"/>
    <w:rsid w:val="00E06825"/>
    <w:rsid w:val="00E06FA2"/>
    <w:rsid w:val="00E1064D"/>
    <w:rsid w:val="00E109FF"/>
    <w:rsid w:val="00E10F25"/>
    <w:rsid w:val="00E11804"/>
    <w:rsid w:val="00E11A5A"/>
    <w:rsid w:val="00E11BEF"/>
    <w:rsid w:val="00E1337E"/>
    <w:rsid w:val="00E135DC"/>
    <w:rsid w:val="00E13A2B"/>
    <w:rsid w:val="00E13BA9"/>
    <w:rsid w:val="00E14489"/>
    <w:rsid w:val="00E14B96"/>
    <w:rsid w:val="00E14C2B"/>
    <w:rsid w:val="00E150B1"/>
    <w:rsid w:val="00E1558C"/>
    <w:rsid w:val="00E155AD"/>
    <w:rsid w:val="00E1564E"/>
    <w:rsid w:val="00E15970"/>
    <w:rsid w:val="00E15EC1"/>
    <w:rsid w:val="00E16389"/>
    <w:rsid w:val="00E16698"/>
    <w:rsid w:val="00E17443"/>
    <w:rsid w:val="00E17844"/>
    <w:rsid w:val="00E179B2"/>
    <w:rsid w:val="00E179C6"/>
    <w:rsid w:val="00E208F9"/>
    <w:rsid w:val="00E22C2E"/>
    <w:rsid w:val="00E22DF0"/>
    <w:rsid w:val="00E23C14"/>
    <w:rsid w:val="00E23F33"/>
    <w:rsid w:val="00E24194"/>
    <w:rsid w:val="00E2459D"/>
    <w:rsid w:val="00E250EC"/>
    <w:rsid w:val="00E25335"/>
    <w:rsid w:val="00E25DDD"/>
    <w:rsid w:val="00E2636B"/>
    <w:rsid w:val="00E26AA3"/>
    <w:rsid w:val="00E273DD"/>
    <w:rsid w:val="00E27684"/>
    <w:rsid w:val="00E276BA"/>
    <w:rsid w:val="00E27A31"/>
    <w:rsid w:val="00E27A48"/>
    <w:rsid w:val="00E27CA0"/>
    <w:rsid w:val="00E27E8B"/>
    <w:rsid w:val="00E30B99"/>
    <w:rsid w:val="00E30D8A"/>
    <w:rsid w:val="00E31390"/>
    <w:rsid w:val="00E31A93"/>
    <w:rsid w:val="00E31D78"/>
    <w:rsid w:val="00E321F2"/>
    <w:rsid w:val="00E32FD9"/>
    <w:rsid w:val="00E33640"/>
    <w:rsid w:val="00E33BB1"/>
    <w:rsid w:val="00E34340"/>
    <w:rsid w:val="00E346F2"/>
    <w:rsid w:val="00E3525E"/>
    <w:rsid w:val="00E35287"/>
    <w:rsid w:val="00E36A1A"/>
    <w:rsid w:val="00E36CDD"/>
    <w:rsid w:val="00E372D1"/>
    <w:rsid w:val="00E373A4"/>
    <w:rsid w:val="00E37ABA"/>
    <w:rsid w:val="00E40005"/>
    <w:rsid w:val="00E408D5"/>
    <w:rsid w:val="00E41FB3"/>
    <w:rsid w:val="00E4204C"/>
    <w:rsid w:val="00E42364"/>
    <w:rsid w:val="00E42439"/>
    <w:rsid w:val="00E42564"/>
    <w:rsid w:val="00E42570"/>
    <w:rsid w:val="00E42C07"/>
    <w:rsid w:val="00E438D9"/>
    <w:rsid w:val="00E439A7"/>
    <w:rsid w:val="00E439F7"/>
    <w:rsid w:val="00E43E0B"/>
    <w:rsid w:val="00E43E80"/>
    <w:rsid w:val="00E44362"/>
    <w:rsid w:val="00E4441D"/>
    <w:rsid w:val="00E44740"/>
    <w:rsid w:val="00E45606"/>
    <w:rsid w:val="00E4570F"/>
    <w:rsid w:val="00E45ACC"/>
    <w:rsid w:val="00E45B27"/>
    <w:rsid w:val="00E46712"/>
    <w:rsid w:val="00E46764"/>
    <w:rsid w:val="00E47B01"/>
    <w:rsid w:val="00E47C77"/>
    <w:rsid w:val="00E47E27"/>
    <w:rsid w:val="00E50D18"/>
    <w:rsid w:val="00E50E64"/>
    <w:rsid w:val="00E519A9"/>
    <w:rsid w:val="00E51CCB"/>
    <w:rsid w:val="00E52039"/>
    <w:rsid w:val="00E52C35"/>
    <w:rsid w:val="00E52FE4"/>
    <w:rsid w:val="00E531BC"/>
    <w:rsid w:val="00E532BF"/>
    <w:rsid w:val="00E53316"/>
    <w:rsid w:val="00E53662"/>
    <w:rsid w:val="00E5379E"/>
    <w:rsid w:val="00E54168"/>
    <w:rsid w:val="00E5505B"/>
    <w:rsid w:val="00E56D75"/>
    <w:rsid w:val="00E60104"/>
    <w:rsid w:val="00E60239"/>
    <w:rsid w:val="00E6069A"/>
    <w:rsid w:val="00E609FC"/>
    <w:rsid w:val="00E60ED6"/>
    <w:rsid w:val="00E615B4"/>
    <w:rsid w:val="00E61E04"/>
    <w:rsid w:val="00E621DF"/>
    <w:rsid w:val="00E631F5"/>
    <w:rsid w:val="00E63875"/>
    <w:rsid w:val="00E63D35"/>
    <w:rsid w:val="00E6400D"/>
    <w:rsid w:val="00E644CA"/>
    <w:rsid w:val="00E6491A"/>
    <w:rsid w:val="00E64DB5"/>
    <w:rsid w:val="00E6585D"/>
    <w:rsid w:val="00E660BF"/>
    <w:rsid w:val="00E661DC"/>
    <w:rsid w:val="00E66392"/>
    <w:rsid w:val="00E666BC"/>
    <w:rsid w:val="00E66ADC"/>
    <w:rsid w:val="00E6762F"/>
    <w:rsid w:val="00E67CCC"/>
    <w:rsid w:val="00E706AE"/>
    <w:rsid w:val="00E715C3"/>
    <w:rsid w:val="00E72399"/>
    <w:rsid w:val="00E72AB5"/>
    <w:rsid w:val="00E72D69"/>
    <w:rsid w:val="00E7357D"/>
    <w:rsid w:val="00E73653"/>
    <w:rsid w:val="00E73D89"/>
    <w:rsid w:val="00E73EEC"/>
    <w:rsid w:val="00E74488"/>
    <w:rsid w:val="00E745E8"/>
    <w:rsid w:val="00E747EE"/>
    <w:rsid w:val="00E74A1E"/>
    <w:rsid w:val="00E74D17"/>
    <w:rsid w:val="00E74DA0"/>
    <w:rsid w:val="00E750F2"/>
    <w:rsid w:val="00E75397"/>
    <w:rsid w:val="00E75857"/>
    <w:rsid w:val="00E759D6"/>
    <w:rsid w:val="00E75BC5"/>
    <w:rsid w:val="00E767FB"/>
    <w:rsid w:val="00E7709D"/>
    <w:rsid w:val="00E77506"/>
    <w:rsid w:val="00E775A0"/>
    <w:rsid w:val="00E7762F"/>
    <w:rsid w:val="00E77916"/>
    <w:rsid w:val="00E801C3"/>
    <w:rsid w:val="00E80EE6"/>
    <w:rsid w:val="00E80F81"/>
    <w:rsid w:val="00E8181B"/>
    <w:rsid w:val="00E81B87"/>
    <w:rsid w:val="00E82342"/>
    <w:rsid w:val="00E829FA"/>
    <w:rsid w:val="00E83283"/>
    <w:rsid w:val="00E83EC3"/>
    <w:rsid w:val="00E84430"/>
    <w:rsid w:val="00E84F6C"/>
    <w:rsid w:val="00E867E0"/>
    <w:rsid w:val="00E86CB4"/>
    <w:rsid w:val="00E8701E"/>
    <w:rsid w:val="00E8711D"/>
    <w:rsid w:val="00E87C5F"/>
    <w:rsid w:val="00E87DAE"/>
    <w:rsid w:val="00E87DE6"/>
    <w:rsid w:val="00E90024"/>
    <w:rsid w:val="00E90064"/>
    <w:rsid w:val="00E90517"/>
    <w:rsid w:val="00E90B58"/>
    <w:rsid w:val="00E915C2"/>
    <w:rsid w:val="00E926CD"/>
    <w:rsid w:val="00E92C23"/>
    <w:rsid w:val="00E92E0E"/>
    <w:rsid w:val="00E93024"/>
    <w:rsid w:val="00E9538C"/>
    <w:rsid w:val="00E96146"/>
    <w:rsid w:val="00E962B7"/>
    <w:rsid w:val="00E969D1"/>
    <w:rsid w:val="00E97826"/>
    <w:rsid w:val="00E97902"/>
    <w:rsid w:val="00E97A03"/>
    <w:rsid w:val="00EA004E"/>
    <w:rsid w:val="00EA0317"/>
    <w:rsid w:val="00EA099B"/>
    <w:rsid w:val="00EA0ACF"/>
    <w:rsid w:val="00EA1667"/>
    <w:rsid w:val="00EA23F7"/>
    <w:rsid w:val="00EA2765"/>
    <w:rsid w:val="00EA2E34"/>
    <w:rsid w:val="00EA2E3E"/>
    <w:rsid w:val="00EA2E61"/>
    <w:rsid w:val="00EA30BB"/>
    <w:rsid w:val="00EA34FB"/>
    <w:rsid w:val="00EA36D0"/>
    <w:rsid w:val="00EA36E9"/>
    <w:rsid w:val="00EA3FCA"/>
    <w:rsid w:val="00EA5865"/>
    <w:rsid w:val="00EA5A1F"/>
    <w:rsid w:val="00EA5C2D"/>
    <w:rsid w:val="00EA5CF7"/>
    <w:rsid w:val="00EA6722"/>
    <w:rsid w:val="00EA73BA"/>
    <w:rsid w:val="00EA75A7"/>
    <w:rsid w:val="00EA7A1C"/>
    <w:rsid w:val="00EA7B76"/>
    <w:rsid w:val="00EA7E24"/>
    <w:rsid w:val="00EB043B"/>
    <w:rsid w:val="00EB046E"/>
    <w:rsid w:val="00EB04D8"/>
    <w:rsid w:val="00EB0DC8"/>
    <w:rsid w:val="00EB188E"/>
    <w:rsid w:val="00EB1B7B"/>
    <w:rsid w:val="00EB1B87"/>
    <w:rsid w:val="00EB2079"/>
    <w:rsid w:val="00EB24C6"/>
    <w:rsid w:val="00EB24E6"/>
    <w:rsid w:val="00EB27B1"/>
    <w:rsid w:val="00EB294A"/>
    <w:rsid w:val="00EB2A82"/>
    <w:rsid w:val="00EB2F56"/>
    <w:rsid w:val="00EB334F"/>
    <w:rsid w:val="00EB347E"/>
    <w:rsid w:val="00EB391F"/>
    <w:rsid w:val="00EB3E34"/>
    <w:rsid w:val="00EB3EE5"/>
    <w:rsid w:val="00EB4600"/>
    <w:rsid w:val="00EB4ABA"/>
    <w:rsid w:val="00EB4AD4"/>
    <w:rsid w:val="00EB4CCE"/>
    <w:rsid w:val="00EB536B"/>
    <w:rsid w:val="00EB5377"/>
    <w:rsid w:val="00EB556F"/>
    <w:rsid w:val="00EB56AC"/>
    <w:rsid w:val="00EB575F"/>
    <w:rsid w:val="00EB5B22"/>
    <w:rsid w:val="00EB5C73"/>
    <w:rsid w:val="00EB624D"/>
    <w:rsid w:val="00EB6310"/>
    <w:rsid w:val="00EB686E"/>
    <w:rsid w:val="00EB72C1"/>
    <w:rsid w:val="00EB7D1D"/>
    <w:rsid w:val="00EC01BA"/>
    <w:rsid w:val="00EC1646"/>
    <w:rsid w:val="00EC1EBF"/>
    <w:rsid w:val="00EC2839"/>
    <w:rsid w:val="00EC2ABD"/>
    <w:rsid w:val="00EC433C"/>
    <w:rsid w:val="00EC65F2"/>
    <w:rsid w:val="00EC698F"/>
    <w:rsid w:val="00EC7121"/>
    <w:rsid w:val="00ED0753"/>
    <w:rsid w:val="00ED2ED0"/>
    <w:rsid w:val="00ED2F69"/>
    <w:rsid w:val="00ED33E8"/>
    <w:rsid w:val="00ED3769"/>
    <w:rsid w:val="00ED4744"/>
    <w:rsid w:val="00ED47E9"/>
    <w:rsid w:val="00ED492E"/>
    <w:rsid w:val="00ED4E95"/>
    <w:rsid w:val="00ED61E3"/>
    <w:rsid w:val="00ED6387"/>
    <w:rsid w:val="00ED7522"/>
    <w:rsid w:val="00ED787E"/>
    <w:rsid w:val="00ED7B44"/>
    <w:rsid w:val="00ED7B45"/>
    <w:rsid w:val="00ED7DC4"/>
    <w:rsid w:val="00EE0821"/>
    <w:rsid w:val="00EE10E8"/>
    <w:rsid w:val="00EE15BC"/>
    <w:rsid w:val="00EE16E5"/>
    <w:rsid w:val="00EE1744"/>
    <w:rsid w:val="00EE1867"/>
    <w:rsid w:val="00EE1AEF"/>
    <w:rsid w:val="00EE1B28"/>
    <w:rsid w:val="00EE1BD5"/>
    <w:rsid w:val="00EE1C02"/>
    <w:rsid w:val="00EE1F0C"/>
    <w:rsid w:val="00EE26BD"/>
    <w:rsid w:val="00EE2737"/>
    <w:rsid w:val="00EE2938"/>
    <w:rsid w:val="00EE2BD0"/>
    <w:rsid w:val="00EE2DE8"/>
    <w:rsid w:val="00EE2F08"/>
    <w:rsid w:val="00EE32A8"/>
    <w:rsid w:val="00EE34A2"/>
    <w:rsid w:val="00EE3FD7"/>
    <w:rsid w:val="00EE4304"/>
    <w:rsid w:val="00EE49D1"/>
    <w:rsid w:val="00EE5329"/>
    <w:rsid w:val="00EE533F"/>
    <w:rsid w:val="00EE5ADB"/>
    <w:rsid w:val="00EE6966"/>
    <w:rsid w:val="00EE698F"/>
    <w:rsid w:val="00EE6FEF"/>
    <w:rsid w:val="00EE7917"/>
    <w:rsid w:val="00EE7AA2"/>
    <w:rsid w:val="00EF0572"/>
    <w:rsid w:val="00EF070F"/>
    <w:rsid w:val="00EF116E"/>
    <w:rsid w:val="00EF11CA"/>
    <w:rsid w:val="00EF1784"/>
    <w:rsid w:val="00EF1AB1"/>
    <w:rsid w:val="00EF2716"/>
    <w:rsid w:val="00EF2772"/>
    <w:rsid w:val="00EF3253"/>
    <w:rsid w:val="00EF3BCE"/>
    <w:rsid w:val="00EF553A"/>
    <w:rsid w:val="00EF56E4"/>
    <w:rsid w:val="00EF574E"/>
    <w:rsid w:val="00EF5966"/>
    <w:rsid w:val="00EF6B08"/>
    <w:rsid w:val="00EF723E"/>
    <w:rsid w:val="00EF7444"/>
    <w:rsid w:val="00F00293"/>
    <w:rsid w:val="00F00889"/>
    <w:rsid w:val="00F00976"/>
    <w:rsid w:val="00F0161D"/>
    <w:rsid w:val="00F01946"/>
    <w:rsid w:val="00F01DFB"/>
    <w:rsid w:val="00F0204B"/>
    <w:rsid w:val="00F02091"/>
    <w:rsid w:val="00F024CC"/>
    <w:rsid w:val="00F02687"/>
    <w:rsid w:val="00F0276D"/>
    <w:rsid w:val="00F02DD8"/>
    <w:rsid w:val="00F03114"/>
    <w:rsid w:val="00F032FD"/>
    <w:rsid w:val="00F03429"/>
    <w:rsid w:val="00F036A9"/>
    <w:rsid w:val="00F037DB"/>
    <w:rsid w:val="00F03B00"/>
    <w:rsid w:val="00F03BA1"/>
    <w:rsid w:val="00F044B5"/>
    <w:rsid w:val="00F049C7"/>
    <w:rsid w:val="00F05DE6"/>
    <w:rsid w:val="00F06B8E"/>
    <w:rsid w:val="00F073F7"/>
    <w:rsid w:val="00F07C67"/>
    <w:rsid w:val="00F10F41"/>
    <w:rsid w:val="00F111E8"/>
    <w:rsid w:val="00F1158D"/>
    <w:rsid w:val="00F11D01"/>
    <w:rsid w:val="00F120F5"/>
    <w:rsid w:val="00F129D2"/>
    <w:rsid w:val="00F12A74"/>
    <w:rsid w:val="00F131A0"/>
    <w:rsid w:val="00F133AD"/>
    <w:rsid w:val="00F13474"/>
    <w:rsid w:val="00F13593"/>
    <w:rsid w:val="00F1392A"/>
    <w:rsid w:val="00F13A0E"/>
    <w:rsid w:val="00F13CC4"/>
    <w:rsid w:val="00F13DE7"/>
    <w:rsid w:val="00F155DC"/>
    <w:rsid w:val="00F15991"/>
    <w:rsid w:val="00F165FF"/>
    <w:rsid w:val="00F16BB0"/>
    <w:rsid w:val="00F1725C"/>
    <w:rsid w:val="00F17E69"/>
    <w:rsid w:val="00F20DB1"/>
    <w:rsid w:val="00F20EDF"/>
    <w:rsid w:val="00F2185A"/>
    <w:rsid w:val="00F21EFE"/>
    <w:rsid w:val="00F236CF"/>
    <w:rsid w:val="00F237F0"/>
    <w:rsid w:val="00F23AA1"/>
    <w:rsid w:val="00F23C82"/>
    <w:rsid w:val="00F2440F"/>
    <w:rsid w:val="00F24EA8"/>
    <w:rsid w:val="00F26398"/>
    <w:rsid w:val="00F265DC"/>
    <w:rsid w:val="00F267E8"/>
    <w:rsid w:val="00F26E81"/>
    <w:rsid w:val="00F270E1"/>
    <w:rsid w:val="00F271A3"/>
    <w:rsid w:val="00F30022"/>
    <w:rsid w:val="00F30302"/>
    <w:rsid w:val="00F30777"/>
    <w:rsid w:val="00F30A9C"/>
    <w:rsid w:val="00F30B41"/>
    <w:rsid w:val="00F312FE"/>
    <w:rsid w:val="00F31313"/>
    <w:rsid w:val="00F316C0"/>
    <w:rsid w:val="00F31B76"/>
    <w:rsid w:val="00F33091"/>
    <w:rsid w:val="00F3348C"/>
    <w:rsid w:val="00F33B21"/>
    <w:rsid w:val="00F33E37"/>
    <w:rsid w:val="00F33EA4"/>
    <w:rsid w:val="00F343E7"/>
    <w:rsid w:val="00F34745"/>
    <w:rsid w:val="00F34C93"/>
    <w:rsid w:val="00F35180"/>
    <w:rsid w:val="00F3540B"/>
    <w:rsid w:val="00F35508"/>
    <w:rsid w:val="00F3554D"/>
    <w:rsid w:val="00F358FA"/>
    <w:rsid w:val="00F35ED0"/>
    <w:rsid w:val="00F35FFC"/>
    <w:rsid w:val="00F361A3"/>
    <w:rsid w:val="00F362E0"/>
    <w:rsid w:val="00F3633C"/>
    <w:rsid w:val="00F36CAE"/>
    <w:rsid w:val="00F370AF"/>
    <w:rsid w:val="00F37749"/>
    <w:rsid w:val="00F3780B"/>
    <w:rsid w:val="00F40001"/>
    <w:rsid w:val="00F40277"/>
    <w:rsid w:val="00F409BC"/>
    <w:rsid w:val="00F40A50"/>
    <w:rsid w:val="00F40E3A"/>
    <w:rsid w:val="00F418E7"/>
    <w:rsid w:val="00F419FD"/>
    <w:rsid w:val="00F438FC"/>
    <w:rsid w:val="00F43A7D"/>
    <w:rsid w:val="00F44022"/>
    <w:rsid w:val="00F442D3"/>
    <w:rsid w:val="00F44BDA"/>
    <w:rsid w:val="00F450FC"/>
    <w:rsid w:val="00F45280"/>
    <w:rsid w:val="00F45D4A"/>
    <w:rsid w:val="00F47307"/>
    <w:rsid w:val="00F47A9B"/>
    <w:rsid w:val="00F47B94"/>
    <w:rsid w:val="00F47E94"/>
    <w:rsid w:val="00F5061A"/>
    <w:rsid w:val="00F51280"/>
    <w:rsid w:val="00F513AC"/>
    <w:rsid w:val="00F516BD"/>
    <w:rsid w:val="00F51790"/>
    <w:rsid w:val="00F519A3"/>
    <w:rsid w:val="00F52751"/>
    <w:rsid w:val="00F53243"/>
    <w:rsid w:val="00F532DA"/>
    <w:rsid w:val="00F532DC"/>
    <w:rsid w:val="00F53720"/>
    <w:rsid w:val="00F5384D"/>
    <w:rsid w:val="00F53F6E"/>
    <w:rsid w:val="00F54367"/>
    <w:rsid w:val="00F550BB"/>
    <w:rsid w:val="00F55452"/>
    <w:rsid w:val="00F55DE9"/>
    <w:rsid w:val="00F56A0E"/>
    <w:rsid w:val="00F56C53"/>
    <w:rsid w:val="00F56C64"/>
    <w:rsid w:val="00F57258"/>
    <w:rsid w:val="00F57F1F"/>
    <w:rsid w:val="00F60B83"/>
    <w:rsid w:val="00F63066"/>
    <w:rsid w:val="00F6346D"/>
    <w:rsid w:val="00F636F6"/>
    <w:rsid w:val="00F63A9D"/>
    <w:rsid w:val="00F63C6F"/>
    <w:rsid w:val="00F645D0"/>
    <w:rsid w:val="00F6539D"/>
    <w:rsid w:val="00F65663"/>
    <w:rsid w:val="00F661A6"/>
    <w:rsid w:val="00F66279"/>
    <w:rsid w:val="00F665F3"/>
    <w:rsid w:val="00F66C97"/>
    <w:rsid w:val="00F67458"/>
    <w:rsid w:val="00F675B4"/>
    <w:rsid w:val="00F676E9"/>
    <w:rsid w:val="00F67F5D"/>
    <w:rsid w:val="00F70AD6"/>
    <w:rsid w:val="00F70B11"/>
    <w:rsid w:val="00F72EEA"/>
    <w:rsid w:val="00F731C5"/>
    <w:rsid w:val="00F739BA"/>
    <w:rsid w:val="00F73EA2"/>
    <w:rsid w:val="00F743C7"/>
    <w:rsid w:val="00F744D0"/>
    <w:rsid w:val="00F74E6D"/>
    <w:rsid w:val="00F7522F"/>
    <w:rsid w:val="00F75841"/>
    <w:rsid w:val="00F76384"/>
    <w:rsid w:val="00F76D59"/>
    <w:rsid w:val="00F77AED"/>
    <w:rsid w:val="00F77DB9"/>
    <w:rsid w:val="00F77E1A"/>
    <w:rsid w:val="00F77FF0"/>
    <w:rsid w:val="00F80D0C"/>
    <w:rsid w:val="00F81624"/>
    <w:rsid w:val="00F81648"/>
    <w:rsid w:val="00F81650"/>
    <w:rsid w:val="00F81E2E"/>
    <w:rsid w:val="00F82531"/>
    <w:rsid w:val="00F82C2F"/>
    <w:rsid w:val="00F82F75"/>
    <w:rsid w:val="00F83726"/>
    <w:rsid w:val="00F83D30"/>
    <w:rsid w:val="00F83F60"/>
    <w:rsid w:val="00F83FF8"/>
    <w:rsid w:val="00F84253"/>
    <w:rsid w:val="00F84528"/>
    <w:rsid w:val="00F84DBD"/>
    <w:rsid w:val="00F852BA"/>
    <w:rsid w:val="00F856B3"/>
    <w:rsid w:val="00F85780"/>
    <w:rsid w:val="00F85AC6"/>
    <w:rsid w:val="00F85B51"/>
    <w:rsid w:val="00F866A8"/>
    <w:rsid w:val="00F87E63"/>
    <w:rsid w:val="00F87FAB"/>
    <w:rsid w:val="00F90B26"/>
    <w:rsid w:val="00F90B88"/>
    <w:rsid w:val="00F90BDD"/>
    <w:rsid w:val="00F90F29"/>
    <w:rsid w:val="00F91C37"/>
    <w:rsid w:val="00F91C5B"/>
    <w:rsid w:val="00F92467"/>
    <w:rsid w:val="00F924AB"/>
    <w:rsid w:val="00F9283B"/>
    <w:rsid w:val="00F93CB5"/>
    <w:rsid w:val="00F93D61"/>
    <w:rsid w:val="00F941E6"/>
    <w:rsid w:val="00F94593"/>
    <w:rsid w:val="00F94CC4"/>
    <w:rsid w:val="00F94E4D"/>
    <w:rsid w:val="00F95D63"/>
    <w:rsid w:val="00F95E0F"/>
    <w:rsid w:val="00F96C29"/>
    <w:rsid w:val="00F97401"/>
    <w:rsid w:val="00F97A8B"/>
    <w:rsid w:val="00FA0458"/>
    <w:rsid w:val="00FA0804"/>
    <w:rsid w:val="00FA0A63"/>
    <w:rsid w:val="00FA0C9E"/>
    <w:rsid w:val="00FA1349"/>
    <w:rsid w:val="00FA1546"/>
    <w:rsid w:val="00FA16B3"/>
    <w:rsid w:val="00FA1EEB"/>
    <w:rsid w:val="00FA209E"/>
    <w:rsid w:val="00FA2EA1"/>
    <w:rsid w:val="00FA3054"/>
    <w:rsid w:val="00FA3612"/>
    <w:rsid w:val="00FA47F1"/>
    <w:rsid w:val="00FA4EF6"/>
    <w:rsid w:val="00FA539F"/>
    <w:rsid w:val="00FA53CE"/>
    <w:rsid w:val="00FA5592"/>
    <w:rsid w:val="00FA56AF"/>
    <w:rsid w:val="00FA5D96"/>
    <w:rsid w:val="00FA5F65"/>
    <w:rsid w:val="00FA68A4"/>
    <w:rsid w:val="00FA6940"/>
    <w:rsid w:val="00FA73A7"/>
    <w:rsid w:val="00FA7912"/>
    <w:rsid w:val="00FA7DF1"/>
    <w:rsid w:val="00FB153F"/>
    <w:rsid w:val="00FB1CA2"/>
    <w:rsid w:val="00FB1EE0"/>
    <w:rsid w:val="00FB23EE"/>
    <w:rsid w:val="00FB2E00"/>
    <w:rsid w:val="00FB42D8"/>
    <w:rsid w:val="00FB4CE3"/>
    <w:rsid w:val="00FB4D5B"/>
    <w:rsid w:val="00FB4FCA"/>
    <w:rsid w:val="00FB51E6"/>
    <w:rsid w:val="00FB5751"/>
    <w:rsid w:val="00FB5B39"/>
    <w:rsid w:val="00FB5D8E"/>
    <w:rsid w:val="00FB5FE0"/>
    <w:rsid w:val="00FB6CEF"/>
    <w:rsid w:val="00FB6D65"/>
    <w:rsid w:val="00FB703B"/>
    <w:rsid w:val="00FB71D8"/>
    <w:rsid w:val="00FC057A"/>
    <w:rsid w:val="00FC179A"/>
    <w:rsid w:val="00FC206E"/>
    <w:rsid w:val="00FC332B"/>
    <w:rsid w:val="00FC3987"/>
    <w:rsid w:val="00FC3C39"/>
    <w:rsid w:val="00FC40CB"/>
    <w:rsid w:val="00FC4889"/>
    <w:rsid w:val="00FC5215"/>
    <w:rsid w:val="00FC5307"/>
    <w:rsid w:val="00FC598E"/>
    <w:rsid w:val="00FC6E91"/>
    <w:rsid w:val="00FD0147"/>
    <w:rsid w:val="00FD0487"/>
    <w:rsid w:val="00FD073E"/>
    <w:rsid w:val="00FD0A12"/>
    <w:rsid w:val="00FD0A41"/>
    <w:rsid w:val="00FD0E27"/>
    <w:rsid w:val="00FD151D"/>
    <w:rsid w:val="00FD1BC4"/>
    <w:rsid w:val="00FD1DF7"/>
    <w:rsid w:val="00FD1E80"/>
    <w:rsid w:val="00FD2BE3"/>
    <w:rsid w:val="00FD45B7"/>
    <w:rsid w:val="00FD475F"/>
    <w:rsid w:val="00FD4C41"/>
    <w:rsid w:val="00FD5E63"/>
    <w:rsid w:val="00FD67F9"/>
    <w:rsid w:val="00FD6A5E"/>
    <w:rsid w:val="00FD6C64"/>
    <w:rsid w:val="00FD71A3"/>
    <w:rsid w:val="00FD71BE"/>
    <w:rsid w:val="00FD7C10"/>
    <w:rsid w:val="00FE01AB"/>
    <w:rsid w:val="00FE039D"/>
    <w:rsid w:val="00FE042F"/>
    <w:rsid w:val="00FE0642"/>
    <w:rsid w:val="00FE1769"/>
    <w:rsid w:val="00FE1A37"/>
    <w:rsid w:val="00FE1D5D"/>
    <w:rsid w:val="00FE217F"/>
    <w:rsid w:val="00FE2DBA"/>
    <w:rsid w:val="00FE3048"/>
    <w:rsid w:val="00FE33AB"/>
    <w:rsid w:val="00FE3791"/>
    <w:rsid w:val="00FE398D"/>
    <w:rsid w:val="00FE3C57"/>
    <w:rsid w:val="00FE471B"/>
    <w:rsid w:val="00FE4816"/>
    <w:rsid w:val="00FE4920"/>
    <w:rsid w:val="00FE4AAB"/>
    <w:rsid w:val="00FE4D6C"/>
    <w:rsid w:val="00FE547C"/>
    <w:rsid w:val="00FE5813"/>
    <w:rsid w:val="00FE58B3"/>
    <w:rsid w:val="00FE5D63"/>
    <w:rsid w:val="00FE6635"/>
    <w:rsid w:val="00FE676D"/>
    <w:rsid w:val="00FE7D5F"/>
    <w:rsid w:val="00FF03D5"/>
    <w:rsid w:val="00FF0DF2"/>
    <w:rsid w:val="00FF1725"/>
    <w:rsid w:val="00FF1DAB"/>
    <w:rsid w:val="00FF1F16"/>
    <w:rsid w:val="00FF2A01"/>
    <w:rsid w:val="00FF2F5A"/>
    <w:rsid w:val="00FF3887"/>
    <w:rsid w:val="00FF3A95"/>
    <w:rsid w:val="00FF3C73"/>
    <w:rsid w:val="00FF40E9"/>
    <w:rsid w:val="00FF41CD"/>
    <w:rsid w:val="00FF5921"/>
    <w:rsid w:val="00FF65F3"/>
    <w:rsid w:val="00FF6785"/>
    <w:rsid w:val="00FF699C"/>
    <w:rsid w:val="00FF6D48"/>
    <w:rsid w:val="00FF6E7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5B781D9"/>
  <w15:docId w15:val="{E0E466A1-5929-7A43-937E-83C3E9423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D3D"/>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A72ED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62305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A72ED8"/>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2ED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72ED8"/>
    <w:rPr>
      <w:rFonts w:asciiTheme="majorHAnsi" w:eastAsiaTheme="majorEastAsia" w:hAnsiTheme="majorHAnsi" w:cstheme="majorBidi"/>
      <w:color w:val="1F3763" w:themeColor="accent1" w:themeShade="7F"/>
      <w:sz w:val="24"/>
      <w:szCs w:val="24"/>
    </w:rPr>
  </w:style>
  <w:style w:type="character" w:styleId="CommentReference">
    <w:name w:val="annotation reference"/>
    <w:basedOn w:val="DefaultParagraphFont"/>
    <w:uiPriority w:val="99"/>
    <w:semiHidden/>
    <w:unhideWhenUsed/>
    <w:rsid w:val="00A72ED8"/>
    <w:rPr>
      <w:sz w:val="16"/>
      <w:szCs w:val="16"/>
    </w:rPr>
  </w:style>
  <w:style w:type="paragraph" w:styleId="CommentText">
    <w:name w:val="annotation text"/>
    <w:basedOn w:val="Normal"/>
    <w:link w:val="CommentTextChar"/>
    <w:uiPriority w:val="99"/>
    <w:semiHidden/>
    <w:unhideWhenUsed/>
    <w:rsid w:val="00A72ED8"/>
    <w:rPr>
      <w:sz w:val="20"/>
      <w:szCs w:val="20"/>
    </w:rPr>
  </w:style>
  <w:style w:type="character" w:customStyle="1" w:styleId="CommentTextChar">
    <w:name w:val="Comment Text Char"/>
    <w:basedOn w:val="DefaultParagraphFont"/>
    <w:link w:val="CommentText"/>
    <w:uiPriority w:val="99"/>
    <w:semiHidden/>
    <w:rsid w:val="00A72ED8"/>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72ED8"/>
    <w:rPr>
      <w:b/>
      <w:bCs/>
    </w:rPr>
  </w:style>
  <w:style w:type="character" w:customStyle="1" w:styleId="CommentSubjectChar">
    <w:name w:val="Comment Subject Char"/>
    <w:basedOn w:val="CommentTextChar"/>
    <w:link w:val="CommentSubject"/>
    <w:uiPriority w:val="99"/>
    <w:semiHidden/>
    <w:rsid w:val="00A72ED8"/>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A72ED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2ED8"/>
    <w:rPr>
      <w:rFonts w:ascii="Segoe UI" w:eastAsia="Times New Roman" w:hAnsi="Segoe UI" w:cs="Segoe UI"/>
      <w:sz w:val="18"/>
      <w:szCs w:val="18"/>
    </w:rPr>
  </w:style>
  <w:style w:type="table" w:styleId="TableGrid">
    <w:name w:val="Table Grid"/>
    <w:basedOn w:val="TableNormal"/>
    <w:uiPriority w:val="39"/>
    <w:rsid w:val="00A72ED8"/>
    <w:rPr>
      <w:rFonts w:eastAsiaTheme="minorHAns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72ED8"/>
    <w:pPr>
      <w:spacing w:before="100" w:beforeAutospacing="1" w:after="100" w:afterAutospacing="1"/>
    </w:pPr>
  </w:style>
  <w:style w:type="character" w:styleId="Emphasis">
    <w:name w:val="Emphasis"/>
    <w:basedOn w:val="DefaultParagraphFont"/>
    <w:uiPriority w:val="20"/>
    <w:qFormat/>
    <w:rsid w:val="00A72ED8"/>
    <w:rPr>
      <w:i/>
      <w:iCs/>
    </w:rPr>
  </w:style>
  <w:style w:type="paragraph" w:styleId="Header">
    <w:name w:val="header"/>
    <w:basedOn w:val="Normal"/>
    <w:link w:val="HeaderChar"/>
    <w:uiPriority w:val="99"/>
    <w:unhideWhenUsed/>
    <w:rsid w:val="00A72ED8"/>
    <w:pPr>
      <w:tabs>
        <w:tab w:val="center" w:pos="4680"/>
        <w:tab w:val="right" w:pos="9360"/>
      </w:tabs>
    </w:pPr>
  </w:style>
  <w:style w:type="character" w:customStyle="1" w:styleId="HeaderChar">
    <w:name w:val="Header Char"/>
    <w:basedOn w:val="DefaultParagraphFont"/>
    <w:link w:val="Header"/>
    <w:uiPriority w:val="99"/>
    <w:rsid w:val="00A72ED8"/>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A72ED8"/>
    <w:pPr>
      <w:tabs>
        <w:tab w:val="center" w:pos="4680"/>
        <w:tab w:val="right" w:pos="9360"/>
      </w:tabs>
    </w:pPr>
  </w:style>
  <w:style w:type="character" w:customStyle="1" w:styleId="FooterChar">
    <w:name w:val="Footer Char"/>
    <w:basedOn w:val="DefaultParagraphFont"/>
    <w:link w:val="Footer"/>
    <w:uiPriority w:val="99"/>
    <w:rsid w:val="00A72ED8"/>
    <w:rPr>
      <w:rFonts w:ascii="Times New Roman" w:eastAsia="Times New Roman" w:hAnsi="Times New Roman" w:cs="Times New Roman"/>
      <w:sz w:val="24"/>
      <w:szCs w:val="24"/>
    </w:rPr>
  </w:style>
  <w:style w:type="paragraph" w:customStyle="1" w:styleId="p">
    <w:name w:val="p"/>
    <w:basedOn w:val="Normal"/>
    <w:rsid w:val="00A72ED8"/>
    <w:pPr>
      <w:spacing w:before="100" w:beforeAutospacing="1" w:after="100" w:afterAutospacing="1"/>
    </w:pPr>
  </w:style>
  <w:style w:type="character" w:styleId="Hyperlink">
    <w:name w:val="Hyperlink"/>
    <w:basedOn w:val="DefaultParagraphFont"/>
    <w:uiPriority w:val="99"/>
    <w:unhideWhenUsed/>
    <w:rsid w:val="00A72ED8"/>
    <w:rPr>
      <w:color w:val="0563C1" w:themeColor="hyperlink"/>
      <w:u w:val="single"/>
    </w:rPr>
  </w:style>
  <w:style w:type="character" w:customStyle="1" w:styleId="UnresolvedMention1">
    <w:name w:val="Unresolved Mention1"/>
    <w:basedOn w:val="DefaultParagraphFont"/>
    <w:uiPriority w:val="99"/>
    <w:semiHidden/>
    <w:unhideWhenUsed/>
    <w:rsid w:val="00A72ED8"/>
    <w:rPr>
      <w:color w:val="605E5C"/>
      <w:shd w:val="clear" w:color="auto" w:fill="E1DFDD"/>
    </w:rPr>
  </w:style>
  <w:style w:type="character" w:styleId="FollowedHyperlink">
    <w:name w:val="FollowedHyperlink"/>
    <w:basedOn w:val="DefaultParagraphFont"/>
    <w:uiPriority w:val="99"/>
    <w:semiHidden/>
    <w:unhideWhenUsed/>
    <w:rsid w:val="00A72ED8"/>
    <w:rPr>
      <w:color w:val="954F72" w:themeColor="followedHyperlink"/>
      <w:u w:val="single"/>
    </w:rPr>
  </w:style>
  <w:style w:type="paragraph" w:customStyle="1" w:styleId="line874">
    <w:name w:val="line874"/>
    <w:basedOn w:val="Normal"/>
    <w:rsid w:val="00A72ED8"/>
    <w:pPr>
      <w:spacing w:before="100" w:beforeAutospacing="1" w:after="100" w:afterAutospacing="1"/>
    </w:pPr>
  </w:style>
  <w:style w:type="paragraph" w:styleId="ListParagraph">
    <w:name w:val="List Paragraph"/>
    <w:basedOn w:val="Normal"/>
    <w:uiPriority w:val="34"/>
    <w:qFormat/>
    <w:rsid w:val="00A72ED8"/>
    <w:pPr>
      <w:ind w:left="720"/>
      <w:contextualSpacing/>
    </w:pPr>
  </w:style>
  <w:style w:type="character" w:customStyle="1" w:styleId="frontelement">
    <w:name w:val="frontelement"/>
    <w:basedOn w:val="DefaultParagraphFont"/>
    <w:rsid w:val="00A72ED8"/>
  </w:style>
  <w:style w:type="paragraph" w:styleId="Caption">
    <w:name w:val="caption"/>
    <w:basedOn w:val="Normal"/>
    <w:next w:val="Normal"/>
    <w:uiPriority w:val="35"/>
    <w:unhideWhenUsed/>
    <w:qFormat/>
    <w:rsid w:val="00A72ED8"/>
    <w:pPr>
      <w:spacing w:after="200"/>
    </w:pPr>
    <w:rPr>
      <w:i/>
      <w:iCs/>
      <w:color w:val="44546A" w:themeColor="text2"/>
      <w:sz w:val="18"/>
      <w:szCs w:val="18"/>
    </w:rPr>
  </w:style>
  <w:style w:type="character" w:customStyle="1" w:styleId="apple-converted-space">
    <w:name w:val="apple-converted-space"/>
    <w:basedOn w:val="DefaultParagraphFont"/>
    <w:rsid w:val="00A72ED8"/>
  </w:style>
  <w:style w:type="character" w:styleId="PlaceholderText">
    <w:name w:val="Placeholder Text"/>
    <w:basedOn w:val="DefaultParagraphFont"/>
    <w:uiPriority w:val="99"/>
    <w:semiHidden/>
    <w:rsid w:val="00A72ED8"/>
    <w:rPr>
      <w:color w:val="808080"/>
    </w:rPr>
  </w:style>
  <w:style w:type="character" w:customStyle="1" w:styleId="content-section">
    <w:name w:val="content-section"/>
    <w:basedOn w:val="DefaultParagraphFont"/>
    <w:rsid w:val="00A72ED8"/>
  </w:style>
  <w:style w:type="character" w:styleId="PageNumber">
    <w:name w:val="page number"/>
    <w:basedOn w:val="DefaultParagraphFont"/>
    <w:uiPriority w:val="99"/>
    <w:semiHidden/>
    <w:unhideWhenUsed/>
    <w:rsid w:val="00A72ED8"/>
  </w:style>
  <w:style w:type="paragraph" w:styleId="HTMLPreformatted">
    <w:name w:val="HTML Preformatted"/>
    <w:basedOn w:val="Normal"/>
    <w:link w:val="HTMLPreformattedChar"/>
    <w:uiPriority w:val="99"/>
    <w:semiHidden/>
    <w:unhideWhenUsed/>
    <w:rsid w:val="00A72ED8"/>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A72ED8"/>
    <w:rPr>
      <w:rFonts w:ascii="Consolas" w:eastAsia="Times New Roman" w:hAnsi="Consolas" w:cs="Consolas"/>
      <w:sz w:val="20"/>
      <w:szCs w:val="20"/>
    </w:rPr>
  </w:style>
  <w:style w:type="paragraph" w:styleId="NoSpacing">
    <w:name w:val="No Spacing"/>
    <w:uiPriority w:val="1"/>
    <w:qFormat/>
    <w:rsid w:val="00A72ED8"/>
    <w:rPr>
      <w:rFonts w:ascii="Times New Roman" w:eastAsia="Times New Roman" w:hAnsi="Times New Roman" w:cs="Times New Roman"/>
      <w:sz w:val="24"/>
      <w:szCs w:val="24"/>
    </w:rPr>
  </w:style>
  <w:style w:type="paragraph" w:styleId="Revision">
    <w:name w:val="Revision"/>
    <w:hidden/>
    <w:uiPriority w:val="99"/>
    <w:semiHidden/>
    <w:rsid w:val="00A72ED8"/>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A72ED8"/>
    <w:rPr>
      <w:sz w:val="20"/>
      <w:szCs w:val="20"/>
    </w:rPr>
  </w:style>
  <w:style w:type="character" w:customStyle="1" w:styleId="FootnoteTextChar">
    <w:name w:val="Footnote Text Char"/>
    <w:basedOn w:val="DefaultParagraphFont"/>
    <w:link w:val="FootnoteText"/>
    <w:uiPriority w:val="99"/>
    <w:semiHidden/>
    <w:rsid w:val="00A72ED8"/>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A72ED8"/>
    <w:rPr>
      <w:vertAlign w:val="superscript"/>
    </w:rPr>
  </w:style>
  <w:style w:type="table" w:customStyle="1" w:styleId="PlainTable21">
    <w:name w:val="Plain Table 21"/>
    <w:basedOn w:val="TableNormal"/>
    <w:uiPriority w:val="42"/>
    <w:rsid w:val="00416553"/>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wikiword">
    <w:name w:val="wikiword"/>
    <w:basedOn w:val="DefaultParagraphFont"/>
    <w:rsid w:val="005D4492"/>
  </w:style>
  <w:style w:type="character" w:styleId="UnresolvedMention">
    <w:name w:val="Unresolved Mention"/>
    <w:basedOn w:val="DefaultParagraphFont"/>
    <w:uiPriority w:val="99"/>
    <w:semiHidden/>
    <w:unhideWhenUsed/>
    <w:rsid w:val="002B056D"/>
    <w:rPr>
      <w:color w:val="605E5C"/>
      <w:shd w:val="clear" w:color="auto" w:fill="E1DFDD"/>
    </w:rPr>
  </w:style>
  <w:style w:type="character" w:styleId="Strong">
    <w:name w:val="Strong"/>
    <w:basedOn w:val="DefaultParagraphFont"/>
    <w:uiPriority w:val="22"/>
    <w:qFormat/>
    <w:rsid w:val="00A63344"/>
    <w:rPr>
      <w:b/>
      <w:bCs/>
    </w:rPr>
  </w:style>
  <w:style w:type="paragraph" w:customStyle="1" w:styleId="vspace">
    <w:name w:val="vspace"/>
    <w:basedOn w:val="Normal"/>
    <w:rsid w:val="00A63344"/>
    <w:pPr>
      <w:spacing w:before="100" w:beforeAutospacing="1" w:after="100" w:afterAutospacing="1"/>
    </w:pPr>
  </w:style>
  <w:style w:type="character" w:customStyle="1" w:styleId="stratlabel">
    <w:name w:val="stratlabel"/>
    <w:basedOn w:val="DefaultParagraphFont"/>
    <w:rsid w:val="00CA0EF5"/>
  </w:style>
  <w:style w:type="character" w:customStyle="1" w:styleId="stratn">
    <w:name w:val="stratn"/>
    <w:basedOn w:val="DefaultParagraphFont"/>
    <w:rsid w:val="00CA0EF5"/>
  </w:style>
  <w:style w:type="character" w:customStyle="1" w:styleId="varlabel">
    <w:name w:val="varlabel"/>
    <w:basedOn w:val="DefaultParagraphFont"/>
    <w:rsid w:val="00CA0EF5"/>
  </w:style>
  <w:style w:type="paragraph" w:customStyle="1" w:styleId="rtable1-footnote">
    <w:name w:val="rtable1-footnote"/>
    <w:basedOn w:val="Normal"/>
    <w:rsid w:val="00CA0EF5"/>
    <w:pPr>
      <w:spacing w:before="100" w:beforeAutospacing="1" w:after="100" w:afterAutospacing="1"/>
    </w:pPr>
  </w:style>
  <w:style w:type="table" w:styleId="PlainTable3">
    <w:name w:val="Plain Table 3"/>
    <w:basedOn w:val="TableNormal"/>
    <w:uiPriority w:val="99"/>
    <w:rsid w:val="00A7335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GridLight">
    <w:name w:val="Grid Table Light"/>
    <w:basedOn w:val="TableNormal"/>
    <w:uiPriority w:val="99"/>
    <w:rsid w:val="006E22E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99"/>
    <w:rsid w:val="006E22E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4">
    <w:name w:val="Plain Table 4"/>
    <w:basedOn w:val="TableNormal"/>
    <w:uiPriority w:val="99"/>
    <w:rsid w:val="00E767FB"/>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99"/>
    <w:rsid w:val="00E767F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1">
    <w:name w:val="Plain Table 1"/>
    <w:basedOn w:val="TableNormal"/>
    <w:uiPriority w:val="99"/>
    <w:rsid w:val="00E767FB"/>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LineNumber">
    <w:name w:val="line number"/>
    <w:basedOn w:val="DefaultParagraphFont"/>
    <w:uiPriority w:val="99"/>
    <w:semiHidden/>
    <w:unhideWhenUsed/>
    <w:rsid w:val="001B4CFC"/>
  </w:style>
  <w:style w:type="character" w:customStyle="1" w:styleId="Heading2Char">
    <w:name w:val="Heading 2 Char"/>
    <w:basedOn w:val="DefaultParagraphFont"/>
    <w:link w:val="Heading2"/>
    <w:uiPriority w:val="9"/>
    <w:semiHidden/>
    <w:rsid w:val="00623051"/>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418380">
      <w:bodyDiv w:val="1"/>
      <w:marLeft w:val="0"/>
      <w:marRight w:val="0"/>
      <w:marTop w:val="0"/>
      <w:marBottom w:val="0"/>
      <w:divBdr>
        <w:top w:val="none" w:sz="0" w:space="0" w:color="auto"/>
        <w:left w:val="none" w:sz="0" w:space="0" w:color="auto"/>
        <w:bottom w:val="none" w:sz="0" w:space="0" w:color="auto"/>
        <w:right w:val="none" w:sz="0" w:space="0" w:color="auto"/>
      </w:divBdr>
    </w:div>
    <w:div w:id="18092288">
      <w:bodyDiv w:val="1"/>
      <w:marLeft w:val="0"/>
      <w:marRight w:val="0"/>
      <w:marTop w:val="0"/>
      <w:marBottom w:val="0"/>
      <w:divBdr>
        <w:top w:val="none" w:sz="0" w:space="0" w:color="auto"/>
        <w:left w:val="none" w:sz="0" w:space="0" w:color="auto"/>
        <w:bottom w:val="none" w:sz="0" w:space="0" w:color="auto"/>
        <w:right w:val="none" w:sz="0" w:space="0" w:color="auto"/>
      </w:divBdr>
    </w:div>
    <w:div w:id="23798168">
      <w:bodyDiv w:val="1"/>
      <w:marLeft w:val="0"/>
      <w:marRight w:val="0"/>
      <w:marTop w:val="0"/>
      <w:marBottom w:val="0"/>
      <w:divBdr>
        <w:top w:val="none" w:sz="0" w:space="0" w:color="auto"/>
        <w:left w:val="none" w:sz="0" w:space="0" w:color="auto"/>
        <w:bottom w:val="none" w:sz="0" w:space="0" w:color="auto"/>
        <w:right w:val="none" w:sz="0" w:space="0" w:color="auto"/>
      </w:divBdr>
    </w:div>
    <w:div w:id="30614633">
      <w:bodyDiv w:val="1"/>
      <w:marLeft w:val="0"/>
      <w:marRight w:val="0"/>
      <w:marTop w:val="0"/>
      <w:marBottom w:val="0"/>
      <w:divBdr>
        <w:top w:val="none" w:sz="0" w:space="0" w:color="auto"/>
        <w:left w:val="none" w:sz="0" w:space="0" w:color="auto"/>
        <w:bottom w:val="none" w:sz="0" w:space="0" w:color="auto"/>
        <w:right w:val="none" w:sz="0" w:space="0" w:color="auto"/>
      </w:divBdr>
    </w:div>
    <w:div w:id="37828786">
      <w:bodyDiv w:val="1"/>
      <w:marLeft w:val="0"/>
      <w:marRight w:val="0"/>
      <w:marTop w:val="0"/>
      <w:marBottom w:val="0"/>
      <w:divBdr>
        <w:top w:val="none" w:sz="0" w:space="0" w:color="auto"/>
        <w:left w:val="none" w:sz="0" w:space="0" w:color="auto"/>
        <w:bottom w:val="none" w:sz="0" w:space="0" w:color="auto"/>
        <w:right w:val="none" w:sz="0" w:space="0" w:color="auto"/>
      </w:divBdr>
    </w:div>
    <w:div w:id="54206059">
      <w:bodyDiv w:val="1"/>
      <w:marLeft w:val="0"/>
      <w:marRight w:val="0"/>
      <w:marTop w:val="0"/>
      <w:marBottom w:val="0"/>
      <w:divBdr>
        <w:top w:val="none" w:sz="0" w:space="0" w:color="auto"/>
        <w:left w:val="none" w:sz="0" w:space="0" w:color="auto"/>
        <w:bottom w:val="none" w:sz="0" w:space="0" w:color="auto"/>
        <w:right w:val="none" w:sz="0" w:space="0" w:color="auto"/>
      </w:divBdr>
    </w:div>
    <w:div w:id="72435805">
      <w:bodyDiv w:val="1"/>
      <w:marLeft w:val="0"/>
      <w:marRight w:val="0"/>
      <w:marTop w:val="0"/>
      <w:marBottom w:val="0"/>
      <w:divBdr>
        <w:top w:val="none" w:sz="0" w:space="0" w:color="auto"/>
        <w:left w:val="none" w:sz="0" w:space="0" w:color="auto"/>
        <w:bottom w:val="none" w:sz="0" w:space="0" w:color="auto"/>
        <w:right w:val="none" w:sz="0" w:space="0" w:color="auto"/>
      </w:divBdr>
    </w:div>
    <w:div w:id="73821216">
      <w:bodyDiv w:val="1"/>
      <w:marLeft w:val="0"/>
      <w:marRight w:val="0"/>
      <w:marTop w:val="0"/>
      <w:marBottom w:val="0"/>
      <w:divBdr>
        <w:top w:val="none" w:sz="0" w:space="0" w:color="auto"/>
        <w:left w:val="none" w:sz="0" w:space="0" w:color="auto"/>
        <w:bottom w:val="none" w:sz="0" w:space="0" w:color="auto"/>
        <w:right w:val="none" w:sz="0" w:space="0" w:color="auto"/>
      </w:divBdr>
    </w:div>
    <w:div w:id="81680917">
      <w:bodyDiv w:val="1"/>
      <w:marLeft w:val="0"/>
      <w:marRight w:val="0"/>
      <w:marTop w:val="0"/>
      <w:marBottom w:val="0"/>
      <w:divBdr>
        <w:top w:val="none" w:sz="0" w:space="0" w:color="auto"/>
        <w:left w:val="none" w:sz="0" w:space="0" w:color="auto"/>
        <w:bottom w:val="none" w:sz="0" w:space="0" w:color="auto"/>
        <w:right w:val="none" w:sz="0" w:space="0" w:color="auto"/>
      </w:divBdr>
      <w:divsChild>
        <w:div w:id="1767458587">
          <w:marLeft w:val="0"/>
          <w:marRight w:val="0"/>
          <w:marTop w:val="0"/>
          <w:marBottom w:val="0"/>
          <w:divBdr>
            <w:top w:val="none" w:sz="0" w:space="0" w:color="auto"/>
            <w:left w:val="none" w:sz="0" w:space="0" w:color="auto"/>
            <w:bottom w:val="none" w:sz="0" w:space="0" w:color="auto"/>
            <w:right w:val="none" w:sz="0" w:space="0" w:color="auto"/>
          </w:divBdr>
        </w:div>
        <w:div w:id="59718627">
          <w:marLeft w:val="0"/>
          <w:marRight w:val="0"/>
          <w:marTop w:val="0"/>
          <w:marBottom w:val="0"/>
          <w:divBdr>
            <w:top w:val="none" w:sz="0" w:space="0" w:color="auto"/>
            <w:left w:val="none" w:sz="0" w:space="0" w:color="auto"/>
            <w:bottom w:val="none" w:sz="0" w:space="0" w:color="auto"/>
            <w:right w:val="none" w:sz="0" w:space="0" w:color="auto"/>
          </w:divBdr>
        </w:div>
      </w:divsChild>
    </w:div>
    <w:div w:id="95105456">
      <w:bodyDiv w:val="1"/>
      <w:marLeft w:val="0"/>
      <w:marRight w:val="0"/>
      <w:marTop w:val="0"/>
      <w:marBottom w:val="0"/>
      <w:divBdr>
        <w:top w:val="none" w:sz="0" w:space="0" w:color="auto"/>
        <w:left w:val="none" w:sz="0" w:space="0" w:color="auto"/>
        <w:bottom w:val="none" w:sz="0" w:space="0" w:color="auto"/>
        <w:right w:val="none" w:sz="0" w:space="0" w:color="auto"/>
      </w:divBdr>
    </w:div>
    <w:div w:id="101388870">
      <w:bodyDiv w:val="1"/>
      <w:marLeft w:val="0"/>
      <w:marRight w:val="0"/>
      <w:marTop w:val="0"/>
      <w:marBottom w:val="0"/>
      <w:divBdr>
        <w:top w:val="none" w:sz="0" w:space="0" w:color="auto"/>
        <w:left w:val="none" w:sz="0" w:space="0" w:color="auto"/>
        <w:bottom w:val="none" w:sz="0" w:space="0" w:color="auto"/>
        <w:right w:val="none" w:sz="0" w:space="0" w:color="auto"/>
      </w:divBdr>
    </w:div>
    <w:div w:id="110590416">
      <w:bodyDiv w:val="1"/>
      <w:marLeft w:val="0"/>
      <w:marRight w:val="0"/>
      <w:marTop w:val="0"/>
      <w:marBottom w:val="0"/>
      <w:divBdr>
        <w:top w:val="none" w:sz="0" w:space="0" w:color="auto"/>
        <w:left w:val="none" w:sz="0" w:space="0" w:color="auto"/>
        <w:bottom w:val="none" w:sz="0" w:space="0" w:color="auto"/>
        <w:right w:val="none" w:sz="0" w:space="0" w:color="auto"/>
      </w:divBdr>
    </w:div>
    <w:div w:id="124085659">
      <w:bodyDiv w:val="1"/>
      <w:marLeft w:val="0"/>
      <w:marRight w:val="0"/>
      <w:marTop w:val="0"/>
      <w:marBottom w:val="0"/>
      <w:divBdr>
        <w:top w:val="none" w:sz="0" w:space="0" w:color="auto"/>
        <w:left w:val="none" w:sz="0" w:space="0" w:color="auto"/>
        <w:bottom w:val="none" w:sz="0" w:space="0" w:color="auto"/>
        <w:right w:val="none" w:sz="0" w:space="0" w:color="auto"/>
      </w:divBdr>
    </w:div>
    <w:div w:id="138884028">
      <w:bodyDiv w:val="1"/>
      <w:marLeft w:val="0"/>
      <w:marRight w:val="0"/>
      <w:marTop w:val="0"/>
      <w:marBottom w:val="0"/>
      <w:divBdr>
        <w:top w:val="none" w:sz="0" w:space="0" w:color="auto"/>
        <w:left w:val="none" w:sz="0" w:space="0" w:color="auto"/>
        <w:bottom w:val="none" w:sz="0" w:space="0" w:color="auto"/>
        <w:right w:val="none" w:sz="0" w:space="0" w:color="auto"/>
      </w:divBdr>
    </w:div>
    <w:div w:id="154998307">
      <w:bodyDiv w:val="1"/>
      <w:marLeft w:val="0"/>
      <w:marRight w:val="0"/>
      <w:marTop w:val="0"/>
      <w:marBottom w:val="0"/>
      <w:divBdr>
        <w:top w:val="none" w:sz="0" w:space="0" w:color="auto"/>
        <w:left w:val="none" w:sz="0" w:space="0" w:color="auto"/>
        <w:bottom w:val="none" w:sz="0" w:space="0" w:color="auto"/>
        <w:right w:val="none" w:sz="0" w:space="0" w:color="auto"/>
      </w:divBdr>
    </w:div>
    <w:div w:id="165636129">
      <w:bodyDiv w:val="1"/>
      <w:marLeft w:val="0"/>
      <w:marRight w:val="0"/>
      <w:marTop w:val="0"/>
      <w:marBottom w:val="0"/>
      <w:divBdr>
        <w:top w:val="none" w:sz="0" w:space="0" w:color="auto"/>
        <w:left w:val="none" w:sz="0" w:space="0" w:color="auto"/>
        <w:bottom w:val="none" w:sz="0" w:space="0" w:color="auto"/>
        <w:right w:val="none" w:sz="0" w:space="0" w:color="auto"/>
      </w:divBdr>
    </w:div>
    <w:div w:id="187643800">
      <w:bodyDiv w:val="1"/>
      <w:marLeft w:val="0"/>
      <w:marRight w:val="0"/>
      <w:marTop w:val="0"/>
      <w:marBottom w:val="0"/>
      <w:divBdr>
        <w:top w:val="none" w:sz="0" w:space="0" w:color="auto"/>
        <w:left w:val="none" w:sz="0" w:space="0" w:color="auto"/>
        <w:bottom w:val="none" w:sz="0" w:space="0" w:color="auto"/>
        <w:right w:val="none" w:sz="0" w:space="0" w:color="auto"/>
      </w:divBdr>
    </w:div>
    <w:div w:id="191001049">
      <w:bodyDiv w:val="1"/>
      <w:marLeft w:val="0"/>
      <w:marRight w:val="0"/>
      <w:marTop w:val="0"/>
      <w:marBottom w:val="0"/>
      <w:divBdr>
        <w:top w:val="none" w:sz="0" w:space="0" w:color="auto"/>
        <w:left w:val="none" w:sz="0" w:space="0" w:color="auto"/>
        <w:bottom w:val="none" w:sz="0" w:space="0" w:color="auto"/>
        <w:right w:val="none" w:sz="0" w:space="0" w:color="auto"/>
      </w:divBdr>
    </w:div>
    <w:div w:id="191849510">
      <w:bodyDiv w:val="1"/>
      <w:marLeft w:val="0"/>
      <w:marRight w:val="0"/>
      <w:marTop w:val="0"/>
      <w:marBottom w:val="0"/>
      <w:divBdr>
        <w:top w:val="none" w:sz="0" w:space="0" w:color="auto"/>
        <w:left w:val="none" w:sz="0" w:space="0" w:color="auto"/>
        <w:bottom w:val="none" w:sz="0" w:space="0" w:color="auto"/>
        <w:right w:val="none" w:sz="0" w:space="0" w:color="auto"/>
      </w:divBdr>
    </w:div>
    <w:div w:id="201292161">
      <w:bodyDiv w:val="1"/>
      <w:marLeft w:val="0"/>
      <w:marRight w:val="0"/>
      <w:marTop w:val="0"/>
      <w:marBottom w:val="0"/>
      <w:divBdr>
        <w:top w:val="none" w:sz="0" w:space="0" w:color="auto"/>
        <w:left w:val="none" w:sz="0" w:space="0" w:color="auto"/>
        <w:bottom w:val="none" w:sz="0" w:space="0" w:color="auto"/>
        <w:right w:val="none" w:sz="0" w:space="0" w:color="auto"/>
      </w:divBdr>
    </w:div>
    <w:div w:id="243610672">
      <w:bodyDiv w:val="1"/>
      <w:marLeft w:val="0"/>
      <w:marRight w:val="0"/>
      <w:marTop w:val="0"/>
      <w:marBottom w:val="0"/>
      <w:divBdr>
        <w:top w:val="none" w:sz="0" w:space="0" w:color="auto"/>
        <w:left w:val="none" w:sz="0" w:space="0" w:color="auto"/>
        <w:bottom w:val="none" w:sz="0" w:space="0" w:color="auto"/>
        <w:right w:val="none" w:sz="0" w:space="0" w:color="auto"/>
      </w:divBdr>
    </w:div>
    <w:div w:id="252280585">
      <w:bodyDiv w:val="1"/>
      <w:marLeft w:val="0"/>
      <w:marRight w:val="0"/>
      <w:marTop w:val="0"/>
      <w:marBottom w:val="0"/>
      <w:divBdr>
        <w:top w:val="none" w:sz="0" w:space="0" w:color="auto"/>
        <w:left w:val="none" w:sz="0" w:space="0" w:color="auto"/>
        <w:bottom w:val="none" w:sz="0" w:space="0" w:color="auto"/>
        <w:right w:val="none" w:sz="0" w:space="0" w:color="auto"/>
      </w:divBdr>
    </w:div>
    <w:div w:id="266740408">
      <w:bodyDiv w:val="1"/>
      <w:marLeft w:val="0"/>
      <w:marRight w:val="0"/>
      <w:marTop w:val="0"/>
      <w:marBottom w:val="0"/>
      <w:divBdr>
        <w:top w:val="none" w:sz="0" w:space="0" w:color="auto"/>
        <w:left w:val="none" w:sz="0" w:space="0" w:color="auto"/>
        <w:bottom w:val="none" w:sz="0" w:space="0" w:color="auto"/>
        <w:right w:val="none" w:sz="0" w:space="0" w:color="auto"/>
      </w:divBdr>
    </w:div>
    <w:div w:id="269431170">
      <w:bodyDiv w:val="1"/>
      <w:marLeft w:val="0"/>
      <w:marRight w:val="0"/>
      <w:marTop w:val="0"/>
      <w:marBottom w:val="0"/>
      <w:divBdr>
        <w:top w:val="none" w:sz="0" w:space="0" w:color="auto"/>
        <w:left w:val="none" w:sz="0" w:space="0" w:color="auto"/>
        <w:bottom w:val="none" w:sz="0" w:space="0" w:color="auto"/>
        <w:right w:val="none" w:sz="0" w:space="0" w:color="auto"/>
      </w:divBdr>
      <w:divsChild>
        <w:div w:id="2022194915">
          <w:marLeft w:val="0"/>
          <w:marRight w:val="0"/>
          <w:marTop w:val="0"/>
          <w:marBottom w:val="0"/>
          <w:divBdr>
            <w:top w:val="none" w:sz="0" w:space="0" w:color="auto"/>
            <w:left w:val="none" w:sz="0" w:space="0" w:color="auto"/>
            <w:bottom w:val="none" w:sz="0" w:space="0" w:color="auto"/>
            <w:right w:val="none" w:sz="0" w:space="0" w:color="auto"/>
          </w:divBdr>
        </w:div>
        <w:div w:id="799803520">
          <w:marLeft w:val="0"/>
          <w:marRight w:val="0"/>
          <w:marTop w:val="0"/>
          <w:marBottom w:val="0"/>
          <w:divBdr>
            <w:top w:val="none" w:sz="0" w:space="0" w:color="auto"/>
            <w:left w:val="none" w:sz="0" w:space="0" w:color="auto"/>
            <w:bottom w:val="none" w:sz="0" w:space="0" w:color="auto"/>
            <w:right w:val="none" w:sz="0" w:space="0" w:color="auto"/>
          </w:divBdr>
        </w:div>
      </w:divsChild>
    </w:div>
    <w:div w:id="276329327">
      <w:bodyDiv w:val="1"/>
      <w:marLeft w:val="0"/>
      <w:marRight w:val="0"/>
      <w:marTop w:val="0"/>
      <w:marBottom w:val="0"/>
      <w:divBdr>
        <w:top w:val="none" w:sz="0" w:space="0" w:color="auto"/>
        <w:left w:val="none" w:sz="0" w:space="0" w:color="auto"/>
        <w:bottom w:val="none" w:sz="0" w:space="0" w:color="auto"/>
        <w:right w:val="none" w:sz="0" w:space="0" w:color="auto"/>
      </w:divBdr>
    </w:div>
    <w:div w:id="297956162">
      <w:bodyDiv w:val="1"/>
      <w:marLeft w:val="0"/>
      <w:marRight w:val="0"/>
      <w:marTop w:val="0"/>
      <w:marBottom w:val="0"/>
      <w:divBdr>
        <w:top w:val="none" w:sz="0" w:space="0" w:color="auto"/>
        <w:left w:val="none" w:sz="0" w:space="0" w:color="auto"/>
        <w:bottom w:val="none" w:sz="0" w:space="0" w:color="auto"/>
        <w:right w:val="none" w:sz="0" w:space="0" w:color="auto"/>
      </w:divBdr>
    </w:div>
    <w:div w:id="299504291">
      <w:bodyDiv w:val="1"/>
      <w:marLeft w:val="0"/>
      <w:marRight w:val="0"/>
      <w:marTop w:val="0"/>
      <w:marBottom w:val="0"/>
      <w:divBdr>
        <w:top w:val="none" w:sz="0" w:space="0" w:color="auto"/>
        <w:left w:val="none" w:sz="0" w:space="0" w:color="auto"/>
        <w:bottom w:val="none" w:sz="0" w:space="0" w:color="auto"/>
        <w:right w:val="none" w:sz="0" w:space="0" w:color="auto"/>
      </w:divBdr>
      <w:divsChild>
        <w:div w:id="1409882264">
          <w:marLeft w:val="0"/>
          <w:marRight w:val="0"/>
          <w:marTop w:val="0"/>
          <w:marBottom w:val="0"/>
          <w:divBdr>
            <w:top w:val="none" w:sz="0" w:space="0" w:color="auto"/>
            <w:left w:val="none" w:sz="0" w:space="0" w:color="auto"/>
            <w:bottom w:val="none" w:sz="0" w:space="0" w:color="auto"/>
            <w:right w:val="none" w:sz="0" w:space="0" w:color="auto"/>
          </w:divBdr>
          <w:divsChild>
            <w:div w:id="847212467">
              <w:marLeft w:val="0"/>
              <w:marRight w:val="0"/>
              <w:marTop w:val="0"/>
              <w:marBottom w:val="0"/>
              <w:divBdr>
                <w:top w:val="none" w:sz="0" w:space="0" w:color="auto"/>
                <w:left w:val="none" w:sz="0" w:space="0" w:color="auto"/>
                <w:bottom w:val="none" w:sz="0" w:space="0" w:color="auto"/>
                <w:right w:val="none" w:sz="0" w:space="0" w:color="auto"/>
              </w:divBdr>
              <w:divsChild>
                <w:div w:id="110869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3316126">
      <w:bodyDiv w:val="1"/>
      <w:marLeft w:val="0"/>
      <w:marRight w:val="0"/>
      <w:marTop w:val="0"/>
      <w:marBottom w:val="0"/>
      <w:divBdr>
        <w:top w:val="none" w:sz="0" w:space="0" w:color="auto"/>
        <w:left w:val="none" w:sz="0" w:space="0" w:color="auto"/>
        <w:bottom w:val="none" w:sz="0" w:space="0" w:color="auto"/>
        <w:right w:val="none" w:sz="0" w:space="0" w:color="auto"/>
      </w:divBdr>
    </w:div>
    <w:div w:id="304631124">
      <w:bodyDiv w:val="1"/>
      <w:marLeft w:val="0"/>
      <w:marRight w:val="0"/>
      <w:marTop w:val="0"/>
      <w:marBottom w:val="0"/>
      <w:divBdr>
        <w:top w:val="none" w:sz="0" w:space="0" w:color="auto"/>
        <w:left w:val="none" w:sz="0" w:space="0" w:color="auto"/>
        <w:bottom w:val="none" w:sz="0" w:space="0" w:color="auto"/>
        <w:right w:val="none" w:sz="0" w:space="0" w:color="auto"/>
      </w:divBdr>
    </w:div>
    <w:div w:id="306516137">
      <w:bodyDiv w:val="1"/>
      <w:marLeft w:val="0"/>
      <w:marRight w:val="0"/>
      <w:marTop w:val="0"/>
      <w:marBottom w:val="0"/>
      <w:divBdr>
        <w:top w:val="none" w:sz="0" w:space="0" w:color="auto"/>
        <w:left w:val="none" w:sz="0" w:space="0" w:color="auto"/>
        <w:bottom w:val="none" w:sz="0" w:space="0" w:color="auto"/>
        <w:right w:val="none" w:sz="0" w:space="0" w:color="auto"/>
      </w:divBdr>
      <w:divsChild>
        <w:div w:id="1878928165">
          <w:marLeft w:val="0"/>
          <w:marRight w:val="0"/>
          <w:marTop w:val="0"/>
          <w:marBottom w:val="0"/>
          <w:divBdr>
            <w:top w:val="none" w:sz="0" w:space="0" w:color="auto"/>
            <w:left w:val="none" w:sz="0" w:space="0" w:color="auto"/>
            <w:bottom w:val="none" w:sz="0" w:space="0" w:color="auto"/>
            <w:right w:val="none" w:sz="0" w:space="0" w:color="auto"/>
          </w:divBdr>
        </w:div>
        <w:div w:id="841892646">
          <w:marLeft w:val="0"/>
          <w:marRight w:val="0"/>
          <w:marTop w:val="0"/>
          <w:marBottom w:val="0"/>
          <w:divBdr>
            <w:top w:val="none" w:sz="0" w:space="0" w:color="auto"/>
            <w:left w:val="none" w:sz="0" w:space="0" w:color="auto"/>
            <w:bottom w:val="none" w:sz="0" w:space="0" w:color="auto"/>
            <w:right w:val="none" w:sz="0" w:space="0" w:color="auto"/>
          </w:divBdr>
        </w:div>
      </w:divsChild>
    </w:div>
    <w:div w:id="327756054">
      <w:bodyDiv w:val="1"/>
      <w:marLeft w:val="0"/>
      <w:marRight w:val="0"/>
      <w:marTop w:val="0"/>
      <w:marBottom w:val="0"/>
      <w:divBdr>
        <w:top w:val="none" w:sz="0" w:space="0" w:color="auto"/>
        <w:left w:val="none" w:sz="0" w:space="0" w:color="auto"/>
        <w:bottom w:val="none" w:sz="0" w:space="0" w:color="auto"/>
        <w:right w:val="none" w:sz="0" w:space="0" w:color="auto"/>
      </w:divBdr>
      <w:divsChild>
        <w:div w:id="621690678">
          <w:marLeft w:val="0"/>
          <w:marRight w:val="0"/>
          <w:marTop w:val="0"/>
          <w:marBottom w:val="0"/>
          <w:divBdr>
            <w:top w:val="none" w:sz="0" w:space="0" w:color="auto"/>
            <w:left w:val="none" w:sz="0" w:space="0" w:color="auto"/>
            <w:bottom w:val="none" w:sz="0" w:space="0" w:color="auto"/>
            <w:right w:val="none" w:sz="0" w:space="0" w:color="auto"/>
          </w:divBdr>
        </w:div>
      </w:divsChild>
    </w:div>
    <w:div w:id="332994981">
      <w:bodyDiv w:val="1"/>
      <w:marLeft w:val="0"/>
      <w:marRight w:val="0"/>
      <w:marTop w:val="0"/>
      <w:marBottom w:val="0"/>
      <w:divBdr>
        <w:top w:val="none" w:sz="0" w:space="0" w:color="auto"/>
        <w:left w:val="none" w:sz="0" w:space="0" w:color="auto"/>
        <w:bottom w:val="none" w:sz="0" w:space="0" w:color="auto"/>
        <w:right w:val="none" w:sz="0" w:space="0" w:color="auto"/>
      </w:divBdr>
    </w:div>
    <w:div w:id="339161046">
      <w:bodyDiv w:val="1"/>
      <w:marLeft w:val="0"/>
      <w:marRight w:val="0"/>
      <w:marTop w:val="0"/>
      <w:marBottom w:val="0"/>
      <w:divBdr>
        <w:top w:val="none" w:sz="0" w:space="0" w:color="auto"/>
        <w:left w:val="none" w:sz="0" w:space="0" w:color="auto"/>
        <w:bottom w:val="none" w:sz="0" w:space="0" w:color="auto"/>
        <w:right w:val="none" w:sz="0" w:space="0" w:color="auto"/>
      </w:divBdr>
    </w:div>
    <w:div w:id="344944058">
      <w:bodyDiv w:val="1"/>
      <w:marLeft w:val="0"/>
      <w:marRight w:val="0"/>
      <w:marTop w:val="0"/>
      <w:marBottom w:val="0"/>
      <w:divBdr>
        <w:top w:val="none" w:sz="0" w:space="0" w:color="auto"/>
        <w:left w:val="none" w:sz="0" w:space="0" w:color="auto"/>
        <w:bottom w:val="none" w:sz="0" w:space="0" w:color="auto"/>
        <w:right w:val="none" w:sz="0" w:space="0" w:color="auto"/>
      </w:divBdr>
      <w:divsChild>
        <w:div w:id="16321671">
          <w:marLeft w:val="600"/>
          <w:marRight w:val="0"/>
          <w:marTop w:val="0"/>
          <w:marBottom w:val="0"/>
          <w:divBdr>
            <w:top w:val="none" w:sz="0" w:space="0" w:color="auto"/>
            <w:left w:val="none" w:sz="0" w:space="0" w:color="auto"/>
            <w:bottom w:val="none" w:sz="0" w:space="0" w:color="auto"/>
            <w:right w:val="none" w:sz="0" w:space="0" w:color="auto"/>
          </w:divBdr>
        </w:div>
      </w:divsChild>
    </w:div>
    <w:div w:id="354580428">
      <w:bodyDiv w:val="1"/>
      <w:marLeft w:val="0"/>
      <w:marRight w:val="0"/>
      <w:marTop w:val="0"/>
      <w:marBottom w:val="0"/>
      <w:divBdr>
        <w:top w:val="none" w:sz="0" w:space="0" w:color="auto"/>
        <w:left w:val="none" w:sz="0" w:space="0" w:color="auto"/>
        <w:bottom w:val="none" w:sz="0" w:space="0" w:color="auto"/>
        <w:right w:val="none" w:sz="0" w:space="0" w:color="auto"/>
      </w:divBdr>
    </w:div>
    <w:div w:id="358317649">
      <w:bodyDiv w:val="1"/>
      <w:marLeft w:val="0"/>
      <w:marRight w:val="0"/>
      <w:marTop w:val="0"/>
      <w:marBottom w:val="0"/>
      <w:divBdr>
        <w:top w:val="none" w:sz="0" w:space="0" w:color="auto"/>
        <w:left w:val="none" w:sz="0" w:space="0" w:color="auto"/>
        <w:bottom w:val="none" w:sz="0" w:space="0" w:color="auto"/>
        <w:right w:val="none" w:sz="0" w:space="0" w:color="auto"/>
      </w:divBdr>
    </w:div>
    <w:div w:id="359012105">
      <w:bodyDiv w:val="1"/>
      <w:marLeft w:val="0"/>
      <w:marRight w:val="0"/>
      <w:marTop w:val="0"/>
      <w:marBottom w:val="0"/>
      <w:divBdr>
        <w:top w:val="none" w:sz="0" w:space="0" w:color="auto"/>
        <w:left w:val="none" w:sz="0" w:space="0" w:color="auto"/>
        <w:bottom w:val="none" w:sz="0" w:space="0" w:color="auto"/>
        <w:right w:val="none" w:sz="0" w:space="0" w:color="auto"/>
      </w:divBdr>
      <w:divsChild>
        <w:div w:id="1719668656">
          <w:marLeft w:val="0"/>
          <w:marRight w:val="0"/>
          <w:marTop w:val="0"/>
          <w:marBottom w:val="0"/>
          <w:divBdr>
            <w:top w:val="none" w:sz="0" w:space="0" w:color="auto"/>
            <w:left w:val="none" w:sz="0" w:space="0" w:color="auto"/>
            <w:bottom w:val="none" w:sz="0" w:space="0" w:color="auto"/>
            <w:right w:val="none" w:sz="0" w:space="0" w:color="auto"/>
          </w:divBdr>
        </w:div>
        <w:div w:id="1395424552">
          <w:marLeft w:val="0"/>
          <w:marRight w:val="0"/>
          <w:marTop w:val="0"/>
          <w:marBottom w:val="0"/>
          <w:divBdr>
            <w:top w:val="none" w:sz="0" w:space="0" w:color="auto"/>
            <w:left w:val="none" w:sz="0" w:space="0" w:color="auto"/>
            <w:bottom w:val="none" w:sz="0" w:space="0" w:color="auto"/>
            <w:right w:val="none" w:sz="0" w:space="0" w:color="auto"/>
          </w:divBdr>
        </w:div>
      </w:divsChild>
    </w:div>
    <w:div w:id="368265382">
      <w:bodyDiv w:val="1"/>
      <w:marLeft w:val="0"/>
      <w:marRight w:val="0"/>
      <w:marTop w:val="0"/>
      <w:marBottom w:val="0"/>
      <w:divBdr>
        <w:top w:val="none" w:sz="0" w:space="0" w:color="auto"/>
        <w:left w:val="none" w:sz="0" w:space="0" w:color="auto"/>
        <w:bottom w:val="none" w:sz="0" w:space="0" w:color="auto"/>
        <w:right w:val="none" w:sz="0" w:space="0" w:color="auto"/>
      </w:divBdr>
    </w:div>
    <w:div w:id="372507649">
      <w:bodyDiv w:val="1"/>
      <w:marLeft w:val="0"/>
      <w:marRight w:val="0"/>
      <w:marTop w:val="0"/>
      <w:marBottom w:val="0"/>
      <w:divBdr>
        <w:top w:val="none" w:sz="0" w:space="0" w:color="auto"/>
        <w:left w:val="none" w:sz="0" w:space="0" w:color="auto"/>
        <w:bottom w:val="none" w:sz="0" w:space="0" w:color="auto"/>
        <w:right w:val="none" w:sz="0" w:space="0" w:color="auto"/>
      </w:divBdr>
      <w:divsChild>
        <w:div w:id="1850294277">
          <w:marLeft w:val="0"/>
          <w:marRight w:val="0"/>
          <w:marTop w:val="0"/>
          <w:marBottom w:val="0"/>
          <w:divBdr>
            <w:top w:val="none" w:sz="0" w:space="0" w:color="auto"/>
            <w:left w:val="none" w:sz="0" w:space="0" w:color="auto"/>
            <w:bottom w:val="none" w:sz="0" w:space="0" w:color="auto"/>
            <w:right w:val="none" w:sz="0" w:space="0" w:color="auto"/>
          </w:divBdr>
          <w:divsChild>
            <w:div w:id="1943762792">
              <w:marLeft w:val="0"/>
              <w:marRight w:val="0"/>
              <w:marTop w:val="0"/>
              <w:marBottom w:val="0"/>
              <w:divBdr>
                <w:top w:val="none" w:sz="0" w:space="0" w:color="auto"/>
                <w:left w:val="none" w:sz="0" w:space="0" w:color="auto"/>
                <w:bottom w:val="none" w:sz="0" w:space="0" w:color="auto"/>
                <w:right w:val="none" w:sz="0" w:space="0" w:color="auto"/>
              </w:divBdr>
              <w:divsChild>
                <w:div w:id="969937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281341">
      <w:bodyDiv w:val="1"/>
      <w:marLeft w:val="0"/>
      <w:marRight w:val="0"/>
      <w:marTop w:val="0"/>
      <w:marBottom w:val="0"/>
      <w:divBdr>
        <w:top w:val="none" w:sz="0" w:space="0" w:color="auto"/>
        <w:left w:val="none" w:sz="0" w:space="0" w:color="auto"/>
        <w:bottom w:val="none" w:sz="0" w:space="0" w:color="auto"/>
        <w:right w:val="none" w:sz="0" w:space="0" w:color="auto"/>
      </w:divBdr>
    </w:div>
    <w:div w:id="395323246">
      <w:bodyDiv w:val="1"/>
      <w:marLeft w:val="0"/>
      <w:marRight w:val="0"/>
      <w:marTop w:val="0"/>
      <w:marBottom w:val="0"/>
      <w:divBdr>
        <w:top w:val="none" w:sz="0" w:space="0" w:color="auto"/>
        <w:left w:val="none" w:sz="0" w:space="0" w:color="auto"/>
        <w:bottom w:val="none" w:sz="0" w:space="0" w:color="auto"/>
        <w:right w:val="none" w:sz="0" w:space="0" w:color="auto"/>
      </w:divBdr>
      <w:divsChild>
        <w:div w:id="459495971">
          <w:marLeft w:val="0"/>
          <w:marRight w:val="0"/>
          <w:marTop w:val="0"/>
          <w:marBottom w:val="0"/>
          <w:divBdr>
            <w:top w:val="none" w:sz="0" w:space="0" w:color="auto"/>
            <w:left w:val="none" w:sz="0" w:space="0" w:color="auto"/>
            <w:bottom w:val="none" w:sz="0" w:space="0" w:color="auto"/>
            <w:right w:val="none" w:sz="0" w:space="0" w:color="auto"/>
          </w:divBdr>
          <w:divsChild>
            <w:div w:id="4790344">
              <w:marLeft w:val="0"/>
              <w:marRight w:val="0"/>
              <w:marTop w:val="0"/>
              <w:marBottom w:val="0"/>
              <w:divBdr>
                <w:top w:val="none" w:sz="0" w:space="0" w:color="auto"/>
                <w:left w:val="none" w:sz="0" w:space="0" w:color="auto"/>
                <w:bottom w:val="none" w:sz="0" w:space="0" w:color="auto"/>
                <w:right w:val="none" w:sz="0" w:space="0" w:color="auto"/>
              </w:divBdr>
              <w:divsChild>
                <w:div w:id="1019351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553122">
      <w:bodyDiv w:val="1"/>
      <w:marLeft w:val="0"/>
      <w:marRight w:val="0"/>
      <w:marTop w:val="0"/>
      <w:marBottom w:val="0"/>
      <w:divBdr>
        <w:top w:val="none" w:sz="0" w:space="0" w:color="auto"/>
        <w:left w:val="none" w:sz="0" w:space="0" w:color="auto"/>
        <w:bottom w:val="none" w:sz="0" w:space="0" w:color="auto"/>
        <w:right w:val="none" w:sz="0" w:space="0" w:color="auto"/>
      </w:divBdr>
    </w:div>
    <w:div w:id="433674255">
      <w:bodyDiv w:val="1"/>
      <w:marLeft w:val="0"/>
      <w:marRight w:val="0"/>
      <w:marTop w:val="0"/>
      <w:marBottom w:val="0"/>
      <w:divBdr>
        <w:top w:val="none" w:sz="0" w:space="0" w:color="auto"/>
        <w:left w:val="none" w:sz="0" w:space="0" w:color="auto"/>
        <w:bottom w:val="none" w:sz="0" w:space="0" w:color="auto"/>
        <w:right w:val="none" w:sz="0" w:space="0" w:color="auto"/>
      </w:divBdr>
    </w:div>
    <w:div w:id="442379048">
      <w:bodyDiv w:val="1"/>
      <w:marLeft w:val="0"/>
      <w:marRight w:val="0"/>
      <w:marTop w:val="0"/>
      <w:marBottom w:val="0"/>
      <w:divBdr>
        <w:top w:val="none" w:sz="0" w:space="0" w:color="auto"/>
        <w:left w:val="none" w:sz="0" w:space="0" w:color="auto"/>
        <w:bottom w:val="none" w:sz="0" w:space="0" w:color="auto"/>
        <w:right w:val="none" w:sz="0" w:space="0" w:color="auto"/>
      </w:divBdr>
    </w:div>
    <w:div w:id="478226396">
      <w:bodyDiv w:val="1"/>
      <w:marLeft w:val="0"/>
      <w:marRight w:val="0"/>
      <w:marTop w:val="0"/>
      <w:marBottom w:val="0"/>
      <w:divBdr>
        <w:top w:val="none" w:sz="0" w:space="0" w:color="auto"/>
        <w:left w:val="none" w:sz="0" w:space="0" w:color="auto"/>
        <w:bottom w:val="none" w:sz="0" w:space="0" w:color="auto"/>
        <w:right w:val="none" w:sz="0" w:space="0" w:color="auto"/>
      </w:divBdr>
    </w:div>
    <w:div w:id="498422634">
      <w:bodyDiv w:val="1"/>
      <w:marLeft w:val="0"/>
      <w:marRight w:val="0"/>
      <w:marTop w:val="0"/>
      <w:marBottom w:val="0"/>
      <w:divBdr>
        <w:top w:val="none" w:sz="0" w:space="0" w:color="auto"/>
        <w:left w:val="none" w:sz="0" w:space="0" w:color="auto"/>
        <w:bottom w:val="none" w:sz="0" w:space="0" w:color="auto"/>
        <w:right w:val="none" w:sz="0" w:space="0" w:color="auto"/>
      </w:divBdr>
    </w:div>
    <w:div w:id="500464874">
      <w:bodyDiv w:val="1"/>
      <w:marLeft w:val="0"/>
      <w:marRight w:val="0"/>
      <w:marTop w:val="0"/>
      <w:marBottom w:val="0"/>
      <w:divBdr>
        <w:top w:val="none" w:sz="0" w:space="0" w:color="auto"/>
        <w:left w:val="none" w:sz="0" w:space="0" w:color="auto"/>
        <w:bottom w:val="none" w:sz="0" w:space="0" w:color="auto"/>
        <w:right w:val="none" w:sz="0" w:space="0" w:color="auto"/>
      </w:divBdr>
    </w:div>
    <w:div w:id="506404192">
      <w:bodyDiv w:val="1"/>
      <w:marLeft w:val="0"/>
      <w:marRight w:val="0"/>
      <w:marTop w:val="0"/>
      <w:marBottom w:val="0"/>
      <w:divBdr>
        <w:top w:val="none" w:sz="0" w:space="0" w:color="auto"/>
        <w:left w:val="none" w:sz="0" w:space="0" w:color="auto"/>
        <w:bottom w:val="none" w:sz="0" w:space="0" w:color="auto"/>
        <w:right w:val="none" w:sz="0" w:space="0" w:color="auto"/>
      </w:divBdr>
      <w:divsChild>
        <w:div w:id="989945610">
          <w:marLeft w:val="0"/>
          <w:marRight w:val="0"/>
          <w:marTop w:val="0"/>
          <w:marBottom w:val="0"/>
          <w:divBdr>
            <w:top w:val="none" w:sz="0" w:space="0" w:color="auto"/>
            <w:left w:val="none" w:sz="0" w:space="0" w:color="auto"/>
            <w:bottom w:val="none" w:sz="0" w:space="0" w:color="auto"/>
            <w:right w:val="none" w:sz="0" w:space="0" w:color="auto"/>
          </w:divBdr>
        </w:div>
        <w:div w:id="924071553">
          <w:marLeft w:val="0"/>
          <w:marRight w:val="0"/>
          <w:marTop w:val="0"/>
          <w:marBottom w:val="0"/>
          <w:divBdr>
            <w:top w:val="none" w:sz="0" w:space="0" w:color="auto"/>
            <w:left w:val="none" w:sz="0" w:space="0" w:color="auto"/>
            <w:bottom w:val="none" w:sz="0" w:space="0" w:color="auto"/>
            <w:right w:val="none" w:sz="0" w:space="0" w:color="auto"/>
          </w:divBdr>
        </w:div>
      </w:divsChild>
    </w:div>
    <w:div w:id="528031807">
      <w:bodyDiv w:val="1"/>
      <w:marLeft w:val="0"/>
      <w:marRight w:val="0"/>
      <w:marTop w:val="0"/>
      <w:marBottom w:val="0"/>
      <w:divBdr>
        <w:top w:val="none" w:sz="0" w:space="0" w:color="auto"/>
        <w:left w:val="none" w:sz="0" w:space="0" w:color="auto"/>
        <w:bottom w:val="none" w:sz="0" w:space="0" w:color="auto"/>
        <w:right w:val="none" w:sz="0" w:space="0" w:color="auto"/>
      </w:divBdr>
    </w:div>
    <w:div w:id="531695260">
      <w:bodyDiv w:val="1"/>
      <w:marLeft w:val="0"/>
      <w:marRight w:val="0"/>
      <w:marTop w:val="0"/>
      <w:marBottom w:val="0"/>
      <w:divBdr>
        <w:top w:val="none" w:sz="0" w:space="0" w:color="auto"/>
        <w:left w:val="none" w:sz="0" w:space="0" w:color="auto"/>
        <w:bottom w:val="none" w:sz="0" w:space="0" w:color="auto"/>
        <w:right w:val="none" w:sz="0" w:space="0" w:color="auto"/>
      </w:divBdr>
    </w:div>
    <w:div w:id="541480950">
      <w:bodyDiv w:val="1"/>
      <w:marLeft w:val="0"/>
      <w:marRight w:val="0"/>
      <w:marTop w:val="0"/>
      <w:marBottom w:val="0"/>
      <w:divBdr>
        <w:top w:val="none" w:sz="0" w:space="0" w:color="auto"/>
        <w:left w:val="none" w:sz="0" w:space="0" w:color="auto"/>
        <w:bottom w:val="none" w:sz="0" w:space="0" w:color="auto"/>
        <w:right w:val="none" w:sz="0" w:space="0" w:color="auto"/>
      </w:divBdr>
    </w:div>
    <w:div w:id="541553313">
      <w:bodyDiv w:val="1"/>
      <w:marLeft w:val="0"/>
      <w:marRight w:val="0"/>
      <w:marTop w:val="0"/>
      <w:marBottom w:val="0"/>
      <w:divBdr>
        <w:top w:val="none" w:sz="0" w:space="0" w:color="auto"/>
        <w:left w:val="none" w:sz="0" w:space="0" w:color="auto"/>
        <w:bottom w:val="none" w:sz="0" w:space="0" w:color="auto"/>
        <w:right w:val="none" w:sz="0" w:space="0" w:color="auto"/>
      </w:divBdr>
    </w:div>
    <w:div w:id="543951714">
      <w:bodyDiv w:val="1"/>
      <w:marLeft w:val="0"/>
      <w:marRight w:val="0"/>
      <w:marTop w:val="0"/>
      <w:marBottom w:val="0"/>
      <w:divBdr>
        <w:top w:val="none" w:sz="0" w:space="0" w:color="auto"/>
        <w:left w:val="none" w:sz="0" w:space="0" w:color="auto"/>
        <w:bottom w:val="none" w:sz="0" w:space="0" w:color="auto"/>
        <w:right w:val="none" w:sz="0" w:space="0" w:color="auto"/>
      </w:divBdr>
    </w:div>
    <w:div w:id="555359512">
      <w:bodyDiv w:val="1"/>
      <w:marLeft w:val="0"/>
      <w:marRight w:val="0"/>
      <w:marTop w:val="0"/>
      <w:marBottom w:val="0"/>
      <w:divBdr>
        <w:top w:val="none" w:sz="0" w:space="0" w:color="auto"/>
        <w:left w:val="none" w:sz="0" w:space="0" w:color="auto"/>
        <w:bottom w:val="none" w:sz="0" w:space="0" w:color="auto"/>
        <w:right w:val="none" w:sz="0" w:space="0" w:color="auto"/>
      </w:divBdr>
    </w:div>
    <w:div w:id="563418355">
      <w:bodyDiv w:val="1"/>
      <w:marLeft w:val="0"/>
      <w:marRight w:val="0"/>
      <w:marTop w:val="0"/>
      <w:marBottom w:val="0"/>
      <w:divBdr>
        <w:top w:val="none" w:sz="0" w:space="0" w:color="auto"/>
        <w:left w:val="none" w:sz="0" w:space="0" w:color="auto"/>
        <w:bottom w:val="none" w:sz="0" w:space="0" w:color="auto"/>
        <w:right w:val="none" w:sz="0" w:space="0" w:color="auto"/>
      </w:divBdr>
    </w:div>
    <w:div w:id="566575472">
      <w:bodyDiv w:val="1"/>
      <w:marLeft w:val="0"/>
      <w:marRight w:val="0"/>
      <w:marTop w:val="0"/>
      <w:marBottom w:val="0"/>
      <w:divBdr>
        <w:top w:val="none" w:sz="0" w:space="0" w:color="auto"/>
        <w:left w:val="none" w:sz="0" w:space="0" w:color="auto"/>
        <w:bottom w:val="none" w:sz="0" w:space="0" w:color="auto"/>
        <w:right w:val="none" w:sz="0" w:space="0" w:color="auto"/>
      </w:divBdr>
    </w:div>
    <w:div w:id="584804319">
      <w:bodyDiv w:val="1"/>
      <w:marLeft w:val="0"/>
      <w:marRight w:val="0"/>
      <w:marTop w:val="0"/>
      <w:marBottom w:val="0"/>
      <w:divBdr>
        <w:top w:val="none" w:sz="0" w:space="0" w:color="auto"/>
        <w:left w:val="none" w:sz="0" w:space="0" w:color="auto"/>
        <w:bottom w:val="none" w:sz="0" w:space="0" w:color="auto"/>
        <w:right w:val="none" w:sz="0" w:space="0" w:color="auto"/>
      </w:divBdr>
    </w:div>
    <w:div w:id="610941550">
      <w:bodyDiv w:val="1"/>
      <w:marLeft w:val="0"/>
      <w:marRight w:val="0"/>
      <w:marTop w:val="0"/>
      <w:marBottom w:val="0"/>
      <w:divBdr>
        <w:top w:val="none" w:sz="0" w:space="0" w:color="auto"/>
        <w:left w:val="none" w:sz="0" w:space="0" w:color="auto"/>
        <w:bottom w:val="none" w:sz="0" w:space="0" w:color="auto"/>
        <w:right w:val="none" w:sz="0" w:space="0" w:color="auto"/>
      </w:divBdr>
    </w:div>
    <w:div w:id="615715987">
      <w:bodyDiv w:val="1"/>
      <w:marLeft w:val="0"/>
      <w:marRight w:val="0"/>
      <w:marTop w:val="0"/>
      <w:marBottom w:val="0"/>
      <w:divBdr>
        <w:top w:val="none" w:sz="0" w:space="0" w:color="auto"/>
        <w:left w:val="none" w:sz="0" w:space="0" w:color="auto"/>
        <w:bottom w:val="none" w:sz="0" w:space="0" w:color="auto"/>
        <w:right w:val="none" w:sz="0" w:space="0" w:color="auto"/>
      </w:divBdr>
    </w:div>
    <w:div w:id="623851930">
      <w:bodyDiv w:val="1"/>
      <w:marLeft w:val="0"/>
      <w:marRight w:val="0"/>
      <w:marTop w:val="0"/>
      <w:marBottom w:val="0"/>
      <w:divBdr>
        <w:top w:val="none" w:sz="0" w:space="0" w:color="auto"/>
        <w:left w:val="none" w:sz="0" w:space="0" w:color="auto"/>
        <w:bottom w:val="none" w:sz="0" w:space="0" w:color="auto"/>
        <w:right w:val="none" w:sz="0" w:space="0" w:color="auto"/>
      </w:divBdr>
    </w:div>
    <w:div w:id="624384784">
      <w:bodyDiv w:val="1"/>
      <w:marLeft w:val="0"/>
      <w:marRight w:val="0"/>
      <w:marTop w:val="0"/>
      <w:marBottom w:val="0"/>
      <w:divBdr>
        <w:top w:val="none" w:sz="0" w:space="0" w:color="auto"/>
        <w:left w:val="none" w:sz="0" w:space="0" w:color="auto"/>
        <w:bottom w:val="none" w:sz="0" w:space="0" w:color="auto"/>
        <w:right w:val="none" w:sz="0" w:space="0" w:color="auto"/>
      </w:divBdr>
    </w:div>
    <w:div w:id="627204372">
      <w:bodyDiv w:val="1"/>
      <w:marLeft w:val="0"/>
      <w:marRight w:val="0"/>
      <w:marTop w:val="0"/>
      <w:marBottom w:val="0"/>
      <w:divBdr>
        <w:top w:val="none" w:sz="0" w:space="0" w:color="auto"/>
        <w:left w:val="none" w:sz="0" w:space="0" w:color="auto"/>
        <w:bottom w:val="none" w:sz="0" w:space="0" w:color="auto"/>
        <w:right w:val="none" w:sz="0" w:space="0" w:color="auto"/>
      </w:divBdr>
    </w:div>
    <w:div w:id="635837931">
      <w:bodyDiv w:val="1"/>
      <w:marLeft w:val="0"/>
      <w:marRight w:val="0"/>
      <w:marTop w:val="0"/>
      <w:marBottom w:val="0"/>
      <w:divBdr>
        <w:top w:val="none" w:sz="0" w:space="0" w:color="auto"/>
        <w:left w:val="none" w:sz="0" w:space="0" w:color="auto"/>
        <w:bottom w:val="none" w:sz="0" w:space="0" w:color="auto"/>
        <w:right w:val="none" w:sz="0" w:space="0" w:color="auto"/>
      </w:divBdr>
    </w:div>
    <w:div w:id="639574073">
      <w:bodyDiv w:val="1"/>
      <w:marLeft w:val="0"/>
      <w:marRight w:val="0"/>
      <w:marTop w:val="0"/>
      <w:marBottom w:val="0"/>
      <w:divBdr>
        <w:top w:val="none" w:sz="0" w:space="0" w:color="auto"/>
        <w:left w:val="none" w:sz="0" w:space="0" w:color="auto"/>
        <w:bottom w:val="none" w:sz="0" w:space="0" w:color="auto"/>
        <w:right w:val="none" w:sz="0" w:space="0" w:color="auto"/>
      </w:divBdr>
    </w:div>
    <w:div w:id="647829386">
      <w:bodyDiv w:val="1"/>
      <w:marLeft w:val="0"/>
      <w:marRight w:val="0"/>
      <w:marTop w:val="0"/>
      <w:marBottom w:val="0"/>
      <w:divBdr>
        <w:top w:val="none" w:sz="0" w:space="0" w:color="auto"/>
        <w:left w:val="none" w:sz="0" w:space="0" w:color="auto"/>
        <w:bottom w:val="none" w:sz="0" w:space="0" w:color="auto"/>
        <w:right w:val="none" w:sz="0" w:space="0" w:color="auto"/>
      </w:divBdr>
    </w:div>
    <w:div w:id="657802474">
      <w:bodyDiv w:val="1"/>
      <w:marLeft w:val="0"/>
      <w:marRight w:val="0"/>
      <w:marTop w:val="0"/>
      <w:marBottom w:val="0"/>
      <w:divBdr>
        <w:top w:val="none" w:sz="0" w:space="0" w:color="auto"/>
        <w:left w:val="none" w:sz="0" w:space="0" w:color="auto"/>
        <w:bottom w:val="none" w:sz="0" w:space="0" w:color="auto"/>
        <w:right w:val="none" w:sz="0" w:space="0" w:color="auto"/>
      </w:divBdr>
    </w:div>
    <w:div w:id="673802674">
      <w:bodyDiv w:val="1"/>
      <w:marLeft w:val="0"/>
      <w:marRight w:val="0"/>
      <w:marTop w:val="0"/>
      <w:marBottom w:val="0"/>
      <w:divBdr>
        <w:top w:val="none" w:sz="0" w:space="0" w:color="auto"/>
        <w:left w:val="none" w:sz="0" w:space="0" w:color="auto"/>
        <w:bottom w:val="none" w:sz="0" w:space="0" w:color="auto"/>
        <w:right w:val="none" w:sz="0" w:space="0" w:color="auto"/>
      </w:divBdr>
      <w:divsChild>
        <w:div w:id="1262302229">
          <w:marLeft w:val="0"/>
          <w:marRight w:val="0"/>
          <w:marTop w:val="0"/>
          <w:marBottom w:val="0"/>
          <w:divBdr>
            <w:top w:val="none" w:sz="0" w:space="0" w:color="auto"/>
            <w:left w:val="none" w:sz="0" w:space="0" w:color="auto"/>
            <w:bottom w:val="none" w:sz="0" w:space="0" w:color="auto"/>
            <w:right w:val="none" w:sz="0" w:space="0" w:color="auto"/>
          </w:divBdr>
        </w:div>
      </w:divsChild>
    </w:div>
    <w:div w:id="677462518">
      <w:bodyDiv w:val="1"/>
      <w:marLeft w:val="0"/>
      <w:marRight w:val="0"/>
      <w:marTop w:val="0"/>
      <w:marBottom w:val="0"/>
      <w:divBdr>
        <w:top w:val="none" w:sz="0" w:space="0" w:color="auto"/>
        <w:left w:val="none" w:sz="0" w:space="0" w:color="auto"/>
        <w:bottom w:val="none" w:sz="0" w:space="0" w:color="auto"/>
        <w:right w:val="none" w:sz="0" w:space="0" w:color="auto"/>
      </w:divBdr>
    </w:div>
    <w:div w:id="697698169">
      <w:bodyDiv w:val="1"/>
      <w:marLeft w:val="0"/>
      <w:marRight w:val="0"/>
      <w:marTop w:val="0"/>
      <w:marBottom w:val="0"/>
      <w:divBdr>
        <w:top w:val="none" w:sz="0" w:space="0" w:color="auto"/>
        <w:left w:val="none" w:sz="0" w:space="0" w:color="auto"/>
        <w:bottom w:val="none" w:sz="0" w:space="0" w:color="auto"/>
        <w:right w:val="none" w:sz="0" w:space="0" w:color="auto"/>
      </w:divBdr>
      <w:divsChild>
        <w:div w:id="953437656">
          <w:marLeft w:val="0"/>
          <w:marRight w:val="0"/>
          <w:marTop w:val="0"/>
          <w:marBottom w:val="0"/>
          <w:divBdr>
            <w:top w:val="none" w:sz="0" w:space="0" w:color="auto"/>
            <w:left w:val="none" w:sz="0" w:space="0" w:color="auto"/>
            <w:bottom w:val="none" w:sz="0" w:space="0" w:color="auto"/>
            <w:right w:val="none" w:sz="0" w:space="0" w:color="auto"/>
          </w:divBdr>
        </w:div>
        <w:div w:id="2009745801">
          <w:marLeft w:val="0"/>
          <w:marRight w:val="0"/>
          <w:marTop w:val="0"/>
          <w:marBottom w:val="0"/>
          <w:divBdr>
            <w:top w:val="none" w:sz="0" w:space="0" w:color="auto"/>
            <w:left w:val="none" w:sz="0" w:space="0" w:color="auto"/>
            <w:bottom w:val="none" w:sz="0" w:space="0" w:color="auto"/>
            <w:right w:val="none" w:sz="0" w:space="0" w:color="auto"/>
          </w:divBdr>
        </w:div>
      </w:divsChild>
    </w:div>
    <w:div w:id="707996020">
      <w:bodyDiv w:val="1"/>
      <w:marLeft w:val="0"/>
      <w:marRight w:val="0"/>
      <w:marTop w:val="0"/>
      <w:marBottom w:val="0"/>
      <w:divBdr>
        <w:top w:val="none" w:sz="0" w:space="0" w:color="auto"/>
        <w:left w:val="none" w:sz="0" w:space="0" w:color="auto"/>
        <w:bottom w:val="none" w:sz="0" w:space="0" w:color="auto"/>
        <w:right w:val="none" w:sz="0" w:space="0" w:color="auto"/>
      </w:divBdr>
    </w:div>
    <w:div w:id="737485614">
      <w:bodyDiv w:val="1"/>
      <w:marLeft w:val="0"/>
      <w:marRight w:val="0"/>
      <w:marTop w:val="0"/>
      <w:marBottom w:val="0"/>
      <w:divBdr>
        <w:top w:val="none" w:sz="0" w:space="0" w:color="auto"/>
        <w:left w:val="none" w:sz="0" w:space="0" w:color="auto"/>
        <w:bottom w:val="none" w:sz="0" w:space="0" w:color="auto"/>
        <w:right w:val="none" w:sz="0" w:space="0" w:color="auto"/>
      </w:divBdr>
      <w:divsChild>
        <w:div w:id="682243923">
          <w:marLeft w:val="0"/>
          <w:marRight w:val="0"/>
          <w:marTop w:val="0"/>
          <w:marBottom w:val="0"/>
          <w:divBdr>
            <w:top w:val="none" w:sz="0" w:space="0" w:color="auto"/>
            <w:left w:val="none" w:sz="0" w:space="0" w:color="auto"/>
            <w:bottom w:val="none" w:sz="0" w:space="0" w:color="auto"/>
            <w:right w:val="none" w:sz="0" w:space="0" w:color="auto"/>
          </w:divBdr>
        </w:div>
        <w:div w:id="1934896766">
          <w:marLeft w:val="0"/>
          <w:marRight w:val="0"/>
          <w:marTop w:val="0"/>
          <w:marBottom w:val="0"/>
          <w:divBdr>
            <w:top w:val="none" w:sz="0" w:space="0" w:color="auto"/>
            <w:left w:val="none" w:sz="0" w:space="0" w:color="auto"/>
            <w:bottom w:val="none" w:sz="0" w:space="0" w:color="auto"/>
            <w:right w:val="none" w:sz="0" w:space="0" w:color="auto"/>
          </w:divBdr>
        </w:div>
      </w:divsChild>
    </w:div>
    <w:div w:id="738098185">
      <w:bodyDiv w:val="1"/>
      <w:marLeft w:val="0"/>
      <w:marRight w:val="0"/>
      <w:marTop w:val="0"/>
      <w:marBottom w:val="0"/>
      <w:divBdr>
        <w:top w:val="none" w:sz="0" w:space="0" w:color="auto"/>
        <w:left w:val="none" w:sz="0" w:space="0" w:color="auto"/>
        <w:bottom w:val="none" w:sz="0" w:space="0" w:color="auto"/>
        <w:right w:val="none" w:sz="0" w:space="0" w:color="auto"/>
      </w:divBdr>
    </w:div>
    <w:div w:id="745496165">
      <w:bodyDiv w:val="1"/>
      <w:marLeft w:val="0"/>
      <w:marRight w:val="0"/>
      <w:marTop w:val="0"/>
      <w:marBottom w:val="0"/>
      <w:divBdr>
        <w:top w:val="none" w:sz="0" w:space="0" w:color="auto"/>
        <w:left w:val="none" w:sz="0" w:space="0" w:color="auto"/>
        <w:bottom w:val="none" w:sz="0" w:space="0" w:color="auto"/>
        <w:right w:val="none" w:sz="0" w:space="0" w:color="auto"/>
      </w:divBdr>
    </w:div>
    <w:div w:id="752166520">
      <w:bodyDiv w:val="1"/>
      <w:marLeft w:val="0"/>
      <w:marRight w:val="0"/>
      <w:marTop w:val="0"/>
      <w:marBottom w:val="0"/>
      <w:divBdr>
        <w:top w:val="none" w:sz="0" w:space="0" w:color="auto"/>
        <w:left w:val="none" w:sz="0" w:space="0" w:color="auto"/>
        <w:bottom w:val="none" w:sz="0" w:space="0" w:color="auto"/>
        <w:right w:val="none" w:sz="0" w:space="0" w:color="auto"/>
      </w:divBdr>
    </w:div>
    <w:div w:id="755512922">
      <w:bodyDiv w:val="1"/>
      <w:marLeft w:val="0"/>
      <w:marRight w:val="0"/>
      <w:marTop w:val="0"/>
      <w:marBottom w:val="0"/>
      <w:divBdr>
        <w:top w:val="none" w:sz="0" w:space="0" w:color="auto"/>
        <w:left w:val="none" w:sz="0" w:space="0" w:color="auto"/>
        <w:bottom w:val="none" w:sz="0" w:space="0" w:color="auto"/>
        <w:right w:val="none" w:sz="0" w:space="0" w:color="auto"/>
      </w:divBdr>
    </w:div>
    <w:div w:id="755708316">
      <w:bodyDiv w:val="1"/>
      <w:marLeft w:val="0"/>
      <w:marRight w:val="0"/>
      <w:marTop w:val="0"/>
      <w:marBottom w:val="0"/>
      <w:divBdr>
        <w:top w:val="none" w:sz="0" w:space="0" w:color="auto"/>
        <w:left w:val="none" w:sz="0" w:space="0" w:color="auto"/>
        <w:bottom w:val="none" w:sz="0" w:space="0" w:color="auto"/>
        <w:right w:val="none" w:sz="0" w:space="0" w:color="auto"/>
      </w:divBdr>
    </w:div>
    <w:div w:id="777603651">
      <w:bodyDiv w:val="1"/>
      <w:marLeft w:val="0"/>
      <w:marRight w:val="0"/>
      <w:marTop w:val="0"/>
      <w:marBottom w:val="0"/>
      <w:divBdr>
        <w:top w:val="none" w:sz="0" w:space="0" w:color="auto"/>
        <w:left w:val="none" w:sz="0" w:space="0" w:color="auto"/>
        <w:bottom w:val="none" w:sz="0" w:space="0" w:color="auto"/>
        <w:right w:val="none" w:sz="0" w:space="0" w:color="auto"/>
      </w:divBdr>
    </w:div>
    <w:div w:id="788355827">
      <w:bodyDiv w:val="1"/>
      <w:marLeft w:val="0"/>
      <w:marRight w:val="0"/>
      <w:marTop w:val="0"/>
      <w:marBottom w:val="0"/>
      <w:divBdr>
        <w:top w:val="none" w:sz="0" w:space="0" w:color="auto"/>
        <w:left w:val="none" w:sz="0" w:space="0" w:color="auto"/>
        <w:bottom w:val="none" w:sz="0" w:space="0" w:color="auto"/>
        <w:right w:val="none" w:sz="0" w:space="0" w:color="auto"/>
      </w:divBdr>
    </w:div>
    <w:div w:id="794102767">
      <w:bodyDiv w:val="1"/>
      <w:marLeft w:val="0"/>
      <w:marRight w:val="0"/>
      <w:marTop w:val="0"/>
      <w:marBottom w:val="0"/>
      <w:divBdr>
        <w:top w:val="none" w:sz="0" w:space="0" w:color="auto"/>
        <w:left w:val="none" w:sz="0" w:space="0" w:color="auto"/>
        <w:bottom w:val="none" w:sz="0" w:space="0" w:color="auto"/>
        <w:right w:val="none" w:sz="0" w:space="0" w:color="auto"/>
      </w:divBdr>
    </w:div>
    <w:div w:id="823164706">
      <w:bodyDiv w:val="1"/>
      <w:marLeft w:val="0"/>
      <w:marRight w:val="0"/>
      <w:marTop w:val="0"/>
      <w:marBottom w:val="0"/>
      <w:divBdr>
        <w:top w:val="none" w:sz="0" w:space="0" w:color="auto"/>
        <w:left w:val="none" w:sz="0" w:space="0" w:color="auto"/>
        <w:bottom w:val="none" w:sz="0" w:space="0" w:color="auto"/>
        <w:right w:val="none" w:sz="0" w:space="0" w:color="auto"/>
      </w:divBdr>
    </w:div>
    <w:div w:id="826089995">
      <w:bodyDiv w:val="1"/>
      <w:marLeft w:val="0"/>
      <w:marRight w:val="0"/>
      <w:marTop w:val="0"/>
      <w:marBottom w:val="0"/>
      <w:divBdr>
        <w:top w:val="none" w:sz="0" w:space="0" w:color="auto"/>
        <w:left w:val="none" w:sz="0" w:space="0" w:color="auto"/>
        <w:bottom w:val="none" w:sz="0" w:space="0" w:color="auto"/>
        <w:right w:val="none" w:sz="0" w:space="0" w:color="auto"/>
      </w:divBdr>
    </w:div>
    <w:div w:id="836068877">
      <w:bodyDiv w:val="1"/>
      <w:marLeft w:val="0"/>
      <w:marRight w:val="0"/>
      <w:marTop w:val="0"/>
      <w:marBottom w:val="0"/>
      <w:divBdr>
        <w:top w:val="none" w:sz="0" w:space="0" w:color="auto"/>
        <w:left w:val="none" w:sz="0" w:space="0" w:color="auto"/>
        <w:bottom w:val="none" w:sz="0" w:space="0" w:color="auto"/>
        <w:right w:val="none" w:sz="0" w:space="0" w:color="auto"/>
      </w:divBdr>
    </w:div>
    <w:div w:id="847446286">
      <w:bodyDiv w:val="1"/>
      <w:marLeft w:val="0"/>
      <w:marRight w:val="0"/>
      <w:marTop w:val="0"/>
      <w:marBottom w:val="0"/>
      <w:divBdr>
        <w:top w:val="none" w:sz="0" w:space="0" w:color="auto"/>
        <w:left w:val="none" w:sz="0" w:space="0" w:color="auto"/>
        <w:bottom w:val="none" w:sz="0" w:space="0" w:color="auto"/>
        <w:right w:val="none" w:sz="0" w:space="0" w:color="auto"/>
      </w:divBdr>
      <w:divsChild>
        <w:div w:id="232736707">
          <w:marLeft w:val="0"/>
          <w:marRight w:val="0"/>
          <w:marTop w:val="0"/>
          <w:marBottom w:val="0"/>
          <w:divBdr>
            <w:top w:val="none" w:sz="0" w:space="0" w:color="auto"/>
            <w:left w:val="none" w:sz="0" w:space="0" w:color="auto"/>
            <w:bottom w:val="none" w:sz="0" w:space="0" w:color="auto"/>
            <w:right w:val="none" w:sz="0" w:space="0" w:color="auto"/>
          </w:divBdr>
          <w:divsChild>
            <w:div w:id="800811049">
              <w:marLeft w:val="0"/>
              <w:marRight w:val="0"/>
              <w:marTop w:val="0"/>
              <w:marBottom w:val="0"/>
              <w:divBdr>
                <w:top w:val="none" w:sz="0" w:space="0" w:color="auto"/>
                <w:left w:val="none" w:sz="0" w:space="0" w:color="auto"/>
                <w:bottom w:val="none" w:sz="0" w:space="0" w:color="auto"/>
                <w:right w:val="none" w:sz="0" w:space="0" w:color="auto"/>
              </w:divBdr>
              <w:divsChild>
                <w:div w:id="144808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337461">
      <w:bodyDiv w:val="1"/>
      <w:marLeft w:val="0"/>
      <w:marRight w:val="0"/>
      <w:marTop w:val="0"/>
      <w:marBottom w:val="0"/>
      <w:divBdr>
        <w:top w:val="none" w:sz="0" w:space="0" w:color="auto"/>
        <w:left w:val="none" w:sz="0" w:space="0" w:color="auto"/>
        <w:bottom w:val="none" w:sz="0" w:space="0" w:color="auto"/>
        <w:right w:val="none" w:sz="0" w:space="0" w:color="auto"/>
      </w:divBdr>
    </w:div>
    <w:div w:id="859975151">
      <w:bodyDiv w:val="1"/>
      <w:marLeft w:val="0"/>
      <w:marRight w:val="0"/>
      <w:marTop w:val="0"/>
      <w:marBottom w:val="0"/>
      <w:divBdr>
        <w:top w:val="none" w:sz="0" w:space="0" w:color="auto"/>
        <w:left w:val="none" w:sz="0" w:space="0" w:color="auto"/>
        <w:bottom w:val="none" w:sz="0" w:space="0" w:color="auto"/>
        <w:right w:val="none" w:sz="0" w:space="0" w:color="auto"/>
      </w:divBdr>
    </w:div>
    <w:div w:id="863635969">
      <w:bodyDiv w:val="1"/>
      <w:marLeft w:val="0"/>
      <w:marRight w:val="0"/>
      <w:marTop w:val="0"/>
      <w:marBottom w:val="0"/>
      <w:divBdr>
        <w:top w:val="none" w:sz="0" w:space="0" w:color="auto"/>
        <w:left w:val="none" w:sz="0" w:space="0" w:color="auto"/>
        <w:bottom w:val="none" w:sz="0" w:space="0" w:color="auto"/>
        <w:right w:val="none" w:sz="0" w:space="0" w:color="auto"/>
      </w:divBdr>
    </w:div>
    <w:div w:id="894586245">
      <w:bodyDiv w:val="1"/>
      <w:marLeft w:val="0"/>
      <w:marRight w:val="0"/>
      <w:marTop w:val="0"/>
      <w:marBottom w:val="0"/>
      <w:divBdr>
        <w:top w:val="none" w:sz="0" w:space="0" w:color="auto"/>
        <w:left w:val="none" w:sz="0" w:space="0" w:color="auto"/>
        <w:bottom w:val="none" w:sz="0" w:space="0" w:color="auto"/>
        <w:right w:val="none" w:sz="0" w:space="0" w:color="auto"/>
      </w:divBdr>
      <w:divsChild>
        <w:div w:id="649674361">
          <w:marLeft w:val="0"/>
          <w:marRight w:val="0"/>
          <w:marTop w:val="0"/>
          <w:marBottom w:val="0"/>
          <w:divBdr>
            <w:top w:val="none" w:sz="0" w:space="0" w:color="auto"/>
            <w:left w:val="none" w:sz="0" w:space="0" w:color="auto"/>
            <w:bottom w:val="none" w:sz="0" w:space="0" w:color="auto"/>
            <w:right w:val="none" w:sz="0" w:space="0" w:color="auto"/>
          </w:divBdr>
          <w:divsChild>
            <w:div w:id="1807090038">
              <w:marLeft w:val="0"/>
              <w:marRight w:val="0"/>
              <w:marTop w:val="0"/>
              <w:marBottom w:val="0"/>
              <w:divBdr>
                <w:top w:val="none" w:sz="0" w:space="0" w:color="auto"/>
                <w:left w:val="none" w:sz="0" w:space="0" w:color="auto"/>
                <w:bottom w:val="none" w:sz="0" w:space="0" w:color="auto"/>
                <w:right w:val="none" w:sz="0" w:space="0" w:color="auto"/>
              </w:divBdr>
              <w:divsChild>
                <w:div w:id="66015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189692">
      <w:bodyDiv w:val="1"/>
      <w:marLeft w:val="0"/>
      <w:marRight w:val="0"/>
      <w:marTop w:val="0"/>
      <w:marBottom w:val="0"/>
      <w:divBdr>
        <w:top w:val="none" w:sz="0" w:space="0" w:color="auto"/>
        <w:left w:val="none" w:sz="0" w:space="0" w:color="auto"/>
        <w:bottom w:val="none" w:sz="0" w:space="0" w:color="auto"/>
        <w:right w:val="none" w:sz="0" w:space="0" w:color="auto"/>
      </w:divBdr>
    </w:div>
    <w:div w:id="905922007">
      <w:bodyDiv w:val="1"/>
      <w:marLeft w:val="0"/>
      <w:marRight w:val="0"/>
      <w:marTop w:val="0"/>
      <w:marBottom w:val="0"/>
      <w:divBdr>
        <w:top w:val="none" w:sz="0" w:space="0" w:color="auto"/>
        <w:left w:val="none" w:sz="0" w:space="0" w:color="auto"/>
        <w:bottom w:val="none" w:sz="0" w:space="0" w:color="auto"/>
        <w:right w:val="none" w:sz="0" w:space="0" w:color="auto"/>
      </w:divBdr>
    </w:div>
    <w:div w:id="910846836">
      <w:bodyDiv w:val="1"/>
      <w:marLeft w:val="0"/>
      <w:marRight w:val="0"/>
      <w:marTop w:val="0"/>
      <w:marBottom w:val="0"/>
      <w:divBdr>
        <w:top w:val="none" w:sz="0" w:space="0" w:color="auto"/>
        <w:left w:val="none" w:sz="0" w:space="0" w:color="auto"/>
        <w:bottom w:val="none" w:sz="0" w:space="0" w:color="auto"/>
        <w:right w:val="none" w:sz="0" w:space="0" w:color="auto"/>
      </w:divBdr>
    </w:div>
    <w:div w:id="916209072">
      <w:bodyDiv w:val="1"/>
      <w:marLeft w:val="0"/>
      <w:marRight w:val="0"/>
      <w:marTop w:val="0"/>
      <w:marBottom w:val="0"/>
      <w:divBdr>
        <w:top w:val="none" w:sz="0" w:space="0" w:color="auto"/>
        <w:left w:val="none" w:sz="0" w:space="0" w:color="auto"/>
        <w:bottom w:val="none" w:sz="0" w:space="0" w:color="auto"/>
        <w:right w:val="none" w:sz="0" w:space="0" w:color="auto"/>
      </w:divBdr>
    </w:div>
    <w:div w:id="918750217">
      <w:bodyDiv w:val="1"/>
      <w:marLeft w:val="0"/>
      <w:marRight w:val="0"/>
      <w:marTop w:val="0"/>
      <w:marBottom w:val="0"/>
      <w:divBdr>
        <w:top w:val="none" w:sz="0" w:space="0" w:color="auto"/>
        <w:left w:val="none" w:sz="0" w:space="0" w:color="auto"/>
        <w:bottom w:val="none" w:sz="0" w:space="0" w:color="auto"/>
        <w:right w:val="none" w:sz="0" w:space="0" w:color="auto"/>
      </w:divBdr>
    </w:div>
    <w:div w:id="919365375">
      <w:bodyDiv w:val="1"/>
      <w:marLeft w:val="0"/>
      <w:marRight w:val="0"/>
      <w:marTop w:val="0"/>
      <w:marBottom w:val="0"/>
      <w:divBdr>
        <w:top w:val="none" w:sz="0" w:space="0" w:color="auto"/>
        <w:left w:val="none" w:sz="0" w:space="0" w:color="auto"/>
        <w:bottom w:val="none" w:sz="0" w:space="0" w:color="auto"/>
        <w:right w:val="none" w:sz="0" w:space="0" w:color="auto"/>
      </w:divBdr>
      <w:divsChild>
        <w:div w:id="592127641">
          <w:marLeft w:val="0"/>
          <w:marRight w:val="0"/>
          <w:marTop w:val="0"/>
          <w:marBottom w:val="0"/>
          <w:divBdr>
            <w:top w:val="none" w:sz="0" w:space="0" w:color="auto"/>
            <w:left w:val="none" w:sz="0" w:space="0" w:color="auto"/>
            <w:bottom w:val="none" w:sz="0" w:space="0" w:color="auto"/>
            <w:right w:val="none" w:sz="0" w:space="0" w:color="auto"/>
          </w:divBdr>
        </w:div>
        <w:div w:id="1377008770">
          <w:marLeft w:val="0"/>
          <w:marRight w:val="0"/>
          <w:marTop w:val="0"/>
          <w:marBottom w:val="0"/>
          <w:divBdr>
            <w:top w:val="none" w:sz="0" w:space="0" w:color="auto"/>
            <w:left w:val="none" w:sz="0" w:space="0" w:color="auto"/>
            <w:bottom w:val="none" w:sz="0" w:space="0" w:color="auto"/>
            <w:right w:val="none" w:sz="0" w:space="0" w:color="auto"/>
          </w:divBdr>
        </w:div>
      </w:divsChild>
    </w:div>
    <w:div w:id="947274116">
      <w:bodyDiv w:val="1"/>
      <w:marLeft w:val="0"/>
      <w:marRight w:val="0"/>
      <w:marTop w:val="0"/>
      <w:marBottom w:val="0"/>
      <w:divBdr>
        <w:top w:val="none" w:sz="0" w:space="0" w:color="auto"/>
        <w:left w:val="none" w:sz="0" w:space="0" w:color="auto"/>
        <w:bottom w:val="none" w:sz="0" w:space="0" w:color="auto"/>
        <w:right w:val="none" w:sz="0" w:space="0" w:color="auto"/>
      </w:divBdr>
    </w:div>
    <w:div w:id="960457828">
      <w:bodyDiv w:val="1"/>
      <w:marLeft w:val="0"/>
      <w:marRight w:val="0"/>
      <w:marTop w:val="0"/>
      <w:marBottom w:val="0"/>
      <w:divBdr>
        <w:top w:val="none" w:sz="0" w:space="0" w:color="auto"/>
        <w:left w:val="none" w:sz="0" w:space="0" w:color="auto"/>
        <w:bottom w:val="none" w:sz="0" w:space="0" w:color="auto"/>
        <w:right w:val="none" w:sz="0" w:space="0" w:color="auto"/>
      </w:divBdr>
    </w:div>
    <w:div w:id="965158454">
      <w:bodyDiv w:val="1"/>
      <w:marLeft w:val="0"/>
      <w:marRight w:val="0"/>
      <w:marTop w:val="0"/>
      <w:marBottom w:val="0"/>
      <w:divBdr>
        <w:top w:val="none" w:sz="0" w:space="0" w:color="auto"/>
        <w:left w:val="none" w:sz="0" w:space="0" w:color="auto"/>
        <w:bottom w:val="none" w:sz="0" w:space="0" w:color="auto"/>
        <w:right w:val="none" w:sz="0" w:space="0" w:color="auto"/>
      </w:divBdr>
      <w:divsChild>
        <w:div w:id="697313731">
          <w:marLeft w:val="0"/>
          <w:marRight w:val="0"/>
          <w:marTop w:val="0"/>
          <w:marBottom w:val="0"/>
          <w:divBdr>
            <w:top w:val="none" w:sz="0" w:space="0" w:color="auto"/>
            <w:left w:val="none" w:sz="0" w:space="0" w:color="auto"/>
            <w:bottom w:val="none" w:sz="0" w:space="0" w:color="auto"/>
            <w:right w:val="none" w:sz="0" w:space="0" w:color="auto"/>
          </w:divBdr>
          <w:divsChild>
            <w:div w:id="1139690632">
              <w:marLeft w:val="0"/>
              <w:marRight w:val="0"/>
              <w:marTop w:val="0"/>
              <w:marBottom w:val="0"/>
              <w:divBdr>
                <w:top w:val="none" w:sz="0" w:space="0" w:color="auto"/>
                <w:left w:val="none" w:sz="0" w:space="0" w:color="auto"/>
                <w:bottom w:val="none" w:sz="0" w:space="0" w:color="auto"/>
                <w:right w:val="none" w:sz="0" w:space="0" w:color="auto"/>
              </w:divBdr>
              <w:divsChild>
                <w:div w:id="98200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164676">
      <w:bodyDiv w:val="1"/>
      <w:marLeft w:val="0"/>
      <w:marRight w:val="0"/>
      <w:marTop w:val="0"/>
      <w:marBottom w:val="0"/>
      <w:divBdr>
        <w:top w:val="none" w:sz="0" w:space="0" w:color="auto"/>
        <w:left w:val="none" w:sz="0" w:space="0" w:color="auto"/>
        <w:bottom w:val="none" w:sz="0" w:space="0" w:color="auto"/>
        <w:right w:val="none" w:sz="0" w:space="0" w:color="auto"/>
      </w:divBdr>
    </w:div>
    <w:div w:id="993879424">
      <w:bodyDiv w:val="1"/>
      <w:marLeft w:val="0"/>
      <w:marRight w:val="0"/>
      <w:marTop w:val="0"/>
      <w:marBottom w:val="0"/>
      <w:divBdr>
        <w:top w:val="none" w:sz="0" w:space="0" w:color="auto"/>
        <w:left w:val="none" w:sz="0" w:space="0" w:color="auto"/>
        <w:bottom w:val="none" w:sz="0" w:space="0" w:color="auto"/>
        <w:right w:val="none" w:sz="0" w:space="0" w:color="auto"/>
      </w:divBdr>
    </w:div>
    <w:div w:id="1001154360">
      <w:bodyDiv w:val="1"/>
      <w:marLeft w:val="0"/>
      <w:marRight w:val="0"/>
      <w:marTop w:val="0"/>
      <w:marBottom w:val="0"/>
      <w:divBdr>
        <w:top w:val="none" w:sz="0" w:space="0" w:color="auto"/>
        <w:left w:val="none" w:sz="0" w:space="0" w:color="auto"/>
        <w:bottom w:val="none" w:sz="0" w:space="0" w:color="auto"/>
        <w:right w:val="none" w:sz="0" w:space="0" w:color="auto"/>
      </w:divBdr>
      <w:divsChild>
        <w:div w:id="276252638">
          <w:marLeft w:val="0"/>
          <w:marRight w:val="0"/>
          <w:marTop w:val="0"/>
          <w:marBottom w:val="0"/>
          <w:divBdr>
            <w:top w:val="none" w:sz="0" w:space="0" w:color="auto"/>
            <w:left w:val="none" w:sz="0" w:space="0" w:color="auto"/>
            <w:bottom w:val="none" w:sz="0" w:space="0" w:color="auto"/>
            <w:right w:val="none" w:sz="0" w:space="0" w:color="auto"/>
          </w:divBdr>
          <w:divsChild>
            <w:div w:id="535772949">
              <w:marLeft w:val="0"/>
              <w:marRight w:val="0"/>
              <w:marTop w:val="0"/>
              <w:marBottom w:val="0"/>
              <w:divBdr>
                <w:top w:val="none" w:sz="0" w:space="0" w:color="auto"/>
                <w:left w:val="none" w:sz="0" w:space="0" w:color="auto"/>
                <w:bottom w:val="none" w:sz="0" w:space="0" w:color="auto"/>
                <w:right w:val="none" w:sz="0" w:space="0" w:color="auto"/>
              </w:divBdr>
              <w:divsChild>
                <w:div w:id="533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246433">
      <w:bodyDiv w:val="1"/>
      <w:marLeft w:val="0"/>
      <w:marRight w:val="0"/>
      <w:marTop w:val="0"/>
      <w:marBottom w:val="0"/>
      <w:divBdr>
        <w:top w:val="none" w:sz="0" w:space="0" w:color="auto"/>
        <w:left w:val="none" w:sz="0" w:space="0" w:color="auto"/>
        <w:bottom w:val="none" w:sz="0" w:space="0" w:color="auto"/>
        <w:right w:val="none" w:sz="0" w:space="0" w:color="auto"/>
      </w:divBdr>
    </w:div>
    <w:div w:id="1008944461">
      <w:bodyDiv w:val="1"/>
      <w:marLeft w:val="0"/>
      <w:marRight w:val="0"/>
      <w:marTop w:val="0"/>
      <w:marBottom w:val="0"/>
      <w:divBdr>
        <w:top w:val="none" w:sz="0" w:space="0" w:color="auto"/>
        <w:left w:val="none" w:sz="0" w:space="0" w:color="auto"/>
        <w:bottom w:val="none" w:sz="0" w:space="0" w:color="auto"/>
        <w:right w:val="none" w:sz="0" w:space="0" w:color="auto"/>
      </w:divBdr>
    </w:div>
    <w:div w:id="1009526739">
      <w:bodyDiv w:val="1"/>
      <w:marLeft w:val="0"/>
      <w:marRight w:val="0"/>
      <w:marTop w:val="0"/>
      <w:marBottom w:val="0"/>
      <w:divBdr>
        <w:top w:val="none" w:sz="0" w:space="0" w:color="auto"/>
        <w:left w:val="none" w:sz="0" w:space="0" w:color="auto"/>
        <w:bottom w:val="none" w:sz="0" w:space="0" w:color="auto"/>
        <w:right w:val="none" w:sz="0" w:space="0" w:color="auto"/>
      </w:divBdr>
      <w:divsChild>
        <w:div w:id="2115009849">
          <w:marLeft w:val="0"/>
          <w:marRight w:val="0"/>
          <w:marTop w:val="0"/>
          <w:marBottom w:val="0"/>
          <w:divBdr>
            <w:top w:val="none" w:sz="0" w:space="0" w:color="auto"/>
            <w:left w:val="none" w:sz="0" w:space="0" w:color="auto"/>
            <w:bottom w:val="none" w:sz="0" w:space="0" w:color="auto"/>
            <w:right w:val="none" w:sz="0" w:space="0" w:color="auto"/>
          </w:divBdr>
        </w:div>
        <w:div w:id="282688535">
          <w:marLeft w:val="0"/>
          <w:marRight w:val="0"/>
          <w:marTop w:val="0"/>
          <w:marBottom w:val="0"/>
          <w:divBdr>
            <w:top w:val="none" w:sz="0" w:space="0" w:color="auto"/>
            <w:left w:val="none" w:sz="0" w:space="0" w:color="auto"/>
            <w:bottom w:val="none" w:sz="0" w:space="0" w:color="auto"/>
            <w:right w:val="none" w:sz="0" w:space="0" w:color="auto"/>
          </w:divBdr>
        </w:div>
      </w:divsChild>
    </w:div>
    <w:div w:id="1012992365">
      <w:bodyDiv w:val="1"/>
      <w:marLeft w:val="0"/>
      <w:marRight w:val="0"/>
      <w:marTop w:val="0"/>
      <w:marBottom w:val="0"/>
      <w:divBdr>
        <w:top w:val="none" w:sz="0" w:space="0" w:color="auto"/>
        <w:left w:val="none" w:sz="0" w:space="0" w:color="auto"/>
        <w:bottom w:val="none" w:sz="0" w:space="0" w:color="auto"/>
        <w:right w:val="none" w:sz="0" w:space="0" w:color="auto"/>
      </w:divBdr>
      <w:divsChild>
        <w:div w:id="626936631">
          <w:marLeft w:val="0"/>
          <w:marRight w:val="0"/>
          <w:marTop w:val="0"/>
          <w:marBottom w:val="0"/>
          <w:divBdr>
            <w:top w:val="none" w:sz="0" w:space="0" w:color="auto"/>
            <w:left w:val="none" w:sz="0" w:space="0" w:color="auto"/>
            <w:bottom w:val="none" w:sz="0" w:space="0" w:color="auto"/>
            <w:right w:val="none" w:sz="0" w:space="0" w:color="auto"/>
          </w:divBdr>
          <w:divsChild>
            <w:div w:id="360516109">
              <w:marLeft w:val="0"/>
              <w:marRight w:val="0"/>
              <w:marTop w:val="0"/>
              <w:marBottom w:val="0"/>
              <w:divBdr>
                <w:top w:val="none" w:sz="0" w:space="0" w:color="auto"/>
                <w:left w:val="none" w:sz="0" w:space="0" w:color="auto"/>
                <w:bottom w:val="none" w:sz="0" w:space="0" w:color="auto"/>
                <w:right w:val="none" w:sz="0" w:space="0" w:color="auto"/>
              </w:divBdr>
            </w:div>
          </w:divsChild>
        </w:div>
        <w:div w:id="688946850">
          <w:marLeft w:val="0"/>
          <w:marRight w:val="0"/>
          <w:marTop w:val="0"/>
          <w:marBottom w:val="0"/>
          <w:divBdr>
            <w:top w:val="none" w:sz="0" w:space="0" w:color="auto"/>
            <w:left w:val="none" w:sz="0" w:space="0" w:color="auto"/>
            <w:bottom w:val="none" w:sz="0" w:space="0" w:color="auto"/>
            <w:right w:val="none" w:sz="0" w:space="0" w:color="auto"/>
          </w:divBdr>
        </w:div>
      </w:divsChild>
    </w:div>
    <w:div w:id="1027104845">
      <w:bodyDiv w:val="1"/>
      <w:marLeft w:val="0"/>
      <w:marRight w:val="0"/>
      <w:marTop w:val="0"/>
      <w:marBottom w:val="0"/>
      <w:divBdr>
        <w:top w:val="none" w:sz="0" w:space="0" w:color="auto"/>
        <w:left w:val="none" w:sz="0" w:space="0" w:color="auto"/>
        <w:bottom w:val="none" w:sz="0" w:space="0" w:color="auto"/>
        <w:right w:val="none" w:sz="0" w:space="0" w:color="auto"/>
      </w:divBdr>
    </w:div>
    <w:div w:id="1039628994">
      <w:bodyDiv w:val="1"/>
      <w:marLeft w:val="0"/>
      <w:marRight w:val="0"/>
      <w:marTop w:val="0"/>
      <w:marBottom w:val="0"/>
      <w:divBdr>
        <w:top w:val="none" w:sz="0" w:space="0" w:color="auto"/>
        <w:left w:val="none" w:sz="0" w:space="0" w:color="auto"/>
        <w:bottom w:val="none" w:sz="0" w:space="0" w:color="auto"/>
        <w:right w:val="none" w:sz="0" w:space="0" w:color="auto"/>
      </w:divBdr>
    </w:div>
    <w:div w:id="1046565431">
      <w:bodyDiv w:val="1"/>
      <w:marLeft w:val="0"/>
      <w:marRight w:val="0"/>
      <w:marTop w:val="0"/>
      <w:marBottom w:val="0"/>
      <w:divBdr>
        <w:top w:val="none" w:sz="0" w:space="0" w:color="auto"/>
        <w:left w:val="none" w:sz="0" w:space="0" w:color="auto"/>
        <w:bottom w:val="none" w:sz="0" w:space="0" w:color="auto"/>
        <w:right w:val="none" w:sz="0" w:space="0" w:color="auto"/>
      </w:divBdr>
      <w:divsChild>
        <w:div w:id="2005281943">
          <w:marLeft w:val="0"/>
          <w:marRight w:val="0"/>
          <w:marTop w:val="0"/>
          <w:marBottom w:val="0"/>
          <w:divBdr>
            <w:top w:val="none" w:sz="0" w:space="0" w:color="auto"/>
            <w:left w:val="none" w:sz="0" w:space="0" w:color="auto"/>
            <w:bottom w:val="none" w:sz="0" w:space="0" w:color="auto"/>
            <w:right w:val="none" w:sz="0" w:space="0" w:color="auto"/>
          </w:divBdr>
          <w:divsChild>
            <w:div w:id="137306027">
              <w:marLeft w:val="0"/>
              <w:marRight w:val="0"/>
              <w:marTop w:val="0"/>
              <w:marBottom w:val="0"/>
              <w:divBdr>
                <w:top w:val="none" w:sz="0" w:space="0" w:color="auto"/>
                <w:left w:val="none" w:sz="0" w:space="0" w:color="auto"/>
                <w:bottom w:val="none" w:sz="0" w:space="0" w:color="auto"/>
                <w:right w:val="none" w:sz="0" w:space="0" w:color="auto"/>
              </w:divBdr>
              <w:divsChild>
                <w:div w:id="1586262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336643">
      <w:bodyDiv w:val="1"/>
      <w:marLeft w:val="0"/>
      <w:marRight w:val="0"/>
      <w:marTop w:val="0"/>
      <w:marBottom w:val="0"/>
      <w:divBdr>
        <w:top w:val="none" w:sz="0" w:space="0" w:color="auto"/>
        <w:left w:val="none" w:sz="0" w:space="0" w:color="auto"/>
        <w:bottom w:val="none" w:sz="0" w:space="0" w:color="auto"/>
        <w:right w:val="none" w:sz="0" w:space="0" w:color="auto"/>
      </w:divBdr>
    </w:div>
    <w:div w:id="1081945731">
      <w:bodyDiv w:val="1"/>
      <w:marLeft w:val="0"/>
      <w:marRight w:val="0"/>
      <w:marTop w:val="0"/>
      <w:marBottom w:val="0"/>
      <w:divBdr>
        <w:top w:val="none" w:sz="0" w:space="0" w:color="auto"/>
        <w:left w:val="none" w:sz="0" w:space="0" w:color="auto"/>
        <w:bottom w:val="none" w:sz="0" w:space="0" w:color="auto"/>
        <w:right w:val="none" w:sz="0" w:space="0" w:color="auto"/>
      </w:divBdr>
      <w:divsChild>
        <w:div w:id="522398150">
          <w:marLeft w:val="0"/>
          <w:marRight w:val="0"/>
          <w:marTop w:val="0"/>
          <w:marBottom w:val="0"/>
          <w:divBdr>
            <w:top w:val="none" w:sz="0" w:space="0" w:color="auto"/>
            <w:left w:val="none" w:sz="0" w:space="0" w:color="auto"/>
            <w:bottom w:val="none" w:sz="0" w:space="0" w:color="auto"/>
            <w:right w:val="none" w:sz="0" w:space="0" w:color="auto"/>
          </w:divBdr>
          <w:divsChild>
            <w:div w:id="347610265">
              <w:marLeft w:val="0"/>
              <w:marRight w:val="0"/>
              <w:marTop w:val="0"/>
              <w:marBottom w:val="0"/>
              <w:divBdr>
                <w:top w:val="none" w:sz="0" w:space="0" w:color="auto"/>
                <w:left w:val="none" w:sz="0" w:space="0" w:color="auto"/>
                <w:bottom w:val="none" w:sz="0" w:space="0" w:color="auto"/>
                <w:right w:val="none" w:sz="0" w:space="0" w:color="auto"/>
              </w:divBdr>
            </w:div>
          </w:divsChild>
        </w:div>
        <w:div w:id="531844333">
          <w:marLeft w:val="0"/>
          <w:marRight w:val="0"/>
          <w:marTop w:val="0"/>
          <w:marBottom w:val="0"/>
          <w:divBdr>
            <w:top w:val="none" w:sz="0" w:space="0" w:color="auto"/>
            <w:left w:val="none" w:sz="0" w:space="0" w:color="auto"/>
            <w:bottom w:val="none" w:sz="0" w:space="0" w:color="auto"/>
            <w:right w:val="none" w:sz="0" w:space="0" w:color="auto"/>
          </w:divBdr>
        </w:div>
      </w:divsChild>
    </w:div>
    <w:div w:id="1082527547">
      <w:bodyDiv w:val="1"/>
      <w:marLeft w:val="0"/>
      <w:marRight w:val="0"/>
      <w:marTop w:val="0"/>
      <w:marBottom w:val="0"/>
      <w:divBdr>
        <w:top w:val="none" w:sz="0" w:space="0" w:color="auto"/>
        <w:left w:val="none" w:sz="0" w:space="0" w:color="auto"/>
        <w:bottom w:val="none" w:sz="0" w:space="0" w:color="auto"/>
        <w:right w:val="none" w:sz="0" w:space="0" w:color="auto"/>
      </w:divBdr>
    </w:div>
    <w:div w:id="1091583592">
      <w:bodyDiv w:val="1"/>
      <w:marLeft w:val="0"/>
      <w:marRight w:val="0"/>
      <w:marTop w:val="0"/>
      <w:marBottom w:val="0"/>
      <w:divBdr>
        <w:top w:val="none" w:sz="0" w:space="0" w:color="auto"/>
        <w:left w:val="none" w:sz="0" w:space="0" w:color="auto"/>
        <w:bottom w:val="none" w:sz="0" w:space="0" w:color="auto"/>
        <w:right w:val="none" w:sz="0" w:space="0" w:color="auto"/>
      </w:divBdr>
      <w:divsChild>
        <w:div w:id="838932456">
          <w:marLeft w:val="0"/>
          <w:marRight w:val="0"/>
          <w:marTop w:val="0"/>
          <w:marBottom w:val="0"/>
          <w:divBdr>
            <w:top w:val="none" w:sz="0" w:space="0" w:color="auto"/>
            <w:left w:val="none" w:sz="0" w:space="0" w:color="auto"/>
            <w:bottom w:val="none" w:sz="0" w:space="0" w:color="auto"/>
            <w:right w:val="none" w:sz="0" w:space="0" w:color="auto"/>
          </w:divBdr>
        </w:div>
      </w:divsChild>
    </w:div>
    <w:div w:id="1094472263">
      <w:bodyDiv w:val="1"/>
      <w:marLeft w:val="0"/>
      <w:marRight w:val="0"/>
      <w:marTop w:val="0"/>
      <w:marBottom w:val="0"/>
      <w:divBdr>
        <w:top w:val="none" w:sz="0" w:space="0" w:color="auto"/>
        <w:left w:val="none" w:sz="0" w:space="0" w:color="auto"/>
        <w:bottom w:val="none" w:sz="0" w:space="0" w:color="auto"/>
        <w:right w:val="none" w:sz="0" w:space="0" w:color="auto"/>
      </w:divBdr>
    </w:div>
    <w:div w:id="1096756241">
      <w:bodyDiv w:val="1"/>
      <w:marLeft w:val="0"/>
      <w:marRight w:val="0"/>
      <w:marTop w:val="0"/>
      <w:marBottom w:val="0"/>
      <w:divBdr>
        <w:top w:val="none" w:sz="0" w:space="0" w:color="auto"/>
        <w:left w:val="none" w:sz="0" w:space="0" w:color="auto"/>
        <w:bottom w:val="none" w:sz="0" w:space="0" w:color="auto"/>
        <w:right w:val="none" w:sz="0" w:space="0" w:color="auto"/>
      </w:divBdr>
    </w:div>
    <w:div w:id="1097169668">
      <w:bodyDiv w:val="1"/>
      <w:marLeft w:val="0"/>
      <w:marRight w:val="0"/>
      <w:marTop w:val="0"/>
      <w:marBottom w:val="0"/>
      <w:divBdr>
        <w:top w:val="none" w:sz="0" w:space="0" w:color="auto"/>
        <w:left w:val="none" w:sz="0" w:space="0" w:color="auto"/>
        <w:bottom w:val="none" w:sz="0" w:space="0" w:color="auto"/>
        <w:right w:val="none" w:sz="0" w:space="0" w:color="auto"/>
      </w:divBdr>
    </w:div>
    <w:div w:id="1098910502">
      <w:bodyDiv w:val="1"/>
      <w:marLeft w:val="0"/>
      <w:marRight w:val="0"/>
      <w:marTop w:val="0"/>
      <w:marBottom w:val="0"/>
      <w:divBdr>
        <w:top w:val="none" w:sz="0" w:space="0" w:color="auto"/>
        <w:left w:val="none" w:sz="0" w:space="0" w:color="auto"/>
        <w:bottom w:val="none" w:sz="0" w:space="0" w:color="auto"/>
        <w:right w:val="none" w:sz="0" w:space="0" w:color="auto"/>
      </w:divBdr>
    </w:div>
    <w:div w:id="1112434180">
      <w:bodyDiv w:val="1"/>
      <w:marLeft w:val="0"/>
      <w:marRight w:val="0"/>
      <w:marTop w:val="0"/>
      <w:marBottom w:val="0"/>
      <w:divBdr>
        <w:top w:val="none" w:sz="0" w:space="0" w:color="auto"/>
        <w:left w:val="none" w:sz="0" w:space="0" w:color="auto"/>
        <w:bottom w:val="none" w:sz="0" w:space="0" w:color="auto"/>
        <w:right w:val="none" w:sz="0" w:space="0" w:color="auto"/>
      </w:divBdr>
    </w:div>
    <w:div w:id="1122580565">
      <w:bodyDiv w:val="1"/>
      <w:marLeft w:val="0"/>
      <w:marRight w:val="0"/>
      <w:marTop w:val="0"/>
      <w:marBottom w:val="0"/>
      <w:divBdr>
        <w:top w:val="none" w:sz="0" w:space="0" w:color="auto"/>
        <w:left w:val="none" w:sz="0" w:space="0" w:color="auto"/>
        <w:bottom w:val="none" w:sz="0" w:space="0" w:color="auto"/>
        <w:right w:val="none" w:sz="0" w:space="0" w:color="auto"/>
      </w:divBdr>
      <w:divsChild>
        <w:div w:id="109325095">
          <w:marLeft w:val="0"/>
          <w:marRight w:val="0"/>
          <w:marTop w:val="0"/>
          <w:marBottom w:val="0"/>
          <w:divBdr>
            <w:top w:val="none" w:sz="0" w:space="0" w:color="auto"/>
            <w:left w:val="none" w:sz="0" w:space="0" w:color="auto"/>
            <w:bottom w:val="none" w:sz="0" w:space="0" w:color="auto"/>
            <w:right w:val="none" w:sz="0" w:space="0" w:color="auto"/>
          </w:divBdr>
        </w:div>
        <w:div w:id="505706966">
          <w:marLeft w:val="0"/>
          <w:marRight w:val="0"/>
          <w:marTop w:val="0"/>
          <w:marBottom w:val="0"/>
          <w:divBdr>
            <w:top w:val="none" w:sz="0" w:space="0" w:color="auto"/>
            <w:left w:val="none" w:sz="0" w:space="0" w:color="auto"/>
            <w:bottom w:val="none" w:sz="0" w:space="0" w:color="auto"/>
            <w:right w:val="none" w:sz="0" w:space="0" w:color="auto"/>
          </w:divBdr>
        </w:div>
      </w:divsChild>
    </w:div>
    <w:div w:id="1134983708">
      <w:bodyDiv w:val="1"/>
      <w:marLeft w:val="0"/>
      <w:marRight w:val="0"/>
      <w:marTop w:val="0"/>
      <w:marBottom w:val="0"/>
      <w:divBdr>
        <w:top w:val="none" w:sz="0" w:space="0" w:color="auto"/>
        <w:left w:val="none" w:sz="0" w:space="0" w:color="auto"/>
        <w:bottom w:val="none" w:sz="0" w:space="0" w:color="auto"/>
        <w:right w:val="none" w:sz="0" w:space="0" w:color="auto"/>
      </w:divBdr>
    </w:div>
    <w:div w:id="1136027749">
      <w:bodyDiv w:val="1"/>
      <w:marLeft w:val="0"/>
      <w:marRight w:val="0"/>
      <w:marTop w:val="0"/>
      <w:marBottom w:val="0"/>
      <w:divBdr>
        <w:top w:val="none" w:sz="0" w:space="0" w:color="auto"/>
        <w:left w:val="none" w:sz="0" w:space="0" w:color="auto"/>
        <w:bottom w:val="none" w:sz="0" w:space="0" w:color="auto"/>
        <w:right w:val="none" w:sz="0" w:space="0" w:color="auto"/>
      </w:divBdr>
      <w:divsChild>
        <w:div w:id="1526939127">
          <w:marLeft w:val="0"/>
          <w:marRight w:val="0"/>
          <w:marTop w:val="0"/>
          <w:marBottom w:val="0"/>
          <w:divBdr>
            <w:top w:val="none" w:sz="0" w:space="0" w:color="auto"/>
            <w:left w:val="none" w:sz="0" w:space="0" w:color="auto"/>
            <w:bottom w:val="none" w:sz="0" w:space="0" w:color="auto"/>
            <w:right w:val="none" w:sz="0" w:space="0" w:color="auto"/>
          </w:divBdr>
          <w:divsChild>
            <w:div w:id="1464494910">
              <w:marLeft w:val="0"/>
              <w:marRight w:val="0"/>
              <w:marTop w:val="0"/>
              <w:marBottom w:val="0"/>
              <w:divBdr>
                <w:top w:val="none" w:sz="0" w:space="0" w:color="auto"/>
                <w:left w:val="none" w:sz="0" w:space="0" w:color="auto"/>
                <w:bottom w:val="none" w:sz="0" w:space="0" w:color="auto"/>
                <w:right w:val="none" w:sz="0" w:space="0" w:color="auto"/>
              </w:divBdr>
              <w:divsChild>
                <w:div w:id="140583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8013308">
      <w:bodyDiv w:val="1"/>
      <w:marLeft w:val="0"/>
      <w:marRight w:val="0"/>
      <w:marTop w:val="0"/>
      <w:marBottom w:val="0"/>
      <w:divBdr>
        <w:top w:val="none" w:sz="0" w:space="0" w:color="auto"/>
        <w:left w:val="none" w:sz="0" w:space="0" w:color="auto"/>
        <w:bottom w:val="none" w:sz="0" w:space="0" w:color="auto"/>
        <w:right w:val="none" w:sz="0" w:space="0" w:color="auto"/>
      </w:divBdr>
    </w:div>
    <w:div w:id="1159612508">
      <w:bodyDiv w:val="1"/>
      <w:marLeft w:val="0"/>
      <w:marRight w:val="0"/>
      <w:marTop w:val="0"/>
      <w:marBottom w:val="0"/>
      <w:divBdr>
        <w:top w:val="none" w:sz="0" w:space="0" w:color="auto"/>
        <w:left w:val="none" w:sz="0" w:space="0" w:color="auto"/>
        <w:bottom w:val="none" w:sz="0" w:space="0" w:color="auto"/>
        <w:right w:val="none" w:sz="0" w:space="0" w:color="auto"/>
      </w:divBdr>
      <w:divsChild>
        <w:div w:id="319893206">
          <w:marLeft w:val="0"/>
          <w:marRight w:val="0"/>
          <w:marTop w:val="0"/>
          <w:marBottom w:val="0"/>
          <w:divBdr>
            <w:top w:val="none" w:sz="0" w:space="0" w:color="auto"/>
            <w:left w:val="none" w:sz="0" w:space="0" w:color="auto"/>
            <w:bottom w:val="none" w:sz="0" w:space="0" w:color="auto"/>
            <w:right w:val="none" w:sz="0" w:space="0" w:color="auto"/>
          </w:divBdr>
          <w:divsChild>
            <w:div w:id="1086144847">
              <w:marLeft w:val="0"/>
              <w:marRight w:val="0"/>
              <w:marTop w:val="0"/>
              <w:marBottom w:val="0"/>
              <w:divBdr>
                <w:top w:val="none" w:sz="0" w:space="0" w:color="auto"/>
                <w:left w:val="none" w:sz="0" w:space="0" w:color="auto"/>
                <w:bottom w:val="none" w:sz="0" w:space="0" w:color="auto"/>
                <w:right w:val="none" w:sz="0" w:space="0" w:color="auto"/>
              </w:divBdr>
              <w:divsChild>
                <w:div w:id="21859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860284">
          <w:marLeft w:val="0"/>
          <w:marRight w:val="0"/>
          <w:marTop w:val="0"/>
          <w:marBottom w:val="0"/>
          <w:divBdr>
            <w:top w:val="none" w:sz="0" w:space="0" w:color="auto"/>
            <w:left w:val="none" w:sz="0" w:space="0" w:color="auto"/>
            <w:bottom w:val="none" w:sz="0" w:space="0" w:color="auto"/>
            <w:right w:val="none" w:sz="0" w:space="0" w:color="auto"/>
          </w:divBdr>
        </w:div>
      </w:divsChild>
    </w:div>
    <w:div w:id="1170752859">
      <w:bodyDiv w:val="1"/>
      <w:marLeft w:val="0"/>
      <w:marRight w:val="0"/>
      <w:marTop w:val="0"/>
      <w:marBottom w:val="0"/>
      <w:divBdr>
        <w:top w:val="none" w:sz="0" w:space="0" w:color="auto"/>
        <w:left w:val="none" w:sz="0" w:space="0" w:color="auto"/>
        <w:bottom w:val="none" w:sz="0" w:space="0" w:color="auto"/>
        <w:right w:val="none" w:sz="0" w:space="0" w:color="auto"/>
      </w:divBdr>
      <w:divsChild>
        <w:div w:id="1846479950">
          <w:marLeft w:val="0"/>
          <w:marRight w:val="0"/>
          <w:marTop w:val="0"/>
          <w:marBottom w:val="0"/>
          <w:divBdr>
            <w:top w:val="none" w:sz="0" w:space="0" w:color="auto"/>
            <w:left w:val="none" w:sz="0" w:space="0" w:color="auto"/>
            <w:bottom w:val="none" w:sz="0" w:space="0" w:color="auto"/>
            <w:right w:val="none" w:sz="0" w:space="0" w:color="auto"/>
          </w:divBdr>
        </w:div>
        <w:div w:id="84226670">
          <w:marLeft w:val="0"/>
          <w:marRight w:val="0"/>
          <w:marTop w:val="0"/>
          <w:marBottom w:val="0"/>
          <w:divBdr>
            <w:top w:val="none" w:sz="0" w:space="0" w:color="auto"/>
            <w:left w:val="none" w:sz="0" w:space="0" w:color="auto"/>
            <w:bottom w:val="none" w:sz="0" w:space="0" w:color="auto"/>
            <w:right w:val="none" w:sz="0" w:space="0" w:color="auto"/>
          </w:divBdr>
        </w:div>
      </w:divsChild>
    </w:div>
    <w:div w:id="1172523892">
      <w:bodyDiv w:val="1"/>
      <w:marLeft w:val="0"/>
      <w:marRight w:val="0"/>
      <w:marTop w:val="0"/>
      <w:marBottom w:val="0"/>
      <w:divBdr>
        <w:top w:val="none" w:sz="0" w:space="0" w:color="auto"/>
        <w:left w:val="none" w:sz="0" w:space="0" w:color="auto"/>
        <w:bottom w:val="none" w:sz="0" w:space="0" w:color="auto"/>
        <w:right w:val="none" w:sz="0" w:space="0" w:color="auto"/>
      </w:divBdr>
      <w:divsChild>
        <w:div w:id="2016833746">
          <w:marLeft w:val="0"/>
          <w:marRight w:val="0"/>
          <w:marTop w:val="0"/>
          <w:marBottom w:val="0"/>
          <w:divBdr>
            <w:top w:val="none" w:sz="0" w:space="0" w:color="auto"/>
            <w:left w:val="none" w:sz="0" w:space="0" w:color="auto"/>
            <w:bottom w:val="none" w:sz="0" w:space="0" w:color="auto"/>
            <w:right w:val="none" w:sz="0" w:space="0" w:color="auto"/>
          </w:divBdr>
          <w:divsChild>
            <w:div w:id="874074187">
              <w:marLeft w:val="0"/>
              <w:marRight w:val="0"/>
              <w:marTop w:val="0"/>
              <w:marBottom w:val="0"/>
              <w:divBdr>
                <w:top w:val="none" w:sz="0" w:space="0" w:color="auto"/>
                <w:left w:val="none" w:sz="0" w:space="0" w:color="auto"/>
                <w:bottom w:val="none" w:sz="0" w:space="0" w:color="auto"/>
                <w:right w:val="none" w:sz="0" w:space="0" w:color="auto"/>
              </w:divBdr>
              <w:divsChild>
                <w:div w:id="5559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324460">
      <w:bodyDiv w:val="1"/>
      <w:marLeft w:val="0"/>
      <w:marRight w:val="0"/>
      <w:marTop w:val="0"/>
      <w:marBottom w:val="0"/>
      <w:divBdr>
        <w:top w:val="none" w:sz="0" w:space="0" w:color="auto"/>
        <w:left w:val="none" w:sz="0" w:space="0" w:color="auto"/>
        <w:bottom w:val="none" w:sz="0" w:space="0" w:color="auto"/>
        <w:right w:val="none" w:sz="0" w:space="0" w:color="auto"/>
      </w:divBdr>
    </w:div>
    <w:div w:id="1196114451">
      <w:bodyDiv w:val="1"/>
      <w:marLeft w:val="0"/>
      <w:marRight w:val="0"/>
      <w:marTop w:val="0"/>
      <w:marBottom w:val="0"/>
      <w:divBdr>
        <w:top w:val="none" w:sz="0" w:space="0" w:color="auto"/>
        <w:left w:val="none" w:sz="0" w:space="0" w:color="auto"/>
        <w:bottom w:val="none" w:sz="0" w:space="0" w:color="auto"/>
        <w:right w:val="none" w:sz="0" w:space="0" w:color="auto"/>
      </w:divBdr>
    </w:div>
    <w:div w:id="1199586756">
      <w:bodyDiv w:val="1"/>
      <w:marLeft w:val="0"/>
      <w:marRight w:val="0"/>
      <w:marTop w:val="0"/>
      <w:marBottom w:val="0"/>
      <w:divBdr>
        <w:top w:val="none" w:sz="0" w:space="0" w:color="auto"/>
        <w:left w:val="none" w:sz="0" w:space="0" w:color="auto"/>
        <w:bottom w:val="none" w:sz="0" w:space="0" w:color="auto"/>
        <w:right w:val="none" w:sz="0" w:space="0" w:color="auto"/>
      </w:divBdr>
    </w:div>
    <w:div w:id="1220673631">
      <w:bodyDiv w:val="1"/>
      <w:marLeft w:val="0"/>
      <w:marRight w:val="0"/>
      <w:marTop w:val="0"/>
      <w:marBottom w:val="0"/>
      <w:divBdr>
        <w:top w:val="none" w:sz="0" w:space="0" w:color="auto"/>
        <w:left w:val="none" w:sz="0" w:space="0" w:color="auto"/>
        <w:bottom w:val="none" w:sz="0" w:space="0" w:color="auto"/>
        <w:right w:val="none" w:sz="0" w:space="0" w:color="auto"/>
      </w:divBdr>
    </w:div>
    <w:div w:id="1262185695">
      <w:bodyDiv w:val="1"/>
      <w:marLeft w:val="0"/>
      <w:marRight w:val="0"/>
      <w:marTop w:val="0"/>
      <w:marBottom w:val="0"/>
      <w:divBdr>
        <w:top w:val="none" w:sz="0" w:space="0" w:color="auto"/>
        <w:left w:val="none" w:sz="0" w:space="0" w:color="auto"/>
        <w:bottom w:val="none" w:sz="0" w:space="0" w:color="auto"/>
        <w:right w:val="none" w:sz="0" w:space="0" w:color="auto"/>
      </w:divBdr>
    </w:div>
    <w:div w:id="1265455635">
      <w:bodyDiv w:val="1"/>
      <w:marLeft w:val="0"/>
      <w:marRight w:val="0"/>
      <w:marTop w:val="0"/>
      <w:marBottom w:val="0"/>
      <w:divBdr>
        <w:top w:val="none" w:sz="0" w:space="0" w:color="auto"/>
        <w:left w:val="none" w:sz="0" w:space="0" w:color="auto"/>
        <w:bottom w:val="none" w:sz="0" w:space="0" w:color="auto"/>
        <w:right w:val="none" w:sz="0" w:space="0" w:color="auto"/>
      </w:divBdr>
    </w:div>
    <w:div w:id="1276904367">
      <w:bodyDiv w:val="1"/>
      <w:marLeft w:val="0"/>
      <w:marRight w:val="0"/>
      <w:marTop w:val="0"/>
      <w:marBottom w:val="0"/>
      <w:divBdr>
        <w:top w:val="none" w:sz="0" w:space="0" w:color="auto"/>
        <w:left w:val="none" w:sz="0" w:space="0" w:color="auto"/>
        <w:bottom w:val="none" w:sz="0" w:space="0" w:color="auto"/>
        <w:right w:val="none" w:sz="0" w:space="0" w:color="auto"/>
      </w:divBdr>
    </w:div>
    <w:div w:id="1304774309">
      <w:bodyDiv w:val="1"/>
      <w:marLeft w:val="0"/>
      <w:marRight w:val="0"/>
      <w:marTop w:val="0"/>
      <w:marBottom w:val="0"/>
      <w:divBdr>
        <w:top w:val="none" w:sz="0" w:space="0" w:color="auto"/>
        <w:left w:val="none" w:sz="0" w:space="0" w:color="auto"/>
        <w:bottom w:val="none" w:sz="0" w:space="0" w:color="auto"/>
        <w:right w:val="none" w:sz="0" w:space="0" w:color="auto"/>
      </w:divBdr>
    </w:div>
    <w:div w:id="1307010575">
      <w:bodyDiv w:val="1"/>
      <w:marLeft w:val="0"/>
      <w:marRight w:val="0"/>
      <w:marTop w:val="0"/>
      <w:marBottom w:val="0"/>
      <w:divBdr>
        <w:top w:val="none" w:sz="0" w:space="0" w:color="auto"/>
        <w:left w:val="none" w:sz="0" w:space="0" w:color="auto"/>
        <w:bottom w:val="none" w:sz="0" w:space="0" w:color="auto"/>
        <w:right w:val="none" w:sz="0" w:space="0" w:color="auto"/>
      </w:divBdr>
    </w:div>
    <w:div w:id="1309165220">
      <w:bodyDiv w:val="1"/>
      <w:marLeft w:val="0"/>
      <w:marRight w:val="0"/>
      <w:marTop w:val="0"/>
      <w:marBottom w:val="0"/>
      <w:divBdr>
        <w:top w:val="none" w:sz="0" w:space="0" w:color="auto"/>
        <w:left w:val="none" w:sz="0" w:space="0" w:color="auto"/>
        <w:bottom w:val="none" w:sz="0" w:space="0" w:color="auto"/>
        <w:right w:val="none" w:sz="0" w:space="0" w:color="auto"/>
      </w:divBdr>
      <w:divsChild>
        <w:div w:id="277877586">
          <w:marLeft w:val="0"/>
          <w:marRight w:val="0"/>
          <w:marTop w:val="0"/>
          <w:marBottom w:val="0"/>
          <w:divBdr>
            <w:top w:val="none" w:sz="0" w:space="0" w:color="auto"/>
            <w:left w:val="none" w:sz="0" w:space="0" w:color="auto"/>
            <w:bottom w:val="none" w:sz="0" w:space="0" w:color="auto"/>
            <w:right w:val="none" w:sz="0" w:space="0" w:color="auto"/>
          </w:divBdr>
          <w:divsChild>
            <w:div w:id="1417706228">
              <w:marLeft w:val="0"/>
              <w:marRight w:val="0"/>
              <w:marTop w:val="0"/>
              <w:marBottom w:val="0"/>
              <w:divBdr>
                <w:top w:val="none" w:sz="0" w:space="0" w:color="auto"/>
                <w:left w:val="none" w:sz="0" w:space="0" w:color="auto"/>
                <w:bottom w:val="none" w:sz="0" w:space="0" w:color="auto"/>
                <w:right w:val="none" w:sz="0" w:space="0" w:color="auto"/>
              </w:divBdr>
              <w:divsChild>
                <w:div w:id="55431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712063">
      <w:bodyDiv w:val="1"/>
      <w:marLeft w:val="0"/>
      <w:marRight w:val="0"/>
      <w:marTop w:val="0"/>
      <w:marBottom w:val="0"/>
      <w:divBdr>
        <w:top w:val="none" w:sz="0" w:space="0" w:color="auto"/>
        <w:left w:val="none" w:sz="0" w:space="0" w:color="auto"/>
        <w:bottom w:val="none" w:sz="0" w:space="0" w:color="auto"/>
        <w:right w:val="none" w:sz="0" w:space="0" w:color="auto"/>
      </w:divBdr>
    </w:div>
    <w:div w:id="1312831781">
      <w:bodyDiv w:val="1"/>
      <w:marLeft w:val="0"/>
      <w:marRight w:val="0"/>
      <w:marTop w:val="0"/>
      <w:marBottom w:val="0"/>
      <w:divBdr>
        <w:top w:val="none" w:sz="0" w:space="0" w:color="auto"/>
        <w:left w:val="none" w:sz="0" w:space="0" w:color="auto"/>
        <w:bottom w:val="none" w:sz="0" w:space="0" w:color="auto"/>
        <w:right w:val="none" w:sz="0" w:space="0" w:color="auto"/>
      </w:divBdr>
    </w:div>
    <w:div w:id="1316955440">
      <w:bodyDiv w:val="1"/>
      <w:marLeft w:val="0"/>
      <w:marRight w:val="0"/>
      <w:marTop w:val="0"/>
      <w:marBottom w:val="0"/>
      <w:divBdr>
        <w:top w:val="none" w:sz="0" w:space="0" w:color="auto"/>
        <w:left w:val="none" w:sz="0" w:space="0" w:color="auto"/>
        <w:bottom w:val="none" w:sz="0" w:space="0" w:color="auto"/>
        <w:right w:val="none" w:sz="0" w:space="0" w:color="auto"/>
      </w:divBdr>
    </w:div>
    <w:div w:id="1324164467">
      <w:bodyDiv w:val="1"/>
      <w:marLeft w:val="0"/>
      <w:marRight w:val="0"/>
      <w:marTop w:val="0"/>
      <w:marBottom w:val="0"/>
      <w:divBdr>
        <w:top w:val="none" w:sz="0" w:space="0" w:color="auto"/>
        <w:left w:val="none" w:sz="0" w:space="0" w:color="auto"/>
        <w:bottom w:val="none" w:sz="0" w:space="0" w:color="auto"/>
        <w:right w:val="none" w:sz="0" w:space="0" w:color="auto"/>
      </w:divBdr>
      <w:divsChild>
        <w:div w:id="401223816">
          <w:marLeft w:val="0"/>
          <w:marRight w:val="0"/>
          <w:marTop w:val="0"/>
          <w:marBottom w:val="0"/>
          <w:divBdr>
            <w:top w:val="none" w:sz="0" w:space="0" w:color="auto"/>
            <w:left w:val="none" w:sz="0" w:space="0" w:color="auto"/>
            <w:bottom w:val="none" w:sz="0" w:space="0" w:color="auto"/>
            <w:right w:val="none" w:sz="0" w:space="0" w:color="auto"/>
          </w:divBdr>
        </w:div>
        <w:div w:id="1688945994">
          <w:marLeft w:val="0"/>
          <w:marRight w:val="0"/>
          <w:marTop w:val="0"/>
          <w:marBottom w:val="0"/>
          <w:divBdr>
            <w:top w:val="none" w:sz="0" w:space="0" w:color="auto"/>
            <w:left w:val="none" w:sz="0" w:space="0" w:color="auto"/>
            <w:bottom w:val="none" w:sz="0" w:space="0" w:color="auto"/>
            <w:right w:val="none" w:sz="0" w:space="0" w:color="auto"/>
          </w:divBdr>
        </w:div>
      </w:divsChild>
    </w:div>
    <w:div w:id="1329484958">
      <w:bodyDiv w:val="1"/>
      <w:marLeft w:val="0"/>
      <w:marRight w:val="0"/>
      <w:marTop w:val="0"/>
      <w:marBottom w:val="0"/>
      <w:divBdr>
        <w:top w:val="none" w:sz="0" w:space="0" w:color="auto"/>
        <w:left w:val="none" w:sz="0" w:space="0" w:color="auto"/>
        <w:bottom w:val="none" w:sz="0" w:space="0" w:color="auto"/>
        <w:right w:val="none" w:sz="0" w:space="0" w:color="auto"/>
      </w:divBdr>
    </w:div>
    <w:div w:id="1338000979">
      <w:bodyDiv w:val="1"/>
      <w:marLeft w:val="0"/>
      <w:marRight w:val="0"/>
      <w:marTop w:val="0"/>
      <w:marBottom w:val="0"/>
      <w:divBdr>
        <w:top w:val="none" w:sz="0" w:space="0" w:color="auto"/>
        <w:left w:val="none" w:sz="0" w:space="0" w:color="auto"/>
        <w:bottom w:val="none" w:sz="0" w:space="0" w:color="auto"/>
        <w:right w:val="none" w:sz="0" w:space="0" w:color="auto"/>
      </w:divBdr>
    </w:div>
    <w:div w:id="1341275059">
      <w:bodyDiv w:val="1"/>
      <w:marLeft w:val="0"/>
      <w:marRight w:val="0"/>
      <w:marTop w:val="0"/>
      <w:marBottom w:val="0"/>
      <w:divBdr>
        <w:top w:val="none" w:sz="0" w:space="0" w:color="auto"/>
        <w:left w:val="none" w:sz="0" w:space="0" w:color="auto"/>
        <w:bottom w:val="none" w:sz="0" w:space="0" w:color="auto"/>
        <w:right w:val="none" w:sz="0" w:space="0" w:color="auto"/>
      </w:divBdr>
    </w:div>
    <w:div w:id="1350259442">
      <w:bodyDiv w:val="1"/>
      <w:marLeft w:val="0"/>
      <w:marRight w:val="0"/>
      <w:marTop w:val="0"/>
      <w:marBottom w:val="0"/>
      <w:divBdr>
        <w:top w:val="none" w:sz="0" w:space="0" w:color="auto"/>
        <w:left w:val="none" w:sz="0" w:space="0" w:color="auto"/>
        <w:bottom w:val="none" w:sz="0" w:space="0" w:color="auto"/>
        <w:right w:val="none" w:sz="0" w:space="0" w:color="auto"/>
      </w:divBdr>
    </w:div>
    <w:div w:id="1353530870">
      <w:bodyDiv w:val="1"/>
      <w:marLeft w:val="0"/>
      <w:marRight w:val="0"/>
      <w:marTop w:val="0"/>
      <w:marBottom w:val="0"/>
      <w:divBdr>
        <w:top w:val="none" w:sz="0" w:space="0" w:color="auto"/>
        <w:left w:val="none" w:sz="0" w:space="0" w:color="auto"/>
        <w:bottom w:val="none" w:sz="0" w:space="0" w:color="auto"/>
        <w:right w:val="none" w:sz="0" w:space="0" w:color="auto"/>
      </w:divBdr>
    </w:div>
    <w:div w:id="1355112595">
      <w:bodyDiv w:val="1"/>
      <w:marLeft w:val="0"/>
      <w:marRight w:val="0"/>
      <w:marTop w:val="0"/>
      <w:marBottom w:val="0"/>
      <w:divBdr>
        <w:top w:val="none" w:sz="0" w:space="0" w:color="auto"/>
        <w:left w:val="none" w:sz="0" w:space="0" w:color="auto"/>
        <w:bottom w:val="none" w:sz="0" w:space="0" w:color="auto"/>
        <w:right w:val="none" w:sz="0" w:space="0" w:color="auto"/>
      </w:divBdr>
    </w:div>
    <w:div w:id="1361317895">
      <w:bodyDiv w:val="1"/>
      <w:marLeft w:val="0"/>
      <w:marRight w:val="0"/>
      <w:marTop w:val="0"/>
      <w:marBottom w:val="0"/>
      <w:divBdr>
        <w:top w:val="none" w:sz="0" w:space="0" w:color="auto"/>
        <w:left w:val="none" w:sz="0" w:space="0" w:color="auto"/>
        <w:bottom w:val="none" w:sz="0" w:space="0" w:color="auto"/>
        <w:right w:val="none" w:sz="0" w:space="0" w:color="auto"/>
      </w:divBdr>
    </w:div>
    <w:div w:id="1376276691">
      <w:bodyDiv w:val="1"/>
      <w:marLeft w:val="0"/>
      <w:marRight w:val="0"/>
      <w:marTop w:val="0"/>
      <w:marBottom w:val="0"/>
      <w:divBdr>
        <w:top w:val="none" w:sz="0" w:space="0" w:color="auto"/>
        <w:left w:val="none" w:sz="0" w:space="0" w:color="auto"/>
        <w:bottom w:val="none" w:sz="0" w:space="0" w:color="auto"/>
        <w:right w:val="none" w:sz="0" w:space="0" w:color="auto"/>
      </w:divBdr>
      <w:divsChild>
        <w:div w:id="1879509909">
          <w:marLeft w:val="0"/>
          <w:marRight w:val="0"/>
          <w:marTop w:val="0"/>
          <w:marBottom w:val="0"/>
          <w:divBdr>
            <w:top w:val="none" w:sz="0" w:space="0" w:color="auto"/>
            <w:left w:val="none" w:sz="0" w:space="0" w:color="auto"/>
            <w:bottom w:val="none" w:sz="0" w:space="0" w:color="auto"/>
            <w:right w:val="none" w:sz="0" w:space="0" w:color="auto"/>
          </w:divBdr>
          <w:divsChild>
            <w:div w:id="1739327455">
              <w:marLeft w:val="0"/>
              <w:marRight w:val="0"/>
              <w:marTop w:val="0"/>
              <w:marBottom w:val="0"/>
              <w:divBdr>
                <w:top w:val="none" w:sz="0" w:space="0" w:color="auto"/>
                <w:left w:val="none" w:sz="0" w:space="0" w:color="auto"/>
                <w:bottom w:val="none" w:sz="0" w:space="0" w:color="auto"/>
                <w:right w:val="none" w:sz="0" w:space="0" w:color="auto"/>
              </w:divBdr>
              <w:divsChild>
                <w:div w:id="196006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089920">
      <w:bodyDiv w:val="1"/>
      <w:marLeft w:val="0"/>
      <w:marRight w:val="0"/>
      <w:marTop w:val="0"/>
      <w:marBottom w:val="0"/>
      <w:divBdr>
        <w:top w:val="none" w:sz="0" w:space="0" w:color="auto"/>
        <w:left w:val="none" w:sz="0" w:space="0" w:color="auto"/>
        <w:bottom w:val="none" w:sz="0" w:space="0" w:color="auto"/>
        <w:right w:val="none" w:sz="0" w:space="0" w:color="auto"/>
      </w:divBdr>
    </w:div>
    <w:div w:id="1380325771">
      <w:bodyDiv w:val="1"/>
      <w:marLeft w:val="0"/>
      <w:marRight w:val="0"/>
      <w:marTop w:val="0"/>
      <w:marBottom w:val="0"/>
      <w:divBdr>
        <w:top w:val="none" w:sz="0" w:space="0" w:color="auto"/>
        <w:left w:val="none" w:sz="0" w:space="0" w:color="auto"/>
        <w:bottom w:val="none" w:sz="0" w:space="0" w:color="auto"/>
        <w:right w:val="none" w:sz="0" w:space="0" w:color="auto"/>
      </w:divBdr>
    </w:div>
    <w:div w:id="1385594653">
      <w:bodyDiv w:val="1"/>
      <w:marLeft w:val="0"/>
      <w:marRight w:val="0"/>
      <w:marTop w:val="0"/>
      <w:marBottom w:val="0"/>
      <w:divBdr>
        <w:top w:val="none" w:sz="0" w:space="0" w:color="auto"/>
        <w:left w:val="none" w:sz="0" w:space="0" w:color="auto"/>
        <w:bottom w:val="none" w:sz="0" w:space="0" w:color="auto"/>
        <w:right w:val="none" w:sz="0" w:space="0" w:color="auto"/>
      </w:divBdr>
      <w:divsChild>
        <w:div w:id="1995261603">
          <w:marLeft w:val="0"/>
          <w:marRight w:val="0"/>
          <w:marTop w:val="0"/>
          <w:marBottom w:val="0"/>
          <w:divBdr>
            <w:top w:val="none" w:sz="0" w:space="0" w:color="auto"/>
            <w:left w:val="none" w:sz="0" w:space="0" w:color="auto"/>
            <w:bottom w:val="none" w:sz="0" w:space="0" w:color="auto"/>
            <w:right w:val="none" w:sz="0" w:space="0" w:color="auto"/>
          </w:divBdr>
          <w:divsChild>
            <w:div w:id="475683449">
              <w:marLeft w:val="0"/>
              <w:marRight w:val="0"/>
              <w:marTop w:val="0"/>
              <w:marBottom w:val="0"/>
              <w:divBdr>
                <w:top w:val="none" w:sz="0" w:space="0" w:color="auto"/>
                <w:left w:val="none" w:sz="0" w:space="0" w:color="auto"/>
                <w:bottom w:val="none" w:sz="0" w:space="0" w:color="auto"/>
                <w:right w:val="none" w:sz="0" w:space="0" w:color="auto"/>
              </w:divBdr>
              <w:divsChild>
                <w:div w:id="84505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580972">
          <w:marLeft w:val="0"/>
          <w:marRight w:val="0"/>
          <w:marTop w:val="0"/>
          <w:marBottom w:val="0"/>
          <w:divBdr>
            <w:top w:val="none" w:sz="0" w:space="0" w:color="auto"/>
            <w:left w:val="none" w:sz="0" w:space="0" w:color="auto"/>
            <w:bottom w:val="none" w:sz="0" w:space="0" w:color="auto"/>
            <w:right w:val="none" w:sz="0" w:space="0" w:color="auto"/>
          </w:divBdr>
        </w:div>
      </w:divsChild>
    </w:div>
    <w:div w:id="1385786414">
      <w:bodyDiv w:val="1"/>
      <w:marLeft w:val="0"/>
      <w:marRight w:val="0"/>
      <w:marTop w:val="0"/>
      <w:marBottom w:val="0"/>
      <w:divBdr>
        <w:top w:val="none" w:sz="0" w:space="0" w:color="auto"/>
        <w:left w:val="none" w:sz="0" w:space="0" w:color="auto"/>
        <w:bottom w:val="none" w:sz="0" w:space="0" w:color="auto"/>
        <w:right w:val="none" w:sz="0" w:space="0" w:color="auto"/>
      </w:divBdr>
      <w:divsChild>
        <w:div w:id="1898319031">
          <w:marLeft w:val="0"/>
          <w:marRight w:val="0"/>
          <w:marTop w:val="0"/>
          <w:marBottom w:val="0"/>
          <w:divBdr>
            <w:top w:val="none" w:sz="0" w:space="0" w:color="auto"/>
            <w:left w:val="none" w:sz="0" w:space="0" w:color="auto"/>
            <w:bottom w:val="none" w:sz="0" w:space="0" w:color="auto"/>
            <w:right w:val="none" w:sz="0" w:space="0" w:color="auto"/>
          </w:divBdr>
          <w:divsChild>
            <w:div w:id="1090665766">
              <w:marLeft w:val="0"/>
              <w:marRight w:val="0"/>
              <w:marTop w:val="0"/>
              <w:marBottom w:val="0"/>
              <w:divBdr>
                <w:top w:val="none" w:sz="0" w:space="0" w:color="auto"/>
                <w:left w:val="none" w:sz="0" w:space="0" w:color="auto"/>
                <w:bottom w:val="none" w:sz="0" w:space="0" w:color="auto"/>
                <w:right w:val="none" w:sz="0" w:space="0" w:color="auto"/>
              </w:divBdr>
              <w:divsChild>
                <w:div w:id="1413308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033055">
      <w:bodyDiv w:val="1"/>
      <w:marLeft w:val="0"/>
      <w:marRight w:val="0"/>
      <w:marTop w:val="0"/>
      <w:marBottom w:val="0"/>
      <w:divBdr>
        <w:top w:val="none" w:sz="0" w:space="0" w:color="auto"/>
        <w:left w:val="none" w:sz="0" w:space="0" w:color="auto"/>
        <w:bottom w:val="none" w:sz="0" w:space="0" w:color="auto"/>
        <w:right w:val="none" w:sz="0" w:space="0" w:color="auto"/>
      </w:divBdr>
    </w:div>
    <w:div w:id="1391927114">
      <w:bodyDiv w:val="1"/>
      <w:marLeft w:val="0"/>
      <w:marRight w:val="0"/>
      <w:marTop w:val="0"/>
      <w:marBottom w:val="0"/>
      <w:divBdr>
        <w:top w:val="none" w:sz="0" w:space="0" w:color="auto"/>
        <w:left w:val="none" w:sz="0" w:space="0" w:color="auto"/>
        <w:bottom w:val="none" w:sz="0" w:space="0" w:color="auto"/>
        <w:right w:val="none" w:sz="0" w:space="0" w:color="auto"/>
      </w:divBdr>
    </w:div>
    <w:div w:id="1401295461">
      <w:bodyDiv w:val="1"/>
      <w:marLeft w:val="0"/>
      <w:marRight w:val="0"/>
      <w:marTop w:val="0"/>
      <w:marBottom w:val="0"/>
      <w:divBdr>
        <w:top w:val="none" w:sz="0" w:space="0" w:color="auto"/>
        <w:left w:val="none" w:sz="0" w:space="0" w:color="auto"/>
        <w:bottom w:val="none" w:sz="0" w:space="0" w:color="auto"/>
        <w:right w:val="none" w:sz="0" w:space="0" w:color="auto"/>
      </w:divBdr>
    </w:div>
    <w:div w:id="1407916920">
      <w:bodyDiv w:val="1"/>
      <w:marLeft w:val="0"/>
      <w:marRight w:val="0"/>
      <w:marTop w:val="0"/>
      <w:marBottom w:val="0"/>
      <w:divBdr>
        <w:top w:val="none" w:sz="0" w:space="0" w:color="auto"/>
        <w:left w:val="none" w:sz="0" w:space="0" w:color="auto"/>
        <w:bottom w:val="none" w:sz="0" w:space="0" w:color="auto"/>
        <w:right w:val="none" w:sz="0" w:space="0" w:color="auto"/>
      </w:divBdr>
    </w:div>
    <w:div w:id="1408920696">
      <w:bodyDiv w:val="1"/>
      <w:marLeft w:val="0"/>
      <w:marRight w:val="0"/>
      <w:marTop w:val="0"/>
      <w:marBottom w:val="0"/>
      <w:divBdr>
        <w:top w:val="none" w:sz="0" w:space="0" w:color="auto"/>
        <w:left w:val="none" w:sz="0" w:space="0" w:color="auto"/>
        <w:bottom w:val="none" w:sz="0" w:space="0" w:color="auto"/>
        <w:right w:val="none" w:sz="0" w:space="0" w:color="auto"/>
      </w:divBdr>
      <w:divsChild>
        <w:div w:id="1300957810">
          <w:marLeft w:val="0"/>
          <w:marRight w:val="0"/>
          <w:marTop w:val="0"/>
          <w:marBottom w:val="0"/>
          <w:divBdr>
            <w:top w:val="none" w:sz="0" w:space="0" w:color="auto"/>
            <w:left w:val="none" w:sz="0" w:space="0" w:color="auto"/>
            <w:bottom w:val="none" w:sz="0" w:space="0" w:color="auto"/>
            <w:right w:val="none" w:sz="0" w:space="0" w:color="auto"/>
          </w:divBdr>
          <w:divsChild>
            <w:div w:id="2109694828">
              <w:marLeft w:val="0"/>
              <w:marRight w:val="0"/>
              <w:marTop w:val="0"/>
              <w:marBottom w:val="0"/>
              <w:divBdr>
                <w:top w:val="none" w:sz="0" w:space="0" w:color="auto"/>
                <w:left w:val="none" w:sz="0" w:space="0" w:color="auto"/>
                <w:bottom w:val="none" w:sz="0" w:space="0" w:color="auto"/>
                <w:right w:val="none" w:sz="0" w:space="0" w:color="auto"/>
              </w:divBdr>
            </w:div>
          </w:divsChild>
        </w:div>
        <w:div w:id="1006707440">
          <w:marLeft w:val="0"/>
          <w:marRight w:val="0"/>
          <w:marTop w:val="0"/>
          <w:marBottom w:val="0"/>
          <w:divBdr>
            <w:top w:val="none" w:sz="0" w:space="0" w:color="auto"/>
            <w:left w:val="none" w:sz="0" w:space="0" w:color="auto"/>
            <w:bottom w:val="none" w:sz="0" w:space="0" w:color="auto"/>
            <w:right w:val="none" w:sz="0" w:space="0" w:color="auto"/>
          </w:divBdr>
        </w:div>
      </w:divsChild>
    </w:div>
    <w:div w:id="1412115653">
      <w:bodyDiv w:val="1"/>
      <w:marLeft w:val="0"/>
      <w:marRight w:val="0"/>
      <w:marTop w:val="0"/>
      <w:marBottom w:val="0"/>
      <w:divBdr>
        <w:top w:val="none" w:sz="0" w:space="0" w:color="auto"/>
        <w:left w:val="none" w:sz="0" w:space="0" w:color="auto"/>
        <w:bottom w:val="none" w:sz="0" w:space="0" w:color="auto"/>
        <w:right w:val="none" w:sz="0" w:space="0" w:color="auto"/>
      </w:divBdr>
      <w:divsChild>
        <w:div w:id="604114874">
          <w:marLeft w:val="0"/>
          <w:marRight w:val="0"/>
          <w:marTop w:val="0"/>
          <w:marBottom w:val="0"/>
          <w:divBdr>
            <w:top w:val="none" w:sz="0" w:space="0" w:color="auto"/>
            <w:left w:val="none" w:sz="0" w:space="0" w:color="auto"/>
            <w:bottom w:val="none" w:sz="0" w:space="0" w:color="auto"/>
            <w:right w:val="none" w:sz="0" w:space="0" w:color="auto"/>
          </w:divBdr>
        </w:div>
        <w:div w:id="1554542895">
          <w:marLeft w:val="0"/>
          <w:marRight w:val="0"/>
          <w:marTop w:val="0"/>
          <w:marBottom w:val="0"/>
          <w:divBdr>
            <w:top w:val="none" w:sz="0" w:space="0" w:color="auto"/>
            <w:left w:val="none" w:sz="0" w:space="0" w:color="auto"/>
            <w:bottom w:val="none" w:sz="0" w:space="0" w:color="auto"/>
            <w:right w:val="none" w:sz="0" w:space="0" w:color="auto"/>
          </w:divBdr>
        </w:div>
      </w:divsChild>
    </w:div>
    <w:div w:id="1417820009">
      <w:bodyDiv w:val="1"/>
      <w:marLeft w:val="0"/>
      <w:marRight w:val="0"/>
      <w:marTop w:val="0"/>
      <w:marBottom w:val="0"/>
      <w:divBdr>
        <w:top w:val="none" w:sz="0" w:space="0" w:color="auto"/>
        <w:left w:val="none" w:sz="0" w:space="0" w:color="auto"/>
        <w:bottom w:val="none" w:sz="0" w:space="0" w:color="auto"/>
        <w:right w:val="none" w:sz="0" w:space="0" w:color="auto"/>
      </w:divBdr>
    </w:div>
    <w:div w:id="1420445140">
      <w:bodyDiv w:val="1"/>
      <w:marLeft w:val="0"/>
      <w:marRight w:val="0"/>
      <w:marTop w:val="0"/>
      <w:marBottom w:val="0"/>
      <w:divBdr>
        <w:top w:val="none" w:sz="0" w:space="0" w:color="auto"/>
        <w:left w:val="none" w:sz="0" w:space="0" w:color="auto"/>
        <w:bottom w:val="none" w:sz="0" w:space="0" w:color="auto"/>
        <w:right w:val="none" w:sz="0" w:space="0" w:color="auto"/>
      </w:divBdr>
      <w:divsChild>
        <w:div w:id="1291740798">
          <w:marLeft w:val="0"/>
          <w:marRight w:val="0"/>
          <w:marTop w:val="0"/>
          <w:marBottom w:val="0"/>
          <w:divBdr>
            <w:top w:val="none" w:sz="0" w:space="0" w:color="auto"/>
            <w:left w:val="none" w:sz="0" w:space="0" w:color="auto"/>
            <w:bottom w:val="none" w:sz="0" w:space="0" w:color="auto"/>
            <w:right w:val="none" w:sz="0" w:space="0" w:color="auto"/>
          </w:divBdr>
        </w:div>
        <w:div w:id="395250988">
          <w:marLeft w:val="0"/>
          <w:marRight w:val="0"/>
          <w:marTop w:val="0"/>
          <w:marBottom w:val="0"/>
          <w:divBdr>
            <w:top w:val="none" w:sz="0" w:space="0" w:color="auto"/>
            <w:left w:val="none" w:sz="0" w:space="0" w:color="auto"/>
            <w:bottom w:val="none" w:sz="0" w:space="0" w:color="auto"/>
            <w:right w:val="none" w:sz="0" w:space="0" w:color="auto"/>
          </w:divBdr>
        </w:div>
      </w:divsChild>
    </w:div>
    <w:div w:id="1444492381">
      <w:bodyDiv w:val="1"/>
      <w:marLeft w:val="0"/>
      <w:marRight w:val="0"/>
      <w:marTop w:val="0"/>
      <w:marBottom w:val="0"/>
      <w:divBdr>
        <w:top w:val="none" w:sz="0" w:space="0" w:color="auto"/>
        <w:left w:val="none" w:sz="0" w:space="0" w:color="auto"/>
        <w:bottom w:val="none" w:sz="0" w:space="0" w:color="auto"/>
        <w:right w:val="none" w:sz="0" w:space="0" w:color="auto"/>
      </w:divBdr>
    </w:div>
    <w:div w:id="1467119798">
      <w:bodyDiv w:val="1"/>
      <w:marLeft w:val="0"/>
      <w:marRight w:val="0"/>
      <w:marTop w:val="0"/>
      <w:marBottom w:val="0"/>
      <w:divBdr>
        <w:top w:val="none" w:sz="0" w:space="0" w:color="auto"/>
        <w:left w:val="none" w:sz="0" w:space="0" w:color="auto"/>
        <w:bottom w:val="none" w:sz="0" w:space="0" w:color="auto"/>
        <w:right w:val="none" w:sz="0" w:space="0" w:color="auto"/>
      </w:divBdr>
    </w:div>
    <w:div w:id="1485582319">
      <w:bodyDiv w:val="1"/>
      <w:marLeft w:val="0"/>
      <w:marRight w:val="0"/>
      <w:marTop w:val="0"/>
      <w:marBottom w:val="0"/>
      <w:divBdr>
        <w:top w:val="none" w:sz="0" w:space="0" w:color="auto"/>
        <w:left w:val="none" w:sz="0" w:space="0" w:color="auto"/>
        <w:bottom w:val="none" w:sz="0" w:space="0" w:color="auto"/>
        <w:right w:val="none" w:sz="0" w:space="0" w:color="auto"/>
      </w:divBdr>
    </w:div>
    <w:div w:id="1486126652">
      <w:bodyDiv w:val="1"/>
      <w:marLeft w:val="0"/>
      <w:marRight w:val="0"/>
      <w:marTop w:val="0"/>
      <w:marBottom w:val="0"/>
      <w:divBdr>
        <w:top w:val="none" w:sz="0" w:space="0" w:color="auto"/>
        <w:left w:val="none" w:sz="0" w:space="0" w:color="auto"/>
        <w:bottom w:val="none" w:sz="0" w:space="0" w:color="auto"/>
        <w:right w:val="none" w:sz="0" w:space="0" w:color="auto"/>
      </w:divBdr>
    </w:div>
    <w:div w:id="1495536510">
      <w:bodyDiv w:val="1"/>
      <w:marLeft w:val="0"/>
      <w:marRight w:val="0"/>
      <w:marTop w:val="0"/>
      <w:marBottom w:val="0"/>
      <w:divBdr>
        <w:top w:val="none" w:sz="0" w:space="0" w:color="auto"/>
        <w:left w:val="none" w:sz="0" w:space="0" w:color="auto"/>
        <w:bottom w:val="none" w:sz="0" w:space="0" w:color="auto"/>
        <w:right w:val="none" w:sz="0" w:space="0" w:color="auto"/>
      </w:divBdr>
    </w:div>
    <w:div w:id="1504005268">
      <w:bodyDiv w:val="1"/>
      <w:marLeft w:val="0"/>
      <w:marRight w:val="0"/>
      <w:marTop w:val="0"/>
      <w:marBottom w:val="0"/>
      <w:divBdr>
        <w:top w:val="none" w:sz="0" w:space="0" w:color="auto"/>
        <w:left w:val="none" w:sz="0" w:space="0" w:color="auto"/>
        <w:bottom w:val="none" w:sz="0" w:space="0" w:color="auto"/>
        <w:right w:val="none" w:sz="0" w:space="0" w:color="auto"/>
      </w:divBdr>
    </w:div>
    <w:div w:id="1515151434">
      <w:bodyDiv w:val="1"/>
      <w:marLeft w:val="0"/>
      <w:marRight w:val="0"/>
      <w:marTop w:val="0"/>
      <w:marBottom w:val="0"/>
      <w:divBdr>
        <w:top w:val="none" w:sz="0" w:space="0" w:color="auto"/>
        <w:left w:val="none" w:sz="0" w:space="0" w:color="auto"/>
        <w:bottom w:val="none" w:sz="0" w:space="0" w:color="auto"/>
        <w:right w:val="none" w:sz="0" w:space="0" w:color="auto"/>
      </w:divBdr>
    </w:div>
    <w:div w:id="1523667783">
      <w:bodyDiv w:val="1"/>
      <w:marLeft w:val="0"/>
      <w:marRight w:val="0"/>
      <w:marTop w:val="0"/>
      <w:marBottom w:val="0"/>
      <w:divBdr>
        <w:top w:val="none" w:sz="0" w:space="0" w:color="auto"/>
        <w:left w:val="none" w:sz="0" w:space="0" w:color="auto"/>
        <w:bottom w:val="none" w:sz="0" w:space="0" w:color="auto"/>
        <w:right w:val="none" w:sz="0" w:space="0" w:color="auto"/>
      </w:divBdr>
    </w:div>
    <w:div w:id="1530679217">
      <w:bodyDiv w:val="1"/>
      <w:marLeft w:val="0"/>
      <w:marRight w:val="0"/>
      <w:marTop w:val="0"/>
      <w:marBottom w:val="0"/>
      <w:divBdr>
        <w:top w:val="none" w:sz="0" w:space="0" w:color="auto"/>
        <w:left w:val="none" w:sz="0" w:space="0" w:color="auto"/>
        <w:bottom w:val="none" w:sz="0" w:space="0" w:color="auto"/>
        <w:right w:val="none" w:sz="0" w:space="0" w:color="auto"/>
      </w:divBdr>
    </w:div>
    <w:div w:id="1534145722">
      <w:bodyDiv w:val="1"/>
      <w:marLeft w:val="0"/>
      <w:marRight w:val="0"/>
      <w:marTop w:val="0"/>
      <w:marBottom w:val="0"/>
      <w:divBdr>
        <w:top w:val="none" w:sz="0" w:space="0" w:color="auto"/>
        <w:left w:val="none" w:sz="0" w:space="0" w:color="auto"/>
        <w:bottom w:val="none" w:sz="0" w:space="0" w:color="auto"/>
        <w:right w:val="none" w:sz="0" w:space="0" w:color="auto"/>
      </w:divBdr>
    </w:div>
    <w:div w:id="1549610899">
      <w:bodyDiv w:val="1"/>
      <w:marLeft w:val="0"/>
      <w:marRight w:val="0"/>
      <w:marTop w:val="0"/>
      <w:marBottom w:val="0"/>
      <w:divBdr>
        <w:top w:val="none" w:sz="0" w:space="0" w:color="auto"/>
        <w:left w:val="none" w:sz="0" w:space="0" w:color="auto"/>
        <w:bottom w:val="none" w:sz="0" w:space="0" w:color="auto"/>
        <w:right w:val="none" w:sz="0" w:space="0" w:color="auto"/>
      </w:divBdr>
    </w:div>
    <w:div w:id="1586763272">
      <w:bodyDiv w:val="1"/>
      <w:marLeft w:val="0"/>
      <w:marRight w:val="0"/>
      <w:marTop w:val="0"/>
      <w:marBottom w:val="0"/>
      <w:divBdr>
        <w:top w:val="none" w:sz="0" w:space="0" w:color="auto"/>
        <w:left w:val="none" w:sz="0" w:space="0" w:color="auto"/>
        <w:bottom w:val="none" w:sz="0" w:space="0" w:color="auto"/>
        <w:right w:val="none" w:sz="0" w:space="0" w:color="auto"/>
      </w:divBdr>
    </w:div>
    <w:div w:id="1593007532">
      <w:bodyDiv w:val="1"/>
      <w:marLeft w:val="0"/>
      <w:marRight w:val="0"/>
      <w:marTop w:val="0"/>
      <w:marBottom w:val="0"/>
      <w:divBdr>
        <w:top w:val="none" w:sz="0" w:space="0" w:color="auto"/>
        <w:left w:val="none" w:sz="0" w:space="0" w:color="auto"/>
        <w:bottom w:val="none" w:sz="0" w:space="0" w:color="auto"/>
        <w:right w:val="none" w:sz="0" w:space="0" w:color="auto"/>
      </w:divBdr>
    </w:div>
    <w:div w:id="1596554696">
      <w:bodyDiv w:val="1"/>
      <w:marLeft w:val="0"/>
      <w:marRight w:val="0"/>
      <w:marTop w:val="0"/>
      <w:marBottom w:val="0"/>
      <w:divBdr>
        <w:top w:val="none" w:sz="0" w:space="0" w:color="auto"/>
        <w:left w:val="none" w:sz="0" w:space="0" w:color="auto"/>
        <w:bottom w:val="none" w:sz="0" w:space="0" w:color="auto"/>
        <w:right w:val="none" w:sz="0" w:space="0" w:color="auto"/>
      </w:divBdr>
    </w:div>
    <w:div w:id="1598825841">
      <w:bodyDiv w:val="1"/>
      <w:marLeft w:val="0"/>
      <w:marRight w:val="0"/>
      <w:marTop w:val="0"/>
      <w:marBottom w:val="0"/>
      <w:divBdr>
        <w:top w:val="none" w:sz="0" w:space="0" w:color="auto"/>
        <w:left w:val="none" w:sz="0" w:space="0" w:color="auto"/>
        <w:bottom w:val="none" w:sz="0" w:space="0" w:color="auto"/>
        <w:right w:val="none" w:sz="0" w:space="0" w:color="auto"/>
      </w:divBdr>
      <w:divsChild>
        <w:div w:id="42292462">
          <w:marLeft w:val="0"/>
          <w:marRight w:val="0"/>
          <w:marTop w:val="0"/>
          <w:marBottom w:val="0"/>
          <w:divBdr>
            <w:top w:val="none" w:sz="0" w:space="0" w:color="auto"/>
            <w:left w:val="none" w:sz="0" w:space="0" w:color="auto"/>
            <w:bottom w:val="none" w:sz="0" w:space="0" w:color="auto"/>
            <w:right w:val="none" w:sz="0" w:space="0" w:color="auto"/>
          </w:divBdr>
          <w:divsChild>
            <w:div w:id="1164587922">
              <w:marLeft w:val="0"/>
              <w:marRight w:val="0"/>
              <w:marTop w:val="0"/>
              <w:marBottom w:val="0"/>
              <w:divBdr>
                <w:top w:val="none" w:sz="0" w:space="0" w:color="auto"/>
                <w:left w:val="none" w:sz="0" w:space="0" w:color="auto"/>
                <w:bottom w:val="none" w:sz="0" w:space="0" w:color="auto"/>
                <w:right w:val="none" w:sz="0" w:space="0" w:color="auto"/>
              </w:divBdr>
              <w:divsChild>
                <w:div w:id="209678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521800">
      <w:bodyDiv w:val="1"/>
      <w:marLeft w:val="0"/>
      <w:marRight w:val="0"/>
      <w:marTop w:val="0"/>
      <w:marBottom w:val="0"/>
      <w:divBdr>
        <w:top w:val="none" w:sz="0" w:space="0" w:color="auto"/>
        <w:left w:val="none" w:sz="0" w:space="0" w:color="auto"/>
        <w:bottom w:val="none" w:sz="0" w:space="0" w:color="auto"/>
        <w:right w:val="none" w:sz="0" w:space="0" w:color="auto"/>
      </w:divBdr>
    </w:div>
    <w:div w:id="1602764751">
      <w:bodyDiv w:val="1"/>
      <w:marLeft w:val="0"/>
      <w:marRight w:val="0"/>
      <w:marTop w:val="0"/>
      <w:marBottom w:val="0"/>
      <w:divBdr>
        <w:top w:val="none" w:sz="0" w:space="0" w:color="auto"/>
        <w:left w:val="none" w:sz="0" w:space="0" w:color="auto"/>
        <w:bottom w:val="none" w:sz="0" w:space="0" w:color="auto"/>
        <w:right w:val="none" w:sz="0" w:space="0" w:color="auto"/>
      </w:divBdr>
    </w:div>
    <w:div w:id="1608925177">
      <w:bodyDiv w:val="1"/>
      <w:marLeft w:val="0"/>
      <w:marRight w:val="0"/>
      <w:marTop w:val="0"/>
      <w:marBottom w:val="0"/>
      <w:divBdr>
        <w:top w:val="none" w:sz="0" w:space="0" w:color="auto"/>
        <w:left w:val="none" w:sz="0" w:space="0" w:color="auto"/>
        <w:bottom w:val="none" w:sz="0" w:space="0" w:color="auto"/>
        <w:right w:val="none" w:sz="0" w:space="0" w:color="auto"/>
      </w:divBdr>
    </w:div>
    <w:div w:id="1614441399">
      <w:bodyDiv w:val="1"/>
      <w:marLeft w:val="0"/>
      <w:marRight w:val="0"/>
      <w:marTop w:val="0"/>
      <w:marBottom w:val="0"/>
      <w:divBdr>
        <w:top w:val="none" w:sz="0" w:space="0" w:color="auto"/>
        <w:left w:val="none" w:sz="0" w:space="0" w:color="auto"/>
        <w:bottom w:val="none" w:sz="0" w:space="0" w:color="auto"/>
        <w:right w:val="none" w:sz="0" w:space="0" w:color="auto"/>
      </w:divBdr>
    </w:div>
    <w:div w:id="1630555371">
      <w:bodyDiv w:val="1"/>
      <w:marLeft w:val="0"/>
      <w:marRight w:val="0"/>
      <w:marTop w:val="0"/>
      <w:marBottom w:val="0"/>
      <w:divBdr>
        <w:top w:val="none" w:sz="0" w:space="0" w:color="auto"/>
        <w:left w:val="none" w:sz="0" w:space="0" w:color="auto"/>
        <w:bottom w:val="none" w:sz="0" w:space="0" w:color="auto"/>
        <w:right w:val="none" w:sz="0" w:space="0" w:color="auto"/>
      </w:divBdr>
      <w:divsChild>
        <w:div w:id="1886333327">
          <w:marLeft w:val="0"/>
          <w:marRight w:val="0"/>
          <w:marTop w:val="0"/>
          <w:marBottom w:val="0"/>
          <w:divBdr>
            <w:top w:val="none" w:sz="0" w:space="0" w:color="auto"/>
            <w:left w:val="none" w:sz="0" w:space="0" w:color="auto"/>
            <w:bottom w:val="none" w:sz="0" w:space="0" w:color="auto"/>
            <w:right w:val="none" w:sz="0" w:space="0" w:color="auto"/>
          </w:divBdr>
        </w:div>
        <w:div w:id="1574706277">
          <w:marLeft w:val="0"/>
          <w:marRight w:val="0"/>
          <w:marTop w:val="0"/>
          <w:marBottom w:val="0"/>
          <w:divBdr>
            <w:top w:val="none" w:sz="0" w:space="0" w:color="auto"/>
            <w:left w:val="none" w:sz="0" w:space="0" w:color="auto"/>
            <w:bottom w:val="none" w:sz="0" w:space="0" w:color="auto"/>
            <w:right w:val="none" w:sz="0" w:space="0" w:color="auto"/>
          </w:divBdr>
        </w:div>
      </w:divsChild>
    </w:div>
    <w:div w:id="1653832385">
      <w:bodyDiv w:val="1"/>
      <w:marLeft w:val="0"/>
      <w:marRight w:val="0"/>
      <w:marTop w:val="0"/>
      <w:marBottom w:val="0"/>
      <w:divBdr>
        <w:top w:val="none" w:sz="0" w:space="0" w:color="auto"/>
        <w:left w:val="none" w:sz="0" w:space="0" w:color="auto"/>
        <w:bottom w:val="none" w:sz="0" w:space="0" w:color="auto"/>
        <w:right w:val="none" w:sz="0" w:space="0" w:color="auto"/>
      </w:divBdr>
    </w:div>
    <w:div w:id="1665207771">
      <w:bodyDiv w:val="1"/>
      <w:marLeft w:val="0"/>
      <w:marRight w:val="0"/>
      <w:marTop w:val="0"/>
      <w:marBottom w:val="0"/>
      <w:divBdr>
        <w:top w:val="none" w:sz="0" w:space="0" w:color="auto"/>
        <w:left w:val="none" w:sz="0" w:space="0" w:color="auto"/>
        <w:bottom w:val="none" w:sz="0" w:space="0" w:color="auto"/>
        <w:right w:val="none" w:sz="0" w:space="0" w:color="auto"/>
      </w:divBdr>
      <w:divsChild>
        <w:div w:id="1131097940">
          <w:marLeft w:val="0"/>
          <w:marRight w:val="0"/>
          <w:marTop w:val="0"/>
          <w:marBottom w:val="0"/>
          <w:divBdr>
            <w:top w:val="none" w:sz="0" w:space="0" w:color="auto"/>
            <w:left w:val="none" w:sz="0" w:space="0" w:color="auto"/>
            <w:bottom w:val="none" w:sz="0" w:space="0" w:color="auto"/>
            <w:right w:val="none" w:sz="0" w:space="0" w:color="auto"/>
          </w:divBdr>
        </w:div>
        <w:div w:id="793790345">
          <w:marLeft w:val="0"/>
          <w:marRight w:val="0"/>
          <w:marTop w:val="0"/>
          <w:marBottom w:val="0"/>
          <w:divBdr>
            <w:top w:val="none" w:sz="0" w:space="0" w:color="auto"/>
            <w:left w:val="none" w:sz="0" w:space="0" w:color="auto"/>
            <w:bottom w:val="none" w:sz="0" w:space="0" w:color="auto"/>
            <w:right w:val="none" w:sz="0" w:space="0" w:color="auto"/>
          </w:divBdr>
        </w:div>
      </w:divsChild>
    </w:div>
    <w:div w:id="1665358677">
      <w:bodyDiv w:val="1"/>
      <w:marLeft w:val="0"/>
      <w:marRight w:val="0"/>
      <w:marTop w:val="0"/>
      <w:marBottom w:val="0"/>
      <w:divBdr>
        <w:top w:val="none" w:sz="0" w:space="0" w:color="auto"/>
        <w:left w:val="none" w:sz="0" w:space="0" w:color="auto"/>
        <w:bottom w:val="none" w:sz="0" w:space="0" w:color="auto"/>
        <w:right w:val="none" w:sz="0" w:space="0" w:color="auto"/>
      </w:divBdr>
    </w:div>
    <w:div w:id="1668901035">
      <w:bodyDiv w:val="1"/>
      <w:marLeft w:val="0"/>
      <w:marRight w:val="0"/>
      <w:marTop w:val="0"/>
      <w:marBottom w:val="0"/>
      <w:divBdr>
        <w:top w:val="none" w:sz="0" w:space="0" w:color="auto"/>
        <w:left w:val="none" w:sz="0" w:space="0" w:color="auto"/>
        <w:bottom w:val="none" w:sz="0" w:space="0" w:color="auto"/>
        <w:right w:val="none" w:sz="0" w:space="0" w:color="auto"/>
      </w:divBdr>
    </w:div>
    <w:div w:id="1673339387">
      <w:bodyDiv w:val="1"/>
      <w:marLeft w:val="0"/>
      <w:marRight w:val="0"/>
      <w:marTop w:val="0"/>
      <w:marBottom w:val="0"/>
      <w:divBdr>
        <w:top w:val="none" w:sz="0" w:space="0" w:color="auto"/>
        <w:left w:val="none" w:sz="0" w:space="0" w:color="auto"/>
        <w:bottom w:val="none" w:sz="0" w:space="0" w:color="auto"/>
        <w:right w:val="none" w:sz="0" w:space="0" w:color="auto"/>
      </w:divBdr>
    </w:div>
    <w:div w:id="1680501513">
      <w:bodyDiv w:val="1"/>
      <w:marLeft w:val="0"/>
      <w:marRight w:val="0"/>
      <w:marTop w:val="0"/>
      <w:marBottom w:val="0"/>
      <w:divBdr>
        <w:top w:val="none" w:sz="0" w:space="0" w:color="auto"/>
        <w:left w:val="none" w:sz="0" w:space="0" w:color="auto"/>
        <w:bottom w:val="none" w:sz="0" w:space="0" w:color="auto"/>
        <w:right w:val="none" w:sz="0" w:space="0" w:color="auto"/>
      </w:divBdr>
    </w:div>
    <w:div w:id="1681740004">
      <w:bodyDiv w:val="1"/>
      <w:marLeft w:val="0"/>
      <w:marRight w:val="0"/>
      <w:marTop w:val="0"/>
      <w:marBottom w:val="0"/>
      <w:divBdr>
        <w:top w:val="none" w:sz="0" w:space="0" w:color="auto"/>
        <w:left w:val="none" w:sz="0" w:space="0" w:color="auto"/>
        <w:bottom w:val="none" w:sz="0" w:space="0" w:color="auto"/>
        <w:right w:val="none" w:sz="0" w:space="0" w:color="auto"/>
      </w:divBdr>
    </w:div>
    <w:div w:id="1689797639">
      <w:bodyDiv w:val="1"/>
      <w:marLeft w:val="0"/>
      <w:marRight w:val="0"/>
      <w:marTop w:val="0"/>
      <w:marBottom w:val="0"/>
      <w:divBdr>
        <w:top w:val="none" w:sz="0" w:space="0" w:color="auto"/>
        <w:left w:val="none" w:sz="0" w:space="0" w:color="auto"/>
        <w:bottom w:val="none" w:sz="0" w:space="0" w:color="auto"/>
        <w:right w:val="none" w:sz="0" w:space="0" w:color="auto"/>
      </w:divBdr>
    </w:div>
    <w:div w:id="1696735494">
      <w:bodyDiv w:val="1"/>
      <w:marLeft w:val="0"/>
      <w:marRight w:val="0"/>
      <w:marTop w:val="0"/>
      <w:marBottom w:val="0"/>
      <w:divBdr>
        <w:top w:val="none" w:sz="0" w:space="0" w:color="auto"/>
        <w:left w:val="none" w:sz="0" w:space="0" w:color="auto"/>
        <w:bottom w:val="none" w:sz="0" w:space="0" w:color="auto"/>
        <w:right w:val="none" w:sz="0" w:space="0" w:color="auto"/>
      </w:divBdr>
    </w:div>
    <w:div w:id="1701709617">
      <w:bodyDiv w:val="1"/>
      <w:marLeft w:val="0"/>
      <w:marRight w:val="0"/>
      <w:marTop w:val="0"/>
      <w:marBottom w:val="0"/>
      <w:divBdr>
        <w:top w:val="none" w:sz="0" w:space="0" w:color="auto"/>
        <w:left w:val="none" w:sz="0" w:space="0" w:color="auto"/>
        <w:bottom w:val="none" w:sz="0" w:space="0" w:color="auto"/>
        <w:right w:val="none" w:sz="0" w:space="0" w:color="auto"/>
      </w:divBdr>
    </w:div>
    <w:div w:id="1703509197">
      <w:bodyDiv w:val="1"/>
      <w:marLeft w:val="0"/>
      <w:marRight w:val="0"/>
      <w:marTop w:val="0"/>
      <w:marBottom w:val="0"/>
      <w:divBdr>
        <w:top w:val="none" w:sz="0" w:space="0" w:color="auto"/>
        <w:left w:val="none" w:sz="0" w:space="0" w:color="auto"/>
        <w:bottom w:val="none" w:sz="0" w:space="0" w:color="auto"/>
        <w:right w:val="none" w:sz="0" w:space="0" w:color="auto"/>
      </w:divBdr>
      <w:divsChild>
        <w:div w:id="1083184135">
          <w:marLeft w:val="0"/>
          <w:marRight w:val="0"/>
          <w:marTop w:val="0"/>
          <w:marBottom w:val="0"/>
          <w:divBdr>
            <w:top w:val="none" w:sz="0" w:space="0" w:color="auto"/>
            <w:left w:val="none" w:sz="0" w:space="0" w:color="auto"/>
            <w:bottom w:val="none" w:sz="0" w:space="0" w:color="auto"/>
            <w:right w:val="none" w:sz="0" w:space="0" w:color="auto"/>
          </w:divBdr>
          <w:divsChild>
            <w:div w:id="1232617712">
              <w:marLeft w:val="0"/>
              <w:marRight w:val="0"/>
              <w:marTop w:val="0"/>
              <w:marBottom w:val="0"/>
              <w:divBdr>
                <w:top w:val="none" w:sz="0" w:space="0" w:color="auto"/>
                <w:left w:val="none" w:sz="0" w:space="0" w:color="auto"/>
                <w:bottom w:val="none" w:sz="0" w:space="0" w:color="auto"/>
                <w:right w:val="none" w:sz="0" w:space="0" w:color="auto"/>
              </w:divBdr>
              <w:divsChild>
                <w:div w:id="1832138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989523">
      <w:bodyDiv w:val="1"/>
      <w:marLeft w:val="0"/>
      <w:marRight w:val="0"/>
      <w:marTop w:val="0"/>
      <w:marBottom w:val="0"/>
      <w:divBdr>
        <w:top w:val="none" w:sz="0" w:space="0" w:color="auto"/>
        <w:left w:val="none" w:sz="0" w:space="0" w:color="auto"/>
        <w:bottom w:val="none" w:sz="0" w:space="0" w:color="auto"/>
        <w:right w:val="none" w:sz="0" w:space="0" w:color="auto"/>
      </w:divBdr>
    </w:div>
    <w:div w:id="1777603720">
      <w:bodyDiv w:val="1"/>
      <w:marLeft w:val="0"/>
      <w:marRight w:val="0"/>
      <w:marTop w:val="0"/>
      <w:marBottom w:val="0"/>
      <w:divBdr>
        <w:top w:val="none" w:sz="0" w:space="0" w:color="auto"/>
        <w:left w:val="none" w:sz="0" w:space="0" w:color="auto"/>
        <w:bottom w:val="none" w:sz="0" w:space="0" w:color="auto"/>
        <w:right w:val="none" w:sz="0" w:space="0" w:color="auto"/>
      </w:divBdr>
    </w:div>
    <w:div w:id="1784575156">
      <w:bodyDiv w:val="1"/>
      <w:marLeft w:val="0"/>
      <w:marRight w:val="0"/>
      <w:marTop w:val="0"/>
      <w:marBottom w:val="0"/>
      <w:divBdr>
        <w:top w:val="none" w:sz="0" w:space="0" w:color="auto"/>
        <w:left w:val="none" w:sz="0" w:space="0" w:color="auto"/>
        <w:bottom w:val="none" w:sz="0" w:space="0" w:color="auto"/>
        <w:right w:val="none" w:sz="0" w:space="0" w:color="auto"/>
      </w:divBdr>
    </w:div>
    <w:div w:id="1790277510">
      <w:bodyDiv w:val="1"/>
      <w:marLeft w:val="0"/>
      <w:marRight w:val="0"/>
      <w:marTop w:val="0"/>
      <w:marBottom w:val="0"/>
      <w:divBdr>
        <w:top w:val="none" w:sz="0" w:space="0" w:color="auto"/>
        <w:left w:val="none" w:sz="0" w:space="0" w:color="auto"/>
        <w:bottom w:val="none" w:sz="0" w:space="0" w:color="auto"/>
        <w:right w:val="none" w:sz="0" w:space="0" w:color="auto"/>
      </w:divBdr>
    </w:div>
    <w:div w:id="1794249143">
      <w:bodyDiv w:val="1"/>
      <w:marLeft w:val="0"/>
      <w:marRight w:val="0"/>
      <w:marTop w:val="0"/>
      <w:marBottom w:val="0"/>
      <w:divBdr>
        <w:top w:val="none" w:sz="0" w:space="0" w:color="auto"/>
        <w:left w:val="none" w:sz="0" w:space="0" w:color="auto"/>
        <w:bottom w:val="none" w:sz="0" w:space="0" w:color="auto"/>
        <w:right w:val="none" w:sz="0" w:space="0" w:color="auto"/>
      </w:divBdr>
    </w:div>
    <w:div w:id="1798840012">
      <w:bodyDiv w:val="1"/>
      <w:marLeft w:val="0"/>
      <w:marRight w:val="0"/>
      <w:marTop w:val="0"/>
      <w:marBottom w:val="0"/>
      <w:divBdr>
        <w:top w:val="none" w:sz="0" w:space="0" w:color="auto"/>
        <w:left w:val="none" w:sz="0" w:space="0" w:color="auto"/>
        <w:bottom w:val="none" w:sz="0" w:space="0" w:color="auto"/>
        <w:right w:val="none" w:sz="0" w:space="0" w:color="auto"/>
      </w:divBdr>
    </w:div>
    <w:div w:id="1798992254">
      <w:bodyDiv w:val="1"/>
      <w:marLeft w:val="0"/>
      <w:marRight w:val="0"/>
      <w:marTop w:val="0"/>
      <w:marBottom w:val="0"/>
      <w:divBdr>
        <w:top w:val="none" w:sz="0" w:space="0" w:color="auto"/>
        <w:left w:val="none" w:sz="0" w:space="0" w:color="auto"/>
        <w:bottom w:val="none" w:sz="0" w:space="0" w:color="auto"/>
        <w:right w:val="none" w:sz="0" w:space="0" w:color="auto"/>
      </w:divBdr>
    </w:div>
    <w:div w:id="1800755483">
      <w:bodyDiv w:val="1"/>
      <w:marLeft w:val="0"/>
      <w:marRight w:val="0"/>
      <w:marTop w:val="0"/>
      <w:marBottom w:val="0"/>
      <w:divBdr>
        <w:top w:val="none" w:sz="0" w:space="0" w:color="auto"/>
        <w:left w:val="none" w:sz="0" w:space="0" w:color="auto"/>
        <w:bottom w:val="none" w:sz="0" w:space="0" w:color="auto"/>
        <w:right w:val="none" w:sz="0" w:space="0" w:color="auto"/>
      </w:divBdr>
    </w:div>
    <w:div w:id="1804032680">
      <w:bodyDiv w:val="1"/>
      <w:marLeft w:val="0"/>
      <w:marRight w:val="0"/>
      <w:marTop w:val="0"/>
      <w:marBottom w:val="0"/>
      <w:divBdr>
        <w:top w:val="none" w:sz="0" w:space="0" w:color="auto"/>
        <w:left w:val="none" w:sz="0" w:space="0" w:color="auto"/>
        <w:bottom w:val="none" w:sz="0" w:space="0" w:color="auto"/>
        <w:right w:val="none" w:sz="0" w:space="0" w:color="auto"/>
      </w:divBdr>
    </w:div>
    <w:div w:id="1807234762">
      <w:bodyDiv w:val="1"/>
      <w:marLeft w:val="0"/>
      <w:marRight w:val="0"/>
      <w:marTop w:val="0"/>
      <w:marBottom w:val="0"/>
      <w:divBdr>
        <w:top w:val="none" w:sz="0" w:space="0" w:color="auto"/>
        <w:left w:val="none" w:sz="0" w:space="0" w:color="auto"/>
        <w:bottom w:val="none" w:sz="0" w:space="0" w:color="auto"/>
        <w:right w:val="none" w:sz="0" w:space="0" w:color="auto"/>
      </w:divBdr>
    </w:div>
    <w:div w:id="1817144804">
      <w:bodyDiv w:val="1"/>
      <w:marLeft w:val="0"/>
      <w:marRight w:val="0"/>
      <w:marTop w:val="0"/>
      <w:marBottom w:val="0"/>
      <w:divBdr>
        <w:top w:val="none" w:sz="0" w:space="0" w:color="auto"/>
        <w:left w:val="none" w:sz="0" w:space="0" w:color="auto"/>
        <w:bottom w:val="none" w:sz="0" w:space="0" w:color="auto"/>
        <w:right w:val="none" w:sz="0" w:space="0" w:color="auto"/>
      </w:divBdr>
    </w:div>
    <w:div w:id="1821996488">
      <w:bodyDiv w:val="1"/>
      <w:marLeft w:val="0"/>
      <w:marRight w:val="0"/>
      <w:marTop w:val="0"/>
      <w:marBottom w:val="0"/>
      <w:divBdr>
        <w:top w:val="none" w:sz="0" w:space="0" w:color="auto"/>
        <w:left w:val="none" w:sz="0" w:space="0" w:color="auto"/>
        <w:bottom w:val="none" w:sz="0" w:space="0" w:color="auto"/>
        <w:right w:val="none" w:sz="0" w:space="0" w:color="auto"/>
      </w:divBdr>
    </w:div>
    <w:div w:id="1825318686">
      <w:bodyDiv w:val="1"/>
      <w:marLeft w:val="0"/>
      <w:marRight w:val="0"/>
      <w:marTop w:val="0"/>
      <w:marBottom w:val="0"/>
      <w:divBdr>
        <w:top w:val="none" w:sz="0" w:space="0" w:color="auto"/>
        <w:left w:val="none" w:sz="0" w:space="0" w:color="auto"/>
        <w:bottom w:val="none" w:sz="0" w:space="0" w:color="auto"/>
        <w:right w:val="none" w:sz="0" w:space="0" w:color="auto"/>
      </w:divBdr>
    </w:div>
    <w:div w:id="1826700511">
      <w:bodyDiv w:val="1"/>
      <w:marLeft w:val="0"/>
      <w:marRight w:val="0"/>
      <w:marTop w:val="0"/>
      <w:marBottom w:val="0"/>
      <w:divBdr>
        <w:top w:val="none" w:sz="0" w:space="0" w:color="auto"/>
        <w:left w:val="none" w:sz="0" w:space="0" w:color="auto"/>
        <w:bottom w:val="none" w:sz="0" w:space="0" w:color="auto"/>
        <w:right w:val="none" w:sz="0" w:space="0" w:color="auto"/>
      </w:divBdr>
      <w:divsChild>
        <w:div w:id="219021418">
          <w:marLeft w:val="0"/>
          <w:marRight w:val="0"/>
          <w:marTop w:val="0"/>
          <w:marBottom w:val="0"/>
          <w:divBdr>
            <w:top w:val="none" w:sz="0" w:space="0" w:color="auto"/>
            <w:left w:val="none" w:sz="0" w:space="0" w:color="auto"/>
            <w:bottom w:val="none" w:sz="0" w:space="0" w:color="auto"/>
            <w:right w:val="none" w:sz="0" w:space="0" w:color="auto"/>
          </w:divBdr>
          <w:divsChild>
            <w:div w:id="272640243">
              <w:marLeft w:val="0"/>
              <w:marRight w:val="0"/>
              <w:marTop w:val="0"/>
              <w:marBottom w:val="0"/>
              <w:divBdr>
                <w:top w:val="none" w:sz="0" w:space="0" w:color="auto"/>
                <w:left w:val="none" w:sz="0" w:space="0" w:color="auto"/>
                <w:bottom w:val="none" w:sz="0" w:space="0" w:color="auto"/>
                <w:right w:val="none" w:sz="0" w:space="0" w:color="auto"/>
              </w:divBdr>
              <w:divsChild>
                <w:div w:id="161362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202353">
      <w:bodyDiv w:val="1"/>
      <w:marLeft w:val="0"/>
      <w:marRight w:val="0"/>
      <w:marTop w:val="0"/>
      <w:marBottom w:val="0"/>
      <w:divBdr>
        <w:top w:val="none" w:sz="0" w:space="0" w:color="auto"/>
        <w:left w:val="none" w:sz="0" w:space="0" w:color="auto"/>
        <w:bottom w:val="none" w:sz="0" w:space="0" w:color="auto"/>
        <w:right w:val="none" w:sz="0" w:space="0" w:color="auto"/>
      </w:divBdr>
    </w:div>
    <w:div w:id="1831290480">
      <w:bodyDiv w:val="1"/>
      <w:marLeft w:val="0"/>
      <w:marRight w:val="0"/>
      <w:marTop w:val="0"/>
      <w:marBottom w:val="0"/>
      <w:divBdr>
        <w:top w:val="none" w:sz="0" w:space="0" w:color="auto"/>
        <w:left w:val="none" w:sz="0" w:space="0" w:color="auto"/>
        <w:bottom w:val="none" w:sz="0" w:space="0" w:color="auto"/>
        <w:right w:val="none" w:sz="0" w:space="0" w:color="auto"/>
      </w:divBdr>
    </w:div>
    <w:div w:id="1836065280">
      <w:bodyDiv w:val="1"/>
      <w:marLeft w:val="0"/>
      <w:marRight w:val="0"/>
      <w:marTop w:val="0"/>
      <w:marBottom w:val="0"/>
      <w:divBdr>
        <w:top w:val="none" w:sz="0" w:space="0" w:color="auto"/>
        <w:left w:val="none" w:sz="0" w:space="0" w:color="auto"/>
        <w:bottom w:val="none" w:sz="0" w:space="0" w:color="auto"/>
        <w:right w:val="none" w:sz="0" w:space="0" w:color="auto"/>
      </w:divBdr>
      <w:divsChild>
        <w:div w:id="92559893">
          <w:marLeft w:val="0"/>
          <w:marRight w:val="0"/>
          <w:marTop w:val="0"/>
          <w:marBottom w:val="0"/>
          <w:divBdr>
            <w:top w:val="none" w:sz="0" w:space="0" w:color="auto"/>
            <w:left w:val="none" w:sz="0" w:space="0" w:color="auto"/>
            <w:bottom w:val="none" w:sz="0" w:space="0" w:color="auto"/>
            <w:right w:val="none" w:sz="0" w:space="0" w:color="auto"/>
          </w:divBdr>
        </w:div>
      </w:divsChild>
    </w:div>
    <w:div w:id="1844515528">
      <w:bodyDiv w:val="1"/>
      <w:marLeft w:val="0"/>
      <w:marRight w:val="0"/>
      <w:marTop w:val="0"/>
      <w:marBottom w:val="0"/>
      <w:divBdr>
        <w:top w:val="none" w:sz="0" w:space="0" w:color="auto"/>
        <w:left w:val="none" w:sz="0" w:space="0" w:color="auto"/>
        <w:bottom w:val="none" w:sz="0" w:space="0" w:color="auto"/>
        <w:right w:val="none" w:sz="0" w:space="0" w:color="auto"/>
      </w:divBdr>
    </w:div>
    <w:div w:id="1852915296">
      <w:bodyDiv w:val="1"/>
      <w:marLeft w:val="0"/>
      <w:marRight w:val="0"/>
      <w:marTop w:val="0"/>
      <w:marBottom w:val="0"/>
      <w:divBdr>
        <w:top w:val="none" w:sz="0" w:space="0" w:color="auto"/>
        <w:left w:val="none" w:sz="0" w:space="0" w:color="auto"/>
        <w:bottom w:val="none" w:sz="0" w:space="0" w:color="auto"/>
        <w:right w:val="none" w:sz="0" w:space="0" w:color="auto"/>
      </w:divBdr>
    </w:div>
    <w:div w:id="1884513764">
      <w:bodyDiv w:val="1"/>
      <w:marLeft w:val="0"/>
      <w:marRight w:val="0"/>
      <w:marTop w:val="0"/>
      <w:marBottom w:val="0"/>
      <w:divBdr>
        <w:top w:val="none" w:sz="0" w:space="0" w:color="auto"/>
        <w:left w:val="none" w:sz="0" w:space="0" w:color="auto"/>
        <w:bottom w:val="none" w:sz="0" w:space="0" w:color="auto"/>
        <w:right w:val="none" w:sz="0" w:space="0" w:color="auto"/>
      </w:divBdr>
    </w:div>
    <w:div w:id="1888100599">
      <w:bodyDiv w:val="1"/>
      <w:marLeft w:val="0"/>
      <w:marRight w:val="0"/>
      <w:marTop w:val="0"/>
      <w:marBottom w:val="0"/>
      <w:divBdr>
        <w:top w:val="none" w:sz="0" w:space="0" w:color="auto"/>
        <w:left w:val="none" w:sz="0" w:space="0" w:color="auto"/>
        <w:bottom w:val="none" w:sz="0" w:space="0" w:color="auto"/>
        <w:right w:val="none" w:sz="0" w:space="0" w:color="auto"/>
      </w:divBdr>
      <w:divsChild>
        <w:div w:id="1367414064">
          <w:marLeft w:val="600"/>
          <w:marRight w:val="0"/>
          <w:marTop w:val="0"/>
          <w:marBottom w:val="0"/>
          <w:divBdr>
            <w:top w:val="none" w:sz="0" w:space="0" w:color="auto"/>
            <w:left w:val="none" w:sz="0" w:space="0" w:color="auto"/>
            <w:bottom w:val="none" w:sz="0" w:space="0" w:color="auto"/>
            <w:right w:val="none" w:sz="0" w:space="0" w:color="auto"/>
          </w:divBdr>
        </w:div>
      </w:divsChild>
    </w:div>
    <w:div w:id="1916041972">
      <w:bodyDiv w:val="1"/>
      <w:marLeft w:val="0"/>
      <w:marRight w:val="0"/>
      <w:marTop w:val="0"/>
      <w:marBottom w:val="0"/>
      <w:divBdr>
        <w:top w:val="none" w:sz="0" w:space="0" w:color="auto"/>
        <w:left w:val="none" w:sz="0" w:space="0" w:color="auto"/>
        <w:bottom w:val="none" w:sz="0" w:space="0" w:color="auto"/>
        <w:right w:val="none" w:sz="0" w:space="0" w:color="auto"/>
      </w:divBdr>
    </w:div>
    <w:div w:id="1917592700">
      <w:bodyDiv w:val="1"/>
      <w:marLeft w:val="0"/>
      <w:marRight w:val="0"/>
      <w:marTop w:val="0"/>
      <w:marBottom w:val="0"/>
      <w:divBdr>
        <w:top w:val="none" w:sz="0" w:space="0" w:color="auto"/>
        <w:left w:val="none" w:sz="0" w:space="0" w:color="auto"/>
        <w:bottom w:val="none" w:sz="0" w:space="0" w:color="auto"/>
        <w:right w:val="none" w:sz="0" w:space="0" w:color="auto"/>
      </w:divBdr>
    </w:div>
    <w:div w:id="1927422076">
      <w:bodyDiv w:val="1"/>
      <w:marLeft w:val="0"/>
      <w:marRight w:val="0"/>
      <w:marTop w:val="0"/>
      <w:marBottom w:val="0"/>
      <w:divBdr>
        <w:top w:val="none" w:sz="0" w:space="0" w:color="auto"/>
        <w:left w:val="none" w:sz="0" w:space="0" w:color="auto"/>
        <w:bottom w:val="none" w:sz="0" w:space="0" w:color="auto"/>
        <w:right w:val="none" w:sz="0" w:space="0" w:color="auto"/>
      </w:divBdr>
      <w:divsChild>
        <w:div w:id="2125537496">
          <w:marLeft w:val="0"/>
          <w:marRight w:val="0"/>
          <w:marTop w:val="0"/>
          <w:marBottom w:val="0"/>
          <w:divBdr>
            <w:top w:val="none" w:sz="0" w:space="0" w:color="auto"/>
            <w:left w:val="none" w:sz="0" w:space="0" w:color="auto"/>
            <w:bottom w:val="none" w:sz="0" w:space="0" w:color="auto"/>
            <w:right w:val="none" w:sz="0" w:space="0" w:color="auto"/>
          </w:divBdr>
          <w:divsChild>
            <w:div w:id="974875308">
              <w:marLeft w:val="0"/>
              <w:marRight w:val="0"/>
              <w:marTop w:val="0"/>
              <w:marBottom w:val="0"/>
              <w:divBdr>
                <w:top w:val="none" w:sz="0" w:space="0" w:color="auto"/>
                <w:left w:val="none" w:sz="0" w:space="0" w:color="auto"/>
                <w:bottom w:val="none" w:sz="0" w:space="0" w:color="auto"/>
                <w:right w:val="none" w:sz="0" w:space="0" w:color="auto"/>
              </w:divBdr>
            </w:div>
          </w:divsChild>
        </w:div>
        <w:div w:id="126826826">
          <w:marLeft w:val="0"/>
          <w:marRight w:val="0"/>
          <w:marTop w:val="0"/>
          <w:marBottom w:val="0"/>
          <w:divBdr>
            <w:top w:val="none" w:sz="0" w:space="0" w:color="auto"/>
            <w:left w:val="none" w:sz="0" w:space="0" w:color="auto"/>
            <w:bottom w:val="none" w:sz="0" w:space="0" w:color="auto"/>
            <w:right w:val="none" w:sz="0" w:space="0" w:color="auto"/>
          </w:divBdr>
        </w:div>
      </w:divsChild>
    </w:div>
    <w:div w:id="1928222498">
      <w:bodyDiv w:val="1"/>
      <w:marLeft w:val="0"/>
      <w:marRight w:val="0"/>
      <w:marTop w:val="0"/>
      <w:marBottom w:val="0"/>
      <w:divBdr>
        <w:top w:val="none" w:sz="0" w:space="0" w:color="auto"/>
        <w:left w:val="none" w:sz="0" w:space="0" w:color="auto"/>
        <w:bottom w:val="none" w:sz="0" w:space="0" w:color="auto"/>
        <w:right w:val="none" w:sz="0" w:space="0" w:color="auto"/>
      </w:divBdr>
    </w:div>
    <w:div w:id="1946158305">
      <w:bodyDiv w:val="1"/>
      <w:marLeft w:val="0"/>
      <w:marRight w:val="0"/>
      <w:marTop w:val="0"/>
      <w:marBottom w:val="0"/>
      <w:divBdr>
        <w:top w:val="none" w:sz="0" w:space="0" w:color="auto"/>
        <w:left w:val="none" w:sz="0" w:space="0" w:color="auto"/>
        <w:bottom w:val="none" w:sz="0" w:space="0" w:color="auto"/>
        <w:right w:val="none" w:sz="0" w:space="0" w:color="auto"/>
      </w:divBdr>
    </w:div>
    <w:div w:id="1952082790">
      <w:bodyDiv w:val="1"/>
      <w:marLeft w:val="0"/>
      <w:marRight w:val="0"/>
      <w:marTop w:val="0"/>
      <w:marBottom w:val="0"/>
      <w:divBdr>
        <w:top w:val="none" w:sz="0" w:space="0" w:color="auto"/>
        <w:left w:val="none" w:sz="0" w:space="0" w:color="auto"/>
        <w:bottom w:val="none" w:sz="0" w:space="0" w:color="auto"/>
        <w:right w:val="none" w:sz="0" w:space="0" w:color="auto"/>
      </w:divBdr>
    </w:div>
    <w:div w:id="1961495548">
      <w:bodyDiv w:val="1"/>
      <w:marLeft w:val="0"/>
      <w:marRight w:val="0"/>
      <w:marTop w:val="0"/>
      <w:marBottom w:val="0"/>
      <w:divBdr>
        <w:top w:val="none" w:sz="0" w:space="0" w:color="auto"/>
        <w:left w:val="none" w:sz="0" w:space="0" w:color="auto"/>
        <w:bottom w:val="none" w:sz="0" w:space="0" w:color="auto"/>
        <w:right w:val="none" w:sz="0" w:space="0" w:color="auto"/>
      </w:divBdr>
      <w:divsChild>
        <w:div w:id="744257317">
          <w:marLeft w:val="0"/>
          <w:marRight w:val="0"/>
          <w:marTop w:val="0"/>
          <w:marBottom w:val="0"/>
          <w:divBdr>
            <w:top w:val="none" w:sz="0" w:space="0" w:color="auto"/>
            <w:left w:val="none" w:sz="0" w:space="0" w:color="auto"/>
            <w:bottom w:val="none" w:sz="0" w:space="0" w:color="auto"/>
            <w:right w:val="none" w:sz="0" w:space="0" w:color="auto"/>
          </w:divBdr>
          <w:divsChild>
            <w:div w:id="1495412116">
              <w:marLeft w:val="0"/>
              <w:marRight w:val="0"/>
              <w:marTop w:val="0"/>
              <w:marBottom w:val="0"/>
              <w:divBdr>
                <w:top w:val="none" w:sz="0" w:space="0" w:color="auto"/>
                <w:left w:val="none" w:sz="0" w:space="0" w:color="auto"/>
                <w:bottom w:val="none" w:sz="0" w:space="0" w:color="auto"/>
                <w:right w:val="none" w:sz="0" w:space="0" w:color="auto"/>
              </w:divBdr>
              <w:divsChild>
                <w:div w:id="149298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354524">
      <w:bodyDiv w:val="1"/>
      <w:marLeft w:val="0"/>
      <w:marRight w:val="0"/>
      <w:marTop w:val="0"/>
      <w:marBottom w:val="0"/>
      <w:divBdr>
        <w:top w:val="none" w:sz="0" w:space="0" w:color="auto"/>
        <w:left w:val="none" w:sz="0" w:space="0" w:color="auto"/>
        <w:bottom w:val="none" w:sz="0" w:space="0" w:color="auto"/>
        <w:right w:val="none" w:sz="0" w:space="0" w:color="auto"/>
      </w:divBdr>
      <w:divsChild>
        <w:div w:id="64958537">
          <w:marLeft w:val="0"/>
          <w:marRight w:val="0"/>
          <w:marTop w:val="0"/>
          <w:marBottom w:val="0"/>
          <w:divBdr>
            <w:top w:val="none" w:sz="0" w:space="0" w:color="auto"/>
            <w:left w:val="none" w:sz="0" w:space="0" w:color="auto"/>
            <w:bottom w:val="none" w:sz="0" w:space="0" w:color="auto"/>
            <w:right w:val="none" w:sz="0" w:space="0" w:color="auto"/>
          </w:divBdr>
          <w:divsChild>
            <w:div w:id="1837498858">
              <w:marLeft w:val="0"/>
              <w:marRight w:val="0"/>
              <w:marTop w:val="0"/>
              <w:marBottom w:val="0"/>
              <w:divBdr>
                <w:top w:val="none" w:sz="0" w:space="0" w:color="auto"/>
                <w:left w:val="none" w:sz="0" w:space="0" w:color="auto"/>
                <w:bottom w:val="none" w:sz="0" w:space="0" w:color="auto"/>
                <w:right w:val="none" w:sz="0" w:space="0" w:color="auto"/>
              </w:divBdr>
              <w:divsChild>
                <w:div w:id="54830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138497">
      <w:bodyDiv w:val="1"/>
      <w:marLeft w:val="0"/>
      <w:marRight w:val="0"/>
      <w:marTop w:val="0"/>
      <w:marBottom w:val="0"/>
      <w:divBdr>
        <w:top w:val="none" w:sz="0" w:space="0" w:color="auto"/>
        <w:left w:val="none" w:sz="0" w:space="0" w:color="auto"/>
        <w:bottom w:val="none" w:sz="0" w:space="0" w:color="auto"/>
        <w:right w:val="none" w:sz="0" w:space="0" w:color="auto"/>
      </w:divBdr>
    </w:div>
    <w:div w:id="2012415799">
      <w:bodyDiv w:val="1"/>
      <w:marLeft w:val="0"/>
      <w:marRight w:val="0"/>
      <w:marTop w:val="0"/>
      <w:marBottom w:val="0"/>
      <w:divBdr>
        <w:top w:val="none" w:sz="0" w:space="0" w:color="auto"/>
        <w:left w:val="none" w:sz="0" w:space="0" w:color="auto"/>
        <w:bottom w:val="none" w:sz="0" w:space="0" w:color="auto"/>
        <w:right w:val="none" w:sz="0" w:space="0" w:color="auto"/>
      </w:divBdr>
      <w:divsChild>
        <w:div w:id="15082688">
          <w:marLeft w:val="0"/>
          <w:marRight w:val="0"/>
          <w:marTop w:val="0"/>
          <w:marBottom w:val="0"/>
          <w:divBdr>
            <w:top w:val="none" w:sz="0" w:space="0" w:color="auto"/>
            <w:left w:val="none" w:sz="0" w:space="0" w:color="auto"/>
            <w:bottom w:val="none" w:sz="0" w:space="0" w:color="auto"/>
            <w:right w:val="none" w:sz="0" w:space="0" w:color="auto"/>
          </w:divBdr>
          <w:divsChild>
            <w:div w:id="1191845980">
              <w:marLeft w:val="0"/>
              <w:marRight w:val="0"/>
              <w:marTop w:val="0"/>
              <w:marBottom w:val="0"/>
              <w:divBdr>
                <w:top w:val="none" w:sz="0" w:space="0" w:color="auto"/>
                <w:left w:val="none" w:sz="0" w:space="0" w:color="auto"/>
                <w:bottom w:val="none" w:sz="0" w:space="0" w:color="auto"/>
                <w:right w:val="none" w:sz="0" w:space="0" w:color="auto"/>
              </w:divBdr>
              <w:divsChild>
                <w:div w:id="167367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36784">
      <w:bodyDiv w:val="1"/>
      <w:marLeft w:val="0"/>
      <w:marRight w:val="0"/>
      <w:marTop w:val="0"/>
      <w:marBottom w:val="0"/>
      <w:divBdr>
        <w:top w:val="none" w:sz="0" w:space="0" w:color="auto"/>
        <w:left w:val="none" w:sz="0" w:space="0" w:color="auto"/>
        <w:bottom w:val="none" w:sz="0" w:space="0" w:color="auto"/>
        <w:right w:val="none" w:sz="0" w:space="0" w:color="auto"/>
      </w:divBdr>
      <w:divsChild>
        <w:div w:id="332025224">
          <w:marLeft w:val="0"/>
          <w:marRight w:val="0"/>
          <w:marTop w:val="0"/>
          <w:marBottom w:val="0"/>
          <w:divBdr>
            <w:top w:val="none" w:sz="0" w:space="0" w:color="auto"/>
            <w:left w:val="none" w:sz="0" w:space="0" w:color="auto"/>
            <w:bottom w:val="none" w:sz="0" w:space="0" w:color="auto"/>
            <w:right w:val="none" w:sz="0" w:space="0" w:color="auto"/>
          </w:divBdr>
          <w:divsChild>
            <w:div w:id="2145659554">
              <w:marLeft w:val="0"/>
              <w:marRight w:val="0"/>
              <w:marTop w:val="0"/>
              <w:marBottom w:val="0"/>
              <w:divBdr>
                <w:top w:val="none" w:sz="0" w:space="0" w:color="auto"/>
                <w:left w:val="none" w:sz="0" w:space="0" w:color="auto"/>
                <w:bottom w:val="none" w:sz="0" w:space="0" w:color="auto"/>
                <w:right w:val="none" w:sz="0" w:space="0" w:color="auto"/>
              </w:divBdr>
              <w:divsChild>
                <w:div w:id="352999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166467">
      <w:bodyDiv w:val="1"/>
      <w:marLeft w:val="0"/>
      <w:marRight w:val="0"/>
      <w:marTop w:val="0"/>
      <w:marBottom w:val="0"/>
      <w:divBdr>
        <w:top w:val="none" w:sz="0" w:space="0" w:color="auto"/>
        <w:left w:val="none" w:sz="0" w:space="0" w:color="auto"/>
        <w:bottom w:val="none" w:sz="0" w:space="0" w:color="auto"/>
        <w:right w:val="none" w:sz="0" w:space="0" w:color="auto"/>
      </w:divBdr>
    </w:div>
    <w:div w:id="2063671497">
      <w:bodyDiv w:val="1"/>
      <w:marLeft w:val="0"/>
      <w:marRight w:val="0"/>
      <w:marTop w:val="0"/>
      <w:marBottom w:val="0"/>
      <w:divBdr>
        <w:top w:val="none" w:sz="0" w:space="0" w:color="auto"/>
        <w:left w:val="none" w:sz="0" w:space="0" w:color="auto"/>
        <w:bottom w:val="none" w:sz="0" w:space="0" w:color="auto"/>
        <w:right w:val="none" w:sz="0" w:space="0" w:color="auto"/>
      </w:divBdr>
    </w:div>
    <w:div w:id="2076854180">
      <w:bodyDiv w:val="1"/>
      <w:marLeft w:val="0"/>
      <w:marRight w:val="0"/>
      <w:marTop w:val="0"/>
      <w:marBottom w:val="0"/>
      <w:divBdr>
        <w:top w:val="none" w:sz="0" w:space="0" w:color="auto"/>
        <w:left w:val="none" w:sz="0" w:space="0" w:color="auto"/>
        <w:bottom w:val="none" w:sz="0" w:space="0" w:color="auto"/>
        <w:right w:val="none" w:sz="0" w:space="0" w:color="auto"/>
      </w:divBdr>
    </w:div>
    <w:div w:id="2080008096">
      <w:bodyDiv w:val="1"/>
      <w:marLeft w:val="0"/>
      <w:marRight w:val="0"/>
      <w:marTop w:val="0"/>
      <w:marBottom w:val="0"/>
      <w:divBdr>
        <w:top w:val="none" w:sz="0" w:space="0" w:color="auto"/>
        <w:left w:val="none" w:sz="0" w:space="0" w:color="auto"/>
        <w:bottom w:val="none" w:sz="0" w:space="0" w:color="auto"/>
        <w:right w:val="none" w:sz="0" w:space="0" w:color="auto"/>
      </w:divBdr>
    </w:div>
    <w:div w:id="2085564505">
      <w:bodyDiv w:val="1"/>
      <w:marLeft w:val="0"/>
      <w:marRight w:val="0"/>
      <w:marTop w:val="0"/>
      <w:marBottom w:val="0"/>
      <w:divBdr>
        <w:top w:val="none" w:sz="0" w:space="0" w:color="auto"/>
        <w:left w:val="none" w:sz="0" w:space="0" w:color="auto"/>
        <w:bottom w:val="none" w:sz="0" w:space="0" w:color="auto"/>
        <w:right w:val="none" w:sz="0" w:space="0" w:color="auto"/>
      </w:divBdr>
      <w:divsChild>
        <w:div w:id="903637079">
          <w:marLeft w:val="0"/>
          <w:marRight w:val="0"/>
          <w:marTop w:val="0"/>
          <w:marBottom w:val="0"/>
          <w:divBdr>
            <w:top w:val="none" w:sz="0" w:space="0" w:color="auto"/>
            <w:left w:val="none" w:sz="0" w:space="0" w:color="auto"/>
            <w:bottom w:val="none" w:sz="0" w:space="0" w:color="auto"/>
            <w:right w:val="none" w:sz="0" w:space="0" w:color="auto"/>
          </w:divBdr>
          <w:divsChild>
            <w:div w:id="192428865">
              <w:marLeft w:val="0"/>
              <w:marRight w:val="0"/>
              <w:marTop w:val="0"/>
              <w:marBottom w:val="0"/>
              <w:divBdr>
                <w:top w:val="none" w:sz="0" w:space="0" w:color="auto"/>
                <w:left w:val="none" w:sz="0" w:space="0" w:color="auto"/>
                <w:bottom w:val="none" w:sz="0" w:space="0" w:color="auto"/>
                <w:right w:val="none" w:sz="0" w:space="0" w:color="auto"/>
              </w:divBdr>
              <w:divsChild>
                <w:div w:id="168312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926272">
      <w:bodyDiv w:val="1"/>
      <w:marLeft w:val="0"/>
      <w:marRight w:val="0"/>
      <w:marTop w:val="0"/>
      <w:marBottom w:val="0"/>
      <w:divBdr>
        <w:top w:val="none" w:sz="0" w:space="0" w:color="auto"/>
        <w:left w:val="none" w:sz="0" w:space="0" w:color="auto"/>
        <w:bottom w:val="none" w:sz="0" w:space="0" w:color="auto"/>
        <w:right w:val="none" w:sz="0" w:space="0" w:color="auto"/>
      </w:divBdr>
    </w:div>
    <w:div w:id="2100326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nisox.org/Software/Sw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fil.ion.ucl.ac.uk/sp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rfer.nmr.mgh.harvard.ed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identifiers.org/neurovault.collection:909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5D6AC4-78D5-0642-B3E5-A206BE011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52726</Words>
  <Characters>300542</Characters>
  <Application>Microsoft Office Word</Application>
  <DocSecurity>0</DocSecurity>
  <Lines>2504</Lines>
  <Paragraphs>705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 em</dc:creator>
  <cp:keywords/>
  <dc:description/>
  <cp:lastModifiedBy>Elijah Mak</cp:lastModifiedBy>
  <cp:revision>2</cp:revision>
  <cp:lastPrinted>2020-06-04T08:51:00Z</cp:lastPrinted>
  <dcterms:created xsi:type="dcterms:W3CDTF">2021-01-11T09:22:00Z</dcterms:created>
  <dcterms:modified xsi:type="dcterms:W3CDTF">2021-01-11T09:22:00Z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http://www.zotero.org/styles/neuroimage</vt:lpwstr>
  </property>
  <property fmtid="{D5CDD505-2E9C-101B-9397-08002B2CF9AE}" pid="19" name="Mendeley Recent Style Name 8_1">
    <vt:lpwstr>NeuroImage</vt:lpwstr>
  </property>
  <property fmtid="{D5CDD505-2E9C-101B-9397-08002B2CF9AE}" pid="20" name="Mendeley Recent Style Id 9_1">
    <vt:lpwstr>http://www.zotero.org/styles/neurobiology-of-aging</vt:lpwstr>
  </property>
  <property fmtid="{D5CDD505-2E9C-101B-9397-08002B2CF9AE}" pid="21" name="Mendeley Recent Style Name 9_1">
    <vt:lpwstr>Neurobiology of Aging</vt:lpwstr>
  </property>
  <property fmtid="{D5CDD505-2E9C-101B-9397-08002B2CF9AE}" pid="22" name="Mendeley Document_1">
    <vt:lpwstr>True</vt:lpwstr>
  </property>
  <property fmtid="{D5CDD505-2E9C-101B-9397-08002B2CF9AE}" pid="23" name="Mendeley Unique User Id_1">
    <vt:lpwstr>cd262b48-cda0-3659-9fb5-7c6c4976c298</vt:lpwstr>
  </property>
  <property fmtid="{D5CDD505-2E9C-101B-9397-08002B2CF9AE}" pid="24" name="Mendeley Citation Style_1">
    <vt:lpwstr>http://www.zotero.org/styles/neuroimage</vt:lpwstr>
  </property>
</Properties>
</file>