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2A1E6CA6" w14:textId="71B5EA18" w:rsidR="00DE4596" w:rsidRPr="005872FC" w:rsidRDefault="001B43E2" w:rsidP="00DD7E42">
      <w:pPr>
        <w:spacing w:before="100" w:beforeAutospacing="1" w:after="100" w:afterAutospacing="1"/>
        <w:rPr>
          <w:rFonts w:eastAsia="Times New Roman" w:cstheme="minorHAnsi"/>
          <w:b/>
          <w:sz w:val="32"/>
          <w:szCs w:val="32"/>
        </w:rPr>
      </w:pPr>
      <w:r w:rsidRPr="005872FC">
        <w:rPr>
          <w:rFonts w:eastAsia="Times New Roman" w:cstheme="minorHAnsi"/>
          <w:b/>
          <w:sz w:val="32"/>
          <w:szCs w:val="32"/>
        </w:rPr>
        <w:t xml:space="preserve">Nanoscale </w:t>
      </w:r>
      <w:r w:rsidR="00A10CC0" w:rsidRPr="005872FC">
        <w:rPr>
          <w:rFonts w:eastAsia="Times New Roman" w:cstheme="minorHAnsi"/>
          <w:b/>
          <w:sz w:val="32"/>
          <w:szCs w:val="32"/>
        </w:rPr>
        <w:t xml:space="preserve">Adhesion Profiling and </w:t>
      </w:r>
      <w:r w:rsidR="00100A10" w:rsidRPr="005872FC">
        <w:rPr>
          <w:rFonts w:eastAsia="Times New Roman" w:cstheme="minorHAnsi"/>
          <w:b/>
          <w:sz w:val="32"/>
          <w:szCs w:val="32"/>
        </w:rPr>
        <w:t xml:space="preserve">Membrane </w:t>
      </w:r>
      <w:r w:rsidR="00A10CC0" w:rsidRPr="005872FC">
        <w:rPr>
          <w:rFonts w:eastAsia="Times New Roman" w:cstheme="minorHAnsi"/>
          <w:b/>
          <w:sz w:val="32"/>
          <w:szCs w:val="32"/>
        </w:rPr>
        <w:t xml:space="preserve">Characterisation in Sickle Cell Disease using </w:t>
      </w:r>
      <w:r w:rsidRPr="005872FC">
        <w:rPr>
          <w:rFonts w:eastAsia="Times New Roman" w:cstheme="minorHAnsi"/>
          <w:b/>
          <w:sz w:val="32"/>
          <w:szCs w:val="32"/>
        </w:rPr>
        <w:t>Hybrid</w:t>
      </w:r>
      <w:r w:rsidR="00A10CC0" w:rsidRPr="005872FC">
        <w:rPr>
          <w:rFonts w:eastAsia="Times New Roman" w:cstheme="minorHAnsi"/>
          <w:b/>
          <w:sz w:val="32"/>
          <w:szCs w:val="32"/>
        </w:rPr>
        <w:t xml:space="preserve"> </w:t>
      </w:r>
      <w:r w:rsidRPr="005872FC">
        <w:rPr>
          <w:rFonts w:eastAsia="Times New Roman" w:cstheme="minorHAnsi"/>
          <w:b/>
          <w:sz w:val="32"/>
          <w:szCs w:val="32"/>
        </w:rPr>
        <w:t>Atomic Force Microscopy</w:t>
      </w:r>
      <w:r w:rsidR="00A10CC0" w:rsidRPr="005872FC">
        <w:rPr>
          <w:rFonts w:eastAsia="Times New Roman" w:cstheme="minorHAnsi"/>
          <w:b/>
          <w:sz w:val="32"/>
          <w:szCs w:val="32"/>
        </w:rPr>
        <w:t>-IR Spectroscopy</w:t>
      </w:r>
    </w:p>
    <w:p w14:paraId="6C3AE79B" w14:textId="77777777" w:rsidR="00DE4596" w:rsidRPr="00337148" w:rsidRDefault="00DE4596" w:rsidP="00A10CC0">
      <w:pPr>
        <w:rPr>
          <w:rFonts w:eastAsia="Times New Roman" w:cstheme="minorHAnsi"/>
          <w:b/>
        </w:rPr>
      </w:pPr>
    </w:p>
    <w:p w14:paraId="2AD41434" w14:textId="77777777" w:rsidR="00DE4596" w:rsidRPr="00337148" w:rsidRDefault="00DE4596" w:rsidP="00A10CC0">
      <w:pPr>
        <w:rPr>
          <w:rFonts w:eastAsia="Times New Roman" w:cstheme="minorHAnsi"/>
          <w:b/>
        </w:rPr>
      </w:pPr>
    </w:p>
    <w:p w14:paraId="61C370D5" w14:textId="0C10A778" w:rsidR="00A10CC0" w:rsidRPr="00337148" w:rsidRDefault="00A10CC0" w:rsidP="00A10CC0">
      <w:pPr>
        <w:rPr>
          <w:rFonts w:eastAsia="Times New Roman" w:cstheme="minorHAnsi"/>
          <w:b/>
        </w:rPr>
      </w:pPr>
      <w:r w:rsidRPr="00337148">
        <w:rPr>
          <w:rFonts w:eastAsia="Times New Roman" w:cstheme="minorHAnsi"/>
          <w:b/>
        </w:rPr>
        <w:t>A. P. Fellows</w:t>
      </w:r>
      <w:r w:rsidRPr="00337148">
        <w:rPr>
          <w:rFonts w:eastAsia="Times New Roman" w:cstheme="minorHAnsi"/>
          <w:b/>
          <w:vertAlign w:val="superscript"/>
        </w:rPr>
        <w:t>1</w:t>
      </w:r>
      <w:r w:rsidRPr="00337148">
        <w:rPr>
          <w:rFonts w:eastAsia="Times New Roman" w:cstheme="minorHAnsi"/>
          <w:b/>
        </w:rPr>
        <w:t>, M. T. L. Casford</w:t>
      </w:r>
      <w:r w:rsidRPr="00337148">
        <w:rPr>
          <w:rFonts w:eastAsia="Times New Roman" w:cstheme="minorHAnsi"/>
          <w:b/>
          <w:vertAlign w:val="superscript"/>
        </w:rPr>
        <w:t>1</w:t>
      </w:r>
      <w:r w:rsidRPr="00337148">
        <w:rPr>
          <w:rFonts w:eastAsia="Times New Roman" w:cstheme="minorHAnsi"/>
          <w:b/>
        </w:rPr>
        <w:t>, P. B. Davies</w:t>
      </w:r>
      <w:r w:rsidRPr="00337148">
        <w:rPr>
          <w:rFonts w:eastAsia="Times New Roman" w:cstheme="minorHAnsi"/>
          <w:b/>
          <w:vertAlign w:val="superscript"/>
        </w:rPr>
        <w:t>1</w:t>
      </w:r>
      <w:r w:rsidR="00F36189">
        <w:rPr>
          <w:rFonts w:eastAsia="Times New Roman" w:cstheme="minorHAnsi"/>
          <w:b/>
          <w:vertAlign w:val="superscript"/>
        </w:rPr>
        <w:t>*</w:t>
      </w:r>
      <w:r w:rsidRPr="00337148">
        <w:rPr>
          <w:rFonts w:eastAsia="Times New Roman" w:cstheme="minorHAnsi"/>
          <w:b/>
        </w:rPr>
        <w:t>, J. S. Gibson</w:t>
      </w:r>
      <w:r w:rsidRPr="00337148">
        <w:rPr>
          <w:rFonts w:eastAsia="Times New Roman" w:cstheme="minorHAnsi"/>
          <w:b/>
          <w:vertAlign w:val="superscript"/>
        </w:rPr>
        <w:t>2</w:t>
      </w:r>
      <w:r w:rsidR="00F36189">
        <w:rPr>
          <w:rFonts w:eastAsia="Times New Roman" w:cstheme="minorHAnsi"/>
          <w:b/>
          <w:vertAlign w:val="superscript"/>
        </w:rPr>
        <w:t>*</w:t>
      </w:r>
      <w:r w:rsidRPr="00337148">
        <w:rPr>
          <w:rFonts w:eastAsia="Times New Roman" w:cstheme="minorHAnsi"/>
          <w:b/>
        </w:rPr>
        <w:t>, J. N. Brewin</w:t>
      </w:r>
      <w:r w:rsidRPr="00337148">
        <w:rPr>
          <w:rFonts w:eastAsia="Times New Roman" w:cstheme="minorHAnsi"/>
          <w:b/>
          <w:vertAlign w:val="superscript"/>
        </w:rPr>
        <w:t>3</w:t>
      </w:r>
      <w:r w:rsidRPr="00337148">
        <w:rPr>
          <w:rFonts w:eastAsia="Times New Roman" w:cstheme="minorHAnsi"/>
          <w:b/>
        </w:rPr>
        <w:t xml:space="preserve"> and D. C. Rees</w:t>
      </w:r>
      <w:r w:rsidRPr="00337148">
        <w:rPr>
          <w:rFonts w:eastAsia="Times New Roman" w:cstheme="minorHAnsi"/>
          <w:b/>
          <w:vertAlign w:val="superscript"/>
        </w:rPr>
        <w:t>3</w:t>
      </w:r>
    </w:p>
    <w:p w14:paraId="21CC899A" w14:textId="77777777" w:rsidR="00A10CC0" w:rsidRPr="00337148" w:rsidRDefault="00A10CC0" w:rsidP="00A10CC0">
      <w:pPr>
        <w:rPr>
          <w:rFonts w:eastAsia="Times New Roman" w:cstheme="minorHAnsi"/>
          <w:b/>
        </w:rPr>
      </w:pPr>
    </w:p>
    <w:p w14:paraId="02C58124" w14:textId="77777777" w:rsidR="000E7B3B" w:rsidRPr="00337148" w:rsidRDefault="000E7B3B" w:rsidP="00A10CC0">
      <w:pPr>
        <w:rPr>
          <w:rFonts w:eastAsia="Times New Roman" w:cstheme="minorHAnsi"/>
          <w:b/>
        </w:rPr>
      </w:pPr>
    </w:p>
    <w:p w14:paraId="6DF7E810" w14:textId="77777777" w:rsidR="000E7B3B" w:rsidRPr="00337148" w:rsidRDefault="000E7B3B" w:rsidP="00A10CC0">
      <w:pPr>
        <w:rPr>
          <w:rFonts w:eastAsia="Times New Roman" w:cstheme="minorHAnsi"/>
          <w:b/>
        </w:rPr>
      </w:pPr>
    </w:p>
    <w:p w14:paraId="097F701B" w14:textId="7752396E" w:rsidR="00A10CC0" w:rsidRPr="00337148" w:rsidRDefault="00A10CC0" w:rsidP="00A10CC0">
      <w:r w:rsidRPr="00337148">
        <w:rPr>
          <w:rFonts w:eastAsia="Times New Roman" w:cstheme="minorHAnsi"/>
          <w:bCs/>
          <w:vertAlign w:val="superscript"/>
        </w:rPr>
        <w:t>1</w:t>
      </w:r>
      <w:r w:rsidRPr="00337148">
        <w:rPr>
          <w:rFonts w:eastAsia="Times New Roman" w:cstheme="minorHAnsi"/>
          <w:bCs/>
        </w:rPr>
        <w:t xml:space="preserve">Department of Chemistry, University of Cambridge, </w:t>
      </w:r>
      <w:proofErr w:type="spellStart"/>
      <w:r w:rsidRPr="00337148">
        <w:rPr>
          <w:rFonts w:eastAsia="Times New Roman" w:cstheme="minorHAnsi"/>
          <w:bCs/>
        </w:rPr>
        <w:t>Lensfiel</w:t>
      </w:r>
      <w:r w:rsidR="00D95001">
        <w:rPr>
          <w:rFonts w:eastAsia="Times New Roman" w:cstheme="minorHAnsi"/>
          <w:bCs/>
        </w:rPr>
        <w:t>d</w:t>
      </w:r>
      <w:proofErr w:type="spellEnd"/>
      <w:r w:rsidR="00D95001">
        <w:rPr>
          <w:rFonts w:eastAsia="Times New Roman" w:cstheme="minorHAnsi"/>
          <w:bCs/>
        </w:rPr>
        <w:t xml:space="preserve"> Road, Cambridge, CB2 1EW, </w:t>
      </w:r>
      <w:proofErr w:type="gramStart"/>
      <w:r w:rsidR="00D95001">
        <w:rPr>
          <w:rFonts w:eastAsia="Times New Roman" w:cstheme="minorHAnsi"/>
          <w:bCs/>
        </w:rPr>
        <w:t>UK;</w:t>
      </w:r>
      <w:r w:rsidRPr="00337148">
        <w:t xml:space="preserve"> </w:t>
      </w:r>
      <w:r w:rsidR="00D95001">
        <w:t xml:space="preserve"> </w:t>
      </w:r>
      <w:r w:rsidRPr="00337148">
        <w:rPr>
          <w:vertAlign w:val="superscript"/>
        </w:rPr>
        <w:t>2</w:t>
      </w:r>
      <w:proofErr w:type="gramEnd"/>
      <w:r w:rsidRPr="00337148">
        <w:t xml:space="preserve">Department of Veterinary Medicine, </w:t>
      </w:r>
      <w:proofErr w:type="spellStart"/>
      <w:r w:rsidRPr="00337148">
        <w:t>Madingley</w:t>
      </w:r>
      <w:proofErr w:type="spellEnd"/>
      <w:r w:rsidRPr="00337148">
        <w:t xml:space="preserve"> Road, Cambridge, CB3 0ES, UK</w:t>
      </w:r>
      <w:r w:rsidR="00D95001">
        <w:t xml:space="preserve">;  and </w:t>
      </w:r>
      <w:r w:rsidRPr="00337148">
        <w:rPr>
          <w:rFonts w:eastAsia="Times New Roman" w:cstheme="minorHAnsi"/>
          <w:bCs/>
          <w:vertAlign w:val="superscript"/>
        </w:rPr>
        <w:t>3</w:t>
      </w:r>
      <w:r w:rsidRPr="00337148">
        <w:rPr>
          <w:rFonts w:eastAsia="Times New Roman" w:cstheme="minorHAnsi"/>
          <w:bCs/>
        </w:rPr>
        <w:t>Department of</w:t>
      </w:r>
      <w:r w:rsidRPr="00337148">
        <w:rPr>
          <w:rFonts w:eastAsia="Times New Roman" w:cstheme="minorHAnsi"/>
          <w:bCs/>
          <w:vertAlign w:val="superscript"/>
        </w:rPr>
        <w:t xml:space="preserve"> </w:t>
      </w:r>
      <w:r w:rsidRPr="00337148">
        <w:t>Paediatric Haematology, King’s College Hospital, London, SE5 9RS, UK</w:t>
      </w:r>
    </w:p>
    <w:p w14:paraId="08802908" w14:textId="77777777" w:rsidR="00F948B0" w:rsidRDefault="00F948B0" w:rsidP="00A10CC0">
      <w:pPr>
        <w:spacing w:before="100" w:beforeAutospacing="1" w:after="100" w:afterAutospacing="1"/>
        <w:rPr>
          <w:rFonts w:eastAsia="Times New Roman" w:cstheme="minorHAnsi"/>
        </w:rPr>
      </w:pPr>
    </w:p>
    <w:p w14:paraId="1EB75295" w14:textId="4D928188" w:rsidR="00F948B0" w:rsidRDefault="00F948B0" w:rsidP="00A10CC0">
      <w:pPr>
        <w:spacing w:before="100" w:beforeAutospacing="1" w:after="100" w:afterAutospacing="1"/>
        <w:rPr>
          <w:rFonts w:eastAsia="Times New Roman" w:cstheme="minorHAnsi"/>
        </w:rPr>
      </w:pPr>
      <w:r>
        <w:rPr>
          <w:rFonts w:eastAsia="Times New Roman" w:cstheme="minorHAnsi"/>
        </w:rPr>
        <w:t>Manuscript Statistics</w:t>
      </w:r>
    </w:p>
    <w:p w14:paraId="2517E223" w14:textId="1BF6F5DB" w:rsidR="00DE4596" w:rsidRDefault="00F948B0" w:rsidP="00A10CC0">
      <w:pPr>
        <w:spacing w:before="100" w:beforeAutospacing="1" w:after="100" w:afterAutospacing="1"/>
        <w:rPr>
          <w:rFonts w:eastAsia="Times New Roman" w:cstheme="minorHAnsi"/>
        </w:rPr>
      </w:pPr>
      <w:r>
        <w:rPr>
          <w:rFonts w:eastAsia="Times New Roman" w:cstheme="minorHAnsi"/>
        </w:rPr>
        <w:t xml:space="preserve">Total Words: </w:t>
      </w:r>
      <w:r w:rsidR="00B822DB">
        <w:rPr>
          <w:rFonts w:eastAsia="Times New Roman" w:cstheme="minorHAnsi"/>
        </w:rPr>
        <w:t>6585</w:t>
      </w:r>
      <w:r>
        <w:rPr>
          <w:rFonts w:eastAsia="Times New Roman" w:cstheme="minorHAnsi"/>
        </w:rPr>
        <w:t xml:space="preserve"> (exc. References)</w:t>
      </w:r>
    </w:p>
    <w:p w14:paraId="751A5474" w14:textId="1EA62761" w:rsidR="00F948B0" w:rsidRDefault="00F948B0" w:rsidP="00A10CC0">
      <w:pPr>
        <w:spacing w:before="100" w:beforeAutospacing="1" w:after="100" w:afterAutospacing="1"/>
        <w:rPr>
          <w:rFonts w:eastAsia="Times New Roman" w:cstheme="minorHAnsi"/>
        </w:rPr>
      </w:pPr>
      <w:r>
        <w:rPr>
          <w:rFonts w:eastAsia="Times New Roman" w:cstheme="minorHAnsi"/>
        </w:rPr>
        <w:t>Tables: 0</w:t>
      </w:r>
    </w:p>
    <w:p w14:paraId="6741787F" w14:textId="502DECA8" w:rsidR="00F948B0" w:rsidRPr="00337148" w:rsidRDefault="00F948B0" w:rsidP="00A10CC0">
      <w:pPr>
        <w:spacing w:before="100" w:beforeAutospacing="1" w:after="100" w:afterAutospacing="1"/>
        <w:rPr>
          <w:rFonts w:eastAsia="Times New Roman" w:cstheme="minorHAnsi"/>
        </w:rPr>
      </w:pPr>
      <w:r>
        <w:rPr>
          <w:rFonts w:eastAsia="Times New Roman" w:cstheme="minorHAnsi"/>
        </w:rPr>
        <w:t xml:space="preserve">Figures: </w:t>
      </w:r>
      <w:r w:rsidR="00B822DB">
        <w:rPr>
          <w:rFonts w:eastAsia="Times New Roman" w:cstheme="minorHAnsi"/>
        </w:rPr>
        <w:t>5</w:t>
      </w:r>
    </w:p>
    <w:p w14:paraId="204B2AFD" w14:textId="77777777" w:rsidR="00DE4596" w:rsidRPr="00337148" w:rsidRDefault="00DE4596" w:rsidP="00A10CC0">
      <w:pPr>
        <w:spacing w:before="100" w:beforeAutospacing="1" w:after="100" w:afterAutospacing="1"/>
        <w:rPr>
          <w:rFonts w:eastAsia="Times New Roman" w:cstheme="minorHAnsi"/>
        </w:rPr>
      </w:pPr>
    </w:p>
    <w:p w14:paraId="37C7CF0B" w14:textId="77777777" w:rsidR="00F36189" w:rsidRDefault="00A10CC0" w:rsidP="00A10CC0">
      <w:pPr>
        <w:spacing w:before="100" w:beforeAutospacing="1" w:after="100" w:afterAutospacing="1"/>
        <w:rPr>
          <w:rFonts w:eastAsia="Times New Roman" w:cstheme="minorHAnsi"/>
        </w:rPr>
      </w:pPr>
      <w:r w:rsidRPr="00337148">
        <w:rPr>
          <w:rFonts w:eastAsia="Times New Roman" w:cstheme="minorHAnsi"/>
        </w:rPr>
        <w:t>*Corresponding Author</w:t>
      </w:r>
      <w:r w:rsidR="00F36189">
        <w:rPr>
          <w:rFonts w:eastAsia="Times New Roman" w:cstheme="minorHAnsi"/>
        </w:rPr>
        <w:t>s</w:t>
      </w:r>
      <w:r w:rsidRPr="00337148">
        <w:rPr>
          <w:rFonts w:eastAsia="Times New Roman" w:cstheme="minorHAnsi"/>
        </w:rPr>
        <w:t xml:space="preserve">: </w:t>
      </w:r>
    </w:p>
    <w:p w14:paraId="10F8606D" w14:textId="1733BCE0" w:rsidR="00F36189" w:rsidRDefault="00283BE5" w:rsidP="00380F87">
      <w:pPr>
        <w:spacing w:before="100" w:beforeAutospacing="1" w:after="100" w:afterAutospacing="1"/>
        <w:rPr>
          <w:rFonts w:cstheme="minorHAnsi"/>
        </w:rPr>
      </w:pPr>
      <w:hyperlink r:id="rId8" w:history="1">
        <w:r w:rsidR="00380F87" w:rsidRPr="00C96C9F">
          <w:rPr>
            <w:rStyle w:val="Hyperlink"/>
            <w:rFonts w:eastAsia="Times New Roman" w:cstheme="minorHAnsi"/>
          </w:rPr>
          <w:t>pbd2@cam.ac.uk</w:t>
        </w:r>
      </w:hyperlink>
      <w:r w:rsidR="00A10CC0" w:rsidRPr="00337148">
        <w:rPr>
          <w:rFonts w:eastAsia="Times New Roman" w:cstheme="minorHAnsi"/>
        </w:rPr>
        <w:t xml:space="preserve">; +44 (0)1223 </w:t>
      </w:r>
      <w:r w:rsidR="00F36189" w:rsidRPr="001F2478">
        <w:rPr>
          <w:rFonts w:cstheme="minorHAnsi"/>
        </w:rPr>
        <w:t>336460</w:t>
      </w:r>
    </w:p>
    <w:p w14:paraId="78FC7CD8" w14:textId="6ECA2628" w:rsidR="00A10CC0" w:rsidRPr="00337148" w:rsidRDefault="00283BE5" w:rsidP="00380F87">
      <w:pPr>
        <w:spacing w:before="100" w:beforeAutospacing="1" w:after="100" w:afterAutospacing="1"/>
        <w:rPr>
          <w:rFonts w:eastAsia="Times New Roman" w:cstheme="minorHAnsi"/>
          <w:color w:val="FF0000"/>
        </w:rPr>
      </w:pPr>
      <w:hyperlink r:id="rId9" w:history="1">
        <w:r w:rsidR="00F36189" w:rsidRPr="00C96C9F">
          <w:rPr>
            <w:rStyle w:val="Hyperlink"/>
            <w:rFonts w:cstheme="minorHAnsi"/>
          </w:rPr>
          <w:t>jsg1001@cam.ac.uk</w:t>
        </w:r>
      </w:hyperlink>
      <w:r w:rsidR="00F36189">
        <w:rPr>
          <w:rFonts w:cstheme="minorHAnsi"/>
        </w:rPr>
        <w:t xml:space="preserve">; </w:t>
      </w:r>
      <w:r w:rsidR="00A10CC0" w:rsidRPr="00337148">
        <w:rPr>
          <w:rFonts w:eastAsia="Times New Roman" w:cstheme="minorHAnsi"/>
        </w:rPr>
        <w:t xml:space="preserve"> </w:t>
      </w:r>
      <w:r w:rsidR="005D7719">
        <w:rPr>
          <w:rFonts w:eastAsia="Times New Roman" w:cstheme="minorHAnsi"/>
        </w:rPr>
        <w:t>+44 (0)1223 337638</w:t>
      </w:r>
    </w:p>
    <w:p w14:paraId="5645A4EA" w14:textId="77777777" w:rsidR="00DE4596" w:rsidRPr="00337148" w:rsidRDefault="00DE4596" w:rsidP="00A10CC0">
      <w:pPr>
        <w:spacing w:before="100" w:beforeAutospacing="1" w:after="100" w:afterAutospacing="1"/>
        <w:rPr>
          <w:rFonts w:eastAsia="Times New Roman" w:cstheme="minorHAnsi"/>
          <w:b/>
        </w:rPr>
      </w:pPr>
    </w:p>
    <w:p w14:paraId="094E5DC9" w14:textId="21A26864" w:rsidR="00A10CC0" w:rsidRPr="00337148" w:rsidRDefault="00A10CC0" w:rsidP="00A10CC0">
      <w:pPr>
        <w:spacing w:before="100" w:beforeAutospacing="1" w:after="100" w:afterAutospacing="1"/>
        <w:rPr>
          <w:rFonts w:eastAsia="Times New Roman" w:cstheme="minorHAnsi"/>
        </w:rPr>
      </w:pPr>
      <w:r w:rsidRPr="00337148">
        <w:rPr>
          <w:rFonts w:eastAsia="Times New Roman" w:cstheme="minorHAnsi"/>
          <w:b/>
        </w:rPr>
        <w:t>Keywords</w:t>
      </w:r>
      <w:r w:rsidRPr="00337148">
        <w:rPr>
          <w:rFonts w:eastAsia="Times New Roman" w:cstheme="minorHAnsi"/>
        </w:rPr>
        <w:t xml:space="preserve">: </w:t>
      </w:r>
      <w:r w:rsidR="00D95001">
        <w:rPr>
          <w:rFonts w:eastAsia="Times New Roman" w:cstheme="minorHAnsi"/>
        </w:rPr>
        <w:t xml:space="preserve"> </w:t>
      </w:r>
      <w:r w:rsidR="00AD1B91">
        <w:rPr>
          <w:rFonts w:eastAsia="Times New Roman" w:cstheme="minorHAnsi"/>
        </w:rPr>
        <w:t>s</w:t>
      </w:r>
      <w:r w:rsidR="00D95001">
        <w:rPr>
          <w:rFonts w:eastAsia="Times New Roman" w:cstheme="minorHAnsi"/>
        </w:rPr>
        <w:t>ickle cell d</w:t>
      </w:r>
      <w:r w:rsidRPr="00337148">
        <w:rPr>
          <w:rFonts w:eastAsia="Times New Roman" w:cstheme="minorHAnsi"/>
        </w:rPr>
        <w:t xml:space="preserve">isease, </w:t>
      </w:r>
      <w:r w:rsidR="00AD1B91">
        <w:rPr>
          <w:rFonts w:eastAsia="Times New Roman" w:cstheme="minorHAnsi"/>
        </w:rPr>
        <w:t>r</w:t>
      </w:r>
      <w:r w:rsidR="00D503F4">
        <w:rPr>
          <w:rFonts w:eastAsia="Times New Roman" w:cstheme="minorHAnsi"/>
        </w:rPr>
        <w:t xml:space="preserve">ed </w:t>
      </w:r>
      <w:r w:rsidR="00AD1B91">
        <w:rPr>
          <w:rFonts w:eastAsia="Times New Roman" w:cstheme="minorHAnsi"/>
        </w:rPr>
        <w:t>b</w:t>
      </w:r>
      <w:r w:rsidR="00D503F4">
        <w:rPr>
          <w:rFonts w:eastAsia="Times New Roman" w:cstheme="minorHAnsi"/>
        </w:rPr>
        <w:t xml:space="preserve">lood </w:t>
      </w:r>
      <w:r w:rsidR="00AD1B91">
        <w:rPr>
          <w:rFonts w:eastAsia="Times New Roman" w:cstheme="minorHAnsi"/>
        </w:rPr>
        <w:t>c</w:t>
      </w:r>
      <w:r w:rsidR="00D503F4">
        <w:rPr>
          <w:rFonts w:eastAsia="Times New Roman" w:cstheme="minorHAnsi"/>
        </w:rPr>
        <w:t xml:space="preserve">ell, </w:t>
      </w:r>
      <w:r w:rsidRPr="00337148">
        <w:rPr>
          <w:rFonts w:eastAsia="Times New Roman" w:cstheme="minorHAnsi"/>
        </w:rPr>
        <w:t xml:space="preserve">AFM-IR, deoxygenation, oxidative stress, </w:t>
      </w:r>
      <w:r w:rsidR="00993D98">
        <w:rPr>
          <w:rFonts w:eastAsia="Times New Roman" w:cstheme="minorHAnsi"/>
        </w:rPr>
        <w:t>phosphatidylserine</w:t>
      </w:r>
      <w:r w:rsidRPr="00337148">
        <w:rPr>
          <w:rFonts w:eastAsia="Times New Roman" w:cstheme="minorHAnsi"/>
        </w:rPr>
        <w:t xml:space="preserve"> exposure, cell adhesion, </w:t>
      </w:r>
      <w:proofErr w:type="spellStart"/>
      <w:r w:rsidRPr="00337148">
        <w:rPr>
          <w:rFonts w:eastAsia="Times New Roman" w:cstheme="minorHAnsi"/>
        </w:rPr>
        <w:t>vaso</w:t>
      </w:r>
      <w:proofErr w:type="spellEnd"/>
      <w:r w:rsidRPr="00337148">
        <w:rPr>
          <w:rFonts w:eastAsia="Times New Roman" w:cstheme="minorHAnsi"/>
        </w:rPr>
        <w:t>-occlusive crises</w:t>
      </w:r>
    </w:p>
    <w:p w14:paraId="4F7E0F95" w14:textId="77777777" w:rsidR="00DE4596" w:rsidRPr="00337148" w:rsidRDefault="00DE4596">
      <w:pPr>
        <w:rPr>
          <w:b/>
          <w:bCs/>
        </w:rPr>
      </w:pPr>
      <w:r w:rsidRPr="00337148">
        <w:rPr>
          <w:b/>
          <w:bCs/>
        </w:rPr>
        <w:br w:type="page"/>
      </w:r>
    </w:p>
    <w:p w14:paraId="1E70B07A" w14:textId="2C4E3618" w:rsidR="00A10CC0" w:rsidRPr="00DD7E42" w:rsidRDefault="00A10CC0" w:rsidP="00A10CC0">
      <w:pPr>
        <w:rPr>
          <w:b/>
          <w:bCs/>
          <w:sz w:val="28"/>
          <w:szCs w:val="28"/>
        </w:rPr>
      </w:pPr>
      <w:r w:rsidRPr="00DD7E42">
        <w:rPr>
          <w:b/>
          <w:bCs/>
          <w:sz w:val="28"/>
          <w:szCs w:val="28"/>
        </w:rPr>
        <w:lastRenderedPageBreak/>
        <w:t>Abstract</w:t>
      </w:r>
    </w:p>
    <w:p w14:paraId="642F0498" w14:textId="77777777" w:rsidR="00A10CC0" w:rsidRPr="00337148" w:rsidRDefault="00A10CC0" w:rsidP="00A10CC0"/>
    <w:p w14:paraId="329D6894" w14:textId="31F734C0" w:rsidR="0022727D" w:rsidRPr="0046413A" w:rsidRDefault="0022727D" w:rsidP="0022727D">
      <w:pPr>
        <w:rPr>
          <w:rFonts w:eastAsia="Times New Roman" w:cstheme="minorHAnsi"/>
          <w:bCs/>
        </w:rPr>
      </w:pPr>
      <w:r w:rsidRPr="0046413A">
        <w:rPr>
          <w:rFonts w:eastAsia="Times New Roman" w:cstheme="minorHAnsi"/>
          <w:bCs/>
        </w:rPr>
        <w:t xml:space="preserve">Sickle cell disease (SCD) presents a significant global health problem. At present there is no effective treatment, with most being supportive for its associated complications such as the </w:t>
      </w:r>
      <w:proofErr w:type="spellStart"/>
      <w:r w:rsidRPr="0046413A">
        <w:rPr>
          <w:rFonts w:eastAsia="Times New Roman" w:cstheme="minorHAnsi"/>
          <w:bCs/>
        </w:rPr>
        <w:t>vaso</w:t>
      </w:r>
      <w:proofErr w:type="spellEnd"/>
      <w:r w:rsidRPr="0046413A">
        <w:rPr>
          <w:rFonts w:eastAsia="Times New Roman" w:cstheme="minorHAnsi"/>
          <w:bCs/>
        </w:rPr>
        <w:t>-occlusive crises that result from increased cell adhesion. Hypoxic sickle cells have previously shown greater phosphatidylserine (PS) exposure and oxidative damage, as well as being notably “stickier”</w:t>
      </w:r>
      <w:r w:rsidR="00957FCD" w:rsidRPr="0046413A">
        <w:rPr>
          <w:rFonts w:eastAsia="Times New Roman" w:cstheme="minorHAnsi"/>
          <w:bCs/>
        </w:rPr>
        <w:t xml:space="preserve"> </w:t>
      </w:r>
      <w:r w:rsidR="00D146C0" w:rsidRPr="0046413A">
        <w:rPr>
          <w:rFonts w:eastAsia="Times New Roman" w:cstheme="minorHAnsi"/>
          <w:bCs/>
        </w:rPr>
        <w:t xml:space="preserve">suggesting that </w:t>
      </w:r>
      <w:r w:rsidR="00957FCD" w:rsidRPr="0046413A">
        <w:rPr>
          <w:rFonts w:eastAsia="Times New Roman" w:cstheme="minorHAnsi"/>
          <w:bCs/>
        </w:rPr>
        <w:t>increased cell cohesion</w:t>
      </w:r>
      <w:r w:rsidR="00786591" w:rsidRPr="0046413A">
        <w:rPr>
          <w:rFonts w:eastAsia="Times New Roman" w:cstheme="minorHAnsi"/>
          <w:bCs/>
        </w:rPr>
        <w:t xml:space="preserve"> and adhesion to the blood vessel endothelium</w:t>
      </w:r>
      <w:r w:rsidR="00957FCD" w:rsidRPr="0046413A">
        <w:rPr>
          <w:rFonts w:eastAsia="Times New Roman" w:cstheme="minorHAnsi"/>
          <w:bCs/>
        </w:rPr>
        <w:t xml:space="preserve"> </w:t>
      </w:r>
      <w:r w:rsidR="00D146C0" w:rsidRPr="0046413A">
        <w:rPr>
          <w:rFonts w:eastAsia="Times New Roman" w:cstheme="minorHAnsi"/>
          <w:bCs/>
        </w:rPr>
        <w:t xml:space="preserve">is </w:t>
      </w:r>
      <w:r w:rsidR="00957FCD" w:rsidRPr="0046413A">
        <w:rPr>
          <w:rFonts w:eastAsia="Times New Roman" w:cstheme="minorHAnsi"/>
          <w:bCs/>
        </w:rPr>
        <w:t>a p</w:t>
      </w:r>
      <w:r w:rsidR="00D146C0" w:rsidRPr="0046413A">
        <w:rPr>
          <w:rFonts w:eastAsia="Times New Roman" w:cstheme="minorHAnsi"/>
          <w:bCs/>
        </w:rPr>
        <w:t xml:space="preserve">ossible mechanism for </w:t>
      </w:r>
      <w:proofErr w:type="spellStart"/>
      <w:r w:rsidR="00D146C0" w:rsidRPr="0046413A">
        <w:rPr>
          <w:rFonts w:eastAsia="Times New Roman" w:cstheme="minorHAnsi"/>
          <w:bCs/>
        </w:rPr>
        <w:t>vaso</w:t>
      </w:r>
      <w:proofErr w:type="spellEnd"/>
      <w:r w:rsidR="00D146C0" w:rsidRPr="0046413A">
        <w:rPr>
          <w:rFonts w:eastAsia="Times New Roman" w:cstheme="minorHAnsi"/>
          <w:bCs/>
        </w:rPr>
        <w:t>-occlu</w:t>
      </w:r>
      <w:r w:rsidR="00957FCD" w:rsidRPr="0046413A">
        <w:rPr>
          <w:rFonts w:eastAsia="Times New Roman" w:cstheme="minorHAnsi"/>
          <w:bCs/>
        </w:rPr>
        <w:t>sion</w:t>
      </w:r>
      <w:r w:rsidRPr="0046413A">
        <w:rPr>
          <w:rFonts w:eastAsia="Times New Roman" w:cstheme="minorHAnsi"/>
          <w:bCs/>
        </w:rPr>
        <w:t xml:space="preserve">. The present work uses </w:t>
      </w:r>
      <w:r w:rsidR="00D146C0" w:rsidRPr="0046413A">
        <w:rPr>
          <w:rFonts w:eastAsia="Times New Roman" w:cstheme="minorHAnsi"/>
          <w:bCs/>
        </w:rPr>
        <w:t xml:space="preserve">the hybrid technique of </w:t>
      </w:r>
      <w:r w:rsidR="00957FCD" w:rsidRPr="0046413A">
        <w:rPr>
          <w:rFonts w:eastAsia="Times New Roman" w:cstheme="minorHAnsi"/>
          <w:bCs/>
        </w:rPr>
        <w:t>atomic force microscopy nano-infrared spectroscopy (</w:t>
      </w:r>
      <w:r w:rsidRPr="0046413A">
        <w:rPr>
          <w:rFonts w:eastAsia="Times New Roman" w:cstheme="minorHAnsi"/>
          <w:bCs/>
        </w:rPr>
        <w:t>AFM-IR</w:t>
      </w:r>
      <w:r w:rsidR="00957FCD" w:rsidRPr="0046413A">
        <w:rPr>
          <w:rFonts w:eastAsia="Times New Roman" w:cstheme="minorHAnsi"/>
          <w:bCs/>
        </w:rPr>
        <w:t>)</w:t>
      </w:r>
      <w:r w:rsidRPr="0046413A">
        <w:rPr>
          <w:rFonts w:eastAsia="Times New Roman" w:cstheme="minorHAnsi"/>
          <w:bCs/>
        </w:rPr>
        <w:t xml:space="preserve"> to probe changes to the coefficient of friction and C-O IR intensity in SCD </w:t>
      </w:r>
      <w:r w:rsidR="00D146C0" w:rsidRPr="0046413A">
        <w:rPr>
          <w:rFonts w:eastAsia="Times New Roman" w:cstheme="minorHAnsi"/>
          <w:bCs/>
        </w:rPr>
        <w:t xml:space="preserve">on a nanoscale </w:t>
      </w:r>
      <w:r w:rsidR="00675C22" w:rsidRPr="0046413A">
        <w:rPr>
          <w:rFonts w:eastAsia="Times New Roman" w:cstheme="minorHAnsi"/>
          <w:bCs/>
        </w:rPr>
        <w:t xml:space="preserve">for dried red blood cells (RBCs) fixed </w:t>
      </w:r>
      <w:r w:rsidRPr="0046413A">
        <w:rPr>
          <w:rFonts w:eastAsia="Times New Roman" w:cstheme="minorHAnsi"/>
          <w:bCs/>
        </w:rPr>
        <w:t xml:space="preserve">under conditions of hypoxia and </w:t>
      </w:r>
      <w:r w:rsidR="00BE1845" w:rsidRPr="0046413A">
        <w:rPr>
          <w:rFonts w:eastAsia="Times New Roman" w:cstheme="minorHAnsi"/>
          <w:bCs/>
        </w:rPr>
        <w:t>correlates</w:t>
      </w:r>
      <w:r w:rsidRPr="0046413A">
        <w:rPr>
          <w:rFonts w:eastAsia="Times New Roman" w:cstheme="minorHAnsi"/>
          <w:bCs/>
        </w:rPr>
        <w:t xml:space="preserve"> these observations with adhesive interactions at the membrane. Using functionalised AFM tips, it has been possible to probe </w:t>
      </w:r>
      <w:r w:rsidR="00641084" w:rsidRPr="0046413A">
        <w:rPr>
          <w:rFonts w:eastAsia="Times New Roman" w:cstheme="minorHAnsi"/>
          <w:bCs/>
        </w:rPr>
        <w:t xml:space="preserve">adhesive interactions between </w:t>
      </w:r>
      <w:r w:rsidRPr="0046413A">
        <w:rPr>
          <w:rFonts w:eastAsia="Times New Roman" w:cstheme="minorHAnsi"/>
          <w:bCs/>
        </w:rPr>
        <w:t xml:space="preserve">hydrophilic and hydrophobic </w:t>
      </w:r>
      <w:r w:rsidR="00641084" w:rsidRPr="0046413A">
        <w:rPr>
          <w:rFonts w:eastAsia="Times New Roman" w:cstheme="minorHAnsi"/>
          <w:bCs/>
        </w:rPr>
        <w:t xml:space="preserve">moieties exposed at the surface </w:t>
      </w:r>
      <w:r w:rsidR="00675C22" w:rsidRPr="0046413A">
        <w:rPr>
          <w:rFonts w:eastAsia="Times New Roman" w:cstheme="minorHAnsi"/>
          <w:bCs/>
        </w:rPr>
        <w:t>of</w:t>
      </w:r>
      <w:r w:rsidR="00F02920" w:rsidRPr="0046413A">
        <w:rPr>
          <w:rFonts w:eastAsia="Times New Roman" w:cstheme="minorHAnsi"/>
          <w:bCs/>
        </w:rPr>
        <w:t xml:space="preserve"> the dried</w:t>
      </w:r>
      <w:r w:rsidR="00675C22" w:rsidRPr="0046413A">
        <w:rPr>
          <w:rFonts w:eastAsia="Times New Roman" w:cstheme="minorHAnsi"/>
          <w:bCs/>
        </w:rPr>
        <w:t xml:space="preserve"> RBCs fixed </w:t>
      </w:r>
      <w:r w:rsidRPr="0046413A">
        <w:rPr>
          <w:rFonts w:eastAsia="Times New Roman" w:cstheme="minorHAnsi"/>
          <w:bCs/>
        </w:rPr>
        <w:t>under different oxygenation states and</w:t>
      </w:r>
      <w:r w:rsidR="00675C22" w:rsidRPr="0046413A">
        <w:rPr>
          <w:rFonts w:eastAsia="Times New Roman" w:cstheme="minorHAnsi"/>
          <w:bCs/>
        </w:rPr>
        <w:t xml:space="preserve"> for different</w:t>
      </w:r>
      <w:r w:rsidRPr="0046413A">
        <w:rPr>
          <w:rFonts w:eastAsia="Times New Roman" w:cstheme="minorHAnsi"/>
          <w:bCs/>
        </w:rPr>
        <w:t xml:space="preserve"> cell genotypes. The results </w:t>
      </w:r>
      <w:r w:rsidR="00641084" w:rsidRPr="0046413A">
        <w:rPr>
          <w:rFonts w:eastAsia="Times New Roman" w:cstheme="minorHAnsi"/>
          <w:bCs/>
        </w:rPr>
        <w:t xml:space="preserve">are consistent with </w:t>
      </w:r>
      <w:r w:rsidRPr="0046413A">
        <w:rPr>
          <w:rFonts w:eastAsia="Times New Roman" w:cstheme="minorHAnsi"/>
          <w:bCs/>
        </w:rPr>
        <w:t>greater PS-exposure and oxidative damage in hypoxic sickle cells</w:t>
      </w:r>
      <w:r w:rsidR="00D146C0" w:rsidRPr="0046413A">
        <w:rPr>
          <w:rFonts w:eastAsia="Times New Roman" w:cstheme="minorHAnsi"/>
          <w:bCs/>
        </w:rPr>
        <w:t>,</w:t>
      </w:r>
      <w:r w:rsidR="00641084" w:rsidRPr="0046413A">
        <w:rPr>
          <w:rFonts w:eastAsia="Times New Roman" w:cstheme="minorHAnsi"/>
          <w:bCs/>
        </w:rPr>
        <w:t xml:space="preserve"> as previously </w:t>
      </w:r>
      <w:r w:rsidR="00D146C0" w:rsidRPr="0046413A">
        <w:rPr>
          <w:rFonts w:eastAsia="Times New Roman" w:cstheme="minorHAnsi"/>
          <w:bCs/>
        </w:rPr>
        <w:t>proposed,</w:t>
      </w:r>
      <w:r w:rsidR="00641084" w:rsidRPr="0046413A">
        <w:rPr>
          <w:rFonts w:eastAsia="Times New Roman" w:cstheme="minorHAnsi"/>
          <w:bCs/>
        </w:rPr>
        <w:t xml:space="preserve"> </w:t>
      </w:r>
      <w:r w:rsidR="00D146C0" w:rsidRPr="0046413A">
        <w:rPr>
          <w:rFonts w:eastAsia="Times New Roman" w:cstheme="minorHAnsi"/>
          <w:bCs/>
        </w:rPr>
        <w:t xml:space="preserve">and </w:t>
      </w:r>
      <w:r w:rsidR="00641084" w:rsidRPr="0046413A">
        <w:rPr>
          <w:rFonts w:eastAsia="Times New Roman" w:cstheme="minorHAnsi"/>
          <w:bCs/>
        </w:rPr>
        <w:t>also</w:t>
      </w:r>
      <w:r w:rsidRPr="0046413A">
        <w:rPr>
          <w:rFonts w:eastAsia="Times New Roman" w:cstheme="minorHAnsi"/>
          <w:bCs/>
        </w:rPr>
        <w:t xml:space="preserve"> show strong correlation between localised oxidative damage and increased adhesion. A mechanistic explanation involving significant lipid tail disruption as a result of oxidative action</w:t>
      </w:r>
      <w:r w:rsidR="00641084" w:rsidRPr="0046413A">
        <w:rPr>
          <w:rFonts w:eastAsia="Times New Roman" w:cstheme="minorHAnsi"/>
          <w:bCs/>
        </w:rPr>
        <w:t xml:space="preserve">, in combination with differing concentrations of externalised PS lipids, </w:t>
      </w:r>
      <w:r w:rsidR="00241AC1" w:rsidRPr="0046413A">
        <w:rPr>
          <w:rFonts w:eastAsia="Times New Roman" w:cstheme="minorHAnsi"/>
          <w:bCs/>
        </w:rPr>
        <w:t xml:space="preserve">is proposed to explain </w:t>
      </w:r>
      <w:r w:rsidR="00641084" w:rsidRPr="0046413A">
        <w:rPr>
          <w:rFonts w:eastAsia="Times New Roman" w:cstheme="minorHAnsi"/>
          <w:bCs/>
        </w:rPr>
        <w:t xml:space="preserve">the observed adhesion behaviour of each </w:t>
      </w:r>
      <w:r w:rsidR="003853C8" w:rsidRPr="0046413A">
        <w:rPr>
          <w:rFonts w:eastAsia="Times New Roman" w:cstheme="minorHAnsi"/>
          <w:bCs/>
        </w:rPr>
        <w:t xml:space="preserve">type of </w:t>
      </w:r>
      <w:r w:rsidR="00641084" w:rsidRPr="0046413A">
        <w:rPr>
          <w:rFonts w:eastAsia="Times New Roman" w:cstheme="minorHAnsi"/>
          <w:bCs/>
        </w:rPr>
        <w:t xml:space="preserve">cell. </w:t>
      </w:r>
    </w:p>
    <w:p w14:paraId="7F2CCC94" w14:textId="5237BA2D" w:rsidR="003F2171" w:rsidRDefault="003F2171">
      <w:pPr>
        <w:rPr>
          <w:b/>
          <w:bCs/>
        </w:rPr>
      </w:pPr>
    </w:p>
    <w:p w14:paraId="3EEE4383" w14:textId="77777777" w:rsidR="0046413A" w:rsidRPr="00337148" w:rsidRDefault="0046413A">
      <w:pPr>
        <w:rPr>
          <w:b/>
          <w:bCs/>
        </w:rPr>
      </w:pPr>
    </w:p>
    <w:p w14:paraId="201EE9B4" w14:textId="5E4BB3F0" w:rsidR="00A10CC0" w:rsidRPr="00650410" w:rsidRDefault="00A10CC0" w:rsidP="00650410">
      <w:pPr>
        <w:pStyle w:val="ListParagraph"/>
        <w:numPr>
          <w:ilvl w:val="0"/>
          <w:numId w:val="7"/>
        </w:numPr>
        <w:rPr>
          <w:b/>
          <w:bCs/>
          <w:sz w:val="28"/>
          <w:szCs w:val="28"/>
        </w:rPr>
      </w:pPr>
      <w:r w:rsidRPr="00650410">
        <w:rPr>
          <w:b/>
          <w:bCs/>
          <w:sz w:val="28"/>
          <w:szCs w:val="28"/>
        </w:rPr>
        <w:t>Introduction</w:t>
      </w:r>
    </w:p>
    <w:p w14:paraId="5CF85B61" w14:textId="77777777" w:rsidR="00A10CC0" w:rsidRPr="00337148" w:rsidRDefault="00A10CC0" w:rsidP="00A10CC0"/>
    <w:p w14:paraId="3ED692E5" w14:textId="11AD67B4" w:rsidR="00A10CC0" w:rsidRPr="005872FC" w:rsidRDefault="00A10CC0" w:rsidP="00A10CC0">
      <w:pPr>
        <w:rPr>
          <w:rFonts w:cstheme="minorHAnsi"/>
        </w:rPr>
      </w:pPr>
      <w:r w:rsidRPr="005872FC">
        <w:rPr>
          <w:rFonts w:cstheme="minorHAnsi"/>
        </w:rPr>
        <w:t xml:space="preserve">Red blood cells (RBCs), or erythrocytes, play a crucial role in oxygen delivery throughout the circulatory system. </w:t>
      </w:r>
      <w:r w:rsidR="000B33C5" w:rsidRPr="005872FC">
        <w:rPr>
          <w:rFonts w:cstheme="minorHAnsi"/>
        </w:rPr>
        <w:t xml:space="preserve"> </w:t>
      </w:r>
      <w:r w:rsidRPr="005872FC">
        <w:rPr>
          <w:rFonts w:cstheme="minorHAnsi"/>
        </w:rPr>
        <w:t xml:space="preserve">They commonly have the morphology of round biconcave disks, containing </w:t>
      </w:r>
      <w:r w:rsidR="002831CC" w:rsidRPr="005872FC">
        <w:rPr>
          <w:rFonts w:cstheme="minorHAnsi"/>
        </w:rPr>
        <w:t xml:space="preserve">high concentrations of </w:t>
      </w:r>
      <w:r w:rsidRPr="005872FC">
        <w:rPr>
          <w:rFonts w:cstheme="minorHAnsi"/>
        </w:rPr>
        <w:t xml:space="preserve">haemoglobin (Hb) within a cytoskeleton that is intermittently bound to an </w:t>
      </w:r>
      <w:r w:rsidR="0022727D">
        <w:rPr>
          <w:rFonts w:cstheme="minorHAnsi"/>
        </w:rPr>
        <w:t>enveloping</w:t>
      </w:r>
      <w:r w:rsidRPr="005872FC">
        <w:rPr>
          <w:rFonts w:cstheme="minorHAnsi"/>
        </w:rPr>
        <w:t xml:space="preserve"> cell membrane</w:t>
      </w:r>
      <w:r w:rsidR="004C3883" w:rsidRPr="005872FC">
        <w:rPr>
          <w:rFonts w:cstheme="minorHAnsi"/>
        </w:rPr>
        <w:t>,</w:t>
      </w:r>
      <w:r w:rsidRPr="005872FC">
        <w:rPr>
          <w:rFonts w:cstheme="minorHAnsi"/>
        </w:rPr>
        <w:t xml:space="preserve"> co</w:t>
      </w:r>
      <w:r w:rsidR="00827F06" w:rsidRPr="005872FC">
        <w:rPr>
          <w:rFonts w:cstheme="minorHAnsi"/>
        </w:rPr>
        <w:t xml:space="preserve">nsisting of </w:t>
      </w:r>
      <w:r w:rsidRPr="005872FC">
        <w:rPr>
          <w:rFonts w:cstheme="minorHAnsi"/>
        </w:rPr>
        <w:t>a lipid bilayer.</w:t>
      </w:r>
      <w:r w:rsidR="004C10FA" w:rsidRPr="005872FC">
        <w:rPr>
          <w:rFonts w:cstheme="minorHAnsi"/>
        </w:rPr>
        <w:fldChar w:fldCharType="begin" w:fldLock="1"/>
      </w:r>
      <w:r w:rsidR="004C10FA" w:rsidRPr="005872FC">
        <w:rPr>
          <w:rFonts w:cstheme="minorHAnsi"/>
        </w:rPr>
        <w:instrText>ADDIN CSL_CITATION {"citationItems":[{"id":"ITEM-1","itemData":{"DOI":"10.1182/blood-2014-12-512772","ISSN":"15280020","abstract":"The red cell membrane skeleton is a pseudohexagonal meshwork of spectrin, actin, protein 4.1R, ankyrin, and actinassociated proteins that laminates the inner membrane surface and attaches to the overlying lipid bilayer via band 3- containing multiprotein complexes at the ankyrin- and actin-binding ends of spectrin. The membrane skeleton strengthens the lipid bilayer and endows the membrane with the durability and flexibility to survive in the circulation. In the 36 years since the first primitive model of the red cell skeleton was proposed, many additional proteins have been discovered, and their structures and interactions have been defined. However, almost nothing is known of the skeleton's physiology, and myriad questions about its structure remain, including questions concerning the structure of spectrin in situ, theway spectrin and other proteins bind to actin, how the membrane is assembled, the dynamics of the skeleton when the membrane is deformed or perturbed by parasites, the role lipids play, and variations in membrane structure in unique regions like lipid rafts. Thisknowledgeis importantbecausethe red cell membrane skeleton is the model for spectrin-based membrane skeletons in all cells, and because defects in the red cell membrane skeleton underliemultiple hemolytic anemias.","author":[{"dropping-particle":"","family":"Lux","given":"Samuel E.","non-dropping-particle":"","parse-names":false,"suffix":""}],"container-title":"Blood","id":"ITEM-1","issue":"2","issued":{"date-parts":[["2016"]]},"page":"187-199","title":"Anatomy of the red cell membrane skeleton: Unanswered questions","type":"article-journal","volume":"127"},"uris":["http://www.mendeley.com/documents/?uuid=a2eefc6c-adb2-4a11-ac6e-53dea0dd62c0"]}],"mendeley":{"formattedCitation":"&lt;sup&gt;1&lt;/sup&gt;","plainTextFormattedCitation":"1","previouslyFormattedCitation":"&lt;sup&gt;1&lt;/sup&gt;"},"properties":{"noteIndex":0},"schema":"https://github.com/citation-style-language/schema/raw/master/csl-citation.json"}</w:instrText>
      </w:r>
      <w:r w:rsidR="004C10FA" w:rsidRPr="005872FC">
        <w:rPr>
          <w:rFonts w:cstheme="minorHAnsi"/>
        </w:rPr>
        <w:fldChar w:fldCharType="separate"/>
      </w:r>
      <w:r w:rsidR="004C10FA" w:rsidRPr="005872FC">
        <w:rPr>
          <w:rFonts w:cstheme="minorHAnsi"/>
          <w:noProof/>
          <w:vertAlign w:val="superscript"/>
        </w:rPr>
        <w:t>1</w:t>
      </w:r>
      <w:r w:rsidR="004C10FA" w:rsidRPr="005872FC">
        <w:rPr>
          <w:rFonts w:cstheme="minorHAnsi"/>
        </w:rPr>
        <w:fldChar w:fldCharType="end"/>
      </w:r>
      <w:r w:rsidRPr="005872FC">
        <w:rPr>
          <w:rFonts w:cstheme="minorHAnsi"/>
        </w:rPr>
        <w:t xml:space="preserve"> </w:t>
      </w:r>
      <w:r w:rsidR="000B33C5" w:rsidRPr="005872FC">
        <w:rPr>
          <w:rFonts w:cstheme="minorHAnsi"/>
        </w:rPr>
        <w:t xml:space="preserve"> </w:t>
      </w:r>
      <w:r w:rsidRPr="005872FC">
        <w:rPr>
          <w:rFonts w:cstheme="minorHAnsi"/>
        </w:rPr>
        <w:t xml:space="preserve">Their flexible structure allows them to fit through gaps significantly smaller than their natural diameter, facilitating efficient transport of blood gases throughout the microvasculature. </w:t>
      </w:r>
      <w:r w:rsidR="000B33C5" w:rsidRPr="005872FC">
        <w:rPr>
          <w:rFonts w:cstheme="minorHAnsi"/>
        </w:rPr>
        <w:t xml:space="preserve"> </w:t>
      </w:r>
      <w:r w:rsidR="00B220CD" w:rsidRPr="005872FC">
        <w:rPr>
          <w:rFonts w:cstheme="minorHAnsi"/>
        </w:rPr>
        <w:t xml:space="preserve">Furthermore, </w:t>
      </w:r>
      <w:r w:rsidRPr="005872FC">
        <w:rPr>
          <w:rFonts w:cstheme="minorHAnsi"/>
        </w:rPr>
        <w:t>lack of a nucleus, mitochondria or many other intracellular organelles</w:t>
      </w:r>
      <w:r w:rsidR="00100A10" w:rsidRPr="005872FC">
        <w:rPr>
          <w:rFonts w:cstheme="minorHAnsi"/>
        </w:rPr>
        <w:t>,</w:t>
      </w:r>
      <w:r w:rsidRPr="005872FC">
        <w:rPr>
          <w:rFonts w:cstheme="minorHAnsi"/>
        </w:rPr>
        <w:t xml:space="preserve"> facilitates </w:t>
      </w:r>
      <w:r w:rsidR="00B220CD" w:rsidRPr="005872FC">
        <w:rPr>
          <w:rFonts w:cstheme="minorHAnsi"/>
        </w:rPr>
        <w:t>the cells’</w:t>
      </w:r>
      <w:r w:rsidRPr="005872FC">
        <w:rPr>
          <w:rFonts w:cstheme="minorHAnsi"/>
        </w:rPr>
        <w:t xml:space="preserve"> respiratory function but prevents replication or repair.</w:t>
      </w:r>
      <w:r w:rsidR="004C10FA" w:rsidRPr="005872FC">
        <w:rPr>
          <w:rFonts w:cstheme="minorHAnsi"/>
        </w:rPr>
        <w:fldChar w:fldCharType="begin" w:fldLock="1"/>
      </w:r>
      <w:r w:rsidR="00E06129" w:rsidRPr="005872FC">
        <w:rPr>
          <w:rFonts w:cstheme="minorHAnsi"/>
        </w:rPr>
        <w:instrText>ADDIN CSL_CITATION {"citationItems":[{"id":"ITEM-1","itemData":{"DOI":"10.2450/2019.0072-19","ISSN":"23852070","abstract":"Red blood cells (RBCs) have been historically regarded as a critical model to investigate cellular and oxidant stress biology. First of all, they are constantly exposed to oxidant stress, as their main function is to transport and deliver oxygen to tissues. Second, they are devoid of de novo protein synthesis capacity, which prevents RBCs from replacing irreversibly oxidised proteins with newly synthesised ones. As such, RBCs have evolved to (i) protect themselves from oxidant stress, in order to prevent oxidant damage from reactive species; (ii) repair oxidatively damaged proteins, through mechanisms that involve glutathione and onecarbon metabolism; (iii) destroy irreversibly oxidised proteins through proteasomal or protease-dependent degradation; and (iv) sacrifice membrane portions through mechanism of vesiculation. In this brief review we will summarize these processes and their relevance to RBC redox biology (within the context of blood storage), with a focus on how polymorphisms in RBC antioxidant responses could contribute to explaining the heterogeneity in the progression and severity of the RBC storage lesion that can be observed across the healthy donor population.","author":[{"dropping-particle":"","family":"D'Alessandro","given":"Angelo","non-dropping-particle":"","parse-names":false,"suffix":""},{"dropping-particle":"","family":"Hansen","given":"Kirk C.","non-dropping-particle":"","parse-names":false,"suffix":""},{"dropping-particle":"","family":"Eisenmesser","given":"Elan Z.","non-dropping-particle":"","parse-names":false,"suffix":""},{"dropping-particle":"","family":"Zimring","given":"James C.","non-dropping-particle":"","parse-names":false,"suffix":""}],"container-title":"Blood Transfusion","id":"ITEM-1","issue":"4","issued":{"date-parts":[["2019"]]},"page":"281-288","title":"Protect, repair, destroy or sacrifice: A role of oxidative stress biology in inter-donor variability of blood storage?","type":"article-journal","volume":"17"},"uris":["http://www.mendeley.com/documents/?uuid=243bfd57-50b2-42e3-811e-98eaf9292062"]}],"mendeley":{"formattedCitation":"&lt;sup&gt;2&lt;/sup&gt;","plainTextFormattedCitation":"2","previouslyFormattedCitation":"&lt;sup&gt;2&lt;/sup&gt;"},"properties":{"noteIndex":0},"schema":"https://github.com/citation-style-language/schema/raw/master/csl-citation.json"}</w:instrText>
      </w:r>
      <w:r w:rsidR="004C10FA" w:rsidRPr="005872FC">
        <w:rPr>
          <w:rFonts w:cstheme="minorHAnsi"/>
        </w:rPr>
        <w:fldChar w:fldCharType="separate"/>
      </w:r>
      <w:r w:rsidR="004C10FA" w:rsidRPr="005872FC">
        <w:rPr>
          <w:rFonts w:cstheme="minorHAnsi"/>
          <w:noProof/>
          <w:vertAlign w:val="superscript"/>
        </w:rPr>
        <w:t>2</w:t>
      </w:r>
      <w:r w:rsidR="004C10FA" w:rsidRPr="005872FC">
        <w:rPr>
          <w:rFonts w:cstheme="minorHAnsi"/>
        </w:rPr>
        <w:fldChar w:fldCharType="end"/>
      </w:r>
      <w:r w:rsidRPr="005872FC">
        <w:rPr>
          <w:rFonts w:cstheme="minorHAnsi"/>
        </w:rPr>
        <w:t xml:space="preserve"> </w:t>
      </w:r>
      <w:r w:rsidR="000B33C5" w:rsidRPr="005872FC">
        <w:rPr>
          <w:rFonts w:cstheme="minorHAnsi"/>
        </w:rPr>
        <w:t xml:space="preserve"> </w:t>
      </w:r>
      <w:r w:rsidRPr="005872FC">
        <w:rPr>
          <w:rFonts w:cstheme="minorHAnsi"/>
        </w:rPr>
        <w:t xml:space="preserve">During their lifetime, RBCs may be exposed to many environmental stresses contributing to cellular damage, including oxidation, resulting in chemical changes to the cell membrane and cytoskeleton, </w:t>
      </w:r>
      <w:r w:rsidR="00EB01A1" w:rsidRPr="005872FC">
        <w:rPr>
          <w:rFonts w:cstheme="minorHAnsi"/>
        </w:rPr>
        <w:t xml:space="preserve">which may </w:t>
      </w:r>
      <w:r w:rsidRPr="005872FC">
        <w:rPr>
          <w:rFonts w:cstheme="minorHAnsi"/>
        </w:rPr>
        <w:t>impair their deformabi</w:t>
      </w:r>
      <w:r w:rsidR="00E12D8C" w:rsidRPr="005872FC">
        <w:rPr>
          <w:rFonts w:cstheme="minorHAnsi"/>
        </w:rPr>
        <w:t>lity and</w:t>
      </w:r>
      <w:r w:rsidR="00856DB0" w:rsidRPr="005872FC">
        <w:rPr>
          <w:rFonts w:cstheme="minorHAnsi"/>
        </w:rPr>
        <w:t>,</w:t>
      </w:r>
      <w:r w:rsidR="00E12D8C" w:rsidRPr="005872FC">
        <w:rPr>
          <w:rFonts w:cstheme="minorHAnsi"/>
        </w:rPr>
        <w:t xml:space="preserve"> </w:t>
      </w:r>
      <w:r w:rsidR="00856DB0" w:rsidRPr="005872FC">
        <w:rPr>
          <w:rFonts w:cstheme="minorHAnsi"/>
        </w:rPr>
        <w:t xml:space="preserve">hence, their </w:t>
      </w:r>
      <w:r w:rsidR="00043853" w:rsidRPr="005872FC">
        <w:rPr>
          <w:rFonts w:cstheme="minorHAnsi"/>
        </w:rPr>
        <w:t xml:space="preserve">ability to deliver </w:t>
      </w:r>
      <w:r w:rsidR="00E12D8C" w:rsidRPr="005872FC">
        <w:rPr>
          <w:rFonts w:cstheme="minorHAnsi"/>
        </w:rPr>
        <w:t>oxygen.</w:t>
      </w:r>
      <w:r w:rsidR="00E06129" w:rsidRPr="005872FC">
        <w:rPr>
          <w:rFonts w:cstheme="minorHAnsi"/>
        </w:rPr>
        <w:fldChar w:fldCharType="begin" w:fldLock="1"/>
      </w:r>
      <w:r w:rsidR="004C4501" w:rsidRPr="005872FC">
        <w:rPr>
          <w:rFonts w:cstheme="minorHAnsi"/>
        </w:rPr>
        <w:instrText>ADDIN CSL_CITATION {"citationItems":[{"id":"ITEM-1","itemData":{"DOI":"10.1039/b408931f","ISSN":"00032654","abstract":"This study was designed to evaluate changes in erythrocyte contents during endurance moderate intensity exercise, a model of physiological oxidative stress. 16 endurance-trained subjects cycled 2 h at 55% of maximal aerobic capacity and blood was collected every 15 min. Transmission FT-IR spectrometry was used to analyze separately plasma and erythrocyte content changes during oxidative stress. Erythrocyte FT-IR spectra were corrected for hemoconcentration (Hc) before spectral areas integration of main IR absorbances belonging to phospholipids [νas(CH3), νas(CH 2), and ν(P=O)], proteins [v(C=O) and δ(N-H)], and lactate [ν(C-O)] were used to determine erythrocyte content changes. Changes in νas(CH2) and v(P=O) absorbances while νas(CH3) remained stable showed the magnitude of free radical attacks on phospholipids bilayer. Decrease in v(C=O) and δ(N-H) absorbances while plasma and intracellular lactate, 02 consumption, and Hc rose were linked to hemoglobin, and possibly spectrin, denaturation. Finally, the synergistic changes found between physiological, plasmatic and erythrocyte parameters showed that FT-IR spectrometry was a sufficiently accurate and sensitive method to determine acute changes in erythrocytes during moderate, physiological, oxidative stress.","author":[{"dropping-particle":"","family":"Petibois","given":"Cyril","non-dropping-particle":"","parse-names":false,"suffix":""},{"dropping-particle":"","family":"Déléris","given":"Gérard","non-dropping-particle":"","parse-names":false,"suffix":""}],"container-title":"Analyst","id":"ITEM-1","issue":"10","issued":{"date-parts":[["2004"]]},"page":"912-916","title":"Oxidative stress effects on erythrocytes determined by FT-IR spectrometry","type":"article-journal","volume":"129"},"uris":["http://www.mendeley.com/documents/?uuid=543a886e-fbbc-41a5-955a-51826b8f3888"]},{"id":"ITEM-2","itemData":{"DOI":"10.3389/fphys.2014.00084","ISSN":"1664042X","abstract":"Red Blood Cells (RBCs) need to deform and squeeze through narrow capillaries. Decreased deformability of RBCs is, therefore, one of the factors that can contribute to the elimination of aged or damaged RBCs from the circulation. This process can also cause impaired oxygen delivery, which contributes to the pathology of a number of diseases. Studies from our laboratory have shown that oxidative stress plays a significant role in damaging the RBC membrane and impairing its deformability. RBCs are continuously exposed to both endogenous and exogenous sources of reactive oxygen species (ROS) like superoxide and hydrogen peroxide (H2O2). The bulk of the ROS are neutralized by the RBC antioxidant system consisting of both non-enzymatic and enzymatic antioxidants including catalase, glutathione peroxidase and peroxiredoxin-2. However, the autoxidation of hemoglobin (Hb) bound to the membrane is relatively inaccessible to the predominantly cytosolic RBC antioxidant system. This inaccessibility becomes more pronounced under hypoxic conditions when Hb is partially oxygenated, resulting in an increased rate of autoxidation and increased affinity for the RBC membrane. We have shown that a fraction of peroxyredoxin-2 present on the RBC membrane may play a major role in neutralizing these ROS. H2O2 that is not neutralized by the RBC antioxidant system can react with the heme producing fluorescent heme degradation products (HDPs). We have used the level of these HDP as a measure of RBC oxidative Stress. Increased levels of HDP are detected during cellular aging and various diseases. The negative correlation (p &lt; 0.0001) between the level of HDP and RBC deformability establishes a contribution of RBC oxidative stress to impaired deformability and cellular stiffness. While decreased deformability contributes to the removal of RBCs from the circulation, oxidative stress also contributes to the uptake of RBCs by macrophages, which plays a major role in the removal of RBCs from circulation. The contribution of oxidative stress to the removal of RBCs by macrophages involves caspase-3 activation, which requires oxidative stress. RBC oxidative stress, therefore, plays a significant role in inducing RBC aging. © 2014 Mohanty, Nagababu and Rifkind.","author":[{"dropping-particle":"","family":"Mohanty","given":"Joy G.","non-dropping-particle":"","parse-names":false,"suffix":""},{"dropping-particle":"","family":"Nagababu","given":"Enika","non-dropping-particle":"","parse-names":false,"suffix":""},{"dropping-particle":"","family":"Rifkind","given":"Joseph M.","non-dropping-particle":"","parse-names":false,"suffix":""}],"container-title":"Frontiers in Physiology","id":"ITEM-2","issue":"84","issued":{"date-parts":[["2014"]]},"title":"Red blood cell oxidative stress impairs oxygen delivery and induces red blood cell aging","type":"article-journal","volume":"5"},"uris":["http://www.mendeley.com/documents/?uuid=5c79f729-7853-4ef6-9387-c7ce20fab915"]}],"mendeley":{"formattedCitation":"&lt;sup&gt;3,4&lt;/sup&gt;","plainTextFormattedCitation":"3,4","previouslyFormattedCitation":"&lt;sup&gt;3,4&lt;/sup&gt;"},"properties":{"noteIndex":0},"schema":"https://github.com/citation-style-language/schema/raw/master/csl-citation.json"}</w:instrText>
      </w:r>
      <w:r w:rsidR="00E06129" w:rsidRPr="005872FC">
        <w:rPr>
          <w:rFonts w:cstheme="minorHAnsi"/>
        </w:rPr>
        <w:fldChar w:fldCharType="separate"/>
      </w:r>
      <w:r w:rsidR="00E06129" w:rsidRPr="005872FC">
        <w:rPr>
          <w:rFonts w:cstheme="minorHAnsi"/>
          <w:noProof/>
          <w:vertAlign w:val="superscript"/>
        </w:rPr>
        <w:t>3,4</w:t>
      </w:r>
      <w:r w:rsidR="00E06129" w:rsidRPr="005872FC">
        <w:rPr>
          <w:rFonts w:cstheme="minorHAnsi"/>
        </w:rPr>
        <w:fldChar w:fldCharType="end"/>
      </w:r>
      <w:r w:rsidR="00E06129" w:rsidRPr="005872FC">
        <w:rPr>
          <w:rFonts w:cstheme="minorHAnsi"/>
        </w:rPr>
        <w:t xml:space="preserve"> </w:t>
      </w:r>
    </w:p>
    <w:p w14:paraId="48CE424B" w14:textId="77777777" w:rsidR="00A10CC0" w:rsidRPr="00337148" w:rsidRDefault="00A10CC0" w:rsidP="00A10CC0">
      <w:pPr>
        <w:rPr>
          <w:rFonts w:cstheme="minorHAnsi"/>
        </w:rPr>
      </w:pPr>
    </w:p>
    <w:p w14:paraId="2BD20EB0" w14:textId="53E96E8E" w:rsidR="00A10CC0" w:rsidRPr="00337148" w:rsidRDefault="00A10CC0" w:rsidP="00A10CC0">
      <w:pPr>
        <w:rPr>
          <w:rFonts w:cstheme="minorHAnsi"/>
        </w:rPr>
      </w:pPr>
      <w:r w:rsidRPr="00337148">
        <w:rPr>
          <w:rFonts w:cstheme="minorHAnsi"/>
        </w:rPr>
        <w:t>Sickle cell disease (SCD) is a</w:t>
      </w:r>
      <w:r w:rsidR="00E12D8C">
        <w:rPr>
          <w:rFonts w:cstheme="minorHAnsi"/>
        </w:rPr>
        <w:t>n</w:t>
      </w:r>
      <w:r w:rsidRPr="00337148">
        <w:rPr>
          <w:rFonts w:cstheme="minorHAnsi"/>
        </w:rPr>
        <w:t xml:space="preserve"> </w:t>
      </w:r>
      <w:r w:rsidR="00E12D8C">
        <w:rPr>
          <w:rFonts w:cstheme="minorHAnsi"/>
        </w:rPr>
        <w:t>in</w:t>
      </w:r>
      <w:r w:rsidR="00243CAC">
        <w:rPr>
          <w:rFonts w:cstheme="minorHAnsi"/>
        </w:rPr>
        <w:t>her</w:t>
      </w:r>
      <w:r w:rsidRPr="00337148">
        <w:rPr>
          <w:rFonts w:cstheme="minorHAnsi"/>
        </w:rPr>
        <w:t>it</w:t>
      </w:r>
      <w:r w:rsidR="00E12D8C">
        <w:rPr>
          <w:rFonts w:cstheme="minorHAnsi"/>
        </w:rPr>
        <w:t>ed</w:t>
      </w:r>
      <w:r w:rsidRPr="00337148">
        <w:rPr>
          <w:rFonts w:cstheme="minorHAnsi"/>
        </w:rPr>
        <w:t xml:space="preserve"> disease that affects millions of humans worldwide, primarily those from sub-Saharan Africa where it causes considerable morbidity and mortality, but with substantial patient cohorts in North America, Europe and the UK.</w:t>
      </w:r>
      <w:r w:rsidR="004C4501">
        <w:rPr>
          <w:rFonts w:cstheme="minorHAnsi"/>
        </w:rPr>
        <w:fldChar w:fldCharType="begin" w:fldLock="1"/>
      </w:r>
      <w:r w:rsidR="00C00B5E">
        <w:rPr>
          <w:rFonts w:cstheme="minorHAnsi"/>
        </w:rPr>
        <w:instrText>ADDIN CSL_CITATION {"citationItems":[{"id":"ITEM-1","itemData":{"DOI":"10.1016/S0140-6736(10)61029-X","ISSN":"01406736","PMID":"21131035","abstract":"Sickle-cell disease is one of the most common severe monogenic disorders in the world. Haemoglobin polymerisation, leading to erythrocyte rigidity and vaso-occlusion, is central to the pathophysiology of this disease, although the importance of chronic anaemia, haemolysis, and vasculopathy has been established. Clinical management is basic and few treatments have a robust evidence base. One of the main problems of sickle-cell disease in children is the development of cerebrovascular disease and cognitive impairment, and the role of blood transfusion and hydroxycarbamide for prevention of these complications is starting to be understood. Recurrent episodes of vaso-occlusion and inflammation result in progressive damage to most organs, including the brain, kidneys, lungs, bones, and cardiovascular system, which becomes apparent with increasing age. Most people with sickle-cell disease live in Africa, where little is known about this disease; however, we do know that the disorder follows a more severe clinical course in Africa than for the rest of the world and that infectious diseases have a role in causing this increased severity of sickle-cell disease. More work is needed to develop effective treatments that specifically target pathophysiological changes and clinical complications of sickle-cell disease. © 2010 Elsevier Ltd.","author":[{"dropping-particle":"","family":"Rees","given":"David C.","non-dropping-particle":"","parse-names":false,"suffix":""},{"dropping-particle":"","family":"Williams","given":"Thomas N.","non-dropping-particle":"","parse-names":false,"suffix":""},{"dropping-particle":"","family":"Gladwin","given":"Mark T.","non-dropping-particle":"","parse-names":false,"suffix":""}],"container-title":"The Lancet","id":"ITEM-1","issue":"9757","issued":{"date-parts":[["2010"]]},"page":"2018-2031","title":"Sickle-cell disease","type":"article-journal","volume":"376"},"uris":["http://www.mendeley.com/documents/?uuid=5106a279-3d58-4199-84aa-9dfa476d52c2"]},{"id":"ITEM-2","itemData":{"DOI":"10.1051/medsci/20132911012","ISSN":"19585381","author":[{"dropping-particle":"","family":"Piel","given":"Frédéric B.","non-dropping-particle":"","parse-names":false,"suffix":""}],"container-title":"Medecine/Sciences","id":"ITEM-2","issue":"11","issued":{"date-parts":[["2013"]]},"page":"965-967","title":"Distribution géographique de la drépanocytose en 2010","type":"article-journal","volume":"29"},"uris":["http://www.mendeley.com/documents/?uuid=685a18a0-2c30-4a94-a160-e15bda143b00"]}],"mendeley":{"formattedCitation":"&lt;sup&gt;5,6&lt;/sup&gt;","plainTextFormattedCitation":"5,6","previouslyFormattedCitation":"&lt;sup&gt;5,6&lt;/sup&gt;"},"properties":{"noteIndex":0},"schema":"https://github.com/citation-style-language/schema/raw/master/csl-citation.json"}</w:instrText>
      </w:r>
      <w:r w:rsidR="004C4501">
        <w:rPr>
          <w:rFonts w:cstheme="minorHAnsi"/>
        </w:rPr>
        <w:fldChar w:fldCharType="separate"/>
      </w:r>
      <w:r w:rsidR="004C4501" w:rsidRPr="004C4501">
        <w:rPr>
          <w:rFonts w:cstheme="minorHAnsi"/>
          <w:noProof/>
          <w:vertAlign w:val="superscript"/>
        </w:rPr>
        <w:t>5,6</w:t>
      </w:r>
      <w:r w:rsidR="004C4501">
        <w:rPr>
          <w:rFonts w:cstheme="minorHAnsi"/>
        </w:rPr>
        <w:fldChar w:fldCharType="end"/>
      </w:r>
      <w:r w:rsidR="000B33C5" w:rsidRPr="00337148">
        <w:rPr>
          <w:rFonts w:cstheme="minorHAnsi"/>
        </w:rPr>
        <w:t xml:space="preserve"> </w:t>
      </w:r>
      <w:r w:rsidRPr="00337148">
        <w:rPr>
          <w:rFonts w:cstheme="minorHAnsi"/>
        </w:rPr>
        <w:t xml:space="preserve">It is so-called due to the morphological change to RBCs </w:t>
      </w:r>
      <w:r w:rsidR="00A62C27">
        <w:rPr>
          <w:rFonts w:cstheme="minorHAnsi"/>
        </w:rPr>
        <w:t>up</w:t>
      </w:r>
      <w:r w:rsidRPr="00337148">
        <w:rPr>
          <w:rFonts w:cstheme="minorHAnsi"/>
        </w:rPr>
        <w:t xml:space="preserve">on deoxygenation. </w:t>
      </w:r>
      <w:r w:rsidR="000B33C5" w:rsidRPr="00337148">
        <w:rPr>
          <w:rFonts w:cstheme="minorHAnsi"/>
        </w:rPr>
        <w:t xml:space="preserve"> </w:t>
      </w:r>
      <w:r w:rsidRPr="00337148">
        <w:rPr>
          <w:rFonts w:cstheme="minorHAnsi"/>
        </w:rPr>
        <w:t xml:space="preserve">The shape change is caused by an abnormality in the Hb protein, present as the mutated </w:t>
      </w:r>
      <w:proofErr w:type="spellStart"/>
      <w:r w:rsidRPr="00337148">
        <w:rPr>
          <w:rFonts w:cstheme="minorHAnsi"/>
        </w:rPr>
        <w:t>HbS</w:t>
      </w:r>
      <w:proofErr w:type="spellEnd"/>
      <w:r w:rsidRPr="00337148">
        <w:rPr>
          <w:rFonts w:cstheme="minorHAnsi"/>
        </w:rPr>
        <w:t xml:space="preserve"> form rather than the normal adult Hb</w:t>
      </w:r>
      <w:r w:rsidR="00A24D33">
        <w:rPr>
          <w:rFonts w:cstheme="minorHAnsi"/>
        </w:rPr>
        <w:t xml:space="preserve"> (</w:t>
      </w:r>
      <w:proofErr w:type="spellStart"/>
      <w:r w:rsidRPr="00337148">
        <w:rPr>
          <w:rFonts w:cstheme="minorHAnsi"/>
        </w:rPr>
        <w:t>HbA</w:t>
      </w:r>
      <w:proofErr w:type="spellEnd"/>
      <w:r w:rsidR="00A24D33">
        <w:rPr>
          <w:rFonts w:cstheme="minorHAnsi"/>
        </w:rPr>
        <w:t>)</w:t>
      </w:r>
      <w:r w:rsidRPr="00337148">
        <w:rPr>
          <w:rFonts w:cstheme="minorHAnsi"/>
        </w:rPr>
        <w:t xml:space="preserve">, which polymerises upon deoxygenation, giving rise to rigid protein structures within the cell and resulting in the observed ‘sickling’. </w:t>
      </w:r>
      <w:r w:rsidR="000B33C5" w:rsidRPr="00337148">
        <w:rPr>
          <w:rFonts w:cstheme="minorHAnsi"/>
        </w:rPr>
        <w:t xml:space="preserve"> </w:t>
      </w:r>
      <w:r w:rsidRPr="00337148">
        <w:rPr>
          <w:rFonts w:cstheme="minorHAnsi"/>
        </w:rPr>
        <w:t xml:space="preserve">On re-oxygenation, the </w:t>
      </w:r>
      <w:proofErr w:type="spellStart"/>
      <w:r w:rsidRPr="00337148">
        <w:rPr>
          <w:rFonts w:cstheme="minorHAnsi"/>
        </w:rPr>
        <w:t>HbS</w:t>
      </w:r>
      <w:proofErr w:type="spellEnd"/>
      <w:r w:rsidRPr="00337148">
        <w:rPr>
          <w:rFonts w:cstheme="minorHAnsi"/>
        </w:rPr>
        <w:t xml:space="preserve"> depolymerises and the cell morphology returns to the classic biconcave disk.</w:t>
      </w:r>
      <w:r w:rsidR="00C00B5E">
        <w:rPr>
          <w:rFonts w:cstheme="minorHAnsi"/>
        </w:rPr>
        <w:fldChar w:fldCharType="begin" w:fldLock="1"/>
      </w:r>
      <w:r w:rsidR="00715B30">
        <w:rPr>
          <w:rFonts w:cstheme="minorHAnsi"/>
        </w:rPr>
        <w:instrText>ADDIN CSL_CITATION {"citationItems":[{"id":"ITEM-1","itemData":{"author":[{"dropping-particle":"","family":"Bunn","given":"H. F.","non-dropping-particle":"","parse-names":false,"suffix":""},{"dropping-particle":"","family":"Forget","given":"B. G.","non-dropping-particle":"","parse-names":false,"suffix":""}],"id":"ITEM-1","issued":{"date-parts":[["1986"]]},"number-of-pages":"690","publisher":"Saunders","publisher-place":"Philadelphia","title":"Hemoglobin: Molecular, Genetic and Clinical Aspects","type":"book"},"uris":["http://www.mendeley.com/documents/?uuid=c8cff48b-12ae-4d79-b77f-417828c7fb2c"]}],"mendeley":{"formattedCitation":"&lt;sup&gt;7&lt;/sup&gt;","plainTextFormattedCitation":"7","previouslyFormattedCitation":"&lt;sup&gt;7&lt;/sup&gt;"},"properties":{"noteIndex":0},"schema":"https://github.com/citation-style-language/schema/raw/master/csl-citation.json"}</w:instrText>
      </w:r>
      <w:r w:rsidR="00C00B5E">
        <w:rPr>
          <w:rFonts w:cstheme="minorHAnsi"/>
        </w:rPr>
        <w:fldChar w:fldCharType="separate"/>
      </w:r>
      <w:r w:rsidR="00C00B5E" w:rsidRPr="00C00B5E">
        <w:rPr>
          <w:rFonts w:cstheme="minorHAnsi"/>
          <w:noProof/>
          <w:vertAlign w:val="superscript"/>
        </w:rPr>
        <w:t>7</w:t>
      </w:r>
      <w:r w:rsidR="00C00B5E">
        <w:rPr>
          <w:rFonts w:cstheme="minorHAnsi"/>
        </w:rPr>
        <w:fldChar w:fldCharType="end"/>
      </w:r>
      <w:r w:rsidRPr="00337148">
        <w:rPr>
          <w:rFonts w:cstheme="minorHAnsi"/>
        </w:rPr>
        <w:t xml:space="preserve"> </w:t>
      </w:r>
      <w:r w:rsidR="000B33C5" w:rsidRPr="00337148">
        <w:rPr>
          <w:rFonts w:cstheme="minorHAnsi"/>
        </w:rPr>
        <w:t xml:space="preserve"> </w:t>
      </w:r>
      <w:r w:rsidRPr="00337148">
        <w:rPr>
          <w:rFonts w:cstheme="minorHAnsi"/>
        </w:rPr>
        <w:t xml:space="preserve">When deoxygenated, sickle cells are notably more “sticky” than oxygenated ones, and it is under conditions of hypoxia that sickle cells are presumed to </w:t>
      </w:r>
      <w:r w:rsidRPr="00337148">
        <w:rPr>
          <w:rFonts w:cstheme="minorHAnsi"/>
        </w:rPr>
        <w:lastRenderedPageBreak/>
        <w:t xml:space="preserve">have their greatest contribution to </w:t>
      </w:r>
      <w:proofErr w:type="spellStart"/>
      <w:r w:rsidRPr="00337148">
        <w:rPr>
          <w:rFonts w:cstheme="minorHAnsi"/>
        </w:rPr>
        <w:t>vaso</w:t>
      </w:r>
      <w:proofErr w:type="spellEnd"/>
      <w:r w:rsidRPr="00337148">
        <w:rPr>
          <w:rFonts w:cstheme="minorHAnsi"/>
        </w:rPr>
        <w:t>-occlusion, tissue ischaemia and the multiple complications of SCD.</w:t>
      </w:r>
      <w:r w:rsidR="00715B30">
        <w:rPr>
          <w:rFonts w:cstheme="minorHAnsi"/>
        </w:rPr>
        <w:fldChar w:fldCharType="begin" w:fldLock="1"/>
      </w:r>
      <w:r w:rsidR="00610D08">
        <w:rPr>
          <w:rFonts w:cstheme="minorHAnsi"/>
        </w:rPr>
        <w:instrText xml:space="preserve">ADDIN CSL_CITATION {"citationItems":[{"id":"ITEM-1","itemData":{"DOI":"10.1529/biophysj.104.051250","ISSN":"00063495","abstract":"To understand the physical basis of the wide variety of shapes of deoxygenated red cells from patients with sickle cell anemia, we have measured the formation rate and volume distribution of the birefringent domains of hemoglobin S fibers. We find that the domain formation rate depends on the </w:instrText>
      </w:r>
      <w:r w:rsidR="00610D08">
        <w:rPr>
          <w:rFonts w:ascii="Cambria Math" w:hAnsi="Cambria Math" w:cs="Cambria Math"/>
        </w:rPr>
        <w:instrText>∼</w:instrText>
      </w:r>
      <w:r w:rsidR="00610D08">
        <w:rPr>
          <w:rFonts w:cstheme="minorHAnsi"/>
        </w:rPr>
        <w:instrText xml:space="preserve">80th power of the protein concentration, compared to </w:instrText>
      </w:r>
      <w:r w:rsidR="00610D08">
        <w:rPr>
          <w:rFonts w:ascii="Cambria Math" w:hAnsi="Cambria Math" w:cs="Cambria Math"/>
        </w:rPr>
        <w:instrText>∼</w:instrText>
      </w:r>
      <w:r w:rsidR="00610D08">
        <w:rPr>
          <w:rFonts w:cstheme="minorHAnsi"/>
        </w:rPr>
        <w:instrText>40th power for the concentration dependence of the reciprocal of the delay time that precedes fiber formation. These remarkably high concentration dependences, as well as the exponential distribution of domain volumes, can be explained by the previously proposed double nucleation model in which homogeneous nucleation of a single fiber triggers the formation of an entire domain via heterogeneous nucleation and growth. The enormous sensitivity of the domain formation rate to intracellular hemoglobin S concentration explains the variable cell morphology and why rapid polymerization results in cells that do not appear sickled at all. © 2005 by the Biophysical Society.","author":[{"dropping-particle":"","family":"Christoph","given":"Garrott W.","non-dropping-particle":"","parse-names":false,"suffix":""},{"dropping-particle":"","family":"Hofrichter","given":"James","non-dropping-particle":"","parse-names":false,"suffix":""},{"dropping-particle":"","family":"Eaton","given":"William A.","non-dropping-particle":"","parse-names":false,"suffix":""}],"container-title":"Biophysical Journal","id":"ITEM-1","issue":"2","issued":{"date-parts":[["2005"]]},"page":"1371-1376","title":"Understanding the shape of sickled red cells","type":"article-journal","volume":"88"},"uris":["http://www.mendeley.com/documents/?uuid=177513ed-ed99-4a19-8c63-7a90e22a4bf3"]}],"mendeley":{"formattedCitation":"&lt;sup&gt;8&lt;/sup&gt;","plainTextFormattedCitation":"8","previouslyFormattedCitation":"&lt;sup&gt;8&lt;/sup&gt;"},"properties":{"noteIndex":0},"schema":"https://github.com/citation-style-language/schema/raw/master/csl-citation.json"}</w:instrText>
      </w:r>
      <w:r w:rsidR="00715B30">
        <w:rPr>
          <w:rFonts w:cstheme="minorHAnsi"/>
        </w:rPr>
        <w:fldChar w:fldCharType="separate"/>
      </w:r>
      <w:r w:rsidR="00715B30" w:rsidRPr="00715B30">
        <w:rPr>
          <w:rFonts w:cstheme="minorHAnsi"/>
          <w:noProof/>
          <w:vertAlign w:val="superscript"/>
        </w:rPr>
        <w:t>8</w:t>
      </w:r>
      <w:r w:rsidR="00715B30">
        <w:rPr>
          <w:rFonts w:cstheme="minorHAnsi"/>
        </w:rPr>
        <w:fldChar w:fldCharType="end"/>
      </w:r>
    </w:p>
    <w:p w14:paraId="348A4ECE" w14:textId="77777777" w:rsidR="00A10CC0" w:rsidRPr="00337148" w:rsidRDefault="00A10CC0" w:rsidP="00A10CC0">
      <w:pPr>
        <w:rPr>
          <w:rFonts w:cstheme="minorHAnsi"/>
        </w:rPr>
      </w:pPr>
    </w:p>
    <w:p w14:paraId="38FDF8A6" w14:textId="607E7FAA" w:rsidR="00A10CC0" w:rsidRPr="00337148" w:rsidRDefault="006E7113" w:rsidP="00A10CC0">
      <w:pPr>
        <w:rPr>
          <w:rFonts w:cstheme="minorHAnsi"/>
        </w:rPr>
      </w:pPr>
      <w:r>
        <w:rPr>
          <w:rFonts w:eastAsia="Times New Roman" w:cstheme="minorHAnsi"/>
          <w:lang w:eastAsia="en-GB"/>
        </w:rPr>
        <w:t>The</w:t>
      </w:r>
      <w:r w:rsidR="00A10CC0" w:rsidRPr="00337148">
        <w:rPr>
          <w:rFonts w:eastAsia="Times New Roman" w:cstheme="minorHAnsi"/>
          <w:lang w:eastAsia="en-GB"/>
        </w:rPr>
        <w:t xml:space="preserve"> inner leaflet of the RBC </w:t>
      </w:r>
      <w:r>
        <w:rPr>
          <w:rFonts w:eastAsia="Times New Roman" w:cstheme="minorHAnsi"/>
          <w:lang w:eastAsia="en-GB"/>
        </w:rPr>
        <w:t xml:space="preserve">membrane </w:t>
      </w:r>
      <w:r w:rsidR="00A10CC0" w:rsidRPr="00337148">
        <w:rPr>
          <w:rFonts w:eastAsia="Times New Roman" w:cstheme="minorHAnsi"/>
          <w:lang w:eastAsia="en-GB"/>
        </w:rPr>
        <w:t xml:space="preserve">bilayer </w:t>
      </w:r>
      <w:r w:rsidR="00A24D33">
        <w:rPr>
          <w:rFonts w:eastAsia="Times New Roman" w:cstheme="minorHAnsi"/>
          <w:lang w:eastAsia="en-GB"/>
        </w:rPr>
        <w:t xml:space="preserve">predominantly </w:t>
      </w:r>
      <w:r w:rsidR="00A10CC0" w:rsidRPr="00337148">
        <w:rPr>
          <w:rFonts w:eastAsia="Times New Roman" w:cstheme="minorHAnsi"/>
          <w:lang w:eastAsia="en-GB"/>
        </w:rPr>
        <w:t xml:space="preserve">contains the charged </w:t>
      </w:r>
      <w:proofErr w:type="spellStart"/>
      <w:r w:rsidR="00A10CC0" w:rsidRPr="00337148">
        <w:rPr>
          <w:rFonts w:eastAsia="Times New Roman" w:cstheme="minorHAnsi"/>
          <w:lang w:eastAsia="en-GB"/>
        </w:rPr>
        <w:t>aminophosholipids</w:t>
      </w:r>
      <w:proofErr w:type="spellEnd"/>
      <w:r w:rsidR="00DE2359">
        <w:rPr>
          <w:rFonts w:eastAsia="Times New Roman" w:cstheme="minorHAnsi"/>
          <w:lang w:eastAsia="en-GB"/>
        </w:rPr>
        <w:t xml:space="preserve"> (APs)</w:t>
      </w:r>
      <w:r w:rsidR="00A10CC0" w:rsidRPr="00337148">
        <w:rPr>
          <w:rFonts w:eastAsia="Times New Roman" w:cstheme="minorHAnsi"/>
          <w:lang w:eastAsia="en-GB"/>
        </w:rPr>
        <w:t xml:space="preserve">, phosphatidylserine (PS) and phosphatidylethanolamine (PE), </w:t>
      </w:r>
      <w:r>
        <w:rPr>
          <w:rFonts w:eastAsia="Times New Roman" w:cstheme="minorHAnsi"/>
          <w:lang w:eastAsia="en-GB"/>
        </w:rPr>
        <w:t>while the major components in the outer leaflet are</w:t>
      </w:r>
      <w:r w:rsidR="00A10CC0" w:rsidRPr="00337148">
        <w:rPr>
          <w:rFonts w:eastAsia="Times New Roman" w:cstheme="minorHAnsi"/>
          <w:lang w:eastAsia="en-GB"/>
        </w:rPr>
        <w:t xml:space="preserve"> phosphatidylcholine (PC) and sphingomyelin (SM).</w:t>
      </w:r>
      <w:r w:rsidR="00610D08">
        <w:rPr>
          <w:rFonts w:eastAsia="Times New Roman" w:cstheme="minorHAnsi"/>
          <w:lang w:eastAsia="en-GB"/>
        </w:rPr>
        <w:fldChar w:fldCharType="begin" w:fldLock="1"/>
      </w:r>
      <w:r w:rsidR="00610D08">
        <w:rPr>
          <w:rFonts w:eastAsia="Times New Roman" w:cstheme="minorHAnsi"/>
          <w:lang w:eastAsia="en-GB"/>
        </w:rPr>
        <w:instrText>ADDIN CSL_CITATION {"citationItems":[{"id":"ITEM-1","itemData":{"DOI":"10.1007/978-3-662-05181-8_1","author":[{"dropping-particle":"","family":"Haest","given":"Cees W. M.","non-dropping-particle":"","parse-names":false,"suffix":""}],"container-title":"Red Cell Membrane Transport in Health and Disease","id":"ITEM-1","issued":{"date-parts":[["2003"]]},"title":"Distribution and Movement of Membrane Lipids","type":"chapter"},"uris":["http://www.mendeley.com/documents/?uuid=cc188276-af09-4745-a41a-0a9c8ce3a3e1"]}],"mendeley":{"formattedCitation":"&lt;sup&gt;9&lt;/sup&gt;","plainTextFormattedCitation":"9","previouslyFormattedCitation":"&lt;sup&gt;9&lt;/sup&gt;"},"properties":{"noteIndex":0},"schema":"https://github.com/citation-style-language/schema/raw/master/csl-citation.json"}</w:instrText>
      </w:r>
      <w:r w:rsidR="00610D08">
        <w:rPr>
          <w:rFonts w:eastAsia="Times New Roman" w:cstheme="minorHAnsi"/>
          <w:lang w:eastAsia="en-GB"/>
        </w:rPr>
        <w:fldChar w:fldCharType="separate"/>
      </w:r>
      <w:r w:rsidR="00610D08" w:rsidRPr="00610D08">
        <w:rPr>
          <w:rFonts w:eastAsia="Times New Roman" w:cstheme="minorHAnsi"/>
          <w:noProof/>
          <w:vertAlign w:val="superscript"/>
          <w:lang w:eastAsia="en-GB"/>
        </w:rPr>
        <w:t>9</w:t>
      </w:r>
      <w:r w:rsidR="00610D08">
        <w:rPr>
          <w:rFonts w:eastAsia="Times New Roman" w:cstheme="minorHAnsi"/>
          <w:lang w:eastAsia="en-GB"/>
        </w:rPr>
        <w:fldChar w:fldCharType="end"/>
      </w:r>
      <w:r w:rsidR="00A10CC0" w:rsidRPr="00337148">
        <w:rPr>
          <w:rFonts w:eastAsia="Times New Roman" w:cstheme="minorHAnsi"/>
          <w:lang w:eastAsia="en-GB"/>
        </w:rPr>
        <w:t xml:space="preserve"> </w:t>
      </w:r>
      <w:r w:rsidR="000B33C5" w:rsidRPr="00337148">
        <w:rPr>
          <w:rFonts w:eastAsia="Times New Roman" w:cstheme="minorHAnsi"/>
          <w:lang w:eastAsia="en-GB"/>
        </w:rPr>
        <w:t xml:space="preserve"> </w:t>
      </w:r>
      <w:r w:rsidR="00A10CC0" w:rsidRPr="00337148">
        <w:rPr>
          <w:rFonts w:eastAsia="Times New Roman" w:cstheme="minorHAnsi"/>
          <w:lang w:eastAsia="en-GB"/>
        </w:rPr>
        <w:t xml:space="preserve">This </w:t>
      </w:r>
      <w:r w:rsidR="00140497">
        <w:rPr>
          <w:rFonts w:eastAsia="Times New Roman" w:cstheme="minorHAnsi"/>
          <w:lang w:eastAsia="en-GB"/>
        </w:rPr>
        <w:t xml:space="preserve">asymmetry </w:t>
      </w:r>
      <w:r w:rsidR="00A10CC0" w:rsidRPr="00337148">
        <w:rPr>
          <w:rFonts w:eastAsia="Times New Roman" w:cstheme="minorHAnsi"/>
          <w:lang w:eastAsia="en-GB"/>
        </w:rPr>
        <w:t xml:space="preserve">is important because exposure of </w:t>
      </w:r>
      <w:r w:rsidR="00DE2359">
        <w:rPr>
          <w:rFonts w:eastAsia="Times New Roman" w:cstheme="minorHAnsi"/>
          <w:lang w:eastAsia="en-GB"/>
        </w:rPr>
        <w:t>APs</w:t>
      </w:r>
      <w:r w:rsidR="00A10CC0" w:rsidRPr="00337148">
        <w:rPr>
          <w:rFonts w:eastAsia="Times New Roman" w:cstheme="minorHAnsi"/>
          <w:lang w:eastAsia="en-GB"/>
        </w:rPr>
        <w:t xml:space="preserve">, and particularly </w:t>
      </w:r>
      <w:r w:rsidR="002F0B1A">
        <w:rPr>
          <w:rFonts w:eastAsia="Times New Roman" w:cstheme="minorHAnsi"/>
          <w:lang w:eastAsia="en-GB"/>
        </w:rPr>
        <w:t xml:space="preserve">of </w:t>
      </w:r>
      <w:r w:rsidR="00A10CC0" w:rsidRPr="00337148">
        <w:rPr>
          <w:rFonts w:eastAsia="Times New Roman" w:cstheme="minorHAnsi"/>
          <w:lang w:eastAsia="en-GB"/>
        </w:rPr>
        <w:t xml:space="preserve">PS, </w:t>
      </w:r>
      <w:r w:rsidR="00172056">
        <w:rPr>
          <w:rFonts w:eastAsia="Times New Roman" w:cstheme="minorHAnsi"/>
          <w:lang w:eastAsia="en-GB"/>
        </w:rPr>
        <w:t>is</w:t>
      </w:r>
      <w:r w:rsidR="00A10CC0" w:rsidRPr="00337148">
        <w:rPr>
          <w:rFonts w:eastAsia="Times New Roman" w:cstheme="minorHAnsi"/>
          <w:lang w:eastAsia="en-GB"/>
        </w:rPr>
        <w:t xml:space="preserve"> indicative of apoptotic events and, in RBCs, </w:t>
      </w:r>
      <w:r w:rsidR="00D732B1">
        <w:rPr>
          <w:rFonts w:eastAsia="Times New Roman" w:cstheme="minorHAnsi"/>
          <w:lang w:eastAsia="en-GB"/>
        </w:rPr>
        <w:t>is</w:t>
      </w:r>
      <w:r w:rsidR="00A10CC0" w:rsidRPr="00337148">
        <w:rPr>
          <w:rFonts w:eastAsia="Times New Roman" w:cstheme="minorHAnsi"/>
          <w:lang w:eastAsia="en-GB"/>
        </w:rPr>
        <w:t xml:space="preserve"> prothrombotic.</w:t>
      </w:r>
      <w:r w:rsidR="00610D08">
        <w:rPr>
          <w:rFonts w:eastAsia="Times New Roman" w:cstheme="minorHAnsi"/>
          <w:lang w:eastAsia="en-GB"/>
        </w:rPr>
        <w:fldChar w:fldCharType="begin" w:fldLock="1"/>
      </w:r>
      <w:r w:rsidR="004D3D3F">
        <w:rPr>
          <w:rFonts w:eastAsia="Times New Roman" w:cstheme="minorHAnsi"/>
          <w:lang w:eastAsia="en-GB"/>
        </w:rPr>
        <w:instrText>ADDIN CSL_CITATION {"citationItems":[{"id":"ITEM-1","itemData":{"DOI":"10.1159/000443081","ISSN":"14219778","abstract":"Background/Aims: The exposure of phosphatidylserine (PS) on the outer membrane leaflet of red blood cells (RBCs) serves as a signal for suicidal erythrocyte death or eryptosis, which may be of importance for cell clearance from blood circulation. PS externalisation is realised by the scramblase activated by an increase of intracellular Ca 2+ content. It has been described in literature that RBCs show an increased intracellular Ca 2+ content as well as PS exposure when becoming aged up to 120 days (which is their life span). However, these investigations were carried out after incubation of the RBCs for 48 h. The aim of this study was to investigate this effect after short-time incubation using a variety of stimulating substances for Ca 2+ uptake and PS exposure. Methods: We separated RBCs by age in five different fractions by centrifugation using Percoll density gradient. The intracellular Ca 2+ content and the PS exposure of RBCs with different age has been investigated after treatment with lysophosphatidic acid (LPA) as well as after activation of protein kinase C (PKC) using phorbol-12 myristate-13 acetate (PMA). For positive control RBCs were treated with 4-bromo-A23187. Measurement techniques included flow cytometry and live cell imaging (fluorescence microscopy). Results: The percentage of RBCs showing increased Ca 2+ content as well as the PS exposure did not change significantly in dependence on cell age after short-time incubation in control experiments (without stimulating substances) or using LPA or PMA. However, we confirm findings reported that Ca 2+ content and the PS exposure of RBCs increased after 48 h incubation. Conclusion: No significant differences of intracellular Ca 2+ content and PS exposure can be seen for RBCs of different age in resting state or after stimulation of Ca 2+ uptake at short-time incubation.","author":[{"dropping-particle":"","family":"Wesseling","given":"Mauro C.","non-dropping-particle":"","parse-names":false,"suffix":""},{"dropping-particle":"","family":"Wagner-Britz","given":"Lisa","non-dropping-particle":"","parse-names":false,"suffix":""},{"dropping-particle":"","family":"Huppert","given":"Henri","non-dropping-particle":"","parse-names":false,"suffix":""},{"dropping-particle":"","family":"Hanf","given":"Benjamin","non-dropping-particle":"","parse-names":false,"suffix":""},{"dropping-particle":"","family":"Hertz","given":"Laura","non-dropping-particle":"","parse-names":false,"suffix":""},{"dropping-particle":"","family":"Nguyen","given":"Duc Bach","non-dropping-particle":"","parse-names":false,"suffix":""},{"dropping-particle":"","family":"Bernhardt","given":"Ingolf","non-dropping-particle":"","parse-names":false,"suffix":""}],"container-title":"Cellular Physiology and Biochemistry","id":"ITEM-1","issue":"4","issued":{"date-parts":[["2016"]]},"page":"1376-1390","title":"Phosphatidylserine exposure in human red blood cells depending on cell age","type":"article-journal","volume":"38"},"uris":["http://www.mendeley.com/documents/?uuid=8c522264-dafe-4554-bae8-335cf00049cc"]}],"mendeley":{"formattedCitation":"&lt;sup&gt;10&lt;/sup&gt;","plainTextFormattedCitation":"10","previouslyFormattedCitation":"&lt;sup&gt;10&lt;/sup&gt;"},"properties":{"noteIndex":0},"schema":"https://github.com/citation-style-language/schema/raw/master/csl-citation.json"}</w:instrText>
      </w:r>
      <w:r w:rsidR="00610D08">
        <w:rPr>
          <w:rFonts w:eastAsia="Times New Roman" w:cstheme="minorHAnsi"/>
          <w:lang w:eastAsia="en-GB"/>
        </w:rPr>
        <w:fldChar w:fldCharType="separate"/>
      </w:r>
      <w:r w:rsidR="00610D08" w:rsidRPr="00610D08">
        <w:rPr>
          <w:rFonts w:eastAsia="Times New Roman" w:cstheme="minorHAnsi"/>
          <w:noProof/>
          <w:vertAlign w:val="superscript"/>
          <w:lang w:eastAsia="en-GB"/>
        </w:rPr>
        <w:t>10</w:t>
      </w:r>
      <w:r w:rsidR="00610D08">
        <w:rPr>
          <w:rFonts w:eastAsia="Times New Roman" w:cstheme="minorHAnsi"/>
          <w:lang w:eastAsia="en-GB"/>
        </w:rPr>
        <w:fldChar w:fldCharType="end"/>
      </w:r>
      <w:r w:rsidR="00A10CC0" w:rsidRPr="00337148">
        <w:rPr>
          <w:rFonts w:eastAsia="Times New Roman" w:cstheme="minorHAnsi"/>
          <w:lang w:eastAsia="en-GB"/>
        </w:rPr>
        <w:t xml:space="preserve"> </w:t>
      </w:r>
      <w:r w:rsidR="000B33C5" w:rsidRPr="00337148">
        <w:rPr>
          <w:rFonts w:eastAsia="Times New Roman" w:cstheme="minorHAnsi"/>
          <w:lang w:eastAsia="en-GB"/>
        </w:rPr>
        <w:t xml:space="preserve"> </w:t>
      </w:r>
      <w:r w:rsidR="00A10CC0" w:rsidRPr="00337148">
        <w:rPr>
          <w:rFonts w:eastAsia="Times New Roman" w:cstheme="minorHAnsi"/>
          <w:lang w:eastAsia="en-GB"/>
        </w:rPr>
        <w:t xml:space="preserve">It is believed that the increase in PS exposure during ageing of RBCs is due to damage </w:t>
      </w:r>
      <w:r w:rsidR="00B67065">
        <w:rPr>
          <w:rFonts w:eastAsia="Times New Roman" w:cstheme="minorHAnsi"/>
          <w:lang w:eastAsia="en-GB"/>
        </w:rPr>
        <w:t>to t</w:t>
      </w:r>
      <w:r w:rsidR="00A10CC0" w:rsidRPr="00337148">
        <w:rPr>
          <w:rFonts w:eastAsia="Times New Roman" w:cstheme="minorHAnsi"/>
          <w:lang w:eastAsia="en-GB"/>
        </w:rPr>
        <w:t>he RBC cytoskeleton and membrane proteins and lipids, partially as a result of oxidative stress</w:t>
      </w:r>
      <w:r w:rsidR="00B41F95">
        <w:rPr>
          <w:rFonts w:eastAsia="Times New Roman" w:cstheme="minorHAnsi"/>
          <w:lang w:eastAsia="en-GB"/>
        </w:rPr>
        <w:t xml:space="preserve">, together with </w:t>
      </w:r>
      <w:r w:rsidR="00A10CC0" w:rsidRPr="00337148">
        <w:rPr>
          <w:rFonts w:eastAsia="Times New Roman" w:cstheme="minorHAnsi"/>
          <w:lang w:eastAsia="en-GB"/>
        </w:rPr>
        <w:t xml:space="preserve">the </w:t>
      </w:r>
      <w:r w:rsidR="00B41F95">
        <w:rPr>
          <w:rFonts w:eastAsia="Times New Roman" w:cstheme="minorHAnsi"/>
          <w:lang w:eastAsia="en-GB"/>
        </w:rPr>
        <w:t xml:space="preserve">limited capacity for </w:t>
      </w:r>
      <w:r w:rsidR="00A10CC0" w:rsidRPr="00337148">
        <w:rPr>
          <w:rFonts w:eastAsia="Times New Roman" w:cstheme="minorHAnsi"/>
          <w:lang w:eastAsia="en-GB"/>
        </w:rPr>
        <w:t>RBC repair.</w:t>
      </w:r>
      <w:r w:rsidR="004D3D3F">
        <w:rPr>
          <w:rFonts w:eastAsia="Times New Roman" w:cstheme="minorHAnsi"/>
          <w:lang w:eastAsia="en-GB"/>
        </w:rPr>
        <w:fldChar w:fldCharType="begin" w:fldLock="1"/>
      </w:r>
      <w:r w:rsidR="00B20629">
        <w:rPr>
          <w:rFonts w:eastAsia="Times New Roman" w:cstheme="minorHAnsi"/>
          <w:lang w:eastAsia="en-GB"/>
        </w:rPr>
        <w:instrText>ADDIN CSL_CITATION {"citationItems":[{"id":"ITEM-1","itemData":{"DOI":"10.1111/bjh.15441","ISSN":"13652141","abstract":"Phosphatidylserine (PS) exposure increases as red cells age, and is an important signal for the removal of senescent cells from the circulation. PS exposure is elevated in red cells from sickle cell anaemia (SCA) patients and is thought to enhance haemolysis and vaso-occlusion. Although precise conditions leading to its externalisation are unclear, high intracellular Ca2+ has been implicated. Red cells from SCA patients are also exposed to an increased oxidative challenge, and we postulated that this stimulates PS exposure, through increased Ca2+ levels. We tested four different ways of generating oxidative stress: hypoxanthine and xanthine oxidase, phenazine methosulphate, nitrite and tert-butyl hydroperoxide, together with thiol modification with N-ethylmaleimide (NEM), dithiothreitol and hypochlorous acid (HOCl), in red cells permeabilised to Ca2+ using bromo-A23187. Unexpectedly, our findings showed that the four oxidants significantly reduced Ca2+ -induced PS exposure (by 40-60%) with no appreciable effect on Ca2+ affinity. By contrast, NEM markedly increased PS exposure (by about 400%) and slightly but significantly increased the affinity for Ca2+ . Dithiothreitol modestly reduced PS exposure (by 25%) and HOCl had no effect. These findings emphasise the importance of thiol modification for PS exposure in sickle cells but suggest that increased oxidant stress alone is not important.","author":[{"dropping-particle":"","family":"Hannemann","given":"Anke","non-dropping-particle":"","parse-names":false,"suffix":""},{"dropping-particle":"","family":"Rees","given":"David C.","non-dropping-particle":"","parse-names":false,"suffix":""},{"dropping-particle":"","family":"Brewin","given":"John N.","non-dropping-particle":"","parse-names":false,"suffix":""},{"dropping-particle":"","family":"Noe","given":"Andreas","non-dropping-particle":"","parse-names":false,"suffix":""},{"dropping-particle":"","family":"Low","given":"Ben","non-dropping-particle":"","parse-names":false,"suffix":""},{"dropping-particle":"","family":"Gibson","given":"John S.","non-dropping-particle":"","parse-names":false,"suffix":""}],"container-title":"British Journal of Haematology","id":"ITEM-1","issue":"4","issued":{"date-parts":[["2018"]]},"page":"567-578","title":"Oxidative stress and phosphatidylserine exposure in red cells from patients with sickle cell anaemia","type":"article-journal","volume":"182"},"uris":["http://www.mendeley.com/documents/?uuid=d6c38b75-dee5-4558-9687-5fa3e4776e52"]}],"mendeley":{"formattedCitation":"&lt;sup&gt;11&lt;/sup&gt;","plainTextFormattedCitation":"11","previouslyFormattedCitation":"&lt;sup&gt;11&lt;/sup&gt;"},"properties":{"noteIndex":0},"schema":"https://github.com/citation-style-language/schema/raw/master/csl-citation.json"}</w:instrText>
      </w:r>
      <w:r w:rsidR="004D3D3F">
        <w:rPr>
          <w:rFonts w:eastAsia="Times New Roman" w:cstheme="minorHAnsi"/>
          <w:lang w:eastAsia="en-GB"/>
        </w:rPr>
        <w:fldChar w:fldCharType="separate"/>
      </w:r>
      <w:r w:rsidR="004D3D3F" w:rsidRPr="004D3D3F">
        <w:rPr>
          <w:rFonts w:eastAsia="Times New Roman" w:cstheme="minorHAnsi"/>
          <w:noProof/>
          <w:vertAlign w:val="superscript"/>
          <w:lang w:eastAsia="en-GB"/>
        </w:rPr>
        <w:t>11</w:t>
      </w:r>
      <w:r w:rsidR="004D3D3F">
        <w:rPr>
          <w:rFonts w:eastAsia="Times New Roman" w:cstheme="minorHAnsi"/>
          <w:lang w:eastAsia="en-GB"/>
        </w:rPr>
        <w:fldChar w:fldCharType="end"/>
      </w:r>
      <w:r w:rsidR="00A10CC0" w:rsidRPr="00337148">
        <w:rPr>
          <w:rFonts w:cstheme="minorHAnsi"/>
        </w:rPr>
        <w:t xml:space="preserve"> </w:t>
      </w:r>
      <w:r w:rsidR="000B33C5" w:rsidRPr="00337148">
        <w:rPr>
          <w:rFonts w:cstheme="minorHAnsi"/>
        </w:rPr>
        <w:t xml:space="preserve"> </w:t>
      </w:r>
      <w:r w:rsidR="00A10CC0" w:rsidRPr="00337148">
        <w:rPr>
          <w:rFonts w:eastAsia="Times New Roman" w:cstheme="minorHAnsi"/>
          <w:lang w:eastAsia="en-GB"/>
        </w:rPr>
        <w:t>Exposure of PS is controlled by two main transport proteins</w:t>
      </w:r>
      <w:r w:rsidR="00D26CD9">
        <w:rPr>
          <w:rFonts w:eastAsia="Times New Roman" w:cstheme="minorHAnsi"/>
          <w:lang w:eastAsia="en-GB"/>
        </w:rPr>
        <w:t xml:space="preserve">:  </w:t>
      </w:r>
      <w:r w:rsidR="00A10CC0" w:rsidRPr="00337148">
        <w:rPr>
          <w:rFonts w:eastAsia="Times New Roman" w:cstheme="minorHAnsi"/>
          <w:lang w:eastAsia="en-GB"/>
        </w:rPr>
        <w:t>activation of a ’scramblase’ (which moves lipids rapidly in both directions) and inhibition of a ’</w:t>
      </w:r>
      <w:proofErr w:type="spellStart"/>
      <w:r w:rsidR="00A10CC0" w:rsidRPr="00337148">
        <w:rPr>
          <w:rFonts w:eastAsia="Times New Roman" w:cstheme="minorHAnsi"/>
          <w:lang w:eastAsia="en-GB"/>
        </w:rPr>
        <w:t>flippase</w:t>
      </w:r>
      <w:proofErr w:type="spellEnd"/>
      <w:r w:rsidR="00A10CC0" w:rsidRPr="00337148">
        <w:rPr>
          <w:rFonts w:eastAsia="Times New Roman" w:cstheme="minorHAnsi"/>
          <w:lang w:eastAsia="en-GB"/>
        </w:rPr>
        <w:t xml:space="preserve">’ (which solely moves lipids from the outer to inner leaflet). </w:t>
      </w:r>
      <w:r w:rsidR="00F81EDC">
        <w:rPr>
          <w:rFonts w:eastAsia="Times New Roman" w:cstheme="minorHAnsi"/>
          <w:lang w:eastAsia="en-GB"/>
        </w:rPr>
        <w:t xml:space="preserve"> </w:t>
      </w:r>
      <w:r w:rsidR="00A10CC0" w:rsidRPr="00337148">
        <w:rPr>
          <w:rFonts w:eastAsia="Times New Roman" w:cstheme="minorHAnsi"/>
          <w:lang w:eastAsia="en-GB"/>
        </w:rPr>
        <w:t xml:space="preserve">Both of these processes have been shown to result from increased </w:t>
      </w:r>
      <w:r w:rsidR="00B64D43">
        <w:rPr>
          <w:rFonts w:eastAsia="Times New Roman" w:cstheme="minorHAnsi"/>
          <w:lang w:eastAsia="en-GB"/>
        </w:rPr>
        <w:t xml:space="preserve">concentrations of </w:t>
      </w:r>
      <w:r w:rsidR="00A10CC0" w:rsidRPr="00337148">
        <w:rPr>
          <w:rFonts w:eastAsia="Times New Roman" w:cstheme="minorHAnsi"/>
          <w:lang w:eastAsia="en-GB"/>
        </w:rPr>
        <w:t>intracellular Ca</w:t>
      </w:r>
      <w:r w:rsidR="00A10CC0" w:rsidRPr="00337148">
        <w:rPr>
          <w:rFonts w:eastAsia="Times New Roman" w:cstheme="minorHAnsi"/>
          <w:vertAlign w:val="superscript"/>
          <w:lang w:eastAsia="en-GB"/>
        </w:rPr>
        <w:t>2+</w:t>
      </w:r>
      <w:r w:rsidR="00A10CC0" w:rsidRPr="00337148">
        <w:rPr>
          <w:rFonts w:eastAsia="Times New Roman" w:cstheme="minorHAnsi"/>
          <w:lang w:eastAsia="en-GB"/>
        </w:rPr>
        <w:t xml:space="preserve"> ([Ca</w:t>
      </w:r>
      <w:r w:rsidR="00A10CC0" w:rsidRPr="00337148">
        <w:rPr>
          <w:rFonts w:eastAsia="Times New Roman" w:cstheme="minorHAnsi"/>
          <w:vertAlign w:val="superscript"/>
          <w:lang w:eastAsia="en-GB"/>
        </w:rPr>
        <w:t>2+</w:t>
      </w:r>
      <w:r w:rsidR="00A10CC0" w:rsidRPr="00337148">
        <w:rPr>
          <w:rFonts w:eastAsia="Times New Roman" w:cstheme="minorHAnsi"/>
          <w:lang w:eastAsia="en-GB"/>
        </w:rPr>
        <w:t>]</w:t>
      </w:r>
      <w:proofErr w:type="spellStart"/>
      <w:r w:rsidR="00A10CC0" w:rsidRPr="00337148">
        <w:rPr>
          <w:rFonts w:eastAsia="Times New Roman" w:cstheme="minorHAnsi"/>
          <w:vertAlign w:val="subscript"/>
          <w:lang w:eastAsia="en-GB"/>
        </w:rPr>
        <w:t>i</w:t>
      </w:r>
      <w:proofErr w:type="spellEnd"/>
      <w:r w:rsidR="00A10CC0" w:rsidRPr="00337148">
        <w:rPr>
          <w:rFonts w:eastAsia="Times New Roman" w:cstheme="minorHAnsi"/>
          <w:lang w:eastAsia="en-GB"/>
        </w:rPr>
        <w:t>).</w:t>
      </w:r>
      <w:r w:rsidR="00B20629">
        <w:rPr>
          <w:rFonts w:eastAsia="Times New Roman" w:cstheme="minorHAnsi"/>
          <w:lang w:eastAsia="en-GB"/>
        </w:rPr>
        <w:fldChar w:fldCharType="begin" w:fldLock="1"/>
      </w:r>
      <w:r w:rsidR="00CB370E">
        <w:rPr>
          <w:rFonts w:eastAsia="Times New Roman" w:cstheme="minorHAnsi"/>
          <w:lang w:eastAsia="en-GB"/>
        </w:rPr>
        <w:instrText>ADDIN CSL_CITATION {"citationItems":[{"id":"ITEM-1","itemData":{"DOI":"10.1074/jbc.271.29.17205","ISSN":"00219258","abstract":"Elevation of intracellular Ca2+ in erythrocytes, platelets, and other cells initiates rapid redistribution of plasma membrane phospholipids (PL) between inner and outer leaflets, collapsing the normal asymmetric distribution. Consequently, phosphatidylserine and other lipids normally sequestered to the inner leaflet become exposed at the cell surface. This Ca2+-induced mobilization of phosphatidylserine to the surface of activated, injured, or apoptotic cells confers a procoagulant property to the plasma membrane, which promotes fibrin clotting and provides a signal for cell removal by the reticuloendothelial system. To identify the constituent of the membrane that mediates this Ca2+-dependent \"PL scramblase\" activity, we undertook purification and reconstitution of membrane component(s) with this activity from detergent extracts of erythrocyte ghosts depleted of cytoskeleton. Active fractions were identified by their capacity to mediate the Ca2+-dependent redistribution of 7-nitrobenz-2-oxa-1,3-diazol-4-yl-labeled PL between leaflets of reconstituted proteoliposomes. This PL scramblase activity co-eluted through multiple chromatographic steps with a single polypeptide of approximately 37 kDa, which was purified to apparent homogeneity as resolved by silver staining. The activity associated with this protein band was inactivated by trypsin. The isolated protein reconstituted in proteoliposomes mediated nonselective, bidirectional transport of 7-nitrobenz-2-oxa-1, 3-diazol-4-yl-PL between membrane leaflets, with half-maximal activation between 20 and 60 microM Ca2+ (saturation &gt;100 microM), mimicking the Ca2+-dependent transbilayer lipid movement intrinsic to the erythrocyte membrane.","author":[{"dropping-particle":"","family":"Bassé","given":"François","non-dropping-particle":"","parse-names":false,"suffix":""},{"dropping-particle":"","family":"Stout","given":"James G.","non-dropping-particle":"","parse-names":false,"suffix":""},{"dropping-particle":"","family":"Sims","given":"Peter J.","non-dropping-particle":"","parse-names":false,"suffix":""},{"dropping-particle":"","family":"Wiedmer","given":"Therese","non-dropping-particle":"","parse-names":false,"suffix":""}],"container-title":"Journal of Biological Chemistry","id":"ITEM-1","issued":{"date-parts":[["1996"]]},"title":"Isolation of an erythrocyte membrane protein that mediates Ca2+- dependent transbilayer movement of phospholipid","type":"article-journal"},"uris":["http://www.mendeley.com/documents/?uuid=c20c3256-7d32-419c-9788-bd8aa03abe8b"]},{"id":"ITEM-2","itemData":{"DOI":"10.1016/j.febslet.2010.03.020","ISSN":"00145793","abstract":"The best understood consequence of the collapse of lipid asymmetry is exposure of phosphatidylserine (PS) in the external leaflet of the plasma membrane bilayer, where it is known to serve at least two major functions: providing a platform for development of the blood coagulation cascade and presenting the signal that induces phagocytosis of apoptotic cells. Lipid asymmetry is collapsed by activation of phospholipid scramblase(s) that catalyze bidirectional transbilayer movement of the major classes of phospholipid. The protein corresponding to this activity is not yet known. Observations on cells from patients with Scott syndrome, a rare hereditary bleeding disorder resulting from impaired lipid scrambling, have shown that there are multiple activation pathways that converge on scramblase activity. © 2010 Federation of European Biochemical Societies.","author":[{"dropping-particle":"","family":"Bevers","given":"Edouard M.","non-dropping-particle":"","parse-names":false,"suffix":""},{"dropping-particle":"","family":"Williamson","given":"Patrick L.","non-dropping-particle":"","parse-names":false,"suffix":""}],"container-title":"FEBS Letters","id":"ITEM-2","issue":"13","issued":{"date-parts":[["2010"]]},"page":"2724-2730","title":"Phospholipid scramblase: An update","type":"article","volume":"584"},"uris":["http://www.mendeley.com/documents/?uuid=d49dff9c-ad8b-4d08-9fdd-6656a9589c71"]}],"mendeley":{"formattedCitation":"&lt;sup&gt;12,13&lt;/sup&gt;","plainTextFormattedCitation":"12,13","previouslyFormattedCitation":"&lt;sup&gt;12,13&lt;/sup&gt;"},"properties":{"noteIndex":0},"schema":"https://github.com/citation-style-language/schema/raw/master/csl-citation.json"}</w:instrText>
      </w:r>
      <w:r w:rsidR="00B20629">
        <w:rPr>
          <w:rFonts w:eastAsia="Times New Roman" w:cstheme="minorHAnsi"/>
          <w:lang w:eastAsia="en-GB"/>
        </w:rPr>
        <w:fldChar w:fldCharType="separate"/>
      </w:r>
      <w:r w:rsidR="00B20629" w:rsidRPr="00B20629">
        <w:rPr>
          <w:rFonts w:eastAsia="Times New Roman" w:cstheme="minorHAnsi"/>
          <w:noProof/>
          <w:vertAlign w:val="superscript"/>
          <w:lang w:eastAsia="en-GB"/>
        </w:rPr>
        <w:t>12,13</w:t>
      </w:r>
      <w:r w:rsidR="00B20629">
        <w:rPr>
          <w:rFonts w:eastAsia="Times New Roman" w:cstheme="minorHAnsi"/>
          <w:lang w:eastAsia="en-GB"/>
        </w:rPr>
        <w:fldChar w:fldCharType="end"/>
      </w:r>
      <w:r w:rsidR="00A10CC0" w:rsidRPr="00337148">
        <w:rPr>
          <w:rFonts w:eastAsia="Times New Roman" w:cstheme="minorHAnsi"/>
          <w:lang w:eastAsia="en-GB"/>
        </w:rPr>
        <w:t xml:space="preserve"> </w:t>
      </w:r>
      <w:r w:rsidR="00F81EDC">
        <w:rPr>
          <w:rFonts w:eastAsia="Times New Roman" w:cstheme="minorHAnsi"/>
          <w:lang w:eastAsia="en-GB"/>
        </w:rPr>
        <w:t xml:space="preserve"> </w:t>
      </w:r>
      <w:r w:rsidR="00A10CC0" w:rsidRPr="00337148">
        <w:rPr>
          <w:rFonts w:eastAsia="Times New Roman" w:cstheme="minorHAnsi"/>
          <w:lang w:eastAsia="en-GB"/>
        </w:rPr>
        <w:t>Whereas ’</w:t>
      </w:r>
      <w:proofErr w:type="spellStart"/>
      <w:r w:rsidR="00A10CC0" w:rsidRPr="00337148">
        <w:rPr>
          <w:rFonts w:eastAsia="Times New Roman" w:cstheme="minorHAnsi"/>
          <w:lang w:eastAsia="en-GB"/>
        </w:rPr>
        <w:t>flippase</w:t>
      </w:r>
      <w:proofErr w:type="spellEnd"/>
      <w:r w:rsidR="00A10CC0" w:rsidRPr="00337148">
        <w:rPr>
          <w:rFonts w:eastAsia="Times New Roman" w:cstheme="minorHAnsi"/>
          <w:lang w:eastAsia="en-GB"/>
        </w:rPr>
        <w:t>’ inhibition was previously considered more sensitive to [Ca</w:t>
      </w:r>
      <w:r w:rsidR="00A10CC0" w:rsidRPr="00337148">
        <w:rPr>
          <w:rFonts w:eastAsia="Times New Roman" w:cstheme="minorHAnsi"/>
          <w:vertAlign w:val="superscript"/>
          <w:lang w:eastAsia="en-GB"/>
        </w:rPr>
        <w:t>2+</w:t>
      </w:r>
      <w:r w:rsidR="00A10CC0" w:rsidRPr="00337148">
        <w:rPr>
          <w:rFonts w:eastAsia="Times New Roman" w:cstheme="minorHAnsi"/>
          <w:lang w:eastAsia="en-GB"/>
        </w:rPr>
        <w:t>]</w:t>
      </w:r>
      <w:proofErr w:type="spellStart"/>
      <w:r w:rsidR="00A10CC0" w:rsidRPr="00337148">
        <w:rPr>
          <w:rFonts w:eastAsia="Times New Roman" w:cstheme="minorHAnsi"/>
          <w:vertAlign w:val="subscript"/>
          <w:lang w:eastAsia="en-GB"/>
        </w:rPr>
        <w:t>i</w:t>
      </w:r>
      <w:proofErr w:type="spellEnd"/>
      <w:r w:rsidR="00A10CC0" w:rsidRPr="00337148">
        <w:rPr>
          <w:rFonts w:eastAsia="Times New Roman" w:cstheme="minorHAnsi"/>
          <w:lang w:eastAsia="en-GB"/>
        </w:rPr>
        <w:t>, more recent studies have shown that both processes occur at similar</w:t>
      </w:r>
      <w:r w:rsidR="00396D10">
        <w:rPr>
          <w:rFonts w:eastAsia="Times New Roman" w:cstheme="minorHAnsi"/>
          <w:lang w:eastAsia="en-GB"/>
        </w:rPr>
        <w:t xml:space="preserve"> </w:t>
      </w:r>
      <w:r w:rsidR="00396D10" w:rsidRPr="00337148">
        <w:rPr>
          <w:rFonts w:eastAsia="Times New Roman" w:cstheme="minorHAnsi"/>
          <w:lang w:eastAsia="en-GB"/>
        </w:rPr>
        <w:t>[Ca</w:t>
      </w:r>
      <w:r w:rsidR="00396D10" w:rsidRPr="00337148">
        <w:rPr>
          <w:rFonts w:eastAsia="Times New Roman" w:cstheme="minorHAnsi"/>
          <w:vertAlign w:val="superscript"/>
          <w:lang w:eastAsia="en-GB"/>
        </w:rPr>
        <w:t>2+</w:t>
      </w:r>
      <w:r w:rsidR="00396D10" w:rsidRPr="00337148">
        <w:rPr>
          <w:rFonts w:eastAsia="Times New Roman" w:cstheme="minorHAnsi"/>
          <w:lang w:eastAsia="en-GB"/>
        </w:rPr>
        <w:t>]</w:t>
      </w:r>
      <w:proofErr w:type="spellStart"/>
      <w:r w:rsidR="00396D10" w:rsidRPr="00337148">
        <w:rPr>
          <w:rFonts w:eastAsia="Times New Roman" w:cstheme="minorHAnsi"/>
          <w:vertAlign w:val="subscript"/>
          <w:lang w:eastAsia="en-GB"/>
        </w:rPr>
        <w:t>i</w:t>
      </w:r>
      <w:proofErr w:type="spellEnd"/>
      <w:r w:rsidR="00EF3C36">
        <w:rPr>
          <w:rFonts w:eastAsia="Times New Roman" w:cstheme="minorHAnsi"/>
          <w:lang w:eastAsia="en-GB"/>
        </w:rPr>
        <w:t xml:space="preserve"> </w:t>
      </w:r>
      <w:r w:rsidR="00A10CC0" w:rsidRPr="00337148">
        <w:rPr>
          <w:rFonts w:eastAsia="Times New Roman" w:cstheme="minorHAnsi"/>
          <w:lang w:eastAsia="en-GB"/>
        </w:rPr>
        <w:t>in the low micromolar range.</w:t>
      </w:r>
      <w:r w:rsidR="00CB370E">
        <w:rPr>
          <w:rFonts w:eastAsia="Times New Roman" w:cstheme="minorHAnsi"/>
          <w:lang w:eastAsia="en-GB"/>
        </w:rPr>
        <w:fldChar w:fldCharType="begin" w:fldLock="1"/>
      </w:r>
      <w:r w:rsidR="001D0FCB">
        <w:rPr>
          <w:rFonts w:eastAsia="Times New Roman" w:cstheme="minorHAnsi"/>
          <w:lang w:eastAsia="en-GB"/>
        </w:rPr>
        <w:instrText>ADDIN CSL_CITATION {"citationItems":[{"id":"ITEM-1","itemData":{"DOI":"10.1016/j.ceca.2011.10.005","ISSN":"15321991","abstract":"Phosphatidylserine (PS) is usually confined to the inner leaflet of the red blood cell (RBC) membrane. It may become externalised in various conditions, however, notably in RBCs from patients with sickle cell disease (SCD) where exposed PS may contribute to anaemic and ischaemic complications. PS externalisation requires both inhibition of the aminophospholipid translocase (or flippase) and activation of the scramblase. Both may follow from elevation of intracellular Ca2+. Flippase inhibition occurs at low [Ca2+]i, about 1μM, but [Ca2+]i required for scrambling is reported to be much higher (around 100μM). In this work, FITC-labelled lactadherin and FACS were used to measure externalised PS, with [Ca2+]i altered using bromo-A23187 and EGTA/Ca2+ mixtures. Two components of Ca2+-induced scrambling were apparent, of high (EC50 1.8±0.3μM) and low (306±123μM) affinity, in RBCs from normal individuals and the commonest SCD genotypes, HbSS and HbSC. The high affinity component was lost in the presence of unphysiologically high [Mg2+] but was unaffected by high K+ (90mM) or vanadate (1mM). The high affinity component accounted for PS scrambling in ≥2/3rd RBCs. It is likely to be most significant in vivo and may be involved in the pathophysiology of SCD or other conditions involving eryptosis. © 2011 Elsevier Ltd.","author":[{"dropping-particle":"","family":"Weiss","given":"Erwin","non-dropping-particle":"","parse-names":false,"suffix":""},{"dropping-particle":"","family":"Cytlak","given":"Urszula M.","non-dropping-particle":"","parse-names":false,"suffix":""},{"dropping-particle":"","family":"Rees","given":"David C.","non-dropping-particle":"","parse-names":false,"suffix":""},{"dropping-particle":"","family":"Osei","given":"Anna","non-dropping-particle":"","parse-names":false,"suffix":""},{"dropping-particle":"","family":"Gibson","given":"John S.","non-dropping-particle":"","parse-names":false,"suffix":""}],"container-title":"Cell Calcium","id":"ITEM-1","issued":{"date-parts":[["2012"]]},"title":"Deoxygenation-induced and Ca2+ dependent phosphatidylserine externalisation in red blood cells from normal individuals and sickle cell patients","type":"article-journal"},"uris":["http://www.mendeley.com/documents/?uuid=459f1215-b0b6-4792-a242-c5d73c03a66f"]},{"id":"ITEM-2","itemData":{"DOI":"10.1007/s00424-013-1308-y","ISSN":"00316768","abstract":"Phosphatidylserine (PS) exposure in red blood cells (RBCs) from sickle cell disease (SCD) patients is increased compared to levels in normal individuals and may participate in the anaemic and ischaemic complications of SCD. Exposure is increased by deoxygenation and occurs with elevation of intracellular Ca 2+ to low micromolar levels. The Ca 2+ entry step has not been defined but a role for the deoxygenation-induced pathway, P sickle , is postulated. Partial P sickle inhibitors 4-acetamido-4′-isothiocyanostilbene-2,2′-disulphonic acid (SITS), 4,4′-dithiocyano-2,2′-stilbene-disulphonic acid (DIDS) and dipyridamole inhibited deoxygenation-induced PS exposure (DIDS IC 50 , 118 nM). Inhibitors and activators of other pathways (including these stimulated by depolarisation, benzodiazepines, glutamate and stretch) were without effect. Zn 2+ and Gd 3+ stimulated PS exposure to high levels. In the case of Zn 2+ , this effect was independent of oxygen (and hence HbS polymerisation and RBC sickling) but required extracellular Ca 2+ . The effect was completely abolished when Zn 2+ (100 μM) was added to RBCs suspended in autologous plasma, implying a requirement of high levels of free Zn 2+ . © 2013 The Author(s).","author":[{"dropping-particle":"","family":"Cytlak","given":"U. M.","non-dropping-particle":"","parse-names":false,"suffix":""},{"dropping-particle":"","family":"Hannemann","given":"A.","non-dropping-particle":"","parse-names":false,"suffix":""},{"dropping-particle":"","family":"Rees","given":"D. C.","non-dropping-particle":"","parse-names":false,"suffix":""},{"dropping-particle":"","family":"Gibson","given":"J. S.","non-dropping-particle":"","parse-names":false,"suffix":""}],"container-title":"Pflugers Archiv European Journal of Physiology","id":"ITEM-2","issue":"11","issued":{"date-parts":[["2013"]]},"page":"1651-1660","title":"Identification of the Ca 2+ entry pathway involved in deoxygenation-induced phosphatidylserine exposure in red blood cells from patients with sickle cell disease","type":"article-journal","volume":"465"},"uris":["http://www.mendeley.com/documents/?uuid=e24c9b5c-3d38-4b1d-b65c-8ebff92eebff"]}],"mendeley":{"formattedCitation":"&lt;sup&gt;14,15&lt;/sup&gt;","plainTextFormattedCitation":"14,15","previouslyFormattedCitation":"&lt;sup&gt;14,15&lt;/sup&gt;"},"properties":{"noteIndex":0},"schema":"https://github.com/citation-style-language/schema/raw/master/csl-citation.json"}</w:instrText>
      </w:r>
      <w:r w:rsidR="00CB370E">
        <w:rPr>
          <w:rFonts w:eastAsia="Times New Roman" w:cstheme="minorHAnsi"/>
          <w:lang w:eastAsia="en-GB"/>
        </w:rPr>
        <w:fldChar w:fldCharType="separate"/>
      </w:r>
      <w:r w:rsidR="00CB370E" w:rsidRPr="00CB370E">
        <w:rPr>
          <w:rFonts w:eastAsia="Times New Roman" w:cstheme="minorHAnsi"/>
          <w:noProof/>
          <w:vertAlign w:val="superscript"/>
          <w:lang w:eastAsia="en-GB"/>
        </w:rPr>
        <w:t>14,15</w:t>
      </w:r>
      <w:r w:rsidR="00CB370E">
        <w:rPr>
          <w:rFonts w:eastAsia="Times New Roman" w:cstheme="minorHAnsi"/>
          <w:lang w:eastAsia="en-GB"/>
        </w:rPr>
        <w:fldChar w:fldCharType="end"/>
      </w:r>
      <w:r w:rsidR="00A10CC0" w:rsidRPr="00337148">
        <w:rPr>
          <w:rFonts w:eastAsia="Times New Roman" w:cstheme="minorHAnsi"/>
          <w:lang w:eastAsia="en-GB"/>
        </w:rPr>
        <w:t xml:space="preserve"> </w:t>
      </w:r>
      <w:r w:rsidR="000B33C5" w:rsidRPr="00337148">
        <w:rPr>
          <w:rFonts w:eastAsia="Times New Roman" w:cstheme="minorHAnsi"/>
          <w:lang w:eastAsia="en-GB"/>
        </w:rPr>
        <w:t xml:space="preserve"> </w:t>
      </w:r>
      <w:r w:rsidR="00A10CC0" w:rsidRPr="00337148">
        <w:rPr>
          <w:rFonts w:eastAsia="Times New Roman" w:cstheme="minorHAnsi"/>
          <w:lang w:eastAsia="en-GB"/>
        </w:rPr>
        <w:t>PS exposure is also associated with sickle cell deoxygenation, when it appears to result from an increase in cation permeability, mediating Ca</w:t>
      </w:r>
      <w:r w:rsidR="00A10CC0" w:rsidRPr="00337148">
        <w:rPr>
          <w:rFonts w:eastAsia="Times New Roman" w:cstheme="minorHAnsi"/>
          <w:vertAlign w:val="superscript"/>
          <w:lang w:eastAsia="en-GB"/>
        </w:rPr>
        <w:t>2+</w:t>
      </w:r>
      <w:r w:rsidR="00A10CC0" w:rsidRPr="00337148">
        <w:rPr>
          <w:rFonts w:eastAsia="Times New Roman" w:cstheme="minorHAnsi"/>
          <w:lang w:eastAsia="en-GB"/>
        </w:rPr>
        <w:t xml:space="preserve"> entry, and the ensuing solute loss and dehydration.</w:t>
      </w:r>
      <w:r w:rsidR="001D0FCB">
        <w:rPr>
          <w:rFonts w:eastAsia="Times New Roman" w:cstheme="minorHAnsi"/>
          <w:lang w:eastAsia="en-GB"/>
        </w:rPr>
        <w:fldChar w:fldCharType="begin" w:fldLock="1"/>
      </w:r>
      <w:r w:rsidR="006318B6">
        <w:rPr>
          <w:rFonts w:eastAsia="Times New Roman" w:cstheme="minorHAnsi"/>
          <w:lang w:eastAsia="en-GB"/>
        </w:rPr>
        <w:instrText>ADDIN CSL_CITATION {"citationItems":[{"id":"ITEM-1","itemData":{"DOI":"10.1152/physrev.00052.2003","ISSN":"00319333","abstract":"Polymers of deoxyhemoglobin S deform sickle cell anemia red blood cells into sickle shapes, leading to the formation of dense, dehydrated red blood cells with a markedly shortened life-span. Nearly four decades of intense research in many laboratories has led to a mechanistic understanding of the complex events leading from sickling-induced permeabilization of the red cell membrane to small cations, to the generation of the heterogeneity of age and hydration condition of circulating sickle cells. This review follows chronologically the major experimental findings and the evolution of guiding ideas for research in this field. Predictions derived from mathematical models of red cell and reticulocyte homeostasis led to the formulation of an alternative to prevailing gradualist views: a multitrack dehydration model based on interactive influences between the red cell anion exchanger and two K + transporters, the Gardos channel (hSK4, hIK1) and the K-Cl cotransporter (KCC), with differential effects dependent on red cell age and variability of KCC expression among reticulocytes. The experimental tests of the model predictions and the amply supportive results are discussed. The review concludes with a brief survey of the therapeutic strategies aimed at preventing sickle cell dehydration and with an analysis of the main open questions in the field.","author":[{"dropping-particle":"","family":"Lew","given":"Virgilio L.","non-dropping-particle":"","parse-names":false,"suffix":""},{"dropping-particle":"","family":"Bookchin","given":"Robert M.","non-dropping-particle":"","parse-names":false,"suffix":""}],"container-title":"Physiological Reviews","id":"ITEM-1","issue":"1","issued":{"date-parts":[["2005"]]},"page":"179-200","title":"Ion transport pathology in the mechanism of sickle cell dehydration","type":"article-journal","volume":"85"},"uris":["http://www.mendeley.com/documents/?uuid=94e62986-cf7c-4c19-8754-9dfaa8106169"]}],"mendeley":{"formattedCitation":"&lt;sup&gt;16&lt;/sup&gt;","plainTextFormattedCitation":"16","previouslyFormattedCitation":"&lt;sup&gt;16&lt;/sup&gt;"},"properties":{"noteIndex":0},"schema":"https://github.com/citation-style-language/schema/raw/master/csl-citation.json"}</w:instrText>
      </w:r>
      <w:r w:rsidR="001D0FCB">
        <w:rPr>
          <w:rFonts w:eastAsia="Times New Roman" w:cstheme="minorHAnsi"/>
          <w:lang w:eastAsia="en-GB"/>
        </w:rPr>
        <w:fldChar w:fldCharType="separate"/>
      </w:r>
      <w:r w:rsidR="001D0FCB" w:rsidRPr="001D0FCB">
        <w:rPr>
          <w:rFonts w:eastAsia="Times New Roman" w:cstheme="minorHAnsi"/>
          <w:noProof/>
          <w:vertAlign w:val="superscript"/>
          <w:lang w:eastAsia="en-GB"/>
        </w:rPr>
        <w:t>16</w:t>
      </w:r>
      <w:r w:rsidR="001D0FCB">
        <w:rPr>
          <w:rFonts w:eastAsia="Times New Roman" w:cstheme="minorHAnsi"/>
          <w:lang w:eastAsia="en-GB"/>
        </w:rPr>
        <w:fldChar w:fldCharType="end"/>
      </w:r>
      <w:r w:rsidR="00A10CC0" w:rsidRPr="00337148">
        <w:rPr>
          <w:rFonts w:eastAsia="Times New Roman" w:cstheme="minorHAnsi"/>
          <w:position w:val="8"/>
          <w:lang w:eastAsia="en-GB"/>
        </w:rPr>
        <w:t xml:space="preserve"> </w:t>
      </w:r>
    </w:p>
    <w:p w14:paraId="0238BA8C" w14:textId="77777777" w:rsidR="00A10CC0" w:rsidRPr="00337148" w:rsidRDefault="00A10CC0" w:rsidP="00A10CC0">
      <w:pPr>
        <w:rPr>
          <w:rFonts w:eastAsia="Times New Roman" w:cstheme="minorHAnsi"/>
          <w:lang w:eastAsia="en-GB"/>
        </w:rPr>
      </w:pPr>
    </w:p>
    <w:p w14:paraId="55592FDA" w14:textId="4DDB0784" w:rsidR="00A10CC0" w:rsidRPr="005872FC" w:rsidRDefault="00A10CC0" w:rsidP="00A10CC0">
      <w:pPr>
        <w:rPr>
          <w:rFonts w:eastAsia="Times New Roman" w:cstheme="minorHAnsi"/>
          <w:position w:val="8"/>
          <w:lang w:eastAsia="en-GB"/>
        </w:rPr>
      </w:pPr>
      <w:r w:rsidRPr="005872FC">
        <w:rPr>
          <w:rFonts w:eastAsia="Times New Roman" w:cstheme="minorHAnsi"/>
          <w:lang w:eastAsia="en-GB"/>
        </w:rPr>
        <w:t xml:space="preserve">Oxidative damage is notably </w:t>
      </w:r>
      <w:r w:rsidR="006E7113" w:rsidRPr="005872FC">
        <w:rPr>
          <w:rFonts w:eastAsia="Times New Roman" w:cstheme="minorHAnsi"/>
          <w:lang w:eastAsia="en-GB"/>
        </w:rPr>
        <w:t xml:space="preserve">more </w:t>
      </w:r>
      <w:r w:rsidRPr="005872FC">
        <w:rPr>
          <w:rFonts w:eastAsia="Times New Roman" w:cstheme="minorHAnsi"/>
          <w:lang w:eastAsia="en-GB"/>
        </w:rPr>
        <w:t xml:space="preserve">prevalent in SCD, </w:t>
      </w:r>
      <w:r w:rsidR="006E7113" w:rsidRPr="005872FC">
        <w:rPr>
          <w:rFonts w:eastAsia="Times New Roman" w:cstheme="minorHAnsi"/>
          <w:lang w:eastAsia="en-GB"/>
        </w:rPr>
        <w:t>largely</w:t>
      </w:r>
      <w:r w:rsidRPr="005872FC">
        <w:rPr>
          <w:rFonts w:eastAsia="Times New Roman" w:cstheme="minorHAnsi"/>
          <w:lang w:eastAsia="en-GB"/>
        </w:rPr>
        <w:t xml:space="preserve"> due to increased auto-oxidation of Fe</w:t>
      </w:r>
      <w:r w:rsidR="00F81EDC" w:rsidRPr="005872FC">
        <w:rPr>
          <w:rFonts w:eastAsia="Times New Roman" w:cstheme="minorHAnsi"/>
          <w:vertAlign w:val="superscript"/>
          <w:lang w:eastAsia="en-GB"/>
        </w:rPr>
        <w:t>2+</w:t>
      </w:r>
      <w:r w:rsidRPr="005872FC">
        <w:rPr>
          <w:rFonts w:eastAsia="Times New Roman" w:cstheme="minorHAnsi"/>
          <w:lang w:eastAsia="en-GB"/>
        </w:rPr>
        <w:t xml:space="preserve"> in the mutated Hb, </w:t>
      </w:r>
      <w:proofErr w:type="spellStart"/>
      <w:r w:rsidRPr="005872FC">
        <w:rPr>
          <w:rFonts w:eastAsia="Times New Roman" w:cstheme="minorHAnsi"/>
          <w:lang w:eastAsia="en-GB"/>
        </w:rPr>
        <w:t>HbS</w:t>
      </w:r>
      <w:proofErr w:type="spellEnd"/>
      <w:r w:rsidRPr="005872FC">
        <w:rPr>
          <w:rFonts w:eastAsia="Times New Roman" w:cstheme="minorHAnsi"/>
          <w:lang w:eastAsia="en-GB"/>
        </w:rPr>
        <w:t>, generating reactive oxygen species (ROS).</w:t>
      </w:r>
      <w:r w:rsidR="006318B6" w:rsidRPr="005872FC">
        <w:rPr>
          <w:rFonts w:eastAsia="Times New Roman" w:cstheme="minorHAnsi"/>
          <w:lang w:eastAsia="en-GB"/>
        </w:rPr>
        <w:fldChar w:fldCharType="begin" w:fldLock="1"/>
      </w:r>
      <w:r w:rsidR="00472CBA" w:rsidRPr="005872FC">
        <w:rPr>
          <w:rFonts w:eastAsia="Times New Roman" w:cstheme="minorHAnsi"/>
          <w:lang w:eastAsia="en-GB"/>
        </w:rPr>
        <w:instrText>ADDIN CSL_CITATION {"citationItems":[{"id":"ITEM-1","itemData":{"DOI":"10.3389/fphys.2014.00084","ISSN":"1664042X","abstract":"Red Blood Cells (RBCs) need to deform and squeeze through narrow capillaries. Decreased deformability of RBCs is, therefore, one of the factors that can contribute to the elimination of aged or damaged RBCs from the circulation. This process can also cause impaired oxygen delivery, which contributes to the pathology of a number of diseases. Studies from our laboratory have shown that oxidative stress plays a significant role in damaging the RBC membrane and impairing its deformability. RBCs are continuously exposed to both endogenous and exogenous sources of reactive oxygen species (ROS) like superoxide and hydrogen peroxide (H2O2). The bulk of the ROS are neutralized by the RBC antioxidant system consisting of both non-enzymatic and enzymatic antioxidants including catalase, glutathione peroxidase and peroxiredoxin-2. However, the autoxidation of hemoglobin (Hb) bound to the membrane is relatively inaccessible to the predominantly cytosolic RBC antioxidant system. This inaccessibility becomes more pronounced under hypoxic conditions when Hb is partially oxygenated, resulting in an increased rate of autoxidation and increased affinity for the RBC membrane. We have shown that a fraction of peroxyredoxin-2 present on the RBC membrane may play a major role in neutralizing these ROS. H2O2 that is not neutralized by the RBC antioxidant system can react with the heme producing fluorescent heme degradation products (HDPs). We have used the level of these HDP as a measure of RBC oxidative Stress. Increased levels of HDP are detected during cellular aging and various diseases. The negative correlation (p &lt; 0.0001) between the level of HDP and RBC deformability establishes a contribution of RBC oxidative stress to impaired deformability and cellular stiffness. While decreased deformability contributes to the removal of RBCs from the circulation, oxidative stress also contributes to the uptake of RBCs by macrophages, which plays a major role in the removal of RBCs from circulation. The contribution of oxidative stress to the removal of RBCs by macrophages involves caspase-3 activation, which requires oxidative stress. RBC oxidative stress, therefore, plays a significant role in inducing RBC aging. © 2014 Mohanty, Nagababu and Rifkind.","author":[{"dropping-particle":"","family":"Mohanty","given":"Joy G.","non-dropping-particle":"","parse-names":false,"suffix":""},{"dropping-particle":"","family":"Nagababu","given":"Enika","non-dropping-particle":"","parse-names":false,"suffix":""},{"dropping-particle":"","family":"Rifkind","given":"Joseph M.","non-dropping-particle":"","parse-names":false,"suffix":""}],"container-title":"Frontiers in Physiology","id":"ITEM-1","issue":"84","issued":{"date-parts":[["2014"]]},"title":"Red blood cell oxidative stress impairs oxygen delivery and induces red blood cell aging","type":"article-journal","volume":"5"},"uris":["http://www.mendeley.com/documents/?uuid=5c79f729-7853-4ef6-9387-c7ce20fab915"]}],"mendeley":{"formattedCitation":"&lt;sup&gt;4&lt;/sup&gt;","plainTextFormattedCitation":"4","previouslyFormattedCitation":"&lt;sup&gt;4&lt;/sup&gt;"},"properties":{"noteIndex":0},"schema":"https://github.com/citation-style-language/schema/raw/master/csl-citation.json"}</w:instrText>
      </w:r>
      <w:r w:rsidR="006318B6" w:rsidRPr="005872FC">
        <w:rPr>
          <w:rFonts w:eastAsia="Times New Roman" w:cstheme="minorHAnsi"/>
          <w:lang w:eastAsia="en-GB"/>
        </w:rPr>
        <w:fldChar w:fldCharType="separate"/>
      </w:r>
      <w:r w:rsidR="006318B6" w:rsidRPr="005872FC">
        <w:rPr>
          <w:rFonts w:eastAsia="Times New Roman" w:cstheme="minorHAnsi"/>
          <w:noProof/>
          <w:vertAlign w:val="superscript"/>
          <w:lang w:eastAsia="en-GB"/>
        </w:rPr>
        <w:t>4</w:t>
      </w:r>
      <w:r w:rsidR="006318B6" w:rsidRPr="005872FC">
        <w:rPr>
          <w:rFonts w:eastAsia="Times New Roman" w:cstheme="minorHAnsi"/>
          <w:lang w:eastAsia="en-GB"/>
        </w:rPr>
        <w:fldChar w:fldCharType="end"/>
      </w:r>
      <w:r w:rsidRPr="005872FC">
        <w:rPr>
          <w:rFonts w:eastAsia="Times New Roman" w:cstheme="minorHAnsi"/>
          <w:lang w:eastAsia="en-GB"/>
        </w:rPr>
        <w:t xml:space="preserve"> </w:t>
      </w:r>
      <w:r w:rsidR="000B33C5" w:rsidRPr="005872FC">
        <w:rPr>
          <w:rFonts w:eastAsia="Times New Roman" w:cstheme="minorHAnsi"/>
          <w:lang w:eastAsia="en-GB"/>
        </w:rPr>
        <w:t xml:space="preserve"> </w:t>
      </w:r>
      <w:r w:rsidRPr="005872FC">
        <w:rPr>
          <w:rFonts w:eastAsia="Times New Roman" w:cstheme="minorHAnsi"/>
          <w:lang w:eastAsia="en-GB"/>
        </w:rPr>
        <w:t xml:space="preserve">It is thought that this damage is characterised by protein and lipid oxidation and PS exposure on the outer leaflet, arising both directly and indirectly via mechanisms such as thiol oxidation, which has been shown to both inhibit the </w:t>
      </w:r>
      <w:proofErr w:type="spellStart"/>
      <w:r w:rsidRPr="005872FC">
        <w:rPr>
          <w:rFonts w:eastAsia="Times New Roman" w:cstheme="minorHAnsi"/>
          <w:lang w:eastAsia="en-GB"/>
        </w:rPr>
        <w:t>flippase</w:t>
      </w:r>
      <w:proofErr w:type="spellEnd"/>
      <w:r w:rsidRPr="005872FC">
        <w:rPr>
          <w:rFonts w:eastAsia="Times New Roman" w:cstheme="minorHAnsi"/>
          <w:lang w:eastAsia="en-GB"/>
        </w:rPr>
        <w:t xml:space="preserve"> and activate the scramblase.</w:t>
      </w:r>
      <w:r w:rsidR="00472CBA" w:rsidRPr="005872FC">
        <w:rPr>
          <w:rFonts w:eastAsia="Times New Roman" w:cstheme="minorHAnsi"/>
          <w:lang w:eastAsia="en-GB"/>
        </w:rPr>
        <w:fldChar w:fldCharType="begin" w:fldLock="1"/>
      </w:r>
      <w:r w:rsidR="005963F5" w:rsidRPr="005872FC">
        <w:rPr>
          <w:rFonts w:eastAsia="Times New Roman" w:cstheme="minorHAnsi"/>
          <w:lang w:eastAsia="en-GB"/>
        </w:rPr>
        <w:instrText>ADDIN CSL_CITATION {"citationItems":[{"id":"ITEM-1","itemData":{"DOI":"10.1007/978-3-662-05181-8_1","author":[{"dropping-particle":"","family":"Haest","given":"Cees W. M.","non-dropping-particle":"","parse-names":false,"suffix":""}],"container-title":"Red Cell Membrane Transport in Health and Disease","id":"ITEM-1","issued":{"date-parts":[["2003"]]},"title":"Distribution and Movement of Membrane Lipids","type":"chapter"},"uris":["http://www.mendeley.com/documents/?uuid=cc188276-af09-4745-a41a-0a9c8ce3a3e1"]}],"mendeley":{"formattedCitation":"&lt;sup&gt;9&lt;/sup&gt;","plainTextFormattedCitation":"9","previouslyFormattedCitation":"&lt;sup&gt;9&lt;/sup&gt;"},"properties":{"noteIndex":0},"schema":"https://github.com/citation-style-language/schema/raw/master/csl-citation.json"}</w:instrText>
      </w:r>
      <w:r w:rsidR="00472CBA" w:rsidRPr="005872FC">
        <w:rPr>
          <w:rFonts w:eastAsia="Times New Roman" w:cstheme="minorHAnsi"/>
          <w:lang w:eastAsia="en-GB"/>
        </w:rPr>
        <w:fldChar w:fldCharType="separate"/>
      </w:r>
      <w:r w:rsidR="00472CBA" w:rsidRPr="005872FC">
        <w:rPr>
          <w:rFonts w:eastAsia="Times New Roman" w:cstheme="minorHAnsi"/>
          <w:noProof/>
          <w:vertAlign w:val="superscript"/>
          <w:lang w:eastAsia="en-GB"/>
        </w:rPr>
        <w:t>9</w:t>
      </w:r>
      <w:r w:rsidR="00472CBA" w:rsidRPr="005872FC">
        <w:rPr>
          <w:rFonts w:eastAsia="Times New Roman" w:cstheme="minorHAnsi"/>
          <w:lang w:eastAsia="en-GB"/>
        </w:rPr>
        <w:fldChar w:fldCharType="end"/>
      </w:r>
      <w:r w:rsidRPr="005872FC">
        <w:rPr>
          <w:rFonts w:eastAsia="Times New Roman" w:cstheme="minorHAnsi"/>
          <w:lang w:eastAsia="en-GB"/>
        </w:rPr>
        <w:t xml:space="preserve"> </w:t>
      </w:r>
      <w:r w:rsidR="000B33C5" w:rsidRPr="005872FC">
        <w:rPr>
          <w:rFonts w:eastAsia="Times New Roman" w:cstheme="minorHAnsi"/>
          <w:lang w:eastAsia="en-GB"/>
        </w:rPr>
        <w:t xml:space="preserve"> </w:t>
      </w:r>
      <w:r w:rsidR="00627CB7" w:rsidRPr="005872FC">
        <w:rPr>
          <w:rFonts w:eastAsia="Times New Roman" w:cstheme="minorHAnsi"/>
          <w:lang w:eastAsia="en-GB"/>
        </w:rPr>
        <w:t>In addition to</w:t>
      </w:r>
      <w:r w:rsidRPr="005872FC">
        <w:rPr>
          <w:rFonts w:eastAsia="Times New Roman" w:cstheme="minorHAnsi"/>
          <w:lang w:eastAsia="en-GB"/>
        </w:rPr>
        <w:t xml:space="preserve"> increased exposure to oxidants, sickle cells probably have a lower antioxidant capacity and hence are considerably more prone to oxidative damage.</w:t>
      </w:r>
      <w:r w:rsidR="005963F5" w:rsidRPr="005872FC">
        <w:rPr>
          <w:rFonts w:eastAsia="Times New Roman" w:cstheme="minorHAnsi"/>
          <w:lang w:eastAsia="en-GB"/>
        </w:rPr>
        <w:fldChar w:fldCharType="begin" w:fldLock="1"/>
      </w:r>
      <w:r w:rsidR="00EB611D" w:rsidRPr="005872FC">
        <w:rPr>
          <w:rFonts w:eastAsia="Times New Roman" w:cstheme="minorHAnsi"/>
          <w:lang w:eastAsia="en-GB"/>
        </w:rPr>
        <w:instrText>ADDIN CSL_CITATION {"citationItems":[{"id":"ITEM-1","itemData":{"ISSN":"0006-4971","PMID":"1985689","abstract":"Cerebral infarction occurs in one quarter of all children with sickle cell anemia (SCA). There is an increased risk of stroke in siblings with SCA, suggesting genetic factors may influence risk of stroke. The authors investigated whether HLA type was associated with risk of stroke in children with SCA. Fifty-three patients with SCA underwent complete HLA typing at both HLA class I (HLA-A, B) and HLA class II (HLA-DR, DQ, DP) loci. Of the 53 patients, 22 had magnetic resonance imagining (MRI)–documented evidence of cerebral infarction, and the remaining 31 patients had negative MRI scans. Comparison of the results of HLA typing between the SCA patients with a positive and those with a negative MRI documented that the 2 groups differed with respect to the class I HLA-B ( P  = .012), and the class II HLA-DRB1 ( P  = .0008) and DQB1 ( P  = .029). Susceptibility associations at the HLA-DRB1 locus included both DR3 alleles, where DRB1*0301 and *0302 were both associated with an increased risk of stroke. Protective associations were found in the DR2 group, where DRB1*1501 was protective for stroke. DQB1*0201, which is in linkage disequilibrium with DRB1*0301, was also associated with stroke. Similarly, DQB1*0602, in linkage disequilibrium with DRB1*1501, was protective. Specific HLA alleles may influence the risk of stroke in children with SCA. HLA typing may prove useful in identifying SCA patients at higher risk for stroke.","author":[{"dropping-particle":"","family":"Hebbel","given":"R P","non-dropping-particle":"","parse-names":false,"suffix":""}],"container-title":"Blood","id":"ITEM-1","issue":"2","issued":{"date-parts":[["1991"]]},"page":"214-37","title":"Beyond hemoglobin polymerization: the red blood cell membrane and sickle disease pathophysiology.","type":"article-journal","volume":"77"},"uris":["http://www.mendeley.com/documents/?uuid=c5ef901a-a9cd-4bac-a340-1c1a7e5e3275"]}],"mendeley":{"formattedCitation":"&lt;sup&gt;17&lt;/sup&gt;","plainTextFormattedCitation":"17","previouslyFormattedCitation":"&lt;sup&gt;17&lt;/sup&gt;"},"properties":{"noteIndex":0},"schema":"https://github.com/citation-style-language/schema/raw/master/csl-citation.json"}</w:instrText>
      </w:r>
      <w:r w:rsidR="005963F5" w:rsidRPr="005872FC">
        <w:rPr>
          <w:rFonts w:eastAsia="Times New Roman" w:cstheme="minorHAnsi"/>
          <w:lang w:eastAsia="en-GB"/>
        </w:rPr>
        <w:fldChar w:fldCharType="separate"/>
      </w:r>
      <w:r w:rsidR="005963F5" w:rsidRPr="005872FC">
        <w:rPr>
          <w:rFonts w:eastAsia="Times New Roman" w:cstheme="minorHAnsi"/>
          <w:noProof/>
          <w:vertAlign w:val="superscript"/>
          <w:lang w:eastAsia="en-GB"/>
        </w:rPr>
        <w:t>17</w:t>
      </w:r>
      <w:r w:rsidR="005963F5" w:rsidRPr="005872FC">
        <w:rPr>
          <w:rFonts w:eastAsia="Times New Roman" w:cstheme="minorHAnsi"/>
          <w:lang w:eastAsia="en-GB"/>
        </w:rPr>
        <w:fldChar w:fldCharType="end"/>
      </w:r>
      <w:r w:rsidRPr="005872FC">
        <w:rPr>
          <w:rFonts w:eastAsia="Times New Roman" w:cstheme="minorHAnsi"/>
          <w:position w:val="8"/>
          <w:lang w:eastAsia="en-GB"/>
        </w:rPr>
        <w:t xml:space="preserve">  </w:t>
      </w:r>
      <w:r w:rsidR="000B33C5" w:rsidRPr="005872FC">
        <w:rPr>
          <w:rFonts w:eastAsia="Times New Roman" w:cstheme="minorHAnsi"/>
          <w:position w:val="8"/>
          <w:lang w:eastAsia="en-GB"/>
        </w:rPr>
        <w:t xml:space="preserve"> </w:t>
      </w:r>
      <w:r w:rsidR="00B220CD" w:rsidRPr="005872FC">
        <w:rPr>
          <w:rFonts w:eastAsia="Times New Roman" w:cstheme="minorHAnsi"/>
          <w:lang w:eastAsia="en-GB"/>
        </w:rPr>
        <w:t>Furthermore</w:t>
      </w:r>
      <w:r w:rsidRPr="005872FC">
        <w:rPr>
          <w:rFonts w:eastAsia="Times New Roman" w:cstheme="minorHAnsi"/>
          <w:lang w:eastAsia="en-GB"/>
        </w:rPr>
        <w:t>, the oxidation of RBCs has been shown to inhibit the plasma</w:t>
      </w:r>
      <w:r w:rsidR="00662184" w:rsidRPr="005872FC">
        <w:rPr>
          <w:rFonts w:eastAsia="Times New Roman" w:cstheme="minorHAnsi"/>
          <w:lang w:eastAsia="en-GB"/>
        </w:rPr>
        <w:t xml:space="preserve"> membrane</w:t>
      </w:r>
      <w:r w:rsidRPr="005872FC">
        <w:rPr>
          <w:rFonts w:eastAsia="Times New Roman" w:cstheme="minorHAnsi"/>
          <w:lang w:eastAsia="en-GB"/>
        </w:rPr>
        <w:t xml:space="preserve"> Ca</w:t>
      </w:r>
      <w:r w:rsidRPr="005872FC">
        <w:rPr>
          <w:rFonts w:eastAsia="Times New Roman" w:cstheme="minorHAnsi"/>
          <w:vertAlign w:val="superscript"/>
          <w:lang w:eastAsia="en-GB"/>
        </w:rPr>
        <w:t>2+</w:t>
      </w:r>
      <w:r w:rsidRPr="005872FC">
        <w:rPr>
          <w:rFonts w:eastAsia="Times New Roman" w:cstheme="minorHAnsi"/>
          <w:lang w:eastAsia="en-GB"/>
        </w:rPr>
        <w:t xml:space="preserve"> pump, thereby leading to increased concentrations of intracellular Ca</w:t>
      </w:r>
      <w:r w:rsidRPr="005872FC">
        <w:rPr>
          <w:rFonts w:eastAsia="Times New Roman" w:cstheme="minorHAnsi"/>
          <w:vertAlign w:val="superscript"/>
          <w:lang w:eastAsia="en-GB"/>
        </w:rPr>
        <w:t>2+</w:t>
      </w:r>
      <w:r w:rsidRPr="005872FC">
        <w:rPr>
          <w:rFonts w:eastAsia="Times New Roman" w:cstheme="minorHAnsi"/>
          <w:lang w:eastAsia="en-GB"/>
        </w:rPr>
        <w:t>.</w:t>
      </w:r>
      <w:r w:rsidR="00EB611D" w:rsidRPr="005872FC">
        <w:rPr>
          <w:rFonts w:eastAsia="Times New Roman" w:cstheme="minorHAnsi"/>
          <w:lang w:eastAsia="en-GB"/>
        </w:rPr>
        <w:fldChar w:fldCharType="begin" w:fldLock="1"/>
      </w:r>
      <w:r w:rsidR="00D749F9" w:rsidRPr="005872FC">
        <w:rPr>
          <w:rFonts w:eastAsia="Times New Roman" w:cstheme="minorHAnsi"/>
          <w:lang w:eastAsia="en-GB"/>
        </w:rPr>
        <w:instrText>ADDIN CSL_CITATION {"citationItems":[{"id":"ITEM-1","itemData":{"ISSN":"0006-4971","abstract":"The processes leading to red cell destruction in oxidant-induced hemolytic disease are not yet fully known. Oxidant damage to hemoglobin per se may be insufficient to explain the process, and the involvement of membrane damage has been suggested. We now report that at least one crucial membrane function-exclusion of calcium-is disrupted by the potent oxidant phenylhydrazine. Phenylhydrazine, both in vitro and when administered to mice in hemolytic doses, causes profound inhibition of red cell calcium ATPase. Coincident with this, red cell calcium content increases very rapidly in mice given phenylhydrazine. These observations suggest that disordered red cell calcium homeostasis may be an important element in oxidant-induced red cell destruction.","author":[{"dropping-particle":"","family":"Shalev, O, Leida, MN, Hebbel, RP, Jacob, HS, Eaton","given":"JW.","non-dropping-particle":"","parse-names":false,"suffix":""}],"container-title":"Blood","id":"ITEM-1","issue":"6","issued":{"date-parts":[["1981"]]},"page":"1232–5.","publisher":"American Society of Hematology","title":"Abnormal erythrocyte calcium homeostasis in oxidant-induced hemolytic disease.","type":"article-journal","volume":"58"},"uris":["http://www.mendeley.com/documents/?uuid=1371d98d-684b-4f4e-8bdc-f8da6eb50e01"]},{"id":"ITEM-2","itemData":{"DOI":"10.1021/bi034565u","ISSN":"00062960","abstract":"Calmodulin (CaM)-regulated plasma membrane Ca(2+)-ATPase (PMCA) is critical for the regulation of free intracellular Ca(2+) levels. PMCA activity and levels in neuronal membranes are decreased with aging, possibly due to oxidation-induced inactivation. In the present studies, inhibition of PMCA by H(2)O(2) was characterized in enzyme purified from human erythrocyte membranes. Basal and CaM-stimulated PMCA activities were inhibited by exposure to H(2)O(2) (25-100 microM). However, neither the concentration-dependent enhancement of PMCA activity by CaM nor the binding of CaM to H(2)O(2)-exposed PMCA was disrupted by treatment with H(2)O(2). Rates of inactivation by H(2)O(2) of basal and CaM-stimulated PMCA were nearly identical. The addition of CaM after exposure to H(2)O(2) did not protect enzyme activity, although the binding of CaM to PMCA before exposure to H(2)O(2) protected the enzyme completely, indicating a CaM-induced conformational state resistant to oxidation. H(2)O(2) quenched Trp fluorescence in PMCA, an index of conformational changes, with a rate similar to that observed for enzyme inactivation. H(2)O(2) enhanced the solvent accessibility of Trp residues in PMCA, whereas accessibility of the only Trp residue in the CaM-binding domain peptide was unaltered. Exposure of PMCA to H(2)O(2) led to aggregate formation partially reversible by dithiothreitol (DTT) but not to recovery of activity. Amino acid analysis indicated Cys modification following H(2)O(2) exposure but no Cys oxyacids. Because DTT did not reverse inactivation by H(2)O(2), it appears that the disulfide bond formation led to conformational changes that were not fully reversed when the bonds were reduced. Preincubation of PMCA with CaM protected the enzyme from undergoing this conformational change.","author":[{"dropping-particle":"","family":"Zaidi","given":"Asma","non-dropping-particle":"","parse-names":false,"suffix":""},{"dropping-particle":"","family":"Barŕon","given":"Lorena","non-dropping-particle":"","parse-names":false,"suffix":""},{"dropping-particle":"","family":"Sharov","given":"Victor S.","non-dropping-particle":"","parse-names":false,"suffix":""},{"dropping-particle":"","family":"Schöneich","given":"Christian","non-dropping-particle":"","parse-names":false,"suffix":""},{"dropping-particle":"","family":"Michaelis","given":"Elias K.","non-dropping-particle":"","parse-names":false,"suffix":""},{"dropping-particle":"","family":"Michaelis","given":"Mary L.","non-dropping-particle":"","parse-names":false,"suffix":""}],"container-title":"Biochemistry","id":"ITEM-2","issue":"41","issued":{"date-parts":[["2003"]]},"page":"12001-12010","title":"Oxidative Inactivation of Purified Plasma Membrane Ca 2+ -ATPase by Hydrogen Peroxide and Protection by Calmodulin","type":"article-journal","volume":"42"},"uris":["http://www.mendeley.com/documents/?uuid=ffb28f4d-2f88-48a6-a0c6-2a2bce6d5be2"]}],"mendeley":{"formattedCitation":"&lt;sup&gt;18,19&lt;/sup&gt;","plainTextFormattedCitation":"18,19","previouslyFormattedCitation":"&lt;sup&gt;18,19&lt;/sup&gt;"},"properties":{"noteIndex":0},"schema":"https://github.com/citation-style-language/schema/raw/master/csl-citation.json"}</w:instrText>
      </w:r>
      <w:r w:rsidR="00EB611D" w:rsidRPr="005872FC">
        <w:rPr>
          <w:rFonts w:eastAsia="Times New Roman" w:cstheme="minorHAnsi"/>
          <w:lang w:eastAsia="en-GB"/>
        </w:rPr>
        <w:fldChar w:fldCharType="separate"/>
      </w:r>
      <w:r w:rsidR="00EB611D" w:rsidRPr="005872FC">
        <w:rPr>
          <w:rFonts w:eastAsia="Times New Roman" w:cstheme="minorHAnsi"/>
          <w:noProof/>
          <w:vertAlign w:val="superscript"/>
          <w:lang w:eastAsia="en-GB"/>
        </w:rPr>
        <w:t>18,19</w:t>
      </w:r>
      <w:r w:rsidR="00EB611D" w:rsidRPr="005872FC">
        <w:rPr>
          <w:rFonts w:eastAsia="Times New Roman" w:cstheme="minorHAnsi"/>
          <w:lang w:eastAsia="en-GB"/>
        </w:rPr>
        <w:fldChar w:fldCharType="end"/>
      </w:r>
      <w:r w:rsidRPr="005872FC">
        <w:rPr>
          <w:rFonts w:eastAsia="Times New Roman" w:cstheme="minorHAnsi"/>
          <w:lang w:eastAsia="en-GB"/>
        </w:rPr>
        <w:t xml:space="preserve"> </w:t>
      </w:r>
      <w:r w:rsidR="000B33C5" w:rsidRPr="005872FC">
        <w:rPr>
          <w:rFonts w:eastAsia="Times New Roman" w:cstheme="minorHAnsi"/>
          <w:lang w:eastAsia="en-GB"/>
        </w:rPr>
        <w:t xml:space="preserve"> </w:t>
      </w:r>
      <w:r w:rsidRPr="005872FC">
        <w:rPr>
          <w:rFonts w:eastAsia="Times New Roman" w:cstheme="minorHAnsi"/>
          <w:lang w:eastAsia="en-GB"/>
        </w:rPr>
        <w:t xml:space="preserve">Externalised PS has been suggested as playing an important role in </w:t>
      </w:r>
      <w:proofErr w:type="spellStart"/>
      <w:r w:rsidRPr="005872FC">
        <w:rPr>
          <w:rFonts w:eastAsia="Times New Roman" w:cstheme="minorHAnsi"/>
          <w:lang w:eastAsia="en-GB"/>
        </w:rPr>
        <w:t>vaso</w:t>
      </w:r>
      <w:proofErr w:type="spellEnd"/>
      <w:r w:rsidRPr="005872FC">
        <w:rPr>
          <w:rFonts w:eastAsia="Times New Roman" w:cstheme="minorHAnsi"/>
          <w:lang w:eastAsia="en-GB"/>
        </w:rPr>
        <w:t>-occlusion.</w:t>
      </w:r>
      <w:r w:rsidRPr="005872FC">
        <w:rPr>
          <w:rFonts w:eastAsia="Times New Roman" w:cstheme="minorHAnsi"/>
          <w:position w:val="8"/>
          <w:lang w:eastAsia="en-GB"/>
        </w:rPr>
        <w:t xml:space="preserve"> </w:t>
      </w:r>
      <w:r w:rsidR="000B33C5" w:rsidRPr="005872FC">
        <w:rPr>
          <w:rFonts w:eastAsia="Times New Roman" w:cstheme="minorHAnsi"/>
          <w:position w:val="8"/>
          <w:lang w:eastAsia="en-GB"/>
        </w:rPr>
        <w:t xml:space="preserve"> </w:t>
      </w:r>
      <w:r w:rsidRPr="005872FC">
        <w:rPr>
          <w:rFonts w:eastAsia="Times New Roman" w:cstheme="minorHAnsi"/>
          <w:lang w:eastAsia="en-GB"/>
        </w:rPr>
        <w:t xml:space="preserve">Tait and Gibson, along with others, have shown sickle cells to have high PS exposure that is further increased by deoxygenation and the resulting </w:t>
      </w:r>
      <w:proofErr w:type="spellStart"/>
      <w:r w:rsidRPr="005872FC">
        <w:rPr>
          <w:rFonts w:eastAsia="Times New Roman" w:cstheme="minorHAnsi"/>
          <w:lang w:eastAsia="en-GB"/>
        </w:rPr>
        <w:t>HbS</w:t>
      </w:r>
      <w:proofErr w:type="spellEnd"/>
      <w:r w:rsidRPr="005872FC">
        <w:rPr>
          <w:rFonts w:eastAsia="Times New Roman" w:cstheme="minorHAnsi"/>
          <w:lang w:eastAsia="en-GB"/>
        </w:rPr>
        <w:t xml:space="preserve"> polymerisation and morphological distortion.</w:t>
      </w:r>
      <w:r w:rsidR="00D749F9" w:rsidRPr="005872FC">
        <w:rPr>
          <w:rFonts w:eastAsia="Times New Roman" w:cstheme="minorHAnsi"/>
          <w:lang w:eastAsia="en-GB"/>
        </w:rPr>
        <w:fldChar w:fldCharType="begin" w:fldLock="1"/>
      </w:r>
      <w:r w:rsidR="009E0118" w:rsidRPr="005872FC">
        <w:rPr>
          <w:rFonts w:eastAsia="Times New Roman" w:cstheme="minorHAnsi"/>
          <w:lang w:eastAsia="en-GB"/>
        </w:rPr>
        <w:instrText>ADDIN CSL_CITATION {"citationItems":[{"id":"ITEM-1","itemData":{"ISSN":"0022-2143","PMID":"8195679","abstract":"We investigated the use of annexin V (placental anticoagulant protein I), a calcium-dependent protein that binds tightly to phosphatidylserine-containing membranes, as a means to measure membrane phospholipid asymmetry in human erythrocytes. Iodine 125-labeled annexin V bound to erythrocytes in a specific, reversible, calcium-dependent reaction (dissociation constant = 25 +/- 4 nmol/L at 37 degrees C and 2.5 mmol/L calcium). Lysed erythrocytes contained 1.2 x 10(6) binding sites for annexin V. Treatment of erythrocytes with 1 mumol/L A23187 in the presence of 2.5 mmol/L calcium at 37 degrees C caused a gradual but marked increase in annexin V binding sites, reaching a level of approximately 300,000 sites per cell after 8 hours of incubation. We also noted a very gradual spontaneous exposure of annexin V binding sites during storage of purified erythrocytes, reaching a level of approximately 20,000 sites per cell after 30 days. Measurements could also be made directly on diluted whole blood specimens. In samples freshly drawn from 35 normal donors, a mean number of 276 sites per cell were present; this increased to 858 sites per cell after storage of specimens at 4 degrees C for 24 hours. Measurement of annexin V binding to samples from patients with sickle-cell anemia revealed a marked increase in binding (mean of 12,430 sites per cell for all samples); serial measurements in a patient hospitalized with sickle-cell crisis showed a progressive decline in annexin V binding over a period of 6 days.(ABSTRACT TRUNCATED AT 250 WORDS)","author":[{"dropping-particle":"","family":"Tait","given":"Jonathan F","non-dropping-particle":"","parse-names":false,"suffix":""},{"dropping-particle":"","family":"Gibson","given":"Donald","non-dropping-particle":"","parse-names":false,"suffix":""}],"container-title":"The Journal of laboratory and clinical medicine","id":"ITEM-1","issued":{"date-parts":[["1994"]]},"title":"Measurement of membrane phospholipid asymmetry in normal and sickle-cell erythrocytes by means of annexin V binding.","type":"article-journal"},"uris":["http://www.mendeley.com/documents/?uuid=751e9883-5d40-4d10-bd92-2cc4dce112f1"]},{"id":"ITEM-2","itemData":{"ISSN":"0006-4971","PMID":"8562945","abstract":"The phospholipids of the human red cell are distributed asymmetrically in the bilayer of the red cell membrane. In certain pathologic states, such as sickle cell anemia, phospholipid asymmetry is altered. Although several methods can be used to measure phospholipid organization, small organizational changes have been very difficult to assess. Moreover, these methods fail to identify subpopulations of cells that have lost their normal phospholipid asymmetry. Using fluorescently labeled annexin V in flow cytometry and fluorescent microscopy, we were able to identify and quantify red cells that had lost their phospholipid asymmetry in populations as small as 1 million cells. Moreover, loss of phospholipid organization in subpopulations as small as 0.1% of the total population could be identified, and individual cells could be studied by fluorescent microscopy. An excellent correlation was found between fluorescence-activated cell sorter (FACS) analysis results using annexin V to detect red cells with phosphatidylserine (PS) on their surface and a PS-requiring prothrombinase assay using similar red cells. Cells that bound fluorescein isothiocyanate (FITC)-labeled annexin V could be isolated from the population using magnetic beads covered with an anti-FITC antibody. Evaluation of blood samples from patients with sickle cell anemia under oxygenated conditions demonstrated the presence of subpopulations of cells that had lost phospholipid asymmetry. While only a few red cells were labeled in normal control samples (0.21% +/- 0.12%, n = 8), significantly increased (P &lt; .001) annexin V labeling was observed in samples from patients with sickle cell anemia (2.18% +/- 1.21%, n = 13). We conclude that loss of phospholipid asymmetry may occur in small subpopulations of red cells and that fluorescently labeled annexin V can be used to quantify and isolate these cells.","author":[{"dropping-particle":"","family":"Kuypers","given":"F A","non-dropping-particle":"","parse-names":false,"suffix":""},{"dropping-particle":"","family":"Lewis","given":"R A","non-dropping-particle":"","parse-names":false,"suffix":""},{"dropping-particle":"","family":"Hua","given":"M","non-dropping-particle":"","parse-names":false,"suffix":""},{"dropping-particle":"","family":"Schott","given":"M A","non-dropping-particle":"","parse-names":false,"suffix":""},{"dropping-particle":"","family":"Discher","given":"D","non-dropping-particle":"","parse-names":false,"suffix":""},{"dropping-particle":"","family":"Ernst","given":"J D","non-dropping-particle":"","parse-names":false,"suffix":""},{"dropping-particle":"","family":"Lubin","given":"B H","non-dropping-particle":"","parse-names":false,"suffix":""}],"container-title":"Blood","id":"ITEM-2","issue":"3","issued":{"date-parts":[["1996"]]},"page":"1179-87","title":"Detection of altered membrane phospholipid asymmetry in subpopulations of human red blood cells using fluorescently labeled annexin V.","type":"article-journal","volume":"87"},"uris":["http://www.mendeley.com/documents/?uuid=79d8b8b9-a923-4b04-b6f2-9e50a64b2fcb"]},{"id":"ITEM-3","itemData":{"DOI":"10.1016/j.ceca.2011.10.005","ISSN":"15321991","abstract":"Phosphatidylserine (PS) is usually confined to the inner leaflet of the red blood cell (RBC) membrane. It may become externalised in various conditions, however, notably in RBCs from patients with sickle cell disease (SCD) where exposed PS may contribute to anaemic and ischaemic complications. PS externalisation requires both inhibition of the aminophospholipid translocase (or flippase) and activation of the scramblase. Both may follow from elevation of intracellular Ca2+. Flippase inhibition occurs at low [Ca2+]i, about 1μM, but [Ca2+]i required for scrambling is reported to be much higher (around 100μM). In this work, FITC-labelled lactadherin and FACS were used to measure externalised PS, with [Ca2+]i altered using bromo-A23187 and EGTA/Ca2+ mixtures. Two components of Ca2+-induced scrambling were apparent, of high (EC50 1.8±0.3μM) and low (306±123μM) affinity, in RBCs from normal individuals and the commonest SCD genotypes, HbSS and HbSC. The high affinity component was lost in the presence of unphysiologically high [Mg2+] but was unaffected by high K+ (90mM) or vanadate (1mM). The high affinity component accounted for PS scrambling in ≥2/3rd RBCs. It is likely to be most significant in vivo and may be involved in the pathophysiology of SCD or other conditions involving eryptosis. © 2011 Elsevier Ltd.","author":[{"dropping-particle":"","family":"Weiss","given":"Erwin","non-dropping-particle":"","parse-names":false,"suffix":""},{"dropping-particle":"","family":"Cytlak","given":"Urszula M.","non-dropping-particle":"","parse-names":false,"suffix":""},{"dropping-particle":"","family":"Rees","given":"David C.","non-dropping-particle":"","parse-names":false,"suffix":""},{"dropping-particle":"","family":"Osei","given":"Anna","non-dropping-particle":"","parse-names":false,"suffix":""},{"dropping-particle":"","family":"Gibson","given":"John S.","non-dropping-particle":"","parse-names":false,"suffix":""}],"container-title":"Cell Calcium","id":"ITEM-3","issued":{"date-parts":[["2012"]]},"title":"Deoxygenation-induced and Ca2+ dependent phosphatidylserine externalisation in red blood cells from normal individuals and sickle cell patients","type":"article-journal"},"uris":["http://www.mendeley.com/documents/?uuid=459f1215-b0b6-4792-a242-c5d73c03a66f"]}],"mendeley":{"formattedCitation":"&lt;sup&gt;14,20,21&lt;/sup&gt;","plainTextFormattedCitation":"14,20,21","previouslyFormattedCitation":"&lt;sup&gt;14,20,21&lt;/sup&gt;"},"properties":{"noteIndex":0},"schema":"https://github.com/citation-style-language/schema/raw/master/csl-citation.json"}</w:instrText>
      </w:r>
      <w:r w:rsidR="00D749F9" w:rsidRPr="005872FC">
        <w:rPr>
          <w:rFonts w:eastAsia="Times New Roman" w:cstheme="minorHAnsi"/>
          <w:lang w:eastAsia="en-GB"/>
        </w:rPr>
        <w:fldChar w:fldCharType="separate"/>
      </w:r>
      <w:r w:rsidR="00D749F9" w:rsidRPr="005872FC">
        <w:rPr>
          <w:rFonts w:eastAsia="Times New Roman" w:cstheme="minorHAnsi"/>
          <w:noProof/>
          <w:vertAlign w:val="superscript"/>
          <w:lang w:eastAsia="en-GB"/>
        </w:rPr>
        <w:t>14,20,21</w:t>
      </w:r>
      <w:r w:rsidR="00D749F9" w:rsidRPr="005872FC">
        <w:rPr>
          <w:rFonts w:eastAsia="Times New Roman" w:cstheme="minorHAnsi"/>
          <w:lang w:eastAsia="en-GB"/>
        </w:rPr>
        <w:fldChar w:fldCharType="end"/>
      </w:r>
      <w:r w:rsidRPr="005872FC">
        <w:rPr>
          <w:rFonts w:eastAsia="Times New Roman" w:cstheme="minorHAnsi"/>
          <w:position w:val="8"/>
          <w:lang w:eastAsia="en-GB"/>
        </w:rPr>
        <w:t xml:space="preserve"> </w:t>
      </w:r>
    </w:p>
    <w:p w14:paraId="598D915E" w14:textId="77777777" w:rsidR="00A10CC0" w:rsidRPr="00337148" w:rsidRDefault="00A10CC0" w:rsidP="00A10CC0">
      <w:pPr>
        <w:rPr>
          <w:rFonts w:eastAsia="Times New Roman" w:cstheme="minorHAnsi"/>
          <w:position w:val="8"/>
          <w:lang w:eastAsia="en-GB"/>
        </w:rPr>
      </w:pPr>
    </w:p>
    <w:p w14:paraId="576B23B3" w14:textId="77777777" w:rsidR="0046413A" w:rsidRDefault="00EB0E26">
      <w:r w:rsidRPr="0053136E">
        <w:t>In order to</w:t>
      </w:r>
      <w:r w:rsidR="00A10CC0" w:rsidRPr="0053136E">
        <w:t xml:space="preserve"> elucidate</w:t>
      </w:r>
      <w:r w:rsidRPr="0053136E">
        <w:t xml:space="preserve"> further</w:t>
      </w:r>
      <w:r w:rsidR="00A10CC0" w:rsidRPr="0053136E">
        <w:t xml:space="preserve"> the mechanism of cell adhesion and any changes on deoxygenation in sickle cells, as well as its link to molecular changes in the membrane itself, we have used </w:t>
      </w:r>
      <w:r w:rsidR="006D300C" w:rsidRPr="0053136E">
        <w:t>atomic force microscopy nano-infrared spectroscopy (</w:t>
      </w:r>
      <w:r w:rsidR="00A10CC0" w:rsidRPr="0053136E">
        <w:t>AFM-IR</w:t>
      </w:r>
      <w:r w:rsidR="006D300C" w:rsidRPr="0053136E">
        <w:t>)</w:t>
      </w:r>
      <w:r w:rsidR="00A10CC0" w:rsidRPr="0053136E">
        <w:t xml:space="preserve"> to measure the frictional, adhesive and IR characteristics of the surface of </w:t>
      </w:r>
      <w:r w:rsidR="0022727D" w:rsidRPr="0053136E">
        <w:t>RBCs</w:t>
      </w:r>
      <w:r w:rsidR="00A10CC0" w:rsidRPr="0053136E">
        <w:t xml:space="preserve"> </w:t>
      </w:r>
      <w:r w:rsidR="00B220CD" w:rsidRPr="0053136E">
        <w:t>fixed in both oxygenation states</w:t>
      </w:r>
      <w:r w:rsidR="00C27628" w:rsidRPr="0053136E">
        <w:t xml:space="preserve">. Furthermore, as sickle cells are known to show far greater adhesion than cells from normal individuals, </w:t>
      </w:r>
      <w:r w:rsidR="00B220CD" w:rsidRPr="0053136E">
        <w:t xml:space="preserve">membrane adhesion profiles </w:t>
      </w:r>
      <w:r w:rsidR="00C27628" w:rsidRPr="0053136E">
        <w:t xml:space="preserve">were compared </w:t>
      </w:r>
      <w:r w:rsidR="00B220CD" w:rsidRPr="0053136E">
        <w:t xml:space="preserve">for cells </w:t>
      </w:r>
      <w:r w:rsidR="00A10CC0" w:rsidRPr="0053136E">
        <w:t>from both normal individuals (</w:t>
      </w:r>
      <w:proofErr w:type="spellStart"/>
      <w:r w:rsidR="00A10CC0" w:rsidRPr="0053136E">
        <w:t>HbAA</w:t>
      </w:r>
      <w:proofErr w:type="spellEnd"/>
      <w:r w:rsidR="00A10CC0" w:rsidRPr="0053136E">
        <w:t xml:space="preserve"> genotype) and SCD patients</w:t>
      </w:r>
      <w:r w:rsidR="00236E1E" w:rsidRPr="0053136E">
        <w:t xml:space="preserve"> (homozygous </w:t>
      </w:r>
      <w:proofErr w:type="spellStart"/>
      <w:r w:rsidR="00236E1E" w:rsidRPr="0053136E">
        <w:t>HbSS</w:t>
      </w:r>
      <w:proofErr w:type="spellEnd"/>
      <w:r w:rsidR="00236E1E" w:rsidRPr="0053136E">
        <w:t>)</w:t>
      </w:r>
      <w:r w:rsidR="00A10CC0" w:rsidRPr="0053136E">
        <w:t xml:space="preserve">. </w:t>
      </w:r>
      <w:r w:rsidR="000B33C5" w:rsidRPr="0053136E">
        <w:t xml:space="preserve"> </w:t>
      </w:r>
      <w:r w:rsidR="00A10CC0" w:rsidRPr="0053136E">
        <w:t xml:space="preserve">AFM-IR uses the force microscope tip to detect infrared absorption on a surface </w:t>
      </w:r>
      <w:r w:rsidR="00B220CD" w:rsidRPr="0053136E">
        <w:t>through</w:t>
      </w:r>
      <w:r w:rsidR="00A10CC0" w:rsidRPr="0053136E">
        <w:t xml:space="preserve"> the photothermal effect, circumventing the Abbe diffraction limit and yielding nano-scale point spectra and spectral maps of the surface.</w:t>
      </w:r>
      <w:r w:rsidR="000B33C5" w:rsidRPr="0053136E">
        <w:t xml:space="preserve"> </w:t>
      </w:r>
      <w:r w:rsidR="00B51E47" w:rsidRPr="0053136E">
        <w:t xml:space="preserve">When the frequency of the incident IR radiation coincides with a vibrational transition within the substrate, the light is absorbed. This </w:t>
      </w:r>
      <w:r w:rsidR="009210A9" w:rsidRPr="0053136E">
        <w:t xml:space="preserve">results in local heating and thus a subsequent rapid thermal expansion which, if in the vicinity of the surface, </w:t>
      </w:r>
      <w:r w:rsidR="00241AC1" w:rsidRPr="0053136E">
        <w:t xml:space="preserve">displaces </w:t>
      </w:r>
      <w:r w:rsidR="009210A9" w:rsidRPr="0053136E">
        <w:t>the AFM tip and result</w:t>
      </w:r>
      <w:r w:rsidR="00241AC1" w:rsidRPr="0053136E">
        <w:t>s</w:t>
      </w:r>
      <w:r w:rsidR="009210A9" w:rsidRPr="0053136E">
        <w:t xml:space="preserve"> in oscillations of the cantilever. The amplitude of these oscillations is proportional to the IR absorption coefficient and hence can be measured to </w:t>
      </w:r>
      <w:r w:rsidR="009210A9" w:rsidRPr="0053136E">
        <w:lastRenderedPageBreak/>
        <w:t xml:space="preserve">give an IR intensity for the surface region directly beneath the tip. </w:t>
      </w:r>
      <w:r w:rsidR="008C1B01" w:rsidRPr="0053136E">
        <w:t>Th</w:t>
      </w:r>
      <w:r w:rsidR="00F3499C" w:rsidRPr="0053136E">
        <w:t>is</w:t>
      </w:r>
      <w:r w:rsidR="008C1B01" w:rsidRPr="0053136E">
        <w:t xml:space="preserve"> is schematically represented in </w:t>
      </w:r>
      <w:r w:rsidR="006E04B6" w:rsidRPr="0053136E">
        <w:fldChar w:fldCharType="begin"/>
      </w:r>
      <w:r w:rsidR="006E04B6" w:rsidRPr="0053136E">
        <w:instrText xml:space="preserve"> REF _Ref44193455 \h </w:instrText>
      </w:r>
      <w:r w:rsidR="006E04B6" w:rsidRPr="0053136E">
        <w:fldChar w:fldCharType="separate"/>
      </w:r>
      <w:r w:rsidR="006E04B6" w:rsidRPr="0053136E">
        <w:t xml:space="preserve">Figure </w:t>
      </w:r>
      <w:r w:rsidR="006E04B6" w:rsidRPr="0053136E">
        <w:rPr>
          <w:noProof/>
        </w:rPr>
        <w:t>1</w:t>
      </w:r>
      <w:r w:rsidR="006E04B6" w:rsidRPr="0053136E">
        <w:fldChar w:fldCharType="end"/>
      </w:r>
      <w:r w:rsidR="00241AC1" w:rsidRPr="0053136E">
        <w:t>.</w:t>
      </w:r>
      <w:r w:rsidR="008C1B01" w:rsidRPr="0053136E">
        <w:t xml:space="preserve"> </w:t>
      </w:r>
      <w:r w:rsidR="00241AC1" w:rsidRPr="0053136E">
        <w:t>G</w:t>
      </w:r>
      <w:r w:rsidR="009210A9" w:rsidRPr="0053136E">
        <w:t xml:space="preserve">reater detail of </w:t>
      </w:r>
      <w:r w:rsidR="00F3499C" w:rsidRPr="0053136E">
        <w:t xml:space="preserve">the </w:t>
      </w:r>
      <w:r w:rsidR="009210A9" w:rsidRPr="0053136E">
        <w:t>photothermal AFM-IR method can be found elsewhere.</w:t>
      </w:r>
      <w:r w:rsidR="009210A9" w:rsidRPr="0053136E">
        <w:fldChar w:fldCharType="begin" w:fldLock="1"/>
      </w:r>
      <w:r w:rsidR="009210A9" w:rsidRPr="0053136E">
        <w:instrText>ADDIN CSL_CITATION {"citationItems":[{"id":"ITEM-1","itemData":{"DOI":"10.1366/12-06804","ISSN":"00037028","abstract":"Polymer and life science applications of a technique that combines atomic force microscopy (AFM) and infrared (IR) spectroscopy to obtain nanoscale IR spectra and images are reviewed. The AFM-IR spectra generated from this technique contain the same information with respect to molecular structure as conventional IR spectroscopy measurements, allowing significant leverage of existing expertise in IR spectroscopy. The AFM-IR technique can be used to acquire IR absorption spectra and absorption images with spatial resolution on the 50 to 100 nm scale, versus the scale of many micrometers or more for conventional IR spectroscopy. In the life sciences, experiments have demonstrated the capacity to perform chemical spectroscopy at the sub-cellular level. Specifically, the AFM-IR technique provides a label-free method for mapping IR-absorbing species in biological materials. On the polymer side, AFM-IR was used to map the IR absorption properties of polymer blends, multilayer films, thin films for active devices such as organic photovoltaics, microdomains in a semicrystalline polyhydroxyalkanoate copolymer, as well as model pharmaceutical blend systems. The ability to obtain spatially resolved IR spectra as well as high-resolution chemical images collected at specific IR wavenumbers was demonstrated. Complementary measurements mapping variations in sample stiffness were also obtained by tracking changes in the cantilever contact resonance frequency. Finally, it was shown that by taking advantage of the ability to arbitrarily control the polarization direction of the IR excitation laser, it is possible to obtain important information regarding molecular orientation in electrospun nanofibers. © 2012 Society for Applied Spectroscopy.","author":[{"dropping-particle":"","family":"Dazzi","given":"Alexandre","non-dropping-particle":"","parse-names":false,"suffix":""},{"dropping-particle":"","family":"Prater","given":"Craig B.","non-dropping-particle":"","parse-names":false,"suffix":""},{"dropping-particle":"","family":"Hu","given":"Qichi","non-dropping-particle":"","parse-names":false,"suffix":""},{"dropping-particle":"","family":"Chase","given":"D. Bruce","non-dropping-particle":"","parse-names":false,"suffix":""},{"dropping-particle":"","family":"Rabolt","given":"John F.","non-dropping-particle":"","parse-names":false,"suffix":""},{"dropping-particle":"","family":"Marcott","given":"Curtis","non-dropping-particle":"","parse-names":false,"suffix":""}],"container-title":"Applied Spectroscopy","id":"ITEM-1","issue":"12","issued":{"date-parts":[["2012"]]},"page":"1365-1384","title":"AFM-IR: Combining atomic force microscopy and infrared spectroscopy for nanoscale chemical characterization","type":"article-journal","volume":"66"},"uris":["http://www.mendeley.com/documents/?uuid=c97b6840-a6af-4661-a37e-b9d0ffe0ac2b"]}],"mendeley":{"formattedCitation":"&lt;sup&gt;22&lt;/sup&gt;","plainTextFormattedCitation":"22","previouslyFormattedCitation":"&lt;sup&gt;22&lt;/sup&gt;"},"properties":{"noteIndex":0},"schema":"https://github.com/citation-style-language/schema/raw/master/csl-citation.json"}</w:instrText>
      </w:r>
      <w:r w:rsidR="009210A9" w:rsidRPr="0053136E">
        <w:fldChar w:fldCharType="separate"/>
      </w:r>
      <w:r w:rsidR="009210A9" w:rsidRPr="0053136E">
        <w:rPr>
          <w:noProof/>
          <w:vertAlign w:val="superscript"/>
        </w:rPr>
        <w:t>22</w:t>
      </w:r>
      <w:r w:rsidR="009210A9" w:rsidRPr="0053136E">
        <w:fldChar w:fldCharType="end"/>
      </w:r>
      <w:r w:rsidR="009210A9" w:rsidRPr="0053136E">
        <w:t xml:space="preserve"> </w:t>
      </w:r>
      <w:r w:rsidR="00B51E47" w:rsidRPr="0053136E">
        <w:t xml:space="preserve"> </w:t>
      </w:r>
      <w:r w:rsidR="00A10CC0" w:rsidRPr="0053136E">
        <w:t xml:space="preserve">Furthermore, the AFM tip can be used to measure frictional properties by means of the lateral torsion on the tip and its cantilever, leading to measurable deflection, as well as the detachment force at specific locations on the surface. </w:t>
      </w:r>
      <w:r w:rsidR="000B33C5" w:rsidRPr="0053136E">
        <w:t xml:space="preserve"> </w:t>
      </w:r>
      <w:r w:rsidR="00A10CC0" w:rsidRPr="0053136E">
        <w:t xml:space="preserve">The aim of this work is to probe the effect of deoxygenation of RBCs as well as any differences between </w:t>
      </w:r>
      <w:r w:rsidR="005A3670" w:rsidRPr="0053136E">
        <w:t xml:space="preserve">RBCs from </w:t>
      </w:r>
      <w:r w:rsidR="00A10CC0" w:rsidRPr="0053136E">
        <w:t>normal</w:t>
      </w:r>
      <w:r w:rsidR="005A3670" w:rsidRPr="0053136E">
        <w:t xml:space="preserve"> individuals</w:t>
      </w:r>
      <w:r w:rsidR="00A10CC0" w:rsidRPr="0053136E">
        <w:t xml:space="preserve"> and </w:t>
      </w:r>
      <w:r w:rsidR="005A3670" w:rsidRPr="0053136E">
        <w:t>those from SCD patients</w:t>
      </w:r>
      <w:r w:rsidR="00A10CC0" w:rsidRPr="0053136E">
        <w:t xml:space="preserve"> exhibiting the </w:t>
      </w:r>
      <w:proofErr w:type="spellStart"/>
      <w:r w:rsidR="00A10CC0" w:rsidRPr="0053136E">
        <w:t>HbS</w:t>
      </w:r>
      <w:proofErr w:type="spellEnd"/>
      <w:r w:rsidR="00A10CC0" w:rsidRPr="0053136E">
        <w:t xml:space="preserve"> mutation. </w:t>
      </w:r>
      <w:r w:rsidR="000B33C5" w:rsidRPr="0053136E">
        <w:t xml:space="preserve"> </w:t>
      </w:r>
      <w:r w:rsidR="0032145C" w:rsidRPr="0053136E">
        <w:t>Differences between the membranes of each type of cell have been studied for oxidative damage as well as PS lipid exposure to determine the characteristic alterations that result in significantly increased adhesion that is observed for hypoxic sickle cells.</w:t>
      </w:r>
    </w:p>
    <w:p w14:paraId="35E6E3E1" w14:textId="55A0D965" w:rsidR="0046413A" w:rsidRDefault="0046413A"/>
    <w:p w14:paraId="16C0EB9C" w14:textId="77777777" w:rsidR="0046413A" w:rsidRDefault="0046413A"/>
    <w:p w14:paraId="75C10E32" w14:textId="77777777" w:rsidR="0046413A" w:rsidRDefault="0046413A" w:rsidP="0046413A">
      <w:pPr>
        <w:keepNext/>
        <w:jc w:val="center"/>
      </w:pPr>
      <w:r>
        <w:rPr>
          <w:noProof/>
          <w:lang w:eastAsia="en-GB"/>
        </w:rPr>
        <w:drawing>
          <wp:inline distT="0" distB="0" distL="0" distR="0" wp14:anchorId="66C692F3" wp14:editId="6B006591">
            <wp:extent cx="3779153" cy="2960895"/>
            <wp:effectExtent l="0" t="0" r="0" b="0"/>
            <wp:docPr id="3" name="Picture 3" descr="A close up of a 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hotothermal AFM Schematic.png"/>
                    <pic:cNvPicPr/>
                  </pic:nvPicPr>
                  <pic:blipFill>
                    <a:blip r:embed="rId10" cstate="print">
                      <a:extLst>
                        <a:ext uri="{28A0092B-C50C-407E-A947-70E740481C1C}">
                          <a14:useLocalDpi xmlns:a14="http://schemas.microsoft.com/office/drawing/2010/main" val="0"/>
                        </a:ext>
                      </a:extLst>
                    </a:blip>
                    <a:stretch>
                      <a:fillRect/>
                    </a:stretch>
                  </pic:blipFill>
                  <pic:spPr>
                    <a:xfrm>
                      <a:off x="0" y="0"/>
                      <a:ext cx="3797500" cy="2975270"/>
                    </a:xfrm>
                    <a:prstGeom prst="rect">
                      <a:avLst/>
                    </a:prstGeom>
                  </pic:spPr>
                </pic:pic>
              </a:graphicData>
            </a:graphic>
          </wp:inline>
        </w:drawing>
      </w:r>
    </w:p>
    <w:p w14:paraId="0A4A7DBE" w14:textId="77777777" w:rsidR="0046413A" w:rsidRPr="0053136E" w:rsidRDefault="0046413A" w:rsidP="0046413A">
      <w:pPr>
        <w:pStyle w:val="Caption"/>
        <w:rPr>
          <w:color w:val="auto"/>
          <w:sz w:val="24"/>
          <w:szCs w:val="24"/>
          <w:lang w:eastAsia="en-GB"/>
        </w:rPr>
      </w:pPr>
      <w:bookmarkStart w:id="0" w:name="_Ref44193455"/>
      <w:r w:rsidRPr="0053136E">
        <w:rPr>
          <w:color w:val="auto"/>
          <w:sz w:val="24"/>
          <w:szCs w:val="24"/>
        </w:rPr>
        <w:t xml:space="preserve">Figure </w:t>
      </w:r>
      <w:r w:rsidRPr="0053136E">
        <w:rPr>
          <w:color w:val="auto"/>
          <w:sz w:val="24"/>
          <w:szCs w:val="24"/>
        </w:rPr>
        <w:fldChar w:fldCharType="begin"/>
      </w:r>
      <w:r w:rsidRPr="0053136E">
        <w:rPr>
          <w:color w:val="auto"/>
          <w:sz w:val="24"/>
          <w:szCs w:val="24"/>
        </w:rPr>
        <w:instrText xml:space="preserve"> SEQ Figure \* ARABIC </w:instrText>
      </w:r>
      <w:r w:rsidRPr="0053136E">
        <w:rPr>
          <w:color w:val="auto"/>
          <w:sz w:val="24"/>
          <w:szCs w:val="24"/>
        </w:rPr>
        <w:fldChar w:fldCharType="separate"/>
      </w:r>
      <w:r w:rsidRPr="0053136E">
        <w:rPr>
          <w:noProof/>
          <w:color w:val="auto"/>
          <w:sz w:val="24"/>
          <w:szCs w:val="24"/>
        </w:rPr>
        <w:t>1</w:t>
      </w:r>
      <w:r w:rsidRPr="0053136E">
        <w:rPr>
          <w:color w:val="auto"/>
          <w:sz w:val="24"/>
          <w:szCs w:val="24"/>
        </w:rPr>
        <w:fldChar w:fldCharType="end"/>
      </w:r>
      <w:bookmarkEnd w:id="0"/>
      <w:r w:rsidRPr="0053136E">
        <w:rPr>
          <w:color w:val="auto"/>
          <w:sz w:val="24"/>
          <w:szCs w:val="24"/>
        </w:rPr>
        <w:t>: Schematic representation of the photothermal AFM-IR technique for achieving nanoscale IR mapping and spectra.</w:t>
      </w:r>
    </w:p>
    <w:p w14:paraId="13AC5488" w14:textId="09455E18" w:rsidR="00337148" w:rsidRPr="0053136E" w:rsidRDefault="00337148"/>
    <w:p w14:paraId="090C562B" w14:textId="4BF92EA3" w:rsidR="00A10CC0" w:rsidRPr="00650410" w:rsidRDefault="00A10CC0" w:rsidP="00650410">
      <w:pPr>
        <w:pStyle w:val="ListParagraph"/>
        <w:numPr>
          <w:ilvl w:val="0"/>
          <w:numId w:val="7"/>
        </w:numPr>
        <w:rPr>
          <w:b/>
          <w:bCs/>
          <w:sz w:val="28"/>
          <w:szCs w:val="28"/>
        </w:rPr>
      </w:pPr>
      <w:r w:rsidRPr="00650410">
        <w:rPr>
          <w:b/>
          <w:bCs/>
          <w:sz w:val="28"/>
          <w:szCs w:val="28"/>
        </w:rPr>
        <w:t>Methods</w:t>
      </w:r>
    </w:p>
    <w:p w14:paraId="39525B9B" w14:textId="77777777" w:rsidR="00A10CC0" w:rsidRPr="00337148" w:rsidRDefault="00A10CC0" w:rsidP="00A10CC0"/>
    <w:p w14:paraId="21651813" w14:textId="65B62EDB" w:rsidR="00720085" w:rsidRPr="00337148" w:rsidRDefault="005872FC" w:rsidP="00720085">
      <w:pPr>
        <w:outlineLvl w:val="0"/>
        <w:rPr>
          <w:rFonts w:cs="Arial"/>
          <w:i/>
        </w:rPr>
      </w:pPr>
      <w:r>
        <w:rPr>
          <w:rFonts w:cs="Arial"/>
          <w:i/>
        </w:rPr>
        <w:t xml:space="preserve">2.1 </w:t>
      </w:r>
      <w:r w:rsidR="00720085" w:rsidRPr="00337148">
        <w:rPr>
          <w:rFonts w:cs="Arial"/>
          <w:i/>
        </w:rPr>
        <w:t>Sample collection and handling</w:t>
      </w:r>
    </w:p>
    <w:p w14:paraId="3E5942BB" w14:textId="3DB55057" w:rsidR="00720085" w:rsidRPr="00337148" w:rsidRDefault="00720085" w:rsidP="00720085">
      <w:r w:rsidRPr="00337148">
        <w:t>Patients ho</w:t>
      </w:r>
      <w:r w:rsidR="00B94D6C">
        <w:t>mozygous for sickle cell disease</w:t>
      </w:r>
      <w:r w:rsidRPr="00337148">
        <w:t xml:space="preserve">, </w:t>
      </w:r>
      <w:proofErr w:type="spellStart"/>
      <w:r w:rsidRPr="00337148">
        <w:t>HbSS</w:t>
      </w:r>
      <w:proofErr w:type="spellEnd"/>
      <w:r w:rsidRPr="00337148">
        <w:t xml:space="preserve"> genotype</w:t>
      </w:r>
      <w:r w:rsidR="00B94D6C">
        <w:t>,</w:t>
      </w:r>
      <w:r w:rsidRPr="00337148">
        <w:t xml:space="preserve"> attended the sickle cell clinic at King’s College Hospital, London.  Consented blood samples were taken into the anticoagulant EDTA.  The study was approved by the National Research Ethics Committee</w:t>
      </w:r>
      <w:r w:rsidRPr="00337148">
        <w:rPr>
          <w:color w:val="FF0000"/>
        </w:rPr>
        <w:t xml:space="preserve"> </w:t>
      </w:r>
      <w:r w:rsidRPr="00337148">
        <w:t xml:space="preserve">(reference 16/LO/1309).  All research was conducted with ethical approval and in accordance with the Helsinki Declaration of 1975, as revised in 2008. </w:t>
      </w:r>
    </w:p>
    <w:p w14:paraId="0161D1C2" w14:textId="77777777" w:rsidR="00720085" w:rsidRPr="00337148" w:rsidRDefault="00720085" w:rsidP="00720085">
      <w:pPr>
        <w:rPr>
          <w:rFonts w:cs="Arial"/>
          <w:i/>
        </w:rPr>
      </w:pPr>
    </w:p>
    <w:p w14:paraId="20B8C071" w14:textId="59323C11" w:rsidR="00720085" w:rsidRPr="00337148" w:rsidRDefault="005872FC" w:rsidP="00720085">
      <w:pPr>
        <w:outlineLvl w:val="0"/>
        <w:rPr>
          <w:rFonts w:cs="Arial"/>
          <w:i/>
        </w:rPr>
      </w:pPr>
      <w:r>
        <w:rPr>
          <w:rFonts w:cs="Arial"/>
          <w:i/>
        </w:rPr>
        <w:t xml:space="preserve">2.2 </w:t>
      </w:r>
      <w:r w:rsidR="00720085" w:rsidRPr="00337148">
        <w:rPr>
          <w:rFonts w:cs="Arial"/>
          <w:i/>
        </w:rPr>
        <w:t>Solutions and red cell preparation</w:t>
      </w:r>
    </w:p>
    <w:p w14:paraId="3485B246" w14:textId="2496D26E" w:rsidR="00720085" w:rsidRPr="0053136E" w:rsidRDefault="00720085" w:rsidP="00A10CC0">
      <w:r w:rsidRPr="0053136E">
        <w:rPr>
          <w:rFonts w:cs="Arial"/>
        </w:rPr>
        <w:t xml:space="preserve">The standard saline was </w:t>
      </w:r>
      <w:r w:rsidRPr="0053136E">
        <w:rPr>
          <w:rFonts w:cs="Arial"/>
          <w:shd w:val="clear" w:color="auto" w:fill="FDFDFD"/>
        </w:rPr>
        <w:t xml:space="preserve">buffered with </w:t>
      </w:r>
      <w:r w:rsidRPr="0053136E">
        <w:rPr>
          <w:rStyle w:val="Strong"/>
          <w:rFonts w:cs="Arial"/>
          <w:b w:val="0"/>
          <w:shd w:val="clear" w:color="auto" w:fill="FDFDFD"/>
        </w:rPr>
        <w:t>4-(2-hydroxyethyl)piperazine-1-ethanesulfonic acid (</w:t>
      </w:r>
      <w:r w:rsidRPr="0053136E">
        <w:rPr>
          <w:rFonts w:cs="Arial"/>
        </w:rPr>
        <w:t xml:space="preserve">HEPES), and comprised (in mM):  NaCl 145, </w:t>
      </w:r>
      <w:proofErr w:type="spellStart"/>
      <w:r w:rsidRPr="0053136E">
        <w:rPr>
          <w:rFonts w:cs="Arial"/>
        </w:rPr>
        <w:t>KCl</w:t>
      </w:r>
      <w:proofErr w:type="spellEnd"/>
      <w:r w:rsidRPr="0053136E">
        <w:rPr>
          <w:rFonts w:cs="Arial"/>
        </w:rPr>
        <w:t xml:space="preserve"> 5, CaCl</w:t>
      </w:r>
      <w:r w:rsidRPr="0053136E">
        <w:rPr>
          <w:rFonts w:cs="Arial"/>
          <w:vertAlign w:val="subscript"/>
        </w:rPr>
        <w:t>2</w:t>
      </w:r>
      <w:r w:rsidRPr="0053136E">
        <w:rPr>
          <w:rFonts w:cs="Arial"/>
        </w:rPr>
        <w:t xml:space="preserve"> 1.1, MgCl</w:t>
      </w:r>
      <w:r w:rsidRPr="0053136E">
        <w:rPr>
          <w:rFonts w:cs="Arial"/>
          <w:vertAlign w:val="subscript"/>
        </w:rPr>
        <w:t>2</w:t>
      </w:r>
      <w:r w:rsidRPr="0053136E">
        <w:rPr>
          <w:rFonts w:cs="Arial"/>
        </w:rPr>
        <w:t xml:space="preserve"> 0.15, inosine 10 and HEPES 10, with pH 7.4 at 37 </w:t>
      </w:r>
      <w:r w:rsidRPr="0053136E">
        <w:rPr>
          <w:rFonts w:cs="Arial"/>
          <w:vertAlign w:val="superscript"/>
        </w:rPr>
        <w:t>°</w:t>
      </w:r>
      <w:r w:rsidRPr="0053136E">
        <w:rPr>
          <w:rFonts w:cs="Arial"/>
        </w:rPr>
        <w:t xml:space="preserve">C, and an osmolality of 290 </w:t>
      </w:r>
      <w:r w:rsidRPr="0053136E">
        <w:rPr>
          <w:rFonts w:cs="Arial"/>
        </w:rPr>
        <w:sym w:font="Symbol" w:char="F0B1"/>
      </w:r>
      <w:r w:rsidRPr="0053136E">
        <w:rPr>
          <w:rFonts w:cs="Arial"/>
        </w:rPr>
        <w:t xml:space="preserve"> 5 mOsm.kg</w:t>
      </w:r>
      <w:r w:rsidRPr="0053136E">
        <w:rPr>
          <w:rFonts w:cs="Arial"/>
          <w:vertAlign w:val="superscript"/>
        </w:rPr>
        <w:t>-1</w:t>
      </w:r>
      <w:r w:rsidRPr="0053136E">
        <w:rPr>
          <w:rFonts w:cs="Arial"/>
        </w:rPr>
        <w:t xml:space="preserve">.  After washing three times (600 g, 3 min) to remove plasma and buffy coat, </w:t>
      </w:r>
      <w:r w:rsidR="00B94D6C" w:rsidRPr="0053136E">
        <w:rPr>
          <w:rFonts w:cs="Arial"/>
        </w:rPr>
        <w:t>RBCs</w:t>
      </w:r>
      <w:r w:rsidRPr="0053136E">
        <w:rPr>
          <w:rFonts w:cs="Arial"/>
        </w:rPr>
        <w:t xml:space="preserve"> were resuspended at </w:t>
      </w:r>
      <w:proofErr w:type="gramStart"/>
      <w:r w:rsidRPr="0053136E">
        <w:rPr>
          <w:rFonts w:cs="Arial"/>
        </w:rPr>
        <w:t>an</w:t>
      </w:r>
      <w:proofErr w:type="gramEnd"/>
      <w:r w:rsidRPr="0053136E">
        <w:rPr>
          <w:rFonts w:cs="Arial"/>
        </w:rPr>
        <w:t xml:space="preserve"> haematocrit of 1 %.  They were then placed in gently rotating Eschweiler </w:t>
      </w:r>
      <w:proofErr w:type="spellStart"/>
      <w:r w:rsidRPr="0053136E">
        <w:rPr>
          <w:rFonts w:cs="Arial"/>
        </w:rPr>
        <w:t>tonometers</w:t>
      </w:r>
      <w:proofErr w:type="spellEnd"/>
      <w:r w:rsidRPr="0053136E">
        <w:rPr>
          <w:rFonts w:cs="Arial"/>
        </w:rPr>
        <w:t xml:space="preserve"> (37 </w:t>
      </w:r>
      <w:proofErr w:type="spellStart"/>
      <w:r w:rsidRPr="0053136E">
        <w:rPr>
          <w:rFonts w:cs="Arial"/>
          <w:vertAlign w:val="superscript"/>
        </w:rPr>
        <w:t>o</w:t>
      </w:r>
      <w:r w:rsidRPr="0053136E">
        <w:rPr>
          <w:rFonts w:cs="Arial"/>
        </w:rPr>
        <w:t>C</w:t>
      </w:r>
      <w:proofErr w:type="spellEnd"/>
      <w:r w:rsidRPr="0053136E">
        <w:rPr>
          <w:rFonts w:cs="Arial"/>
        </w:rPr>
        <w:t xml:space="preserve">) </w:t>
      </w:r>
      <w:r w:rsidRPr="0053136E">
        <w:rPr>
          <w:rFonts w:cs="Arial"/>
        </w:rPr>
        <w:lastRenderedPageBreak/>
        <w:t>flushed with gas at an oxygen tension of either 100 (oxygenated) or 0 (deoxygenated) mmHg (with air replaced with N</w:t>
      </w:r>
      <w:r w:rsidRPr="0053136E">
        <w:rPr>
          <w:rFonts w:cs="Arial"/>
          <w:vertAlign w:val="subscript"/>
        </w:rPr>
        <w:t>2</w:t>
      </w:r>
      <w:r w:rsidRPr="0053136E">
        <w:rPr>
          <w:rFonts w:cs="Arial"/>
        </w:rPr>
        <w:t>).</w:t>
      </w:r>
      <w:r w:rsidR="00C00AD9" w:rsidRPr="0053136E">
        <w:rPr>
          <w:rFonts w:cs="Arial"/>
        </w:rPr>
        <w:fldChar w:fldCharType="begin" w:fldLock="1"/>
      </w:r>
      <w:r w:rsidR="0027776D" w:rsidRPr="0053136E">
        <w:rPr>
          <w:rFonts w:cs="Arial"/>
        </w:rPr>
        <w:instrText>ADDIN CSL_CITATION {"citationItems":[{"id":"ITEM-1","itemData":{"DOI":"10.1152/ajpcell.1997.273.6.c1811","ISSN":"03636143","abstract":"K influx into equine red blood cells (RBCs) was measured using 86Rb as a tracer for K under conditions designed to mimic the changes in respiratory blood parameters that occur in vivo during strenuous exercise. The effects on K influx of physiological changes in pH, cell volume, O2 tension (PO2), CO2 tension (CO2), and bicarbonate and lactate concentrations were defined. Physiological PO2 exerted a dominant controlling influence on the H+- stimulated Cl-dependent K influx, consistent with effects on the K-Cl cotransporter; PO2 required for half-maximal activity was 37 ± 3 mmHg (4.9 kPa). Although RBCs were swollen at low pH, results showed explicitly that the volume change per se had little effect on K influx. Lactate had no effect on volume-or H+-stimulated K influxes, nor did bicarbonate or PCO2 affect the magnitude of K influxes after these stimuli or after treatment with protein kinase/phosphatase inhibitors. These results represent the first detailed report of O2 dependence of H+-stimulated K-Cl cotransport in RBCs from any mammalian species. They emphasize the importance of PO2 in control of RBC K-Cl cotransport.","author":[{"dropping-particle":"","family":"Speake","given":"P. F.","non-dropping-particle":"","parse-names":false,"suffix":""},{"dropping-particle":"","family":"Roberts","given":"C. A.","non-dropping-particle":"","parse-names":false,"suffix":""},{"dropping-particle":"","family":"Gibson","given":"J. S.","non-dropping-particle":"","parse-names":false,"suffix":""}],"container-title":"American Journal of Physiology - Cell Physiology","id":"ITEM-1","issue":"6","issued":{"date-parts":[["1997"]]},"page":"1811-8","title":"Effect of changes in respiratory blood parameters on equine red blood cell K-C1 cotransporter","type":"article-journal","volume":"273"},"uris":["http://www.mendeley.com/documents/?uuid=cf5d8017-1548-4273-b9e0-b33b9cf72639"]}],"mendeley":{"formattedCitation":"&lt;sup&gt;23&lt;/sup&gt;","plainTextFormattedCitation":"23","previouslyFormattedCitation":"&lt;sup&gt;23&lt;/sup&gt;"},"properties":{"noteIndex":0},"schema":"https://github.com/citation-style-language/schema/raw/master/csl-citation.json"}</w:instrText>
      </w:r>
      <w:r w:rsidR="00C00AD9" w:rsidRPr="0053136E">
        <w:rPr>
          <w:rFonts w:cs="Arial"/>
        </w:rPr>
        <w:fldChar w:fldCharType="separate"/>
      </w:r>
      <w:r w:rsidR="00C00AD9" w:rsidRPr="0053136E">
        <w:rPr>
          <w:rFonts w:cs="Arial"/>
          <w:noProof/>
          <w:vertAlign w:val="superscript"/>
        </w:rPr>
        <w:t>23</w:t>
      </w:r>
      <w:r w:rsidR="00C00AD9" w:rsidRPr="0053136E">
        <w:rPr>
          <w:rFonts w:cs="Arial"/>
        </w:rPr>
        <w:fldChar w:fldCharType="end"/>
      </w:r>
      <w:r w:rsidRPr="0053136E">
        <w:rPr>
          <w:rFonts w:cs="Arial"/>
        </w:rPr>
        <w:t xml:space="preserve">  After incubation for 20 min they were fixed by addition of glutaraldehyde (final concentration 0.25 %) before being processed for AFM-IR measurements</w:t>
      </w:r>
      <w:r w:rsidR="00DE4596" w:rsidRPr="0053136E">
        <w:rPr>
          <w:rFonts w:cs="Arial"/>
        </w:rPr>
        <w:t>.</w:t>
      </w:r>
      <w:r w:rsidR="00192AA2" w:rsidRPr="0053136E">
        <w:rPr>
          <w:rFonts w:cs="Arial"/>
        </w:rPr>
        <w:t xml:space="preserve"> The resulting measurements were made on RBCs in air (AFM-IR of such thick samples under aqueous conditions is not currently possible) and thus do not replicate physiological conditions. However, the stability of RBCs in air is significantly greater than pure lipid bilayers and </w:t>
      </w:r>
      <w:r w:rsidR="00241AC1" w:rsidRPr="0053136E">
        <w:rPr>
          <w:rFonts w:cs="Arial"/>
        </w:rPr>
        <w:t xml:space="preserve">consequently </w:t>
      </w:r>
      <w:r w:rsidR="00192AA2" w:rsidRPr="0053136E">
        <w:rPr>
          <w:rFonts w:cs="Arial"/>
        </w:rPr>
        <w:t xml:space="preserve">the effects </w:t>
      </w:r>
      <w:r w:rsidR="00241AC1" w:rsidRPr="0053136E">
        <w:rPr>
          <w:rFonts w:cs="Arial"/>
        </w:rPr>
        <w:t xml:space="preserve">of </w:t>
      </w:r>
      <w:r w:rsidR="00192AA2" w:rsidRPr="0053136E">
        <w:rPr>
          <w:rFonts w:cs="Arial"/>
        </w:rPr>
        <w:t xml:space="preserve">air exposure </w:t>
      </w:r>
      <w:r w:rsidR="00241AC1" w:rsidRPr="0053136E">
        <w:rPr>
          <w:rFonts w:cs="Arial"/>
        </w:rPr>
        <w:t xml:space="preserve">on the </w:t>
      </w:r>
      <w:r w:rsidR="003440DC" w:rsidRPr="0053136E">
        <w:rPr>
          <w:rFonts w:cs="Arial"/>
        </w:rPr>
        <w:t>membranes of</w:t>
      </w:r>
      <w:r w:rsidR="00241AC1" w:rsidRPr="0053136E">
        <w:rPr>
          <w:rFonts w:cs="Arial"/>
        </w:rPr>
        <w:t xml:space="preserve"> RBCs </w:t>
      </w:r>
      <w:r w:rsidR="00192AA2" w:rsidRPr="0053136E">
        <w:rPr>
          <w:rFonts w:cs="Arial"/>
        </w:rPr>
        <w:t>are considered to be much less. For this reason, the RBCs of different types were treated identically so that any observed differences can be fundamentally attributed to alterations resulting from the specific genotype and / or oxidation state of the cell.</w:t>
      </w:r>
    </w:p>
    <w:p w14:paraId="279114B0" w14:textId="0814FB0E" w:rsidR="00A10CC0" w:rsidRPr="00337148" w:rsidRDefault="00A10CC0" w:rsidP="00A10CC0"/>
    <w:p w14:paraId="27EFF079" w14:textId="10141241" w:rsidR="00720085" w:rsidRPr="00337148" w:rsidRDefault="005872FC" w:rsidP="00A10CC0">
      <w:pPr>
        <w:rPr>
          <w:i/>
        </w:rPr>
      </w:pPr>
      <w:r>
        <w:rPr>
          <w:i/>
        </w:rPr>
        <w:t xml:space="preserve">2.3 </w:t>
      </w:r>
      <w:r w:rsidR="00720085" w:rsidRPr="00337148">
        <w:rPr>
          <w:i/>
        </w:rPr>
        <w:t>AFM-IR measurements</w:t>
      </w:r>
    </w:p>
    <w:p w14:paraId="5B73EC81" w14:textId="01E9F51D" w:rsidR="00A10CC0" w:rsidRPr="0053136E" w:rsidRDefault="00A10CC0" w:rsidP="00A10CC0">
      <w:r w:rsidRPr="0053136E">
        <w:t xml:space="preserve">AFM-IR spectroscopic and physical measurements were carried out in contact mode using an </w:t>
      </w:r>
      <w:proofErr w:type="spellStart"/>
      <w:r w:rsidRPr="0053136E">
        <w:t>Anasys</w:t>
      </w:r>
      <w:proofErr w:type="spellEnd"/>
      <w:r w:rsidRPr="0053136E">
        <w:t xml:space="preserve"> NanoIR2 instrument equipped with a </w:t>
      </w:r>
      <w:proofErr w:type="spellStart"/>
      <w:r w:rsidRPr="0053136E">
        <w:t>MIRcat</w:t>
      </w:r>
      <w:proofErr w:type="spellEnd"/>
      <w:r w:rsidRPr="0053136E">
        <w:t xml:space="preserve"> Laser system (Daylight Solutions) containing four quantum cascade lasers (QCLs). </w:t>
      </w:r>
      <w:r w:rsidR="000B33C5" w:rsidRPr="0053136E">
        <w:t xml:space="preserve"> </w:t>
      </w:r>
      <w:r w:rsidR="00E90C96" w:rsidRPr="0053136E">
        <w:t>The presented IR spectra we</w:t>
      </w:r>
      <w:r w:rsidRPr="0053136E">
        <w:t xml:space="preserve">re averaged over multiple cells, spanning the whole top-surface membrane, and </w:t>
      </w:r>
      <w:r w:rsidR="00682B96" w:rsidRPr="0053136E">
        <w:t xml:space="preserve">were </w:t>
      </w:r>
      <w:r w:rsidRPr="0053136E">
        <w:t>smoothed using a 7pt FFT filter at 1 cm</w:t>
      </w:r>
      <w:r w:rsidRPr="0053136E">
        <w:rPr>
          <w:vertAlign w:val="superscript"/>
        </w:rPr>
        <w:t>-1</w:t>
      </w:r>
      <w:r w:rsidRPr="0053136E">
        <w:t xml:space="preserve"> spectral resolution to reduce high-frequency noise contributions.</w:t>
      </w:r>
      <w:r w:rsidR="0027776D" w:rsidRPr="0053136E">
        <w:fldChar w:fldCharType="begin" w:fldLock="1"/>
      </w:r>
      <w:r w:rsidR="00FC1C51" w:rsidRPr="0053136E">
        <w:instrText>ADDIN CSL_CITATION {"citationItems":[{"id":"ITEM-1","itemData":{"DOI":"10.1177/0003702819898536","ISSN":"19433530","abstract":"The challenge of deriving quantitative information from the infrared spectra of proteins arises from the large number of secondary structures and amino acid side-chain functional groups that all contribute to the spectral intensity, such as within the amide I band (1600–1700 cm–1). The band is invariably heavily convoluted from overlapping spectral features, thereby making interpretation difficult such that deconvolution is usually required. This work critically examines the methods available to deconvolute the spectra and assesses the commonly used methods and algorithms applied to vibrational spectra for smoothing and peak identification. We show that unless their spectra have very high signal-to-noise ratios, quantitative analysis to decipher protein constituents is not feasible. The advantages and disadvantages of spectral smoothing using adjacent averaging, the Savitzky–Golay filter and the fast Fourier transform filter are examined in detail. The use of derivative spectra to identify peaks is described with particular reference to the influence and reduction of interfering water bands in the amide I region. The reliability of band narrowing techniques such as second-derivative analysis or Fourier deconvolution that lead to the identification of the contributing protein peaks is investigated. Both methods are shown to be limited in their capacity to resolve features with very similar frequencies. Additionally, the presence of narrow bands arising from high-frequency noise whether from atmospheric water vapor, acoustic vibrations, or electrical interference results in both methods becoming increasingly unusable as narrow bands are preferentially enhanced at the expense of broad ones such as the amide I bands. An optimal strategy is critically developed to allow accurate determination and quantification of protein constituents and their conformations. Additionally, quantitative methods are proposed to account for baseline shifts, which would otherwise introduce significant errors in similarity indices.","author":[{"dropping-particle":"","family":"Fellows","given":"Alexander P.","non-dropping-particle":"","parse-names":false,"suffix":""},{"dropping-particle":"","family":"Casford","given":"Mike T.L.","non-dropping-particle":"","parse-names":false,"suffix":""},{"dropping-particle":"","family":"Davies","given":"Paul B.","non-dropping-particle":"","parse-names":false,"suffix":""}],"container-title":"Applied Spectroscopy","id":"ITEM-1","issued":{"date-parts":[["2020"]]},"title":"Spectral Analysis and Deconvolution of the Amide I Band of Proteins Presenting with High-Frequency Noise and Baseline Shifts","type":"article-journal"},"uris":["http://www.mendeley.com/documents/?uuid=15fb0197-8f2d-4336-94f8-b3d9519d16bc"]}],"mendeley":{"formattedCitation":"&lt;sup&gt;24&lt;/sup&gt;","plainTextFormattedCitation":"24","previouslyFormattedCitation":"&lt;sup&gt;24&lt;/sup&gt;"},"properties":{"noteIndex":0},"schema":"https://github.com/citation-style-language/schema/raw/master/csl-citation.json"}</w:instrText>
      </w:r>
      <w:r w:rsidR="0027776D" w:rsidRPr="0053136E">
        <w:fldChar w:fldCharType="separate"/>
      </w:r>
      <w:r w:rsidR="0027776D" w:rsidRPr="0053136E">
        <w:rPr>
          <w:noProof/>
          <w:vertAlign w:val="superscript"/>
        </w:rPr>
        <w:t>24</w:t>
      </w:r>
      <w:r w:rsidR="0027776D" w:rsidRPr="0053136E">
        <w:fldChar w:fldCharType="end"/>
      </w:r>
      <w:r w:rsidRPr="0053136E">
        <w:t xml:space="preserve"> </w:t>
      </w:r>
      <w:r w:rsidR="000B33C5" w:rsidRPr="0053136E">
        <w:t xml:space="preserve"> </w:t>
      </w:r>
      <w:r w:rsidR="00D6160E" w:rsidRPr="0053136E">
        <w:t xml:space="preserve">The </w:t>
      </w:r>
      <w:r w:rsidRPr="0053136E">
        <w:t xml:space="preserve">AFM-IR maps shown are </w:t>
      </w:r>
      <w:r w:rsidR="00747189" w:rsidRPr="0053136E">
        <w:t xml:space="preserve">both </w:t>
      </w:r>
      <w:r w:rsidRPr="0053136E">
        <w:t>characteristic and representative of the surface for the given cell type although some variation was observed</w:t>
      </w:r>
      <w:r w:rsidR="00D6160E" w:rsidRPr="0053136E">
        <w:t>,</w:t>
      </w:r>
      <w:r w:rsidRPr="0053136E">
        <w:t xml:space="preserve"> as expected. </w:t>
      </w:r>
      <w:r w:rsidR="00FE6361" w:rsidRPr="0053136E">
        <w:t xml:space="preserve">Spectra were averaged over at least 10 membrane locations spanning the top surface from at least 5 different cells with good qualitative reproducibility between each. </w:t>
      </w:r>
      <w:r w:rsidR="000B33C5" w:rsidRPr="0053136E">
        <w:t xml:space="preserve"> </w:t>
      </w:r>
      <w:r w:rsidRPr="0053136E">
        <w:t>Adhesion force measurements were recorded with a 0.4</w:t>
      </w:r>
      <w:r w:rsidR="00CD377C" w:rsidRPr="0053136E">
        <w:t xml:space="preserve"> </w:t>
      </w:r>
      <w:r w:rsidRPr="0053136E">
        <w:t xml:space="preserve">V deflection offset at a frequency of 1Hz using a standard Au-coated AFM tip, either uncoated or chemically functionalised, with </w:t>
      </w:r>
      <w:r w:rsidR="006D300C" w:rsidRPr="0053136E">
        <w:t xml:space="preserve">the manufacturer quoted range for the </w:t>
      </w:r>
      <w:r w:rsidR="007E7E02" w:rsidRPr="0053136E">
        <w:t>spring constant 0.07-0.4 Nm</w:t>
      </w:r>
      <w:r w:rsidR="007E7E02" w:rsidRPr="0053136E">
        <w:rPr>
          <w:vertAlign w:val="superscript"/>
        </w:rPr>
        <w:t>-1</w:t>
      </w:r>
      <w:r w:rsidR="007E7E02" w:rsidRPr="0053136E">
        <w:t xml:space="preserve"> and </w:t>
      </w:r>
      <w:r w:rsidRPr="0053136E">
        <w:t xml:space="preserve">resonant frequency </w:t>
      </w:r>
      <w:r w:rsidR="007E7E02" w:rsidRPr="0053136E">
        <w:t xml:space="preserve">13 </w:t>
      </w:r>
      <w:r w:rsidR="007E7E02" w:rsidRPr="0053136E">
        <w:sym w:font="Symbol" w:char="F0B1"/>
      </w:r>
      <w:r w:rsidR="007E7E02" w:rsidRPr="0053136E">
        <w:t xml:space="preserve"> 4 kHz</w:t>
      </w:r>
      <w:r w:rsidR="00CD377C" w:rsidRPr="0053136E">
        <w:t xml:space="preserve"> (</w:t>
      </w:r>
      <w:proofErr w:type="spellStart"/>
      <w:r w:rsidR="00CD377C" w:rsidRPr="0053136E">
        <w:t>Anasys</w:t>
      </w:r>
      <w:proofErr w:type="spellEnd"/>
      <w:r w:rsidR="00CD377C" w:rsidRPr="0053136E">
        <w:t xml:space="preserve"> Instruments)</w:t>
      </w:r>
      <w:r w:rsidRPr="0053136E">
        <w:t>.</w:t>
      </w:r>
      <w:r w:rsidR="006C0CAF" w:rsidRPr="0053136E">
        <w:t xml:space="preserve"> T</w:t>
      </w:r>
      <w:r w:rsidR="006D300C" w:rsidRPr="0053136E">
        <w:t xml:space="preserve">he absolute </w:t>
      </w:r>
      <w:r w:rsidR="003440DC" w:rsidRPr="0053136E">
        <w:t xml:space="preserve">and specific </w:t>
      </w:r>
      <w:r w:rsidR="006D300C" w:rsidRPr="0053136E">
        <w:t xml:space="preserve">value of the cantilever spring constant is </w:t>
      </w:r>
      <w:r w:rsidR="003440DC" w:rsidRPr="0053136E">
        <w:t xml:space="preserve">a </w:t>
      </w:r>
      <w:r w:rsidR="006D300C" w:rsidRPr="0053136E">
        <w:t xml:space="preserve">crucial </w:t>
      </w:r>
      <w:r w:rsidR="003440DC" w:rsidRPr="0053136E">
        <w:t xml:space="preserve">parameter when </w:t>
      </w:r>
      <w:r w:rsidR="006D300C" w:rsidRPr="0053136E">
        <w:t>comparing adhesion measurements and hence the same tip was used for all functionalised-tip adhesion measurements.</w:t>
      </w:r>
      <w:r w:rsidR="000B33C5" w:rsidRPr="0053136E">
        <w:t xml:space="preserve"> </w:t>
      </w:r>
      <w:r w:rsidRPr="0053136E">
        <w:t xml:space="preserve">The resulting distributions with functionalised tips consist of 1200 measurements, each at a different membrane location, made across </w:t>
      </w:r>
      <w:r w:rsidR="008C0570" w:rsidRPr="0053136E">
        <w:t>12</w:t>
      </w:r>
      <w:r w:rsidRPr="0053136E">
        <w:t xml:space="preserve"> cells</w:t>
      </w:r>
      <w:r w:rsidR="008C0570" w:rsidRPr="0053136E">
        <w:t xml:space="preserve"> of each type</w:t>
      </w:r>
      <w:r w:rsidRPr="0053136E">
        <w:t xml:space="preserve">, spanning the whole top surface </w:t>
      </w:r>
      <w:r w:rsidR="003440DC" w:rsidRPr="0053136E">
        <w:t xml:space="preserve">of the </w:t>
      </w:r>
      <w:r w:rsidRPr="0053136E">
        <w:t>membrane, where distribution profiles from individual cells were compared and found to give good reproducibility.</w:t>
      </w:r>
      <w:r w:rsidR="00747189" w:rsidRPr="0053136E">
        <w:t xml:space="preserve"> The</w:t>
      </w:r>
      <w:r w:rsidRPr="0053136E">
        <w:t xml:space="preserve"> </w:t>
      </w:r>
      <w:r w:rsidR="006D300C" w:rsidRPr="0053136E">
        <w:t>tip</w:t>
      </w:r>
      <w:r w:rsidRPr="0053136E">
        <w:t xml:space="preserve"> </w:t>
      </w:r>
      <w:r w:rsidR="006D300C" w:rsidRPr="0053136E">
        <w:t>was</w:t>
      </w:r>
      <w:r w:rsidRPr="0053136E">
        <w:t xml:space="preserve"> chemically functionalised with </w:t>
      </w:r>
      <w:proofErr w:type="spellStart"/>
      <w:r w:rsidRPr="0053136E">
        <w:t>octadecanethiol</w:t>
      </w:r>
      <w:proofErr w:type="spellEnd"/>
      <w:r w:rsidRPr="0053136E">
        <w:t xml:space="preserve"> (ODT) or 11-mercaptoundecanoic acid (MUA) by submersing the tip in a methanolic solution of each for 24 hours. </w:t>
      </w:r>
      <w:r w:rsidR="000B33C5" w:rsidRPr="0053136E">
        <w:t xml:space="preserve"> </w:t>
      </w:r>
      <w:r w:rsidR="00243E89" w:rsidRPr="0053136E">
        <w:t>T</w:t>
      </w:r>
      <w:r w:rsidRPr="0053136E">
        <w:t xml:space="preserve">he ODT solution </w:t>
      </w:r>
      <w:r w:rsidR="00243E89" w:rsidRPr="0053136E">
        <w:t>was</w:t>
      </w:r>
      <w:r w:rsidRPr="0053136E">
        <w:t xml:space="preserve"> generated by dissolving a needlepoint amount of ODT in 1ml methanol, </w:t>
      </w:r>
      <w:r w:rsidR="00243E89" w:rsidRPr="0053136E">
        <w:t xml:space="preserve">ultrasound </w:t>
      </w:r>
      <w:r w:rsidRPr="0053136E">
        <w:t>sonicating for 10 mins and warming the methanol</w:t>
      </w:r>
      <w:r w:rsidR="00243E89" w:rsidRPr="0053136E">
        <w:t xml:space="preserve"> solution</w:t>
      </w:r>
      <w:r w:rsidRPr="0053136E">
        <w:t xml:space="preserve"> prior to submersion of the tip. </w:t>
      </w:r>
      <w:r w:rsidR="000B33C5" w:rsidRPr="0053136E">
        <w:t xml:space="preserve"> </w:t>
      </w:r>
      <w:r w:rsidRPr="0053136E">
        <w:t>The MUA solution was generated by dissolving 1</w:t>
      </w:r>
      <w:r w:rsidR="007040E4" w:rsidRPr="0053136E">
        <w:t xml:space="preserve"> </w:t>
      </w:r>
      <w:r w:rsidRPr="0053136E">
        <w:t>mg MUA in 1</w:t>
      </w:r>
      <w:r w:rsidR="007040E4" w:rsidRPr="0053136E">
        <w:t xml:space="preserve"> </w:t>
      </w:r>
      <w:r w:rsidRPr="0053136E">
        <w:t>ml methanol at room temperature prior to submersion – no sonication or heating was necessary due to the good solubility of MUA</w:t>
      </w:r>
      <w:r w:rsidR="00243E89" w:rsidRPr="0053136E">
        <w:t xml:space="preserve"> in methanol</w:t>
      </w:r>
      <w:r w:rsidRPr="0053136E">
        <w:t>.</w:t>
      </w:r>
      <w:r w:rsidR="000B33C5" w:rsidRPr="0053136E">
        <w:t xml:space="preserve"> </w:t>
      </w:r>
      <w:r w:rsidRPr="0053136E">
        <w:t>The resulting functionalised AFM cantilevers were mounted on hemicylindrical discs for use on the nanoIR2 instrument using 2-component epoxy resin and leaving to dry for 24</w:t>
      </w:r>
      <w:r w:rsidR="007040E4" w:rsidRPr="0053136E">
        <w:t xml:space="preserve"> h</w:t>
      </w:r>
      <w:r w:rsidRPr="0053136E">
        <w:t xml:space="preserve"> at room temperature.</w:t>
      </w:r>
    </w:p>
    <w:p w14:paraId="0944F63F" w14:textId="77777777" w:rsidR="00A10CC0" w:rsidRPr="00337148" w:rsidRDefault="00A10CC0" w:rsidP="00A10CC0"/>
    <w:p w14:paraId="35A77926" w14:textId="187B0029" w:rsidR="00A10CC0" w:rsidRPr="00650410" w:rsidRDefault="00BF0797" w:rsidP="009D497D">
      <w:pPr>
        <w:pStyle w:val="ListParagraph"/>
        <w:numPr>
          <w:ilvl w:val="0"/>
          <w:numId w:val="7"/>
        </w:numPr>
        <w:rPr>
          <w:b/>
        </w:rPr>
      </w:pPr>
      <w:r w:rsidRPr="00650410">
        <w:rPr>
          <w:b/>
        </w:rPr>
        <w:br w:type="page"/>
      </w:r>
      <w:r w:rsidR="00A10CC0" w:rsidRPr="00650410">
        <w:rPr>
          <w:b/>
          <w:sz w:val="28"/>
          <w:szCs w:val="28"/>
        </w:rPr>
        <w:lastRenderedPageBreak/>
        <w:t>Results</w:t>
      </w:r>
    </w:p>
    <w:p w14:paraId="7AE371AB" w14:textId="77777777" w:rsidR="00BF0797" w:rsidRPr="00337148" w:rsidRDefault="00BF0797" w:rsidP="00A10CC0"/>
    <w:p w14:paraId="41785F9D" w14:textId="4A2B8D38" w:rsidR="00650410" w:rsidRPr="005872FC" w:rsidRDefault="00650410" w:rsidP="00650410">
      <w:pPr>
        <w:rPr>
          <w:i/>
          <w:iCs/>
        </w:rPr>
      </w:pPr>
      <w:r w:rsidRPr="005872FC">
        <w:rPr>
          <w:i/>
          <w:iCs/>
        </w:rPr>
        <w:t>3.1 Hypoxic Morphology Change in SCD</w:t>
      </w:r>
    </w:p>
    <w:p w14:paraId="4C36CDEC" w14:textId="77777777" w:rsidR="00650410" w:rsidRPr="00650410" w:rsidRDefault="00650410" w:rsidP="00A10CC0"/>
    <w:p w14:paraId="3A26B058" w14:textId="12E8F199" w:rsidR="00A10CC0" w:rsidRDefault="00BF0797" w:rsidP="00A10CC0">
      <w:r w:rsidRPr="00337148">
        <w:t xml:space="preserve">Figure </w:t>
      </w:r>
      <w:r w:rsidR="00607B6B">
        <w:t>2</w:t>
      </w:r>
      <w:r w:rsidRPr="00337148">
        <w:t xml:space="preserve"> </w:t>
      </w:r>
      <w:r w:rsidR="00A10CC0" w:rsidRPr="00337148">
        <w:t xml:space="preserve">shows AFM topographical maps of representative </w:t>
      </w:r>
      <w:r w:rsidR="00312CFC">
        <w:t>RBCs from SCD patients</w:t>
      </w:r>
      <w:r w:rsidR="00A10CC0" w:rsidRPr="00337148">
        <w:t xml:space="preserve"> fixed in both the oxygenated (top row, a-d) and deoxygenated (bottom two r</w:t>
      </w:r>
      <w:r w:rsidR="00922AE5">
        <w:t>ows, e-l) state</w:t>
      </w:r>
      <w:r w:rsidR="006D7774">
        <w:t>, and is representative of the most prevalent forms</w:t>
      </w:r>
      <w:r w:rsidR="00A10CC0" w:rsidRPr="00337148">
        <w:t xml:space="preserve">.  </w:t>
      </w:r>
      <w:r w:rsidR="000B33C5" w:rsidRPr="00337148">
        <w:t xml:space="preserve"> </w:t>
      </w:r>
      <w:r w:rsidR="00922AE5">
        <w:t>O</w:t>
      </w:r>
      <w:r w:rsidR="00A10CC0" w:rsidRPr="00337148">
        <w:t xml:space="preserve">xygenated </w:t>
      </w:r>
      <w:r w:rsidR="00922AE5">
        <w:t>RBCs</w:t>
      </w:r>
      <w:r w:rsidR="00F72EC5">
        <w:t xml:space="preserve"> from SCD patients</w:t>
      </w:r>
      <w:r w:rsidR="00A10CC0" w:rsidRPr="00337148">
        <w:t xml:space="preserve"> showed the classic biconcave dis</w:t>
      </w:r>
      <w:r w:rsidR="00256CF6">
        <w:t>c</w:t>
      </w:r>
      <w:r w:rsidR="00A10CC0" w:rsidRPr="00337148">
        <w:t xml:space="preserve"> structure that is </w:t>
      </w:r>
      <w:r w:rsidR="00F72EC5">
        <w:t xml:space="preserve">present in control RBCs </w:t>
      </w:r>
      <w:r w:rsidR="00F72EC5" w:rsidRPr="00337148">
        <w:t>contain</w:t>
      </w:r>
      <w:r w:rsidR="00F72EC5">
        <w:t>ing</w:t>
      </w:r>
      <w:r w:rsidR="00F72EC5" w:rsidRPr="00337148">
        <w:t xml:space="preserve"> the </w:t>
      </w:r>
      <w:proofErr w:type="spellStart"/>
      <w:r w:rsidR="00F72EC5" w:rsidRPr="00337148">
        <w:t>HbA</w:t>
      </w:r>
      <w:proofErr w:type="spellEnd"/>
      <w:r w:rsidR="00F72EC5" w:rsidRPr="00337148">
        <w:t xml:space="preserve"> protein</w:t>
      </w:r>
      <w:r w:rsidR="00F72EC5">
        <w:t xml:space="preserve"> from normal individuals</w:t>
      </w:r>
      <w:r w:rsidR="006D7774">
        <w:t xml:space="preserve"> </w:t>
      </w:r>
      <w:r w:rsidR="006D7774" w:rsidRPr="00337148">
        <w:t xml:space="preserve">(Figure </w:t>
      </w:r>
      <w:r w:rsidR="00607B6B">
        <w:t>2</w:t>
      </w:r>
      <w:r w:rsidR="006D7774" w:rsidRPr="00337148">
        <w:t>a-d)</w:t>
      </w:r>
      <w:r w:rsidR="00A10CC0" w:rsidRPr="00337148">
        <w:t xml:space="preserve">. </w:t>
      </w:r>
      <w:r w:rsidR="0033660C">
        <w:t xml:space="preserve"> </w:t>
      </w:r>
      <w:r w:rsidR="00A10CC0" w:rsidRPr="00337148">
        <w:t>When fixed in the deoxygenated state, however, the</w:t>
      </w:r>
      <w:r w:rsidR="00C30FBB">
        <w:t xml:space="preserve">se </w:t>
      </w:r>
      <w:r w:rsidR="002228EB">
        <w:t xml:space="preserve">sickle </w:t>
      </w:r>
      <w:r w:rsidR="00C30FBB">
        <w:t>RBCs</w:t>
      </w:r>
      <w:r w:rsidR="00A10CC0" w:rsidRPr="00337148">
        <w:t xml:space="preserve"> showed various morphologies including, but not limited to, the typical sickled sh</w:t>
      </w:r>
      <w:r w:rsidR="006D7774">
        <w:t>ape associated with the disease</w:t>
      </w:r>
      <w:r w:rsidR="00A10CC0" w:rsidRPr="00337148">
        <w:t xml:space="preserve">. </w:t>
      </w:r>
      <w:r w:rsidR="000B33C5" w:rsidRPr="00337148">
        <w:t xml:space="preserve"> </w:t>
      </w:r>
      <w:r w:rsidR="006D7774">
        <w:t>Under hypoxia, biconcave disc</w:t>
      </w:r>
      <w:r w:rsidR="00A10CC0" w:rsidRPr="00337148">
        <w:t xml:space="preserve">s became much less common, and a variety of abnormal morphologies were observed: </w:t>
      </w:r>
      <w:r w:rsidR="000B33C5" w:rsidRPr="00337148">
        <w:t xml:space="preserve"> </w:t>
      </w:r>
      <w:r w:rsidR="00A10CC0" w:rsidRPr="00337148">
        <w:t>from classic sickle (</w:t>
      </w:r>
      <w:r w:rsidR="00607B6B">
        <w:t>2</w:t>
      </w:r>
      <w:r w:rsidR="00A10CC0" w:rsidRPr="00337148">
        <w:t>e&amp;f)</w:t>
      </w:r>
      <w:r w:rsidR="00EE23A8">
        <w:t>,</w:t>
      </w:r>
      <w:r w:rsidR="00A10CC0" w:rsidRPr="00337148">
        <w:t xml:space="preserve"> through “holly leaves” (</w:t>
      </w:r>
      <w:r w:rsidR="00607B6B">
        <w:t>2</w:t>
      </w:r>
      <w:r w:rsidR="00A10CC0" w:rsidRPr="00337148">
        <w:t>g), burrs (</w:t>
      </w:r>
      <w:r w:rsidR="00607B6B">
        <w:t>2</w:t>
      </w:r>
      <w:r w:rsidR="00A10CC0" w:rsidRPr="00337148">
        <w:t xml:space="preserve">h,i&amp;k), </w:t>
      </w:r>
      <w:proofErr w:type="spellStart"/>
      <w:r w:rsidR="00A10CC0" w:rsidRPr="00337148">
        <w:t>stomatocytes</w:t>
      </w:r>
      <w:proofErr w:type="spellEnd"/>
      <w:r w:rsidR="00A10CC0" w:rsidRPr="00337148">
        <w:t xml:space="preserve"> (</w:t>
      </w:r>
      <w:r w:rsidR="00607B6B">
        <w:t>2</w:t>
      </w:r>
      <w:r w:rsidR="00A10CC0" w:rsidRPr="00337148">
        <w:t>j&amp;k) and spherocytes (</w:t>
      </w:r>
      <w:r w:rsidR="00607B6B">
        <w:t>2</w:t>
      </w:r>
      <w:r w:rsidR="00A10CC0" w:rsidRPr="00337148">
        <w:t>l).</w:t>
      </w:r>
      <w:r w:rsidR="00187676">
        <w:fldChar w:fldCharType="begin" w:fldLock="1"/>
      </w:r>
      <w:r w:rsidR="00D37D3A">
        <w:instrText>ADDIN CSL_CITATION {"citationItems":[{"id":"ITEM-1","itemData":{"DOI":"10.1182/blood.v68.2.450.bloodjournal682450","ISSN":"00064971","abstract":"We hypothesized that the deoxygenation-induced increase in cation permeability of sickle cells was related to mechanical distention of the membrane by growing HbS polymer within the cell. To test this hypothesis, we determined the effect of deoxygenation on cation fluxes in sickle cells under conditions that restricted or permitted extensive growth of polymer, producing different degrees of membrane distention. Manipulation of suspending medium osmolality for density-isolated high and low mean cell hemoglobin concentration (MCHC) cells was used to regulate the extensional growth of polymer bundles and hence membrane distortion. For initially low MCHC cells, the deoxygenation-induced increase in both Na and K fluxes was markedly suppressed when the MCHC was increased by increasing the osmolality. This suppression corresponded to the inhibition of extensive morphologic cellular distortion. For initially high MCHC, ISC-rich cells, deoxygenation had minimal effect on K permeability. However, reduction of MCHC by a decrease in osmolality produced a concomitant increase in cation permeability and cellular distortion. These observations support the idea that the sickling-associated increase in membrane permeability is related to mechanical stress imposed on the membrane by bundles of HbS polymer.","author":[{"dropping-particle":"","family":"Mohandas","given":"N.","non-dropping-particle":"","parse-names":false,"suffix":""},{"dropping-particle":"","family":"Rossi","given":"M. E.","non-dropping-particle":"","parse-names":false,"suffix":""},{"dropping-particle":"","family":"Clark","given":"M. R.","non-dropping-particle":"","parse-names":false,"suffix":""}],"container-title":"Blood","id":"ITEM-1","issue":"2","issued":{"date-parts":[["1986"]]},"page":"450-454","title":"Association between morphologic distortion of sickle cells and deoxygenation-induced cation permeability increase","type":"article-journal","volume":"68"},"uris":["http://www.mendeley.com/documents/?uuid=14d5463a-c47f-4165-a309-da6fd792c239"]}],"mendeley":{"formattedCitation":"&lt;sup&gt;25&lt;/sup&gt;","plainTextFormattedCitation":"25","previouslyFormattedCitation":"&lt;sup&gt;27&lt;/sup&gt;"},"properties":{"noteIndex":0},"schema":"https://github.com/citation-style-language/schema/raw/master/csl-citation.json"}</w:instrText>
      </w:r>
      <w:r w:rsidR="00187676">
        <w:fldChar w:fldCharType="separate"/>
      </w:r>
      <w:r w:rsidR="00D37D3A" w:rsidRPr="00D37D3A">
        <w:rPr>
          <w:noProof/>
          <w:vertAlign w:val="superscript"/>
        </w:rPr>
        <w:t>25</w:t>
      </w:r>
      <w:r w:rsidR="00187676">
        <w:fldChar w:fldCharType="end"/>
      </w:r>
      <w:r w:rsidR="00A10CC0" w:rsidRPr="00337148">
        <w:t xml:space="preserve"> </w:t>
      </w:r>
      <w:r w:rsidR="00EE23A8">
        <w:t xml:space="preserve"> Occasional abnormal</w:t>
      </w:r>
      <w:r w:rsidR="00A10CC0" w:rsidRPr="00337148">
        <w:t xml:space="preserve"> morphologies can</w:t>
      </w:r>
      <w:r w:rsidR="00EE23A8" w:rsidRPr="00EE23A8">
        <w:rPr>
          <w:color w:val="000000" w:themeColor="text1"/>
        </w:rPr>
        <w:t xml:space="preserve"> also </w:t>
      </w:r>
      <w:r w:rsidR="00A10CC0" w:rsidRPr="00337148">
        <w:t>be present in oxygenated</w:t>
      </w:r>
      <w:r w:rsidR="00EE23A8">
        <w:t xml:space="preserve"> RBCs, and are probably representative of irreversibly sickled cells which fail to regain their normal morphology on re-oxygenation, whilst </w:t>
      </w:r>
      <w:r w:rsidR="002356C8">
        <w:t xml:space="preserve">conversely </w:t>
      </w:r>
      <w:r w:rsidR="00EE23A8">
        <w:t>some normal shapes are also observed under deoxygenated conditions.</w:t>
      </w:r>
      <w:r w:rsidR="00187676">
        <w:fldChar w:fldCharType="begin" w:fldLock="1"/>
      </w:r>
      <w:r w:rsidR="00D37D3A">
        <w:instrText>ADDIN CSL_CITATION {"citationItems":[{"id":"ITEM-1","itemData":{"DOI":"10.1182/blood.v68.2.450.bloodjournal682450","ISSN":"00064971","abstract":"We hypothesized that the deoxygenation-induced increase in cation permeability of sickle cells was related to mechanical distention of the membrane by growing HbS polymer within the cell. To test this hypothesis, we determined the effect of deoxygenation on cation fluxes in sickle cells under conditions that restricted or permitted extensive growth of polymer, producing different degrees of membrane distention. Manipulation of suspending medium osmolality for density-isolated high and low mean cell hemoglobin concentration (MCHC) cells was used to regulate the extensional growth of polymer bundles and hence membrane distortion. For initially low MCHC cells, the deoxygenation-induced increase in both Na and K fluxes was markedly suppressed when the MCHC was increased by increasing the osmolality. This suppression corresponded to the inhibition of extensive morphologic cellular distortion. For initially high MCHC, ISC-rich cells, deoxygenation had minimal effect on K permeability. However, reduction of MCHC by a decrease in osmolality produced a concomitant increase in cation permeability and cellular distortion. These observations support the idea that the sickling-associated increase in membrane permeability is related to mechanical stress imposed on the membrane by bundles of HbS polymer.","author":[{"dropping-particle":"","family":"Mohandas","given":"N.","non-dropping-particle":"","parse-names":false,"suffix":""},{"dropping-particle":"","family":"Rossi","given":"M. E.","non-dropping-particle":"","parse-names":false,"suffix":""},{"dropping-particle":"","family":"Clark","given":"M. R.","non-dropping-particle":"","parse-names":false,"suffix":""}],"container-title":"Blood","id":"ITEM-1","issue":"2","issued":{"date-parts":[["1986"]]},"page":"450-454","title":"Association between morphologic distortion of sickle cells and deoxygenation-induced cation permeability increase","type":"article-journal","volume":"68"},"uris":["http://www.mendeley.com/documents/?uuid=14d5463a-c47f-4165-a309-da6fd792c239"]}],"mendeley":{"formattedCitation":"&lt;sup&gt;25&lt;/sup&gt;","plainTextFormattedCitation":"25","previouslyFormattedCitation":"&lt;sup&gt;27&lt;/sup&gt;"},"properties":{"noteIndex":0},"schema":"https://github.com/citation-style-language/schema/raw/master/csl-citation.json"}</w:instrText>
      </w:r>
      <w:r w:rsidR="00187676">
        <w:fldChar w:fldCharType="separate"/>
      </w:r>
      <w:r w:rsidR="00D37D3A" w:rsidRPr="00D37D3A">
        <w:rPr>
          <w:noProof/>
          <w:vertAlign w:val="superscript"/>
        </w:rPr>
        <w:t>25</w:t>
      </w:r>
      <w:r w:rsidR="00187676">
        <w:fldChar w:fldCharType="end"/>
      </w:r>
      <w:r w:rsidR="000B33C5" w:rsidRPr="00337148">
        <w:t xml:space="preserve"> </w:t>
      </w:r>
      <w:r w:rsidR="00EE23A8">
        <w:t xml:space="preserve"> This</w:t>
      </w:r>
      <w:r w:rsidR="00A10CC0" w:rsidRPr="00337148">
        <w:t xml:space="preserve"> variability was partly stochastic, and also probably related to the different ages of </w:t>
      </w:r>
      <w:r w:rsidR="00EE23A8">
        <w:t>RBCs or</w:t>
      </w:r>
      <w:r w:rsidR="00A10CC0" w:rsidRPr="00337148">
        <w:t xml:space="preserve"> variability in the amount of </w:t>
      </w:r>
      <w:proofErr w:type="spellStart"/>
      <w:r w:rsidR="00A10CC0" w:rsidRPr="00337148">
        <w:t>fetal</w:t>
      </w:r>
      <w:proofErr w:type="spellEnd"/>
      <w:r w:rsidR="00A10CC0" w:rsidRPr="00337148">
        <w:t xml:space="preserve"> haemoglobin (</w:t>
      </w:r>
      <w:proofErr w:type="spellStart"/>
      <w:r w:rsidR="00A10CC0" w:rsidRPr="00337148">
        <w:t>HbF</w:t>
      </w:r>
      <w:proofErr w:type="spellEnd"/>
      <w:r w:rsidR="00A10CC0" w:rsidRPr="00337148">
        <w:t xml:space="preserve">) present. </w:t>
      </w:r>
      <w:r w:rsidR="000B33C5" w:rsidRPr="00337148">
        <w:t xml:space="preserve"> </w:t>
      </w:r>
      <w:r w:rsidR="00A10CC0" w:rsidRPr="00337148">
        <w:t xml:space="preserve">In general, younger cells, and those with less </w:t>
      </w:r>
      <w:proofErr w:type="spellStart"/>
      <w:r w:rsidR="00A10CC0" w:rsidRPr="00337148">
        <w:t>fetal</w:t>
      </w:r>
      <w:proofErr w:type="spellEnd"/>
      <w:r w:rsidR="00A10CC0" w:rsidRPr="00337148">
        <w:t xml:space="preserve"> Hb, </w:t>
      </w:r>
      <w:proofErr w:type="spellStart"/>
      <w:r w:rsidR="00A10CC0" w:rsidRPr="00337148">
        <w:t>HbF</w:t>
      </w:r>
      <w:proofErr w:type="spellEnd"/>
      <w:r w:rsidR="00A10CC0" w:rsidRPr="00337148">
        <w:t xml:space="preserve">, are more likely to adopt </w:t>
      </w:r>
      <w:r w:rsidR="00EE23A8">
        <w:t>the</w:t>
      </w:r>
      <w:r w:rsidR="00A10CC0" w:rsidRPr="00337148">
        <w:t xml:space="preserve"> sickle</w:t>
      </w:r>
      <w:r w:rsidR="00EE23A8">
        <w:t>d morphologies</w:t>
      </w:r>
      <w:r w:rsidR="00A10CC0" w:rsidRPr="00337148">
        <w:t>.</w:t>
      </w:r>
      <w:r w:rsidR="002A33CA">
        <w:fldChar w:fldCharType="begin" w:fldLock="1"/>
      </w:r>
      <w:r w:rsidR="002E184D">
        <w:instrText>ADDIN CSL_CITATION {"citationItems":[{"id":"ITEM-1","itemData":{"author":[{"dropping-particle":"","family":"Bunn","given":"H. F.","non-dropping-particle":"","parse-names":false,"suffix":""},{"dropping-particle":"","family":"Forget","given":"B. G.","non-dropping-particle":"","parse-names":false,"suffix":""}],"id":"ITEM-1","issued":{"date-parts":[["1986"]]},"number-of-pages":"690","publisher":"Saunders","publisher-place":"Philadelphia","title":"Hemoglobin: Molecular, Genetic and Clinical Aspects","type":"book"},"uris":["http://www.mendeley.com/documents/?uuid=c8cff48b-12ae-4d79-b77f-417828c7fb2c"]}],"mendeley":{"formattedCitation":"&lt;sup&gt;7&lt;/sup&gt;","plainTextFormattedCitation":"7","previouslyFormattedCitation":"&lt;sup&gt;7&lt;/sup&gt;"},"properties":{"noteIndex":0},"schema":"https://github.com/citation-style-language/schema/raw/master/csl-citation.json"}</w:instrText>
      </w:r>
      <w:r w:rsidR="002A33CA">
        <w:fldChar w:fldCharType="separate"/>
      </w:r>
      <w:r w:rsidR="002A33CA" w:rsidRPr="002A33CA">
        <w:rPr>
          <w:noProof/>
          <w:vertAlign w:val="superscript"/>
        </w:rPr>
        <w:t>7</w:t>
      </w:r>
      <w:r w:rsidR="002A33CA">
        <w:fldChar w:fldCharType="end"/>
      </w:r>
      <w:r w:rsidR="00A10CC0" w:rsidRPr="00337148">
        <w:t xml:space="preserve">  </w:t>
      </w:r>
    </w:p>
    <w:p w14:paraId="0D893C5F" w14:textId="64DDCE6B" w:rsidR="0046413A" w:rsidRDefault="0046413A" w:rsidP="00A10CC0"/>
    <w:p w14:paraId="6623B09F" w14:textId="77777777" w:rsidR="0046413A" w:rsidRDefault="0046413A" w:rsidP="0046413A"/>
    <w:p w14:paraId="023BA16D" w14:textId="77777777" w:rsidR="0046413A" w:rsidRPr="004514A5" w:rsidRDefault="0046413A" w:rsidP="0046413A">
      <w:pPr>
        <w:keepNext/>
        <w:jc w:val="center"/>
      </w:pPr>
      <w:r>
        <w:rPr>
          <w:noProof/>
          <w:lang w:eastAsia="en-GB"/>
        </w:rPr>
        <w:drawing>
          <wp:inline distT="0" distB="0" distL="0" distR="0" wp14:anchorId="29EB1537" wp14:editId="3A99B0F4">
            <wp:extent cx="5003719" cy="3407189"/>
            <wp:effectExtent l="0" t="0" r="635" b="0"/>
            <wp:docPr id="4" name="Picture 4" descr="A picture containing foo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RBC AFM Morphologies_2.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5024174" cy="3421118"/>
                    </a:xfrm>
                    <a:prstGeom prst="rect">
                      <a:avLst/>
                    </a:prstGeom>
                  </pic:spPr>
                </pic:pic>
              </a:graphicData>
            </a:graphic>
          </wp:inline>
        </w:drawing>
      </w:r>
      <w:bookmarkStart w:id="1" w:name="_Ref21260401"/>
    </w:p>
    <w:p w14:paraId="44AC8806" w14:textId="77777777" w:rsidR="0046413A" w:rsidRPr="0053136E" w:rsidRDefault="0046413A" w:rsidP="0046413A">
      <w:pPr>
        <w:pStyle w:val="Caption"/>
        <w:rPr>
          <w:color w:val="auto"/>
          <w:sz w:val="24"/>
          <w:szCs w:val="24"/>
        </w:rPr>
      </w:pPr>
      <w:r w:rsidRPr="0053136E">
        <w:rPr>
          <w:color w:val="auto"/>
          <w:sz w:val="24"/>
          <w:szCs w:val="24"/>
        </w:rPr>
        <w:t xml:space="preserve">Figure </w:t>
      </w:r>
      <w:r w:rsidRPr="0053136E">
        <w:rPr>
          <w:color w:val="auto"/>
          <w:sz w:val="24"/>
          <w:szCs w:val="24"/>
        </w:rPr>
        <w:fldChar w:fldCharType="begin"/>
      </w:r>
      <w:r w:rsidRPr="0053136E">
        <w:rPr>
          <w:color w:val="auto"/>
          <w:sz w:val="24"/>
          <w:szCs w:val="24"/>
        </w:rPr>
        <w:instrText xml:space="preserve"> SEQ Figure \* ARABIC </w:instrText>
      </w:r>
      <w:r w:rsidRPr="0053136E">
        <w:rPr>
          <w:color w:val="auto"/>
          <w:sz w:val="24"/>
          <w:szCs w:val="24"/>
        </w:rPr>
        <w:fldChar w:fldCharType="separate"/>
      </w:r>
      <w:r w:rsidRPr="0053136E">
        <w:rPr>
          <w:noProof/>
          <w:color w:val="auto"/>
          <w:sz w:val="24"/>
          <w:szCs w:val="24"/>
        </w:rPr>
        <w:t>2</w:t>
      </w:r>
      <w:r w:rsidRPr="0053136E">
        <w:rPr>
          <w:noProof/>
          <w:color w:val="auto"/>
          <w:sz w:val="24"/>
          <w:szCs w:val="24"/>
        </w:rPr>
        <w:fldChar w:fldCharType="end"/>
      </w:r>
      <w:bookmarkEnd w:id="1"/>
      <w:r w:rsidRPr="0053136E">
        <w:rPr>
          <w:color w:val="auto"/>
          <w:sz w:val="24"/>
          <w:szCs w:val="24"/>
        </w:rPr>
        <w:t xml:space="preserve">: AFM height images showing representative examples of fixed RBCs from SCD patients recorded in air: (a)-(d) oxygenated RBCs showing the classic biconcave disk profiles; (e)-(l) deoxygenated RBCs with various abnormal morphologies. </w:t>
      </w:r>
    </w:p>
    <w:p w14:paraId="2C44CAC5" w14:textId="35264F8B" w:rsidR="0046413A" w:rsidRDefault="0046413A" w:rsidP="00A10CC0"/>
    <w:p w14:paraId="19C6453D" w14:textId="77777777" w:rsidR="0046413A" w:rsidRPr="00337148" w:rsidRDefault="0046413A" w:rsidP="00A10CC0"/>
    <w:p w14:paraId="31F351E9" w14:textId="77777777" w:rsidR="00D11B0F" w:rsidRPr="00337148" w:rsidRDefault="00D11B0F" w:rsidP="00A10CC0"/>
    <w:p w14:paraId="762D6B3D" w14:textId="77DD8946" w:rsidR="00650410" w:rsidRPr="00132F9D" w:rsidRDefault="00650410" w:rsidP="00A10CC0">
      <w:pPr>
        <w:rPr>
          <w:i/>
          <w:iCs/>
        </w:rPr>
      </w:pPr>
      <w:r w:rsidRPr="00132F9D">
        <w:rPr>
          <w:i/>
          <w:iCs/>
        </w:rPr>
        <w:lastRenderedPageBreak/>
        <w:t xml:space="preserve">3.2 AFM-IR </w:t>
      </w:r>
      <w:r w:rsidR="00F75A3B" w:rsidRPr="00132F9D">
        <w:rPr>
          <w:i/>
          <w:iCs/>
        </w:rPr>
        <w:t xml:space="preserve">Analysis </w:t>
      </w:r>
      <w:r w:rsidRPr="00132F9D">
        <w:rPr>
          <w:i/>
          <w:iCs/>
        </w:rPr>
        <w:t xml:space="preserve">of </w:t>
      </w:r>
      <w:proofErr w:type="spellStart"/>
      <w:r w:rsidRPr="00132F9D">
        <w:rPr>
          <w:i/>
          <w:iCs/>
        </w:rPr>
        <w:t>HbS</w:t>
      </w:r>
      <w:proofErr w:type="spellEnd"/>
      <w:r w:rsidRPr="00132F9D">
        <w:rPr>
          <w:i/>
          <w:iCs/>
        </w:rPr>
        <w:t xml:space="preserve"> RBCs</w:t>
      </w:r>
    </w:p>
    <w:p w14:paraId="6395C7FA" w14:textId="77777777" w:rsidR="00650410" w:rsidRDefault="00650410" w:rsidP="00A10CC0"/>
    <w:p w14:paraId="0C171AB1" w14:textId="77777777" w:rsidR="0046413A" w:rsidRPr="0046413A" w:rsidRDefault="00D11B0F" w:rsidP="0046413A">
      <w:r w:rsidRPr="00337148">
        <w:t xml:space="preserve">Figure </w:t>
      </w:r>
      <w:r w:rsidR="00607B6B">
        <w:t>3</w:t>
      </w:r>
      <w:r w:rsidR="00A10CC0" w:rsidRPr="00337148">
        <w:t xml:space="preserve"> shows the properties of both oxygenated and deoxygenated </w:t>
      </w:r>
      <w:r w:rsidR="00971957">
        <w:t>RBCs from SCD patients</w:t>
      </w:r>
      <w:r w:rsidR="00A10CC0" w:rsidRPr="00337148">
        <w:t xml:space="preserve"> measured using AFM-IR with a gold-coated, chemically un-functionali</w:t>
      </w:r>
      <w:r w:rsidR="00F75A3B">
        <w:t>s</w:t>
      </w:r>
      <w:r w:rsidR="00A10CC0" w:rsidRPr="00337148">
        <w:t xml:space="preserve">ed tip. </w:t>
      </w:r>
      <w:r w:rsidR="00877BAE">
        <w:t xml:space="preserve"> </w:t>
      </w:r>
      <w:r w:rsidR="00A10CC0" w:rsidRPr="00337148">
        <w:t xml:space="preserve">For oxygenated and deoxygenated cells in Figure </w:t>
      </w:r>
      <w:r w:rsidR="00607B6B">
        <w:t>3</w:t>
      </w:r>
      <w:r w:rsidR="00A10CC0" w:rsidRPr="00337148">
        <w:t xml:space="preserve">a, the z-scale for the deoxygenated sample is twice that of the oxygenated one, indicative of significantly greater roughness for the deoxygenated cells. </w:t>
      </w:r>
      <w:r w:rsidR="000B33C5" w:rsidRPr="00337148">
        <w:t xml:space="preserve"> </w:t>
      </w:r>
      <w:r w:rsidR="00A10CC0" w:rsidRPr="00337148">
        <w:t xml:space="preserve">Whilst the particular orientation and morphology of the cells may have an effect on the z-scale, the imaged region in both </w:t>
      </w:r>
      <w:r w:rsidR="007A342D">
        <w:t xml:space="preserve">examples comprised </w:t>
      </w:r>
      <w:r w:rsidR="00A10CC0" w:rsidRPr="00337148">
        <w:t xml:space="preserve">a comparatively flat section of the membrane (with z-scales significantly less than that of the cell thickness, ~2 </w:t>
      </w:r>
      <w:r w:rsidR="00A10CC0" w:rsidRPr="00337148">
        <w:sym w:font="Symbol" w:char="F06D"/>
      </w:r>
      <w:r w:rsidR="00A10CC0" w:rsidRPr="00337148">
        <w:t>m), suggesting that the observed height variations</w:t>
      </w:r>
      <w:r w:rsidR="005C66B7">
        <w:rPr>
          <w:color w:val="00B050"/>
        </w:rPr>
        <w:t>,</w:t>
      </w:r>
      <w:r w:rsidR="00A10CC0" w:rsidRPr="00337148">
        <w:t xml:space="preserve"> and thus d</w:t>
      </w:r>
      <w:r w:rsidR="00877BAE">
        <w:t>iffering degrees of roughness, we</w:t>
      </w:r>
      <w:r w:rsidR="00A10CC0" w:rsidRPr="00337148">
        <w:t xml:space="preserve">re not </w:t>
      </w:r>
      <w:r w:rsidR="007A342D">
        <w:t>an experimental artefact</w:t>
      </w:r>
      <w:r w:rsidR="00A10CC0" w:rsidRPr="00337148">
        <w:t>.</w:t>
      </w:r>
      <w:r w:rsidR="0046413A">
        <w:t xml:space="preserve"> </w:t>
      </w:r>
    </w:p>
    <w:p w14:paraId="6D67AACD" w14:textId="77777777" w:rsidR="0046413A" w:rsidRDefault="0046413A" w:rsidP="0046413A"/>
    <w:p w14:paraId="3D1064A6" w14:textId="77777777" w:rsidR="0046413A" w:rsidRPr="0046413A" w:rsidRDefault="0046413A" w:rsidP="0046413A">
      <w:pPr>
        <w:keepNext/>
      </w:pPr>
      <w:r>
        <w:rPr>
          <w:noProof/>
          <w:lang w:eastAsia="en-GB"/>
        </w:rPr>
        <w:drawing>
          <wp:inline distT="0" distB="0" distL="0" distR="0" wp14:anchorId="44901742" wp14:editId="66D90AA7">
            <wp:extent cx="5208104" cy="4541789"/>
            <wp:effectExtent l="0" t="0" r="0" b="5080"/>
            <wp:docPr id="2" name="Picture 2" descr="A screenshot of a cell pho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RBC HbS Friction Adhesion IR Figure_7.pn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5246986" cy="4575696"/>
                    </a:xfrm>
                    <a:prstGeom prst="rect">
                      <a:avLst/>
                    </a:prstGeom>
                  </pic:spPr>
                </pic:pic>
              </a:graphicData>
            </a:graphic>
          </wp:inline>
        </w:drawing>
      </w:r>
      <w:bookmarkStart w:id="2" w:name="_Ref22854538"/>
    </w:p>
    <w:p w14:paraId="56676CFA" w14:textId="2F7A940B" w:rsidR="00A10CC0" w:rsidRPr="0046413A" w:rsidRDefault="0046413A" w:rsidP="0046413A">
      <w:pPr>
        <w:pStyle w:val="Caption"/>
        <w:rPr>
          <w:i w:val="0"/>
          <w:color w:val="auto"/>
          <w:sz w:val="24"/>
          <w:szCs w:val="24"/>
        </w:rPr>
      </w:pPr>
      <w:r w:rsidRPr="004A4B3A">
        <w:rPr>
          <w:color w:val="auto"/>
          <w:sz w:val="24"/>
          <w:szCs w:val="24"/>
        </w:rPr>
        <w:t xml:space="preserve">Figure </w:t>
      </w:r>
      <w:r w:rsidRPr="004A4B3A">
        <w:rPr>
          <w:color w:val="auto"/>
          <w:sz w:val="24"/>
          <w:szCs w:val="24"/>
        </w:rPr>
        <w:fldChar w:fldCharType="begin"/>
      </w:r>
      <w:r w:rsidRPr="004A4B3A">
        <w:rPr>
          <w:color w:val="auto"/>
          <w:sz w:val="24"/>
          <w:szCs w:val="24"/>
        </w:rPr>
        <w:instrText xml:space="preserve"> SEQ Figure \* ARABIC </w:instrText>
      </w:r>
      <w:r w:rsidRPr="004A4B3A">
        <w:rPr>
          <w:color w:val="auto"/>
          <w:sz w:val="24"/>
          <w:szCs w:val="24"/>
        </w:rPr>
        <w:fldChar w:fldCharType="separate"/>
      </w:r>
      <w:r>
        <w:rPr>
          <w:noProof/>
          <w:color w:val="auto"/>
          <w:sz w:val="24"/>
          <w:szCs w:val="24"/>
        </w:rPr>
        <w:t>3</w:t>
      </w:r>
      <w:r w:rsidRPr="004A4B3A">
        <w:rPr>
          <w:noProof/>
          <w:color w:val="auto"/>
          <w:sz w:val="24"/>
          <w:szCs w:val="24"/>
        </w:rPr>
        <w:fldChar w:fldCharType="end"/>
      </w:r>
      <w:bookmarkEnd w:id="2"/>
      <w:r w:rsidRPr="004A4B3A">
        <w:rPr>
          <w:color w:val="auto"/>
          <w:sz w:val="24"/>
          <w:szCs w:val="24"/>
        </w:rPr>
        <w:t>: AFM-IR data for oxygenated and deoxygenated RBCs from SCD patients using an Au-coated tip:  (a) height maps, (b) friction maps, (c) normalised AFM-IR spectra in the 1125-1800 cm</w:t>
      </w:r>
      <w:r w:rsidRPr="004A4B3A">
        <w:rPr>
          <w:color w:val="auto"/>
          <w:sz w:val="24"/>
          <w:szCs w:val="24"/>
          <w:vertAlign w:val="superscript"/>
        </w:rPr>
        <w:t>-1</w:t>
      </w:r>
      <w:r w:rsidRPr="004A4B3A">
        <w:rPr>
          <w:color w:val="auto"/>
          <w:sz w:val="24"/>
          <w:szCs w:val="24"/>
        </w:rPr>
        <w:t xml:space="preserve"> region, (d) IR intensity maps at 1165 cm</w:t>
      </w:r>
      <w:r w:rsidRPr="004A4B3A">
        <w:rPr>
          <w:color w:val="auto"/>
          <w:sz w:val="24"/>
          <w:szCs w:val="24"/>
          <w:vertAlign w:val="superscript"/>
        </w:rPr>
        <w:t>-1</w:t>
      </w:r>
      <w:r w:rsidRPr="004A4B3A">
        <w:rPr>
          <w:color w:val="auto"/>
          <w:sz w:val="24"/>
          <w:szCs w:val="24"/>
        </w:rPr>
        <w:t xml:space="preserve">, (e) 20x20 px adhesion force maps, (f) histogram profiles of the adhesion force for the two cell states.  The white scale bars in (a), (b), (d) and (e) represent 1 </w:t>
      </w:r>
      <w:r w:rsidRPr="004A4B3A">
        <w:rPr>
          <w:color w:val="auto"/>
          <w:sz w:val="24"/>
          <w:szCs w:val="24"/>
        </w:rPr>
        <w:sym w:font="Symbol" w:char="F06D"/>
      </w:r>
      <w:r w:rsidRPr="004A4B3A">
        <w:rPr>
          <w:color w:val="auto"/>
          <w:sz w:val="24"/>
          <w:szCs w:val="24"/>
        </w:rPr>
        <w:t xml:space="preserve">m and the black arrows in (d) and (e) indicate the lateral drift in the image due to the long acquisition times required to produce the adhesion force maps.  The adhesion maps were recorded across a surface region contained within the maps shown in (a), (b) and (d), and correspond to a slightly smaller region of the membrane. </w:t>
      </w:r>
    </w:p>
    <w:p w14:paraId="02A12B2A" w14:textId="77777777" w:rsidR="00D11B0F" w:rsidRPr="00337148" w:rsidRDefault="00D11B0F" w:rsidP="00A10CC0"/>
    <w:p w14:paraId="55BA0FB2" w14:textId="7B5F4DF6" w:rsidR="0046413A" w:rsidRPr="004A4B3A" w:rsidRDefault="00337148" w:rsidP="0046413A">
      <w:pPr>
        <w:rPr>
          <w:i/>
        </w:rPr>
      </w:pPr>
      <w:r w:rsidRPr="00132F9D">
        <w:lastRenderedPageBreak/>
        <w:t xml:space="preserve">Figure </w:t>
      </w:r>
      <w:r w:rsidR="00607B6B">
        <w:t>3</w:t>
      </w:r>
      <w:r w:rsidR="00A10CC0" w:rsidRPr="00132F9D">
        <w:t xml:space="preserve">b shows changes in the lateral deflection of the tip at the surface. </w:t>
      </w:r>
      <w:r w:rsidR="000B33C5" w:rsidRPr="00132F9D">
        <w:t xml:space="preserve"> </w:t>
      </w:r>
      <w:r w:rsidR="00A10CC0" w:rsidRPr="00132F9D">
        <w:t>Attractive forces between the tip and surface w</w:t>
      </w:r>
      <w:r w:rsidR="00165B98" w:rsidRPr="00132F9D">
        <w:t>ould</w:t>
      </w:r>
      <w:r w:rsidR="00A10CC0" w:rsidRPr="00132F9D">
        <w:t xml:space="preserve"> result in the same deflection profile in </w:t>
      </w:r>
      <w:r w:rsidR="00D43D08" w:rsidRPr="00132F9D">
        <w:t>opposite</w:t>
      </w:r>
      <w:r w:rsidR="00A10CC0" w:rsidRPr="00132F9D">
        <w:t xml:space="preserve"> scanning directions and hence can be eliminated by calculating a difference image of the trace and retrace directions, leaving </w:t>
      </w:r>
      <w:r w:rsidR="00A266CD" w:rsidRPr="00132F9D">
        <w:t xml:space="preserve">non-cancelling </w:t>
      </w:r>
      <w:r w:rsidR="00A10CC0" w:rsidRPr="00132F9D">
        <w:t>features that give opposite deflection</w:t>
      </w:r>
      <w:r w:rsidR="00D43D08" w:rsidRPr="00132F9D">
        <w:t xml:space="preserve"> profiles</w:t>
      </w:r>
      <w:r w:rsidR="00A10CC0" w:rsidRPr="00132F9D">
        <w:t xml:space="preserve"> in either </w:t>
      </w:r>
      <w:r w:rsidR="00A266CD" w:rsidRPr="00132F9D">
        <w:t xml:space="preserve">scanning </w:t>
      </w:r>
      <w:r w:rsidR="00A10CC0" w:rsidRPr="00132F9D">
        <w:t xml:space="preserve">direction i.e. those caused by friction between the membrane and the tip. </w:t>
      </w:r>
      <w:r w:rsidR="000B33C5" w:rsidRPr="00132F9D">
        <w:t xml:space="preserve"> </w:t>
      </w:r>
      <w:r w:rsidR="00A10CC0" w:rsidRPr="00132F9D">
        <w:t xml:space="preserve">The images in Figure </w:t>
      </w:r>
      <w:r w:rsidR="00607B6B">
        <w:t>3</w:t>
      </w:r>
      <w:r w:rsidR="00A10CC0" w:rsidRPr="00132F9D">
        <w:t>b, both with the same z-scale, show that the average friction coefficient between the tip and the cell membr</w:t>
      </w:r>
      <w:r w:rsidR="00F144B4" w:rsidRPr="00132F9D">
        <w:t>ane for the deoxygenated cells wa</w:t>
      </w:r>
      <w:r w:rsidR="00A10CC0" w:rsidRPr="00132F9D">
        <w:t xml:space="preserve">s significantly greater than for the oxygenated one. </w:t>
      </w:r>
    </w:p>
    <w:p w14:paraId="7A79F5FF" w14:textId="77777777" w:rsidR="00A10CC0" w:rsidRPr="00337148" w:rsidRDefault="00A10CC0" w:rsidP="00A10CC0"/>
    <w:p w14:paraId="72531B8A" w14:textId="533126AF" w:rsidR="00A10CC0" w:rsidRPr="0053136E" w:rsidRDefault="00A10CC0" w:rsidP="00A10CC0">
      <w:r w:rsidRPr="0053136E">
        <w:t xml:space="preserve">AFM-IR spectra at the cell surface were recorded randomly across multiple cells and over the whole surface, with average spectra being shown in Figure </w:t>
      </w:r>
      <w:r w:rsidR="00607B6B" w:rsidRPr="0053136E">
        <w:t>3</w:t>
      </w:r>
      <w:r w:rsidRPr="0053136E">
        <w:t xml:space="preserve">c. </w:t>
      </w:r>
      <w:r w:rsidR="000B33C5" w:rsidRPr="0053136E">
        <w:t xml:space="preserve"> </w:t>
      </w:r>
      <w:r w:rsidRPr="0053136E">
        <w:t xml:space="preserve">Although relatively weak in oxygenated samples, the </w:t>
      </w:r>
      <w:r w:rsidR="00F6026B" w:rsidRPr="0053136E">
        <w:t xml:space="preserve">common feature at </w:t>
      </w:r>
      <w:r w:rsidRPr="0053136E">
        <w:t>1165 cm</w:t>
      </w:r>
      <w:r w:rsidRPr="0053136E">
        <w:rPr>
          <w:vertAlign w:val="superscript"/>
        </w:rPr>
        <w:t>-1</w:t>
      </w:r>
      <w:r w:rsidRPr="0053136E">
        <w:t xml:space="preserve"> </w:t>
      </w:r>
      <w:r w:rsidR="00F6026B" w:rsidRPr="0053136E">
        <w:t xml:space="preserve">(Figure </w:t>
      </w:r>
      <w:r w:rsidR="00607B6B" w:rsidRPr="0053136E">
        <w:t>3</w:t>
      </w:r>
      <w:r w:rsidR="00F6026B" w:rsidRPr="0053136E">
        <w:t>c)</w:t>
      </w:r>
      <w:r w:rsidR="005C66B7" w:rsidRPr="0053136E">
        <w:t xml:space="preserve"> </w:t>
      </w:r>
      <w:r w:rsidRPr="0053136E">
        <w:t xml:space="preserve">is of significance as it arises from C-O moieties commonly associated with </w:t>
      </w:r>
      <w:r w:rsidR="005C66B7" w:rsidRPr="0053136E">
        <w:t>addition of ROS, e.g. peroxides, to aliphatic moieties</w:t>
      </w:r>
      <w:r w:rsidRPr="0053136E">
        <w:t>, and</w:t>
      </w:r>
      <w:r w:rsidR="00A266CD" w:rsidRPr="0053136E">
        <w:t xml:space="preserve"> therefore</w:t>
      </w:r>
      <w:r w:rsidRPr="0053136E">
        <w:t xml:space="preserve"> is </w:t>
      </w:r>
      <w:r w:rsidR="008E3FE2" w:rsidRPr="0053136E">
        <w:t xml:space="preserve">taken as </w:t>
      </w:r>
      <w:r w:rsidRPr="0053136E">
        <w:t xml:space="preserve">a </w:t>
      </w:r>
      <w:r w:rsidRPr="0053136E">
        <w:rPr>
          <w:i/>
        </w:rPr>
        <w:t>prima facie</w:t>
      </w:r>
      <w:r w:rsidRPr="0053136E">
        <w:t xml:space="preserve"> marker for oxidative </w:t>
      </w:r>
      <w:r w:rsidR="00F6026B" w:rsidRPr="0053136E">
        <w:t>action at</w:t>
      </w:r>
      <w:r w:rsidRPr="0053136E">
        <w:t xml:space="preserve"> the surface, and hence presumably of the lipid component of the cell membrane.</w:t>
      </w:r>
      <w:r w:rsidR="00AB6DD5" w:rsidRPr="0053136E">
        <w:fldChar w:fldCharType="begin" w:fldLock="1"/>
      </w:r>
      <w:r w:rsidR="00D37D3A" w:rsidRPr="0053136E">
        <w:instrText>ADDIN CSL_CITATION {"citationItems":[{"id":"ITEM-1","itemData":{"DOI":"10.1155/2019/2181370","ISSN":"23146141","abstract":"Introduction. Oxidative stress is a state of imbalance between the production of reactive oxygen species and antioxidant defenses. It results in the oxidation of all cellular elements and, to a large extent, proteins, causing inter alia the formation of carbonyl groups in their structures. The study focused on assessment of changes in the plasma protein-bound carbonyls in police horses after combat training and after rest and the applicability of infrared spectroscopy with a Fourier transform, utilizing the attenuated total reflectance (FTIR-ATR) in detecting plasma protein oxidation. Methods. We evaluated the influence of both the different concentrations of hydrogen peroxide and combat training on protein carbonylation in horse blood plasma. The oxidation of plasma proteins was assessed using a spectrophotometric method based on the carbonyl groups derivatization with 2,4-dinitrophenylhydrazine (DNPH). The measured values were correlated with the carbonyl groups concentrations determined by means of the FTIR-ATR method. Results. The linear correlation between the DNPH and FTIR-ATR methods was shown. The concentration of plasma protein-bound carbonyls significantly deceased in police horses after one-day rest when compared to the values measured directly after the combat training (a drop by 23%, p&lt;0.05 and 29%, p&lt;0.01 measured by DNPH and FTIR-ATR methods, respectively). These results were consistent with the proteins phosphorylation analysis. Conclusion. The FTIR-ATR method may be applied to measure the level of plasma proteins peroxidation.","author":[{"dropping-particle":"","family":"Bujok","given":"Jolanta","non-dropping-particle":"","parse-names":false,"suffix":""},{"dropping-particle":"","family":"Gąsior-Głogowska","given":"Marlena","non-dropping-particle":"","parse-names":false,"suffix":""},{"dropping-particle":"","family":"Marszałek","given":"Michał","non-dropping-particle":"","parse-names":false,"suffix":""},{"dropping-particle":"","family":"Trochanowska-Pauk","given":"Natalia","non-dropping-particle":"","parse-names":false,"suffix":""},{"dropping-particle":"","family":"Zigo","given":"František","non-dropping-particle":"","parse-names":false,"suffix":""},{"dropping-particle":"","family":"Pavľak","given":"Alexander","non-dropping-particle":"","parse-names":false,"suffix":""},{"dropping-particle":"","family":"Komorowska","given":"Małgorzata","non-dropping-particle":"","parse-names":false,"suffix":""},{"dropping-particle":"","family":"Walski","given":"Tomasz","non-dropping-particle":"","parse-names":false,"suffix":""}],"container-title":"BioMed Research International","id":"ITEM-1","issued":{"date-parts":[["2019"]]},"title":"Applicability of FTIR-ATR method to measure carbonyls in blood plasma after physical and mental stress","type":"article-journal","volume":"2019"},"uris":["http://www.mendeley.com/documents/?uuid=82f2e8bb-0572-4518-92a2-6efefbd52725"]},{"id":"ITEM-2","itemData":{"DOI":"10.1039/b408931f","ISSN":"00032654","abstract":"This study was designed to evaluate changes in erythrocyte contents during endurance moderate intensity exercise, a model of physiological oxidative stress. 16 endurance-trained subjects cycled 2 h at 55% of maximal aerobic capacity and blood was collected every 15 min. Transmission FT-IR spectrometry was used to analyze separately plasma and erythrocyte content changes during oxidative stress. Erythrocyte FT-IR spectra were corrected for hemoconcentration (Hc) before spectral areas integration of main IR absorbances belonging to phospholipids [νas(CH3), νas(CH 2), and ν(P=O)], proteins [v(C=O) and δ(N-H)], and lactate [ν(C-O)] were used to determine erythrocyte content changes. Changes in νas(CH2) and v(P=O) absorbances while νas(CH3) remained stable showed the magnitude of free radical attacks on phospholipids bilayer. Decrease in v(C=O) and δ(N-H) absorbances while plasma and intracellular lactate, 02 consumption, and Hc rose were linked to hemoglobin, and possibly spectrin, denaturation. Finally, the synergistic changes found between physiological, plasmatic and erythrocyte parameters showed that FT-IR spectrometry was a sufficiently accurate and sensitive method to determine acute changes in erythrocytes during moderate, physiological, oxidative stress.","author":[{"dropping-particle":"","family":"Petibois","given":"Cyril","non-dropping-particle":"","parse-names":false,"suffix":""},{"dropping-particle":"","family":"Déléris","given":"Gérard","non-dropping-particle":"","parse-names":false,"suffix":""}],"container-title":"Analyst","id":"ITEM-2","issue":"10","issued":{"date-parts":[["2004"]]},"page":"912-916","title":"Oxidative stress effects on erythrocytes determined by FT-IR spectrometry","type":"article-journal","volume":"129"},"uris":["http://www.mendeley.com/documents/?uuid=543a886e-fbbc-41a5-955a-51826b8f3888"]}],"mendeley":{"formattedCitation":"&lt;sup&gt;3,26&lt;/sup&gt;","plainTextFormattedCitation":"3,26","previouslyFormattedCitation":"&lt;sup&gt;3,28&lt;/sup&gt;"},"properties":{"noteIndex":0},"schema":"https://github.com/citation-style-language/schema/raw/master/csl-citation.json"}</w:instrText>
      </w:r>
      <w:r w:rsidR="00AB6DD5" w:rsidRPr="0053136E">
        <w:fldChar w:fldCharType="separate"/>
      </w:r>
      <w:r w:rsidR="00D37D3A" w:rsidRPr="0053136E">
        <w:rPr>
          <w:noProof/>
          <w:vertAlign w:val="superscript"/>
        </w:rPr>
        <w:t>3,26</w:t>
      </w:r>
      <w:r w:rsidR="00AB6DD5" w:rsidRPr="0053136E">
        <w:fldChar w:fldCharType="end"/>
      </w:r>
      <w:r w:rsidRPr="0053136E">
        <w:t xml:space="preserve"> </w:t>
      </w:r>
      <w:r w:rsidR="000B33C5" w:rsidRPr="0053136E">
        <w:t xml:space="preserve"> </w:t>
      </w:r>
      <w:r w:rsidRPr="0053136E">
        <w:t>To extend the spectroscopic observations, IR intensity maps at 1165 cm</w:t>
      </w:r>
      <w:r w:rsidRPr="0053136E">
        <w:rPr>
          <w:vertAlign w:val="superscript"/>
        </w:rPr>
        <w:t>-1</w:t>
      </w:r>
      <w:r w:rsidRPr="0053136E">
        <w:t>, shown in</w:t>
      </w:r>
      <w:r w:rsidR="00337148" w:rsidRPr="0053136E">
        <w:t xml:space="preserve"> Figure </w:t>
      </w:r>
      <w:r w:rsidR="00607B6B" w:rsidRPr="0053136E">
        <w:t>3</w:t>
      </w:r>
      <w:r w:rsidRPr="0053136E">
        <w:t>d,</w:t>
      </w:r>
      <w:r w:rsidR="0067184F" w:rsidRPr="0053136E">
        <w:t xml:space="preserve"> were measured,</w:t>
      </w:r>
      <w:r w:rsidRPr="0053136E">
        <w:t xml:space="preserve"> correspond</w:t>
      </w:r>
      <w:r w:rsidR="0067184F" w:rsidRPr="0053136E">
        <w:t>ing</w:t>
      </w:r>
      <w:r w:rsidRPr="0053136E">
        <w:t xml:space="preserve"> to the same region of surface as the maps in Figures </w:t>
      </w:r>
      <w:r w:rsidR="00607B6B" w:rsidRPr="0053136E">
        <w:t>3</w:t>
      </w:r>
      <w:r w:rsidRPr="0053136E">
        <w:t xml:space="preserve">a and </w:t>
      </w:r>
      <w:r w:rsidR="00607B6B" w:rsidRPr="0053136E">
        <w:t>3</w:t>
      </w:r>
      <w:r w:rsidRPr="0053136E">
        <w:t xml:space="preserve">b. </w:t>
      </w:r>
      <w:r w:rsidR="000B33C5" w:rsidRPr="0053136E">
        <w:t xml:space="preserve"> </w:t>
      </w:r>
      <w:r w:rsidRPr="0053136E">
        <w:t>Regions that show</w:t>
      </w:r>
      <w:r w:rsidR="00B90F54" w:rsidRPr="0053136E">
        <w:t>ed</w:t>
      </w:r>
      <w:r w:rsidRPr="0053136E">
        <w:t xml:space="preserve"> an increase of the 1165 cm</w:t>
      </w:r>
      <w:r w:rsidRPr="0053136E">
        <w:rPr>
          <w:vertAlign w:val="superscript"/>
        </w:rPr>
        <w:t>-1</w:t>
      </w:r>
      <w:r w:rsidRPr="0053136E">
        <w:t xml:space="preserve"> band intensity (</w:t>
      </w:r>
      <w:r w:rsidR="00607B6B" w:rsidRPr="0053136E">
        <w:t>3</w:t>
      </w:r>
      <w:r w:rsidRPr="0053136E">
        <w:t>d) also showed an increase in the coefficient of friction (</w:t>
      </w:r>
      <w:r w:rsidR="00607B6B" w:rsidRPr="0053136E">
        <w:t>3</w:t>
      </w:r>
      <w:r w:rsidRPr="0053136E">
        <w:t>b</w:t>
      </w:r>
      <w:r w:rsidR="00132F9D" w:rsidRPr="0053136E">
        <w:t>) but</w:t>
      </w:r>
      <w:r w:rsidRPr="0053136E">
        <w:t xml:space="preserve"> </w:t>
      </w:r>
      <w:r w:rsidR="001E77FA" w:rsidRPr="0053136E">
        <w:t xml:space="preserve">bore </w:t>
      </w:r>
      <w:r w:rsidR="00F75A3B" w:rsidRPr="0053136E">
        <w:t xml:space="preserve">no correlation </w:t>
      </w:r>
      <w:r w:rsidR="001E77FA" w:rsidRPr="0053136E">
        <w:t xml:space="preserve">with </w:t>
      </w:r>
      <w:r w:rsidR="00F75A3B" w:rsidRPr="0053136E">
        <w:t>the</w:t>
      </w:r>
      <w:r w:rsidR="00C5317B" w:rsidRPr="0053136E">
        <w:t xml:space="preserve"> topography</w:t>
      </w:r>
      <w:r w:rsidRPr="0053136E">
        <w:t xml:space="preserve"> (</w:t>
      </w:r>
      <w:r w:rsidR="00607B6B" w:rsidRPr="0053136E">
        <w:t>3</w:t>
      </w:r>
      <w:r w:rsidRPr="0053136E">
        <w:t xml:space="preserve">a). </w:t>
      </w:r>
      <w:r w:rsidR="000B33C5" w:rsidRPr="0053136E">
        <w:t xml:space="preserve"> </w:t>
      </w:r>
      <w:r w:rsidRPr="0053136E">
        <w:t>IR intensity maps showed similar distribution</w:t>
      </w:r>
      <w:r w:rsidR="00016D7A" w:rsidRPr="0053136E">
        <w:t>s</w:t>
      </w:r>
      <w:r w:rsidRPr="0053136E">
        <w:t xml:space="preserve"> of intensities for both </w:t>
      </w:r>
      <w:r w:rsidR="00171DED" w:rsidRPr="0053136E">
        <w:t xml:space="preserve">states of </w:t>
      </w:r>
      <w:r w:rsidRPr="0053136E">
        <w:t>oxygenation</w:t>
      </w:r>
      <w:r w:rsidR="00171DED" w:rsidRPr="0053136E">
        <w:t>.</w:t>
      </w:r>
      <w:r w:rsidRPr="0053136E">
        <w:t xml:space="preserve"> </w:t>
      </w:r>
      <w:r w:rsidR="00171DED" w:rsidRPr="0053136E">
        <w:t xml:space="preserve"> H</w:t>
      </w:r>
      <w:r w:rsidRPr="0053136E">
        <w:t xml:space="preserve">owever, oxygenated cells appeared to exhibit more </w:t>
      </w:r>
      <w:r w:rsidR="00393E3B" w:rsidRPr="0053136E">
        <w:t xml:space="preserve">localised </w:t>
      </w:r>
      <w:r w:rsidRPr="0053136E">
        <w:t>high IR intensity regions,</w:t>
      </w:r>
      <w:r w:rsidR="00505455" w:rsidRPr="0053136E">
        <w:t xml:space="preserve"> </w:t>
      </w:r>
      <w:r w:rsidR="003440DC" w:rsidRPr="0053136E">
        <w:t xml:space="preserve">i.e. </w:t>
      </w:r>
      <w:r w:rsidR="00505455" w:rsidRPr="0053136E">
        <w:t>appearing as ‘domain-like’ regions of high C-O concentrations,</w:t>
      </w:r>
      <w:r w:rsidRPr="0053136E">
        <w:t xml:space="preserve"> whereas for deoxygenated cells </w:t>
      </w:r>
      <w:r w:rsidR="003440DC" w:rsidRPr="0053136E">
        <w:t xml:space="preserve">the </w:t>
      </w:r>
      <w:r w:rsidRPr="0053136E">
        <w:t xml:space="preserve">intensity was more uniform across the </w:t>
      </w:r>
      <w:r w:rsidR="00C959CF" w:rsidRPr="0053136E">
        <w:t>cells</w:t>
      </w:r>
      <w:r w:rsidR="00505455" w:rsidRPr="0053136E">
        <w:t>, showing more ‘sporadic’ intensities across the surface and thus suggesting they have more homogeneously stressed membranes</w:t>
      </w:r>
      <w:r w:rsidR="00C959CF" w:rsidRPr="0053136E">
        <w:t>. An example map</w:t>
      </w:r>
      <w:r w:rsidR="00EE0062" w:rsidRPr="0053136E">
        <w:t xml:space="preserve"> of a region of a cell membrane for each cell type is shown in Figure 3d demonstrating the ‘domain-like’ intensities for the oxygenated cells and less structured intensities across the deoxygenated cells</w:t>
      </w:r>
      <w:r w:rsidRPr="0053136E">
        <w:t xml:space="preserve">. </w:t>
      </w:r>
      <w:r w:rsidR="000B33C5" w:rsidRPr="0053136E">
        <w:t xml:space="preserve"> </w:t>
      </w:r>
      <w:r w:rsidR="00016D7A" w:rsidRPr="0053136E">
        <w:t>The same observation wa</w:t>
      </w:r>
      <w:r w:rsidRPr="0053136E">
        <w:t xml:space="preserve">s evident </w:t>
      </w:r>
      <w:r w:rsidR="00016D7A" w:rsidRPr="0053136E">
        <w:t xml:space="preserve">in </w:t>
      </w:r>
      <w:r w:rsidRPr="0053136E">
        <w:t>the friction measurements (</w:t>
      </w:r>
      <w:r w:rsidR="00607B6B" w:rsidRPr="0053136E">
        <w:t>3</w:t>
      </w:r>
      <w:r w:rsidRPr="0053136E">
        <w:t>b) but with the caveat that the a</w:t>
      </w:r>
      <w:r w:rsidR="00016D7A" w:rsidRPr="0053136E">
        <w:t>verage coefficient of friction wa</w:t>
      </w:r>
      <w:r w:rsidRPr="0053136E">
        <w:t xml:space="preserve">s significantly greater under deoxygenated conditions. </w:t>
      </w:r>
      <w:r w:rsidR="000B33C5" w:rsidRPr="0053136E">
        <w:t xml:space="preserve"> </w:t>
      </w:r>
      <w:r w:rsidRPr="0053136E">
        <w:t>The increase in intensity of the 1165 cm</w:t>
      </w:r>
      <w:r w:rsidRPr="0053136E">
        <w:rPr>
          <w:vertAlign w:val="superscript"/>
        </w:rPr>
        <w:t>-1</w:t>
      </w:r>
      <w:r w:rsidRPr="0053136E">
        <w:t xml:space="preserve"> band for the deoxygenated cells, compared to oxygenated ones, was considerably smaller in proportion t</w:t>
      </w:r>
      <w:r w:rsidR="00E30968" w:rsidRPr="0053136E">
        <w:t xml:space="preserve">o </w:t>
      </w:r>
      <w:r w:rsidRPr="0053136E">
        <w:t>the increase in friction, implying that additional factors contributed to the increased coefficient of friction for the deoxygenated cells that did not contribute to the IR intensity.</w:t>
      </w:r>
      <w:r w:rsidR="008F5465" w:rsidRPr="0053136E">
        <w:t xml:space="preserve"> </w:t>
      </w:r>
      <w:r w:rsidRPr="0053136E">
        <w:t>The full AFM-IR spectra (</w:t>
      </w:r>
      <w:r w:rsidR="00607B6B" w:rsidRPr="0053136E">
        <w:t>3</w:t>
      </w:r>
      <w:r w:rsidRPr="0053136E">
        <w:t>c) show that the intensity of the 1165 cm</w:t>
      </w:r>
      <w:r w:rsidRPr="0053136E">
        <w:rPr>
          <w:vertAlign w:val="superscript"/>
        </w:rPr>
        <w:t>-1</w:t>
      </w:r>
      <w:r w:rsidRPr="0053136E">
        <w:t xml:space="preserve"> band for the deoxygenated cells was greater across the membrane. </w:t>
      </w:r>
      <w:r w:rsidR="000B33C5" w:rsidRPr="0053136E">
        <w:t xml:space="preserve"> </w:t>
      </w:r>
      <w:r w:rsidRPr="0053136E">
        <w:t xml:space="preserve">Thus, for individual cells, the regions of increased IR intensity </w:t>
      </w:r>
      <w:r w:rsidR="002C50DA" w:rsidRPr="0053136E">
        <w:t>were</w:t>
      </w:r>
      <w:r w:rsidRPr="0053136E">
        <w:t xml:space="preserve"> more localised and significantly less common in the oxygenated samples. </w:t>
      </w:r>
      <w:r w:rsidR="000B33C5" w:rsidRPr="0053136E">
        <w:t xml:space="preserve"> </w:t>
      </w:r>
      <w:r w:rsidRPr="0053136E">
        <w:t>In contrast, the deoxygenated cells show</w:t>
      </w:r>
      <w:r w:rsidR="003E4C51" w:rsidRPr="0053136E">
        <w:t>ed</w:t>
      </w:r>
      <w:r w:rsidRPr="0053136E">
        <w:t xml:space="preserve"> much greater homogeneity </w:t>
      </w:r>
      <w:r w:rsidR="00620C32" w:rsidRPr="0053136E">
        <w:t>of</w:t>
      </w:r>
      <w:r w:rsidRPr="0053136E">
        <w:t xml:space="preserve"> th</w:t>
      </w:r>
      <w:r w:rsidR="003E4C51" w:rsidRPr="0053136E">
        <w:t>e increased IR intensity and le</w:t>
      </w:r>
      <w:r w:rsidRPr="0053136E">
        <w:t>d to a greater average across the cells.</w:t>
      </w:r>
    </w:p>
    <w:p w14:paraId="795480C7" w14:textId="77777777" w:rsidR="00A10CC0" w:rsidRPr="00337148" w:rsidRDefault="00A10CC0" w:rsidP="00A10CC0"/>
    <w:p w14:paraId="39DD580A" w14:textId="0BEED8DC" w:rsidR="00A10CC0" w:rsidRPr="00132F9D" w:rsidRDefault="00A10CC0" w:rsidP="00A10CC0">
      <w:r w:rsidRPr="00132F9D">
        <w:t xml:space="preserve">Figures </w:t>
      </w:r>
      <w:r w:rsidR="00607B6B">
        <w:t>3</w:t>
      </w:r>
      <w:r w:rsidRPr="00132F9D">
        <w:t xml:space="preserve">e and </w:t>
      </w:r>
      <w:r w:rsidR="00607B6B">
        <w:t>3</w:t>
      </w:r>
      <w:r w:rsidRPr="00132F9D">
        <w:t xml:space="preserve">f are measurements of the vertical </w:t>
      </w:r>
      <w:r w:rsidR="00D91580" w:rsidRPr="00132F9D">
        <w:t>detachment force</w:t>
      </w:r>
      <w:r w:rsidRPr="00132F9D">
        <w:t xml:space="preserve"> between the tip and the surface. </w:t>
      </w:r>
      <w:r w:rsidR="000B33C5" w:rsidRPr="00132F9D">
        <w:t xml:space="preserve"> </w:t>
      </w:r>
      <w:r w:rsidR="008907E6" w:rsidRPr="00132F9D">
        <w:t>For these measurements, t</w:t>
      </w:r>
      <w:r w:rsidR="004A7BC5" w:rsidRPr="00132F9D">
        <w:t>he AFM tip wa</w:t>
      </w:r>
      <w:r w:rsidRPr="00132F9D">
        <w:t xml:space="preserve">s pushed vertically onto the RBC surface and then retracted. </w:t>
      </w:r>
      <w:r w:rsidR="000B33C5" w:rsidRPr="00132F9D">
        <w:t xml:space="preserve"> </w:t>
      </w:r>
      <w:r w:rsidRPr="00132F9D">
        <w:t xml:space="preserve">Under </w:t>
      </w:r>
      <w:r w:rsidR="00E506A9" w:rsidRPr="00132F9D">
        <w:t>such</w:t>
      </w:r>
      <w:r w:rsidRPr="00132F9D">
        <w:t xml:space="preserve"> conditions, inter-digitation of residual tip molecules (known to contaminate “clean” </w:t>
      </w:r>
      <w:r w:rsidR="004A7BC5" w:rsidRPr="00132F9D">
        <w:t>gold under ambient conditions) i</w:t>
      </w:r>
      <w:r w:rsidRPr="00132F9D">
        <w:t xml:space="preserve">s more likely to occur than for the lateral deflection measurements in which the tip is continuously </w:t>
      </w:r>
      <w:proofErr w:type="spellStart"/>
      <w:r w:rsidRPr="00132F9D">
        <w:t>rastered</w:t>
      </w:r>
      <w:proofErr w:type="spellEnd"/>
      <w:r w:rsidRPr="00132F9D">
        <w:t xml:space="preserve"> laterally across the cell surface</w:t>
      </w:r>
      <w:r w:rsidR="00E506A9" w:rsidRPr="00132F9D">
        <w:t>.</w:t>
      </w:r>
      <w:r w:rsidR="00E506A9" w:rsidRPr="00132F9D">
        <w:fldChar w:fldCharType="begin" w:fldLock="1"/>
      </w:r>
      <w:r w:rsidR="00D37D3A">
        <w:instrText xml:space="preserve">ADDIN CSL_CITATION {"citationItems":[{"id":"ITEM-1","itemData":{"DOI":"10.1016/0021-9797(80)90348-3","ISSN":"00219797","abstract":"Since 1934, 26 (or more) attempts have been made to establish the hydrophilic or hydrophobic nature of clean gold surfaces. Eighteen (including theoretical studies) concluded clean gold is hydrophobic (θH2O </w:instrText>
      </w:r>
      <w:r w:rsidR="00D37D3A">
        <w:rPr>
          <w:rFonts w:ascii="Cambria Math" w:hAnsi="Cambria Math" w:cs="Cambria Math"/>
        </w:rPr>
        <w:instrText>∼</w:instrText>
      </w:r>
      <w:r w:rsidR="00D37D3A">
        <w:instrText xml:space="preserve"> 65°), whereas eight concluded clean gold is hydrophilic. In all of these studies direct evidence as to surface cleanliness was lacking. In this report direct evidence as to surface cleanliness is given in the form of Auger electron spectrograms measured prior to and after the water contact angle measurement in a UHV system (in clean argon). For gold surfaces with very small contamination with carbon or oxygen, water wets. Less than a monolayer of carbonaceous contamination renders the surface hydrophobic (θH2O </w:instrText>
      </w:r>
      <w:r w:rsidR="00D37D3A">
        <w:rPr>
          <w:rFonts w:ascii="Cambria Math" w:hAnsi="Cambria Math" w:cs="Cambria Math"/>
        </w:rPr>
        <w:instrText>∼</w:instrText>
      </w:r>
      <w:r w:rsidR="00D37D3A">
        <w:instrText xml:space="preserve"> 50°). Clean gold is hydrophilic. © 1980.","author":[{"dropping-particle":"","family":"Smith","given":"Tennyson","non-dropping-particle":"","parse-names":false,"suffix":""}],"container-title":"Journal of Colloid And Interface Science","id":"ITEM-1","issue":"1","issued":{"date-parts":[["1980"]]},"page":"51-55","title":"The hydrophilic nature of a clean gold surface","type":"article-journal","volume":"75"},"uris":["http://www.mendeley.com/documents/?uuid=f92913a0-71c5-43e9-842e-06fa0ea5b577"]}],"mendeley":{"formattedCitation":"&lt;sup&gt;27&lt;/sup&gt;","plainTextFormattedCitation":"27","previouslyFormattedCitation":"&lt;sup&gt;29&lt;/sup&gt;"},"properties":{"noteIndex":0},"schema":"https://github.com/citation-style-language/schema/raw/master/csl-citation.json"}</w:instrText>
      </w:r>
      <w:r w:rsidR="00E506A9" w:rsidRPr="00132F9D">
        <w:fldChar w:fldCharType="separate"/>
      </w:r>
      <w:r w:rsidR="00D37D3A" w:rsidRPr="00D37D3A">
        <w:rPr>
          <w:noProof/>
          <w:vertAlign w:val="superscript"/>
        </w:rPr>
        <w:t>27</w:t>
      </w:r>
      <w:r w:rsidR="00E506A9" w:rsidRPr="00132F9D">
        <w:fldChar w:fldCharType="end"/>
      </w:r>
      <w:r w:rsidR="00E506A9" w:rsidRPr="00132F9D">
        <w:t xml:space="preserve"> This results in the detachment force better mimicking </w:t>
      </w:r>
      <w:r w:rsidR="00A266CD" w:rsidRPr="00132F9D">
        <w:t xml:space="preserve">the </w:t>
      </w:r>
      <w:r w:rsidR="001D0936" w:rsidRPr="00132F9D">
        <w:t xml:space="preserve">extent of </w:t>
      </w:r>
      <w:r w:rsidR="00A266CD" w:rsidRPr="00132F9D">
        <w:t>cell adhesion</w:t>
      </w:r>
      <w:r w:rsidR="00E506A9" w:rsidRPr="00132F9D">
        <w:t xml:space="preserve"> rather than using any adhesive forces that arise in lateral deflection profiles (that were previously eliminated for the frictional measurements)</w:t>
      </w:r>
      <w:r w:rsidRPr="00132F9D">
        <w:t xml:space="preserve">. </w:t>
      </w:r>
      <w:r w:rsidR="004A7BC5" w:rsidRPr="00132F9D">
        <w:t xml:space="preserve"> </w:t>
      </w:r>
      <w:r w:rsidRPr="00132F9D">
        <w:t xml:space="preserve">The maps shown in Figure </w:t>
      </w:r>
      <w:r w:rsidR="00607B6B">
        <w:t>3</w:t>
      </w:r>
      <w:r w:rsidRPr="00132F9D">
        <w:t>e</w:t>
      </w:r>
      <w:r w:rsidR="00D91580" w:rsidRPr="00132F9D">
        <w:t>, therefore,</w:t>
      </w:r>
      <w:r w:rsidRPr="00132F9D">
        <w:t xml:space="preserve"> represent the adhesion between the cell and the tip for the same </w:t>
      </w:r>
      <w:r w:rsidRPr="00132F9D">
        <w:lastRenderedPageBreak/>
        <w:t xml:space="preserve">regions of the surface shown in </w:t>
      </w:r>
      <w:r w:rsidR="00607B6B">
        <w:t>3</w:t>
      </w:r>
      <w:r w:rsidRPr="00132F9D">
        <w:t xml:space="preserve">a, </w:t>
      </w:r>
      <w:r w:rsidR="00607B6B">
        <w:t>3</w:t>
      </w:r>
      <w:r w:rsidRPr="00132F9D">
        <w:t xml:space="preserve">b and </w:t>
      </w:r>
      <w:r w:rsidR="00607B6B">
        <w:t>3</w:t>
      </w:r>
      <w:r w:rsidRPr="00132F9D">
        <w:t xml:space="preserve">d. </w:t>
      </w:r>
      <w:r w:rsidR="000B33C5" w:rsidRPr="00132F9D">
        <w:t xml:space="preserve"> </w:t>
      </w:r>
      <w:r w:rsidRPr="00132F9D">
        <w:t>Unfortunately, due to the long acquisition time required t</w:t>
      </w:r>
      <w:r w:rsidR="004A7BC5" w:rsidRPr="00132F9D">
        <w:t>o acquire adhesion maps, there wa</w:t>
      </w:r>
      <w:r w:rsidRPr="00132F9D">
        <w:t>s some unavoidable lateral drift in the adhesion measurement (</w:t>
      </w:r>
      <w:r w:rsidR="00E4104C" w:rsidRPr="00132F9D">
        <w:t xml:space="preserve">indicated by </w:t>
      </w:r>
      <w:r w:rsidRPr="00132F9D">
        <w:t xml:space="preserve">the black arrows for the deoxygenated cell in Figure </w:t>
      </w:r>
      <w:r w:rsidR="00607B6B">
        <w:t>3</w:t>
      </w:r>
      <w:r w:rsidRPr="00132F9D">
        <w:t xml:space="preserve">d and e).  (In contrast, the drift for the oxygenated cell was much less and features on the maps can be accurately correlated.) </w:t>
      </w:r>
      <w:r w:rsidR="004A7BC5" w:rsidRPr="00132F9D">
        <w:t xml:space="preserve"> </w:t>
      </w:r>
      <w:r w:rsidRPr="00132F9D">
        <w:t xml:space="preserve">Comparison of the adhesion maps for cells shows clear evidence of increased average adhesion under deoxygenated conditions. </w:t>
      </w:r>
      <w:r w:rsidR="000B33C5" w:rsidRPr="00132F9D">
        <w:t xml:space="preserve"> </w:t>
      </w:r>
      <w:r w:rsidRPr="00132F9D">
        <w:t>This increased adhesion is emphasised in the histog</w:t>
      </w:r>
      <w:r w:rsidR="00992ECA" w:rsidRPr="00132F9D">
        <w:t>ram profiles (</w:t>
      </w:r>
      <w:r w:rsidR="00607B6B">
        <w:t>3</w:t>
      </w:r>
      <w:r w:rsidR="00992ECA" w:rsidRPr="00132F9D">
        <w:t>f) that were</w:t>
      </w:r>
      <w:r w:rsidRPr="00132F9D">
        <w:t xml:space="preserve"> generated from the individual pixel values used for the adhesion maps (</w:t>
      </w:r>
      <w:r w:rsidR="00607B6B">
        <w:t>3</w:t>
      </w:r>
      <w:r w:rsidRPr="00132F9D">
        <w:t xml:space="preserve">e). </w:t>
      </w:r>
      <w:r w:rsidR="000B33C5" w:rsidRPr="00132F9D">
        <w:t xml:space="preserve"> </w:t>
      </w:r>
      <w:r w:rsidRPr="00132F9D">
        <w:t>Increased adhesion correlated with the corresponding friction and 1165 cm</w:t>
      </w:r>
      <w:r w:rsidRPr="00132F9D">
        <w:rPr>
          <w:vertAlign w:val="superscript"/>
        </w:rPr>
        <w:t>-1</w:t>
      </w:r>
      <w:r w:rsidRPr="00132F9D">
        <w:t xml:space="preserve"> intensity measurements</w:t>
      </w:r>
      <w:r w:rsidR="00C5317B" w:rsidRPr="00132F9D">
        <w:t xml:space="preserve"> but, as with the friction, demonstrated greater increases relative to the increase in IR intensity for deoxygenated cells.</w:t>
      </w:r>
      <w:r w:rsidRPr="00132F9D">
        <w:t xml:space="preserve"> </w:t>
      </w:r>
    </w:p>
    <w:p w14:paraId="7B875A4F" w14:textId="109F6794" w:rsidR="00A10CC0" w:rsidRDefault="00A10CC0" w:rsidP="00A10CC0">
      <w:pPr>
        <w:rPr>
          <w:iCs/>
        </w:rPr>
      </w:pPr>
    </w:p>
    <w:p w14:paraId="4E5558FB" w14:textId="6AEFB375" w:rsidR="00D91580" w:rsidRPr="00132F9D" w:rsidRDefault="00D91580" w:rsidP="00A10CC0">
      <w:pPr>
        <w:rPr>
          <w:i/>
        </w:rPr>
      </w:pPr>
      <w:r w:rsidRPr="00132F9D">
        <w:rPr>
          <w:i/>
        </w:rPr>
        <w:t>3.3 SCD Adhesion Profiling</w:t>
      </w:r>
    </w:p>
    <w:p w14:paraId="231B80F8" w14:textId="77777777" w:rsidR="00D91580" w:rsidRPr="00337148" w:rsidRDefault="00D91580" w:rsidP="00A10CC0">
      <w:pPr>
        <w:rPr>
          <w:iCs/>
        </w:rPr>
      </w:pPr>
    </w:p>
    <w:p w14:paraId="2B083C2E" w14:textId="2005FC54" w:rsidR="000E0304" w:rsidRPr="0053136E" w:rsidRDefault="00A10CC0" w:rsidP="00A10CC0">
      <w:pPr>
        <w:pStyle w:val="Caption"/>
        <w:rPr>
          <w:i w:val="0"/>
          <w:color w:val="auto"/>
          <w:sz w:val="24"/>
          <w:szCs w:val="24"/>
        </w:rPr>
      </w:pPr>
      <w:r w:rsidRPr="0053136E">
        <w:rPr>
          <w:i w:val="0"/>
          <w:color w:val="auto"/>
          <w:sz w:val="24"/>
          <w:szCs w:val="24"/>
        </w:rPr>
        <w:t xml:space="preserve">The likelihood </w:t>
      </w:r>
      <w:r w:rsidR="0086365C" w:rsidRPr="0053136E">
        <w:rPr>
          <w:i w:val="0"/>
          <w:color w:val="auto"/>
          <w:sz w:val="24"/>
          <w:szCs w:val="24"/>
        </w:rPr>
        <w:t xml:space="preserve">that </w:t>
      </w:r>
      <w:r w:rsidRPr="0053136E">
        <w:rPr>
          <w:i w:val="0"/>
          <w:color w:val="auto"/>
          <w:sz w:val="24"/>
          <w:szCs w:val="24"/>
        </w:rPr>
        <w:t xml:space="preserve">several factors </w:t>
      </w:r>
      <w:r w:rsidR="0086365C" w:rsidRPr="0053136E">
        <w:rPr>
          <w:i w:val="0"/>
          <w:color w:val="auto"/>
          <w:sz w:val="24"/>
          <w:szCs w:val="24"/>
        </w:rPr>
        <w:t>might underlie</w:t>
      </w:r>
      <w:r w:rsidRPr="0053136E">
        <w:rPr>
          <w:i w:val="0"/>
          <w:color w:val="auto"/>
          <w:sz w:val="24"/>
          <w:szCs w:val="24"/>
        </w:rPr>
        <w:t xml:space="preserve"> the observed differences in adhesion of the tip to the membrane </w:t>
      </w:r>
      <w:r w:rsidR="00415316" w:rsidRPr="0053136E">
        <w:rPr>
          <w:i w:val="0"/>
          <w:color w:val="auto"/>
          <w:sz w:val="24"/>
          <w:szCs w:val="24"/>
        </w:rPr>
        <w:t>for the different oxygenation states</w:t>
      </w:r>
      <w:r w:rsidR="00117D43" w:rsidRPr="0053136E">
        <w:rPr>
          <w:i w:val="0"/>
          <w:color w:val="auto"/>
          <w:sz w:val="24"/>
          <w:szCs w:val="24"/>
        </w:rPr>
        <w:t xml:space="preserve"> (e.g. the extent of PS lipid exposure or the surface response to different levels of oxidation)</w:t>
      </w:r>
      <w:r w:rsidR="00415316" w:rsidRPr="0053136E">
        <w:rPr>
          <w:i w:val="0"/>
          <w:color w:val="auto"/>
          <w:sz w:val="24"/>
          <w:szCs w:val="24"/>
        </w:rPr>
        <w:t xml:space="preserve"> </w:t>
      </w:r>
      <w:r w:rsidRPr="0053136E">
        <w:rPr>
          <w:i w:val="0"/>
          <w:color w:val="auto"/>
          <w:sz w:val="24"/>
          <w:szCs w:val="24"/>
        </w:rPr>
        <w:t xml:space="preserve">prompted further investigations </w:t>
      </w:r>
      <w:r w:rsidR="00415316" w:rsidRPr="0053136E">
        <w:rPr>
          <w:i w:val="0"/>
          <w:color w:val="auto"/>
          <w:sz w:val="24"/>
          <w:szCs w:val="24"/>
        </w:rPr>
        <w:t xml:space="preserve">of </w:t>
      </w:r>
      <w:proofErr w:type="spellStart"/>
      <w:r w:rsidR="00415316" w:rsidRPr="0053136E">
        <w:rPr>
          <w:i w:val="0"/>
          <w:color w:val="auto"/>
          <w:sz w:val="24"/>
          <w:szCs w:val="24"/>
        </w:rPr>
        <w:t>HbS</w:t>
      </w:r>
      <w:r w:rsidR="006C0904" w:rsidRPr="0053136E">
        <w:rPr>
          <w:i w:val="0"/>
          <w:color w:val="auto"/>
          <w:sz w:val="24"/>
          <w:szCs w:val="24"/>
        </w:rPr>
        <w:t>S</w:t>
      </w:r>
      <w:proofErr w:type="spellEnd"/>
      <w:r w:rsidR="00415316" w:rsidRPr="0053136E">
        <w:rPr>
          <w:i w:val="0"/>
          <w:color w:val="auto"/>
          <w:sz w:val="24"/>
          <w:szCs w:val="24"/>
        </w:rPr>
        <w:t xml:space="preserve"> cell membrane adhesion </w:t>
      </w:r>
      <w:r w:rsidRPr="0053136E">
        <w:rPr>
          <w:i w:val="0"/>
          <w:color w:val="auto"/>
          <w:sz w:val="24"/>
          <w:szCs w:val="24"/>
        </w:rPr>
        <w:t>using specifically</w:t>
      </w:r>
      <w:r w:rsidR="005A5719" w:rsidRPr="0053136E">
        <w:rPr>
          <w:i w:val="0"/>
          <w:color w:val="auto"/>
          <w:sz w:val="24"/>
          <w:szCs w:val="24"/>
        </w:rPr>
        <w:t xml:space="preserve"> functionali</w:t>
      </w:r>
      <w:r w:rsidR="00393E3B" w:rsidRPr="0053136E">
        <w:rPr>
          <w:i w:val="0"/>
          <w:color w:val="auto"/>
          <w:sz w:val="24"/>
          <w:szCs w:val="24"/>
        </w:rPr>
        <w:t>s</w:t>
      </w:r>
      <w:r w:rsidR="005A5719" w:rsidRPr="0053136E">
        <w:rPr>
          <w:i w:val="0"/>
          <w:color w:val="auto"/>
          <w:sz w:val="24"/>
          <w:szCs w:val="24"/>
        </w:rPr>
        <w:t>ed</w:t>
      </w:r>
      <w:r w:rsidRPr="0053136E">
        <w:rPr>
          <w:i w:val="0"/>
          <w:color w:val="auto"/>
          <w:sz w:val="24"/>
          <w:szCs w:val="24"/>
        </w:rPr>
        <w:t xml:space="preserve"> gold </w:t>
      </w:r>
      <w:r w:rsidR="0080261B" w:rsidRPr="0053136E">
        <w:rPr>
          <w:i w:val="0"/>
          <w:color w:val="auto"/>
          <w:sz w:val="24"/>
          <w:szCs w:val="24"/>
        </w:rPr>
        <w:t xml:space="preserve">AFM </w:t>
      </w:r>
      <w:r w:rsidRPr="0053136E">
        <w:rPr>
          <w:i w:val="0"/>
          <w:color w:val="auto"/>
          <w:sz w:val="24"/>
          <w:szCs w:val="24"/>
        </w:rPr>
        <w:t xml:space="preserve">tips: </w:t>
      </w:r>
      <w:r w:rsidR="000B33C5" w:rsidRPr="0053136E">
        <w:rPr>
          <w:i w:val="0"/>
          <w:color w:val="auto"/>
          <w:sz w:val="24"/>
          <w:szCs w:val="24"/>
        </w:rPr>
        <w:t xml:space="preserve"> </w:t>
      </w:r>
      <w:r w:rsidRPr="0053136E">
        <w:rPr>
          <w:i w:val="0"/>
          <w:color w:val="auto"/>
          <w:sz w:val="24"/>
          <w:szCs w:val="24"/>
        </w:rPr>
        <w:t xml:space="preserve">namely tips with </w:t>
      </w:r>
      <w:proofErr w:type="spellStart"/>
      <w:r w:rsidRPr="0053136E">
        <w:rPr>
          <w:i w:val="0"/>
          <w:color w:val="auto"/>
          <w:sz w:val="24"/>
          <w:szCs w:val="24"/>
        </w:rPr>
        <w:t>octadecanethiol</w:t>
      </w:r>
      <w:proofErr w:type="spellEnd"/>
      <w:r w:rsidRPr="0053136E">
        <w:rPr>
          <w:i w:val="0"/>
          <w:color w:val="auto"/>
          <w:sz w:val="24"/>
          <w:szCs w:val="24"/>
        </w:rPr>
        <w:t xml:space="preserve"> (ODT) and 11-mercaptoundecanoic acid (MUA) coatings. </w:t>
      </w:r>
      <w:r w:rsidR="000B33C5" w:rsidRPr="0053136E">
        <w:rPr>
          <w:i w:val="0"/>
          <w:color w:val="auto"/>
          <w:sz w:val="24"/>
          <w:szCs w:val="24"/>
        </w:rPr>
        <w:t xml:space="preserve"> </w:t>
      </w:r>
      <w:r w:rsidRPr="0053136E">
        <w:rPr>
          <w:i w:val="0"/>
          <w:color w:val="auto"/>
          <w:sz w:val="24"/>
          <w:szCs w:val="24"/>
        </w:rPr>
        <w:t>These tips make it possible to distinguish between hydrophobic adhesive interactions and those dominated by</w:t>
      </w:r>
      <w:r w:rsidR="001D04E7" w:rsidRPr="0053136E">
        <w:rPr>
          <w:i w:val="0"/>
          <w:color w:val="auto"/>
          <w:sz w:val="24"/>
          <w:szCs w:val="24"/>
        </w:rPr>
        <w:t xml:space="preserve"> hydrophilic</w:t>
      </w:r>
      <w:r w:rsidRPr="0053136E">
        <w:rPr>
          <w:i w:val="0"/>
          <w:color w:val="auto"/>
          <w:sz w:val="24"/>
          <w:szCs w:val="24"/>
        </w:rPr>
        <w:t xml:space="preserve"> H-bonding.</w:t>
      </w:r>
      <w:r w:rsidR="00346701" w:rsidRPr="0053136E">
        <w:rPr>
          <w:i w:val="0"/>
          <w:color w:val="auto"/>
          <w:sz w:val="24"/>
          <w:szCs w:val="24"/>
        </w:rPr>
        <w:t xml:space="preserve"> It should be noted that these interactions are occurring in air rather than under aqueous conditions and hence represent interactions between the tip functionality and exposed surface groups on the cell. Thus, hydrophobic adhesion is referring to the attractive Van der Waals’ interactions that occur which will be dominated by interactions between two hydrophobic (likely long chain hydrocarbons). On the other hand, hydroph</w:t>
      </w:r>
      <w:r w:rsidR="001E4489" w:rsidRPr="0053136E">
        <w:rPr>
          <w:i w:val="0"/>
          <w:color w:val="auto"/>
          <w:sz w:val="24"/>
          <w:szCs w:val="24"/>
        </w:rPr>
        <w:t>ilic</w:t>
      </w:r>
      <w:r w:rsidR="00346701" w:rsidRPr="0053136E">
        <w:rPr>
          <w:i w:val="0"/>
          <w:color w:val="auto"/>
          <w:sz w:val="24"/>
          <w:szCs w:val="24"/>
        </w:rPr>
        <w:t xml:space="preserve"> interactions will source from electrostatic interactions and H-bonding to the exposed MUA acid moieties</w:t>
      </w:r>
      <w:r w:rsidR="00CE06D3" w:rsidRPr="0053136E">
        <w:rPr>
          <w:i w:val="0"/>
          <w:color w:val="auto"/>
          <w:sz w:val="24"/>
          <w:szCs w:val="24"/>
        </w:rPr>
        <w:t xml:space="preserve"> on the tip</w:t>
      </w:r>
      <w:r w:rsidR="00346701" w:rsidRPr="0053136E">
        <w:rPr>
          <w:i w:val="0"/>
          <w:color w:val="auto"/>
          <w:sz w:val="24"/>
          <w:szCs w:val="24"/>
        </w:rPr>
        <w:t>.</w:t>
      </w:r>
      <w:r w:rsidRPr="0053136E">
        <w:rPr>
          <w:i w:val="0"/>
          <w:color w:val="auto"/>
          <w:sz w:val="24"/>
          <w:szCs w:val="24"/>
        </w:rPr>
        <w:t xml:space="preserve"> </w:t>
      </w:r>
      <w:r w:rsidR="000B33C5" w:rsidRPr="0053136E">
        <w:rPr>
          <w:i w:val="0"/>
          <w:color w:val="auto"/>
          <w:sz w:val="24"/>
          <w:szCs w:val="24"/>
        </w:rPr>
        <w:t xml:space="preserve"> </w:t>
      </w:r>
    </w:p>
    <w:p w14:paraId="12A0915F" w14:textId="0A5094E1" w:rsidR="00A10CC0" w:rsidRDefault="00415316" w:rsidP="00A10CC0">
      <w:pPr>
        <w:pStyle w:val="Caption"/>
        <w:rPr>
          <w:i w:val="0"/>
          <w:color w:val="auto"/>
          <w:sz w:val="24"/>
          <w:szCs w:val="24"/>
        </w:rPr>
      </w:pPr>
      <w:r w:rsidRPr="0053136E">
        <w:rPr>
          <w:i w:val="0"/>
          <w:color w:val="auto"/>
          <w:sz w:val="24"/>
          <w:szCs w:val="24"/>
        </w:rPr>
        <w:t>Furthermore, as RBCs from patients with SCD are known to be significantly “stickier”</w:t>
      </w:r>
      <w:r w:rsidR="000E0304" w:rsidRPr="0053136E">
        <w:rPr>
          <w:i w:val="0"/>
          <w:color w:val="auto"/>
          <w:sz w:val="24"/>
          <w:szCs w:val="24"/>
        </w:rPr>
        <w:t xml:space="preserve"> (i.e. show greater cohesion)</w:t>
      </w:r>
      <w:r w:rsidR="007B703C" w:rsidRPr="0053136E">
        <w:rPr>
          <w:i w:val="0"/>
          <w:color w:val="auto"/>
          <w:sz w:val="24"/>
          <w:szCs w:val="24"/>
        </w:rPr>
        <w:t xml:space="preserve"> than those from normal individuals</w:t>
      </w:r>
      <w:r w:rsidRPr="0053136E">
        <w:rPr>
          <w:i w:val="0"/>
          <w:color w:val="auto"/>
          <w:sz w:val="24"/>
          <w:szCs w:val="24"/>
        </w:rPr>
        <w:t xml:space="preserve">, the effects of deoxygenation </w:t>
      </w:r>
      <w:r w:rsidR="007B703C" w:rsidRPr="0053136E">
        <w:rPr>
          <w:i w:val="0"/>
          <w:color w:val="auto"/>
          <w:sz w:val="24"/>
          <w:szCs w:val="24"/>
        </w:rPr>
        <w:t>we</w:t>
      </w:r>
      <w:r w:rsidRPr="0053136E">
        <w:rPr>
          <w:i w:val="0"/>
          <w:color w:val="auto"/>
          <w:sz w:val="24"/>
          <w:szCs w:val="24"/>
        </w:rPr>
        <w:t>re probed alongside comparisons between cells of both genotype</w:t>
      </w:r>
      <w:r w:rsidR="00393E3B" w:rsidRPr="0053136E">
        <w:rPr>
          <w:i w:val="0"/>
          <w:color w:val="auto"/>
          <w:sz w:val="24"/>
          <w:szCs w:val="24"/>
        </w:rPr>
        <w:t>s</w:t>
      </w:r>
      <w:r w:rsidRPr="0053136E">
        <w:rPr>
          <w:i w:val="0"/>
          <w:color w:val="auto"/>
          <w:sz w:val="24"/>
          <w:szCs w:val="24"/>
        </w:rPr>
        <w:t xml:space="preserve"> (</w:t>
      </w:r>
      <w:proofErr w:type="spellStart"/>
      <w:r w:rsidRPr="0053136E">
        <w:rPr>
          <w:i w:val="0"/>
          <w:color w:val="auto"/>
          <w:sz w:val="24"/>
          <w:szCs w:val="24"/>
        </w:rPr>
        <w:t>HbAA</w:t>
      </w:r>
      <w:proofErr w:type="spellEnd"/>
      <w:r w:rsidRPr="0053136E">
        <w:rPr>
          <w:i w:val="0"/>
          <w:color w:val="auto"/>
          <w:sz w:val="24"/>
          <w:szCs w:val="24"/>
        </w:rPr>
        <w:t xml:space="preserve"> and </w:t>
      </w:r>
      <w:proofErr w:type="spellStart"/>
      <w:r w:rsidRPr="0053136E">
        <w:rPr>
          <w:i w:val="0"/>
          <w:color w:val="auto"/>
          <w:sz w:val="24"/>
          <w:szCs w:val="24"/>
        </w:rPr>
        <w:t>HbSS</w:t>
      </w:r>
      <w:proofErr w:type="spellEnd"/>
      <w:r w:rsidRPr="0053136E">
        <w:rPr>
          <w:i w:val="0"/>
          <w:color w:val="auto"/>
          <w:sz w:val="24"/>
          <w:szCs w:val="24"/>
        </w:rPr>
        <w:t xml:space="preserve">). </w:t>
      </w:r>
      <w:r w:rsidR="00A10CC0" w:rsidRPr="0053136E">
        <w:rPr>
          <w:i w:val="0"/>
          <w:color w:val="auto"/>
          <w:sz w:val="24"/>
          <w:szCs w:val="24"/>
        </w:rPr>
        <w:t>For statistically</w:t>
      </w:r>
      <w:r w:rsidR="00A10CC0" w:rsidRPr="0053136E">
        <w:rPr>
          <w:color w:val="auto"/>
          <w:sz w:val="24"/>
          <w:szCs w:val="24"/>
        </w:rPr>
        <w:t xml:space="preserve"> </w:t>
      </w:r>
      <w:r w:rsidR="00A10CC0" w:rsidRPr="0053136E">
        <w:rPr>
          <w:i w:val="0"/>
          <w:color w:val="auto"/>
          <w:sz w:val="24"/>
          <w:szCs w:val="24"/>
        </w:rPr>
        <w:t>reliable comparisons</w:t>
      </w:r>
      <w:r w:rsidR="00091523" w:rsidRPr="0053136E">
        <w:rPr>
          <w:i w:val="0"/>
          <w:color w:val="auto"/>
          <w:sz w:val="24"/>
          <w:szCs w:val="24"/>
        </w:rPr>
        <w:t xml:space="preserve"> of individual cells</w:t>
      </w:r>
      <w:r w:rsidR="00A10CC0" w:rsidRPr="0053136E">
        <w:rPr>
          <w:i w:val="0"/>
          <w:color w:val="auto"/>
          <w:sz w:val="24"/>
          <w:szCs w:val="24"/>
        </w:rPr>
        <w:t>, force</w:t>
      </w:r>
      <w:r w:rsidR="00502C7E" w:rsidRPr="0053136E">
        <w:rPr>
          <w:i w:val="0"/>
          <w:color w:val="auto"/>
          <w:sz w:val="24"/>
          <w:szCs w:val="24"/>
        </w:rPr>
        <w:t xml:space="preserve"> detachment</w:t>
      </w:r>
      <w:r w:rsidR="00A10CC0" w:rsidRPr="0053136E">
        <w:rPr>
          <w:i w:val="0"/>
          <w:color w:val="auto"/>
          <w:sz w:val="24"/>
          <w:szCs w:val="24"/>
        </w:rPr>
        <w:t xml:space="preserve"> measurements were made spanning the entire top surface of several cells</w:t>
      </w:r>
      <w:r w:rsidR="00E21675" w:rsidRPr="0053136E">
        <w:rPr>
          <w:i w:val="0"/>
          <w:color w:val="auto"/>
          <w:sz w:val="24"/>
          <w:szCs w:val="24"/>
        </w:rPr>
        <w:t>,</w:t>
      </w:r>
      <w:r w:rsidR="008C0570" w:rsidRPr="0053136E">
        <w:rPr>
          <w:i w:val="0"/>
          <w:color w:val="auto"/>
          <w:sz w:val="24"/>
          <w:szCs w:val="24"/>
        </w:rPr>
        <w:t xml:space="preserve"> </w:t>
      </w:r>
      <w:r w:rsidR="001E4489" w:rsidRPr="0053136E">
        <w:rPr>
          <w:i w:val="0"/>
          <w:color w:val="auto"/>
          <w:sz w:val="24"/>
          <w:szCs w:val="24"/>
        </w:rPr>
        <w:t>as mentioned in the Methods section</w:t>
      </w:r>
      <w:r w:rsidR="00091523" w:rsidRPr="0053136E">
        <w:rPr>
          <w:i w:val="0"/>
          <w:color w:val="auto"/>
          <w:sz w:val="24"/>
          <w:szCs w:val="24"/>
        </w:rPr>
        <w:t>.</w:t>
      </w:r>
      <w:r w:rsidR="005546FD" w:rsidRPr="0053136E">
        <w:rPr>
          <w:i w:val="0"/>
          <w:color w:val="auto"/>
          <w:sz w:val="24"/>
          <w:szCs w:val="24"/>
        </w:rPr>
        <w:t xml:space="preserve">  They </w:t>
      </w:r>
      <w:r w:rsidR="00A10CC0" w:rsidRPr="0053136E">
        <w:rPr>
          <w:i w:val="0"/>
          <w:color w:val="auto"/>
          <w:sz w:val="24"/>
          <w:szCs w:val="24"/>
        </w:rPr>
        <w:t xml:space="preserve">showed consistently similar profiles within the same cell </w:t>
      </w:r>
      <w:r w:rsidR="0080261B" w:rsidRPr="0053136E">
        <w:rPr>
          <w:i w:val="0"/>
          <w:color w:val="auto"/>
          <w:sz w:val="24"/>
          <w:szCs w:val="24"/>
        </w:rPr>
        <w:t>geno</w:t>
      </w:r>
      <w:r w:rsidR="00A10CC0" w:rsidRPr="0053136E">
        <w:rPr>
          <w:i w:val="0"/>
          <w:color w:val="auto"/>
          <w:sz w:val="24"/>
          <w:szCs w:val="24"/>
        </w:rPr>
        <w:t xml:space="preserve">type / oxygenation state. </w:t>
      </w:r>
      <w:r w:rsidR="000B33C5" w:rsidRPr="0053136E">
        <w:rPr>
          <w:i w:val="0"/>
          <w:color w:val="auto"/>
          <w:sz w:val="24"/>
          <w:szCs w:val="24"/>
        </w:rPr>
        <w:t xml:space="preserve"> </w:t>
      </w:r>
      <w:r w:rsidR="00091523" w:rsidRPr="0053136E">
        <w:rPr>
          <w:i w:val="0"/>
          <w:color w:val="auto"/>
          <w:sz w:val="24"/>
          <w:szCs w:val="24"/>
        </w:rPr>
        <w:t xml:space="preserve">These results are presented in Figure </w:t>
      </w:r>
      <w:r w:rsidR="00607B6B" w:rsidRPr="0053136E">
        <w:rPr>
          <w:i w:val="0"/>
          <w:color w:val="auto"/>
          <w:sz w:val="24"/>
          <w:szCs w:val="24"/>
        </w:rPr>
        <w:t>4</w:t>
      </w:r>
      <w:r w:rsidR="00091523" w:rsidRPr="0053136E">
        <w:rPr>
          <w:i w:val="0"/>
          <w:color w:val="auto"/>
          <w:sz w:val="24"/>
          <w:szCs w:val="24"/>
        </w:rPr>
        <w:t xml:space="preserve"> and discussed below. </w:t>
      </w:r>
      <w:r w:rsidR="00A10CC0" w:rsidRPr="0053136E">
        <w:rPr>
          <w:i w:val="0"/>
          <w:color w:val="auto"/>
          <w:sz w:val="24"/>
          <w:szCs w:val="24"/>
        </w:rPr>
        <w:t xml:space="preserve">Enlarged, and appropriately scaled distribution comparisons, as well as the calculated quantitative adhesion data are given in </w:t>
      </w:r>
      <w:r w:rsidR="00A10CC0" w:rsidRPr="0053136E">
        <w:rPr>
          <w:b/>
          <w:bCs/>
          <w:i w:val="0"/>
          <w:color w:val="auto"/>
          <w:sz w:val="24"/>
          <w:szCs w:val="24"/>
        </w:rPr>
        <w:t xml:space="preserve">Supporting Information, S2 </w:t>
      </w:r>
      <w:r w:rsidR="00A10CC0" w:rsidRPr="0053136E">
        <w:rPr>
          <w:i w:val="0"/>
          <w:color w:val="auto"/>
          <w:sz w:val="24"/>
          <w:szCs w:val="24"/>
        </w:rPr>
        <w:t>and</w:t>
      </w:r>
      <w:r w:rsidR="00A10CC0" w:rsidRPr="0053136E">
        <w:rPr>
          <w:b/>
          <w:bCs/>
          <w:i w:val="0"/>
          <w:color w:val="auto"/>
          <w:sz w:val="24"/>
          <w:szCs w:val="24"/>
        </w:rPr>
        <w:t xml:space="preserve"> S3 </w:t>
      </w:r>
      <w:r w:rsidR="00A10CC0" w:rsidRPr="0053136E">
        <w:rPr>
          <w:i w:val="0"/>
          <w:color w:val="auto"/>
          <w:sz w:val="24"/>
          <w:szCs w:val="24"/>
        </w:rPr>
        <w:t>respectively.</w:t>
      </w:r>
    </w:p>
    <w:p w14:paraId="5FE39398" w14:textId="77777777" w:rsidR="0046413A" w:rsidRDefault="0046413A" w:rsidP="0046413A"/>
    <w:p w14:paraId="38A20A62" w14:textId="77777777" w:rsidR="0046413A" w:rsidRDefault="0046413A" w:rsidP="0046413A">
      <w:r>
        <w:rPr>
          <w:noProof/>
          <w:lang w:eastAsia="en-GB"/>
        </w:rPr>
        <w:lastRenderedPageBreak/>
        <w:drawing>
          <wp:inline distT="0" distB="0" distL="0" distR="0" wp14:anchorId="4CB50062" wp14:editId="56DC88FD">
            <wp:extent cx="5727700" cy="5894070"/>
            <wp:effectExtent l="0" t="0" r="0" b="0"/>
            <wp:docPr id="1" name="Picture 1" descr="A close up of a map&#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RBC Adhesion Profiles.png"/>
                    <pic:cNvPicPr/>
                  </pic:nvPicPr>
                  <pic:blipFill>
                    <a:blip r:embed="rId13" cstate="print">
                      <a:extLst>
                        <a:ext uri="{28A0092B-C50C-407E-A947-70E740481C1C}">
                          <a14:useLocalDpi xmlns:a14="http://schemas.microsoft.com/office/drawing/2010/main" val="0"/>
                        </a:ext>
                      </a:extLst>
                    </a:blip>
                    <a:stretch>
                      <a:fillRect/>
                    </a:stretch>
                  </pic:blipFill>
                  <pic:spPr>
                    <a:xfrm>
                      <a:off x="0" y="0"/>
                      <a:ext cx="5727700" cy="5894070"/>
                    </a:xfrm>
                    <a:prstGeom prst="rect">
                      <a:avLst/>
                    </a:prstGeom>
                  </pic:spPr>
                </pic:pic>
              </a:graphicData>
            </a:graphic>
          </wp:inline>
        </w:drawing>
      </w:r>
    </w:p>
    <w:p w14:paraId="3B75151D" w14:textId="77777777" w:rsidR="0046413A" w:rsidRDefault="0046413A" w:rsidP="0046413A">
      <w:pPr>
        <w:keepNext/>
        <w:rPr>
          <w:i/>
          <w:sz w:val="28"/>
          <w:szCs w:val="28"/>
        </w:rPr>
      </w:pPr>
      <w:bookmarkStart w:id="3" w:name="_Ref22901670"/>
    </w:p>
    <w:p w14:paraId="15B7C644" w14:textId="77777777" w:rsidR="0046413A" w:rsidRPr="0053136E" w:rsidRDefault="0046413A" w:rsidP="0046413A">
      <w:pPr>
        <w:keepNext/>
        <w:rPr>
          <w:i/>
        </w:rPr>
      </w:pPr>
      <w:r w:rsidRPr="0053136E">
        <w:rPr>
          <w:i/>
        </w:rPr>
        <w:t xml:space="preserve">Figure </w:t>
      </w:r>
      <w:r w:rsidRPr="0053136E">
        <w:rPr>
          <w:i/>
        </w:rPr>
        <w:fldChar w:fldCharType="begin"/>
      </w:r>
      <w:r w:rsidRPr="0053136E">
        <w:rPr>
          <w:i/>
        </w:rPr>
        <w:instrText xml:space="preserve"> SEQ Figure \* ARABIC </w:instrText>
      </w:r>
      <w:r w:rsidRPr="0053136E">
        <w:rPr>
          <w:i/>
        </w:rPr>
        <w:fldChar w:fldCharType="separate"/>
      </w:r>
      <w:r w:rsidRPr="0053136E">
        <w:rPr>
          <w:i/>
          <w:noProof/>
        </w:rPr>
        <w:t>4</w:t>
      </w:r>
      <w:r w:rsidRPr="0053136E">
        <w:rPr>
          <w:i/>
          <w:noProof/>
        </w:rPr>
        <w:fldChar w:fldCharType="end"/>
      </w:r>
      <w:bookmarkEnd w:id="3"/>
      <w:r w:rsidRPr="0053136E">
        <w:rPr>
          <w:i/>
        </w:rPr>
        <w:t>:  Comparisons of the generated attachment force histogram profiles generated from 1200 force detachment scans across several cells, covering the whole RBC surface.  Profiles are shown under all possible permutations, comparing RBCs from normal individuals (</w:t>
      </w:r>
      <w:proofErr w:type="spellStart"/>
      <w:r w:rsidRPr="0053136E">
        <w:rPr>
          <w:i/>
        </w:rPr>
        <w:t>HbAA</w:t>
      </w:r>
      <w:proofErr w:type="spellEnd"/>
      <w:r w:rsidRPr="0053136E">
        <w:rPr>
          <w:i/>
        </w:rPr>
        <w:t xml:space="preserve"> genotype, labelled </w:t>
      </w:r>
      <w:proofErr w:type="spellStart"/>
      <w:r w:rsidRPr="0053136E">
        <w:rPr>
          <w:i/>
        </w:rPr>
        <w:t>HbA</w:t>
      </w:r>
      <w:proofErr w:type="spellEnd"/>
      <w:r w:rsidRPr="0053136E">
        <w:rPr>
          <w:i/>
        </w:rPr>
        <w:t>) or from SCD patients (</w:t>
      </w:r>
      <w:proofErr w:type="spellStart"/>
      <w:r w:rsidRPr="0053136E">
        <w:rPr>
          <w:i/>
        </w:rPr>
        <w:t>HbSS</w:t>
      </w:r>
      <w:proofErr w:type="spellEnd"/>
      <w:r w:rsidRPr="0053136E">
        <w:rPr>
          <w:i/>
        </w:rPr>
        <w:t xml:space="preserve"> genotype labelled </w:t>
      </w:r>
      <w:proofErr w:type="spellStart"/>
      <w:r w:rsidRPr="0053136E">
        <w:rPr>
          <w:i/>
        </w:rPr>
        <w:t>HbS</w:t>
      </w:r>
      <w:proofErr w:type="spellEnd"/>
      <w:r w:rsidRPr="0053136E">
        <w:rPr>
          <w:i/>
        </w:rPr>
        <w:t xml:space="preserve">), under oxygenated or de-oxygenated states, using either MUA or ODT functionalised tips.  (a) compares the oxygenated and deoxygenated states with other variables fixed, (b) compares the ODT and MUA functionalised tip profiles, and (c) compares RBCs from normal individuals (labelled </w:t>
      </w:r>
      <w:proofErr w:type="spellStart"/>
      <w:r w:rsidRPr="0053136E">
        <w:rPr>
          <w:i/>
        </w:rPr>
        <w:t>HbA</w:t>
      </w:r>
      <w:proofErr w:type="spellEnd"/>
      <w:r w:rsidRPr="0053136E">
        <w:rPr>
          <w:i/>
        </w:rPr>
        <w:t xml:space="preserve">) and SCD patients (labelled </w:t>
      </w:r>
      <w:proofErr w:type="spellStart"/>
      <w:r w:rsidRPr="0053136E">
        <w:rPr>
          <w:i/>
        </w:rPr>
        <w:t>HbS</w:t>
      </w:r>
      <w:proofErr w:type="spellEnd"/>
      <w:r w:rsidRPr="0053136E">
        <w:rPr>
          <w:i/>
        </w:rPr>
        <w:t xml:space="preserve">) in the same oxygenation state using the same tip functionality.  All adhesion profiles are shown with the adhesion force on quantitatively comparable scales (but in arbitrary units) and are plotted on different ordinate scales for clarity and easier comparison.   </w:t>
      </w:r>
    </w:p>
    <w:p w14:paraId="506C2566" w14:textId="6580467F" w:rsidR="0046413A" w:rsidRPr="0046413A" w:rsidRDefault="0046413A" w:rsidP="0046413A">
      <w:pPr>
        <w:rPr>
          <w:i/>
          <w:sz w:val="28"/>
          <w:szCs w:val="28"/>
        </w:rPr>
      </w:pPr>
      <w:r>
        <w:rPr>
          <w:i/>
          <w:sz w:val="28"/>
          <w:szCs w:val="28"/>
        </w:rPr>
        <w:br w:type="page"/>
      </w:r>
    </w:p>
    <w:p w14:paraId="4D517F5F" w14:textId="74941A14" w:rsidR="001E77FA" w:rsidRPr="004A4B3A" w:rsidRDefault="00A10CC0" w:rsidP="00A10CC0">
      <w:r w:rsidRPr="004A4B3A">
        <w:lastRenderedPageBreak/>
        <w:t xml:space="preserve">Comparing the two different oxygenation states (Figure </w:t>
      </w:r>
      <w:r w:rsidR="00607B6B">
        <w:t>4</w:t>
      </w:r>
      <w:r w:rsidRPr="004A4B3A">
        <w:t xml:space="preserve">, column (a)), with the ODT-functionalised (hydrophobic) tip, </w:t>
      </w:r>
      <w:r w:rsidR="001952B4" w:rsidRPr="004A4B3A">
        <w:t>RBCs</w:t>
      </w:r>
      <w:r w:rsidRPr="004A4B3A">
        <w:t xml:space="preserve"> from both normal individuals and SCD patients (labelled </w:t>
      </w:r>
      <w:proofErr w:type="spellStart"/>
      <w:r w:rsidRPr="004A4B3A">
        <w:t>HbA</w:t>
      </w:r>
      <w:proofErr w:type="spellEnd"/>
      <w:r w:rsidRPr="004A4B3A">
        <w:t xml:space="preserve"> and </w:t>
      </w:r>
      <w:proofErr w:type="spellStart"/>
      <w:r w:rsidRPr="004A4B3A">
        <w:t>HbS</w:t>
      </w:r>
      <w:proofErr w:type="spellEnd"/>
      <w:r w:rsidRPr="004A4B3A">
        <w:t>, respectively) showed broader adhesion distributions when deoxygenated (</w:t>
      </w:r>
      <w:r w:rsidR="00607B6B">
        <w:t>4</w:t>
      </w:r>
      <w:r w:rsidRPr="004A4B3A">
        <w:t>a(</w:t>
      </w:r>
      <w:proofErr w:type="spellStart"/>
      <w:r w:rsidRPr="004A4B3A">
        <w:t>i</w:t>
      </w:r>
      <w:proofErr w:type="spellEnd"/>
      <w:r w:rsidRPr="004A4B3A">
        <w:t xml:space="preserve">) and </w:t>
      </w:r>
      <w:r w:rsidR="00607B6B">
        <w:t>4</w:t>
      </w:r>
      <w:r w:rsidRPr="004A4B3A">
        <w:t>a(ii)), suggesting a more</w:t>
      </w:r>
      <w:r w:rsidR="0080261B" w:rsidRPr="004A4B3A">
        <w:t xml:space="preserve"> heterogeneous</w:t>
      </w:r>
      <w:r w:rsidRPr="004A4B3A">
        <w:t xml:space="preserve"> distribution of hydrophobicity at the membrane surface. </w:t>
      </w:r>
      <w:r w:rsidR="000B33C5" w:rsidRPr="004A4B3A">
        <w:t xml:space="preserve"> </w:t>
      </w:r>
      <w:r w:rsidRPr="004A4B3A">
        <w:t xml:space="preserve">With the hydrophobic tip, </w:t>
      </w:r>
      <w:r w:rsidR="00C12637" w:rsidRPr="004A4B3A">
        <w:t xml:space="preserve">despite no change to the modal adhesion, </w:t>
      </w:r>
      <w:r w:rsidRPr="004A4B3A">
        <w:t>deoxygenated RBCs</w:t>
      </w:r>
      <w:r w:rsidR="00525BD7" w:rsidRPr="004A4B3A">
        <w:t xml:space="preserve"> from normal individuals</w:t>
      </w:r>
      <w:r w:rsidRPr="004A4B3A">
        <w:t xml:space="preserve"> </w:t>
      </w:r>
      <w:r w:rsidR="0080261B" w:rsidRPr="004A4B3A">
        <w:t xml:space="preserve">(cf. oxygenated) </w:t>
      </w:r>
      <w:r w:rsidRPr="004A4B3A">
        <w:t xml:space="preserve">showed a noticeable reduction in the abundance of regions of greatest adhesion </w:t>
      </w:r>
      <w:r w:rsidR="0080261B" w:rsidRPr="004A4B3A">
        <w:t xml:space="preserve">i.e. </w:t>
      </w:r>
      <w:r w:rsidR="002676E8" w:rsidRPr="004A4B3A">
        <w:t>reduction in P=0.1 adhesion</w:t>
      </w:r>
      <w:r w:rsidRPr="004A4B3A">
        <w:t xml:space="preserve"> </w:t>
      </w:r>
      <w:r w:rsidR="0022727D">
        <w:t>(</w:t>
      </w:r>
      <w:r w:rsidR="00607B6B">
        <w:t>4</w:t>
      </w:r>
      <w:r w:rsidRPr="004A4B3A">
        <w:t>a(</w:t>
      </w:r>
      <w:proofErr w:type="spellStart"/>
      <w:r w:rsidRPr="004A4B3A">
        <w:t>i</w:t>
      </w:r>
      <w:proofErr w:type="spellEnd"/>
      <w:r w:rsidRPr="004A4B3A">
        <w:t xml:space="preserve">)), which was not observed for deoxygenated </w:t>
      </w:r>
      <w:r w:rsidR="00525BD7" w:rsidRPr="004A4B3A">
        <w:t>RBCs from SCD patients</w:t>
      </w:r>
      <w:r w:rsidRPr="004A4B3A">
        <w:t xml:space="preserve"> (</w:t>
      </w:r>
      <w:r w:rsidR="00607B6B">
        <w:t>4</w:t>
      </w:r>
      <w:r w:rsidRPr="004A4B3A">
        <w:t>a(ii)).</w:t>
      </w:r>
      <w:r w:rsidR="00A778EE" w:rsidRPr="004A4B3A">
        <w:t xml:space="preserve"> This, along with an increased distribution width, suggests an increase in hydrophilic moieties (reducing the P=0.1 </w:t>
      </w:r>
      <w:r w:rsidR="004E17CA" w:rsidRPr="004A4B3A">
        <w:t>adhesion</w:t>
      </w:r>
      <w:r w:rsidR="00A778EE" w:rsidRPr="004A4B3A">
        <w:t>) as well as increased regions of strong hydrophobic character (</w:t>
      </w:r>
      <w:r w:rsidR="003E1220" w:rsidRPr="004A4B3A">
        <w:t xml:space="preserve">together </w:t>
      </w:r>
      <w:r w:rsidR="00A778EE" w:rsidRPr="004A4B3A">
        <w:t xml:space="preserve">rendering no change to the modal adhesion) for the </w:t>
      </w:r>
      <w:proofErr w:type="spellStart"/>
      <w:r w:rsidR="00A778EE" w:rsidRPr="004A4B3A">
        <w:t>HbA</w:t>
      </w:r>
      <w:r w:rsidR="006C0904">
        <w:t>A</w:t>
      </w:r>
      <w:proofErr w:type="spellEnd"/>
      <w:r w:rsidR="00A778EE" w:rsidRPr="004A4B3A">
        <w:t xml:space="preserve"> cells on deoxygenation. Similarly, the </w:t>
      </w:r>
      <w:proofErr w:type="spellStart"/>
      <w:r w:rsidR="00A778EE" w:rsidRPr="004A4B3A">
        <w:t>HbS</w:t>
      </w:r>
      <w:r w:rsidR="006C0904">
        <w:t>S</w:t>
      </w:r>
      <w:proofErr w:type="spellEnd"/>
      <w:r w:rsidR="00A778EE" w:rsidRPr="004A4B3A">
        <w:t xml:space="preserve"> cells show an increased modal adhesion with ODT on deoxygenation, along with the increased distribution width, suggesting greater heterogeneity and </w:t>
      </w:r>
      <w:r w:rsidR="003E1220" w:rsidRPr="004A4B3A">
        <w:t>much-</w:t>
      </w:r>
      <w:r w:rsidR="00A778EE" w:rsidRPr="004A4B3A">
        <w:t xml:space="preserve">increased hydrophobicity at the surface. </w:t>
      </w:r>
    </w:p>
    <w:p w14:paraId="196829B5" w14:textId="77777777" w:rsidR="001E77FA" w:rsidRDefault="001E77FA" w:rsidP="00A10CC0">
      <w:pPr>
        <w:rPr>
          <w:color w:val="00B050"/>
        </w:rPr>
      </w:pPr>
    </w:p>
    <w:p w14:paraId="34F5A8FA" w14:textId="72E3FCC7" w:rsidR="00A10CC0" w:rsidRPr="004A4B3A" w:rsidRDefault="00A10CC0" w:rsidP="00A10CC0">
      <w:r w:rsidRPr="004A4B3A">
        <w:t>For the hydrophilic tip, the modal adhesion was distinct</w:t>
      </w:r>
      <w:r w:rsidR="00525BD7" w:rsidRPr="004A4B3A">
        <w:t xml:space="preserve">ly higher for both </w:t>
      </w:r>
      <w:r w:rsidR="0080261B" w:rsidRPr="004A4B3A">
        <w:t>geno</w:t>
      </w:r>
      <w:r w:rsidR="00525BD7" w:rsidRPr="004A4B3A">
        <w:t>types</w:t>
      </w:r>
      <w:r w:rsidR="006F6C2B" w:rsidRPr="004A4B3A">
        <w:t xml:space="preserve"> </w:t>
      </w:r>
      <w:r w:rsidRPr="004A4B3A">
        <w:t>upon deoxygenation (</w:t>
      </w:r>
      <w:r w:rsidR="00607B6B">
        <w:t>4</w:t>
      </w:r>
      <w:r w:rsidRPr="004A4B3A">
        <w:t xml:space="preserve">a(iii) and </w:t>
      </w:r>
      <w:r w:rsidR="00607B6B">
        <w:t>4</w:t>
      </w:r>
      <w:r w:rsidRPr="004A4B3A">
        <w:t xml:space="preserve">a(iv)), being particularly noticeable for </w:t>
      </w:r>
      <w:r w:rsidR="009C7A55" w:rsidRPr="004A4B3A">
        <w:t>those from normal individuals</w:t>
      </w:r>
      <w:r w:rsidR="006F6C2B" w:rsidRPr="004A4B3A">
        <w:t>.</w:t>
      </w:r>
      <w:r w:rsidRPr="004A4B3A">
        <w:t xml:space="preserve"> </w:t>
      </w:r>
      <w:r w:rsidR="006F6C2B" w:rsidRPr="004A4B3A">
        <w:t>I</w:t>
      </w:r>
      <w:r w:rsidRPr="004A4B3A">
        <w:t>n</w:t>
      </w:r>
      <w:r w:rsidR="006F6C2B" w:rsidRPr="004A4B3A">
        <w:t xml:space="preserve"> the</w:t>
      </w:r>
      <w:r w:rsidR="008B4568" w:rsidRPr="004A4B3A">
        <w:t xml:space="preserve"> case of normal cells</w:t>
      </w:r>
      <w:r w:rsidR="006F6C2B" w:rsidRPr="004A4B3A">
        <w:t>, the</w:t>
      </w:r>
      <w:r w:rsidRPr="004A4B3A">
        <w:t xml:space="preserve"> regions of greater adhesion increased </w:t>
      </w:r>
      <w:r w:rsidR="006F6C2B" w:rsidRPr="004A4B3A">
        <w:t>as well as the</w:t>
      </w:r>
      <w:r w:rsidRPr="004A4B3A">
        <w:t xml:space="preserve"> average adhesion (</w:t>
      </w:r>
      <w:r w:rsidR="00607B6B">
        <w:t>4</w:t>
      </w:r>
      <w:r w:rsidRPr="004A4B3A">
        <w:t xml:space="preserve">a(iii)). </w:t>
      </w:r>
      <w:r w:rsidR="000B33C5" w:rsidRPr="004A4B3A">
        <w:t xml:space="preserve"> </w:t>
      </w:r>
      <w:r w:rsidRPr="004A4B3A">
        <w:t xml:space="preserve">For </w:t>
      </w:r>
      <w:r w:rsidR="00A53FFB" w:rsidRPr="004A4B3A">
        <w:t>RBCs from SCD patients</w:t>
      </w:r>
      <w:r w:rsidRPr="004A4B3A">
        <w:t xml:space="preserve">, however, although the modal cell adhesion with the MUA tip increased, regions with strongest adhesion (e.g. </w:t>
      </w:r>
      <w:r w:rsidR="00BC5EB8" w:rsidRPr="004A4B3A">
        <w:t>P=0.1 adhesion</w:t>
      </w:r>
      <w:r w:rsidRPr="004A4B3A">
        <w:t>) became less abundant (</w:t>
      </w:r>
      <w:r w:rsidR="00607B6B">
        <w:t>4</w:t>
      </w:r>
      <w:r w:rsidRPr="004A4B3A">
        <w:t xml:space="preserve">a(iv)), i.e. a situation which mirrored that for </w:t>
      </w:r>
      <w:r w:rsidR="00AF3CB4" w:rsidRPr="004A4B3A">
        <w:t>R</w:t>
      </w:r>
      <w:r w:rsidRPr="004A4B3A">
        <w:t>BCs</w:t>
      </w:r>
      <w:r w:rsidR="00AF3CB4" w:rsidRPr="004A4B3A">
        <w:t xml:space="preserve"> from normal individuals</w:t>
      </w:r>
      <w:r w:rsidRPr="004A4B3A">
        <w:t xml:space="preserve"> examined using the ODT tip (</w:t>
      </w:r>
      <w:r w:rsidR="00607B6B">
        <w:t>4</w:t>
      </w:r>
      <w:r w:rsidRPr="004A4B3A">
        <w:t>a(</w:t>
      </w:r>
      <w:proofErr w:type="spellStart"/>
      <w:r w:rsidRPr="004A4B3A">
        <w:t>i</w:t>
      </w:r>
      <w:proofErr w:type="spellEnd"/>
      <w:r w:rsidRPr="004A4B3A">
        <w:t xml:space="preserve">)). </w:t>
      </w:r>
      <w:r w:rsidR="0080261B" w:rsidRPr="004A4B3A">
        <w:t xml:space="preserve"> </w:t>
      </w:r>
      <w:r w:rsidR="00A778EE" w:rsidRPr="004A4B3A">
        <w:t xml:space="preserve">This suggests a significant increase in hydrophobic moieties for both genotypes but with much greater </w:t>
      </w:r>
      <w:r w:rsidR="003E1220" w:rsidRPr="004A4B3A">
        <w:t xml:space="preserve">relative </w:t>
      </w:r>
      <w:r w:rsidR="00A778EE" w:rsidRPr="004A4B3A">
        <w:t xml:space="preserve">exposure of hydrophobic species in the case of cells from SCD patients. </w:t>
      </w:r>
      <w:r w:rsidR="0094434E" w:rsidRPr="004A4B3A">
        <w:t>Overall, m</w:t>
      </w:r>
      <w:r w:rsidR="00BA1A5C" w:rsidRPr="004A4B3A">
        <w:t xml:space="preserve">odal adhesion was greatest for deoxygenated RBCs from SCD patients, particularly when probed with the MUA tip. </w:t>
      </w:r>
      <w:r w:rsidR="0080261B" w:rsidRPr="004A4B3A">
        <w:t xml:space="preserve"> </w:t>
      </w:r>
      <w:r w:rsidR="00BA1A5C" w:rsidRPr="004A4B3A">
        <w:t>To summarise,</w:t>
      </w:r>
      <w:r w:rsidRPr="004A4B3A">
        <w:t xml:space="preserve"> the results in column (a) suggest an increase in both hydrophobic and hydrophilic species at the surface of deoxygenated RBCs, independent of the presence of normal (</w:t>
      </w:r>
      <w:proofErr w:type="spellStart"/>
      <w:r w:rsidRPr="004A4B3A">
        <w:t>HbA</w:t>
      </w:r>
      <w:proofErr w:type="spellEnd"/>
      <w:r w:rsidRPr="004A4B3A">
        <w:t>) or mutated (</w:t>
      </w:r>
      <w:proofErr w:type="spellStart"/>
      <w:r w:rsidRPr="004A4B3A">
        <w:t>HbS</w:t>
      </w:r>
      <w:proofErr w:type="spellEnd"/>
      <w:r w:rsidRPr="004A4B3A">
        <w:t xml:space="preserve">) </w:t>
      </w:r>
      <w:r w:rsidR="009B684D" w:rsidRPr="004A4B3A">
        <w:t>Hb</w:t>
      </w:r>
      <w:r w:rsidR="00530DE1" w:rsidRPr="004A4B3A">
        <w:t>, but with greater emphasis from hydrophobic moieties in the latter case.</w:t>
      </w:r>
    </w:p>
    <w:p w14:paraId="4F6052E4" w14:textId="77777777" w:rsidR="00A10CC0" w:rsidRPr="00337148" w:rsidRDefault="00A10CC0" w:rsidP="00A10CC0"/>
    <w:p w14:paraId="3D58C706" w14:textId="152D1BAD" w:rsidR="00A10CC0" w:rsidRPr="004A4B3A" w:rsidRDefault="00A10CC0" w:rsidP="00A10CC0">
      <w:r w:rsidRPr="004A4B3A">
        <w:t>Results in column (b) directly compare</w:t>
      </w:r>
      <w:r w:rsidR="008C7059" w:rsidRPr="004A4B3A">
        <w:t xml:space="preserve"> adhesion profiles</w:t>
      </w:r>
      <w:r w:rsidR="00CD18AD" w:rsidRPr="004A4B3A">
        <w:t xml:space="preserve"> obtained with the two</w:t>
      </w:r>
      <w:r w:rsidRPr="004A4B3A">
        <w:t xml:space="preserve"> different tip</w:t>
      </w:r>
      <w:r w:rsidR="008C7059" w:rsidRPr="004A4B3A">
        <w:t xml:space="preserve"> functionalities</w:t>
      </w:r>
      <w:r w:rsidRPr="004A4B3A">
        <w:t>. For oxygenated RBCs</w:t>
      </w:r>
      <w:r w:rsidR="0024479F" w:rsidRPr="004A4B3A">
        <w:t xml:space="preserve"> from normal individuals (labelled </w:t>
      </w:r>
      <w:proofErr w:type="spellStart"/>
      <w:r w:rsidR="0024479F" w:rsidRPr="004A4B3A">
        <w:t>HbA</w:t>
      </w:r>
      <w:proofErr w:type="spellEnd"/>
      <w:r w:rsidR="0024479F" w:rsidRPr="004A4B3A">
        <w:t xml:space="preserve"> in Figure </w:t>
      </w:r>
      <w:r w:rsidR="00607B6B">
        <w:t>4</w:t>
      </w:r>
      <w:r w:rsidR="0024479F" w:rsidRPr="004A4B3A">
        <w:t>)</w:t>
      </w:r>
      <w:r w:rsidRPr="004A4B3A">
        <w:t>, greater adhesion was observed for the ODT tip (</w:t>
      </w:r>
      <w:r w:rsidR="00607B6B">
        <w:t>4</w:t>
      </w:r>
      <w:r w:rsidRPr="004A4B3A">
        <w:t>b(</w:t>
      </w:r>
      <w:proofErr w:type="spellStart"/>
      <w:r w:rsidRPr="004A4B3A">
        <w:t>i</w:t>
      </w:r>
      <w:proofErr w:type="spellEnd"/>
      <w:r w:rsidRPr="004A4B3A">
        <w:t xml:space="preserve">)), indicating a preferential adhesion for hydrophobic species. </w:t>
      </w:r>
      <w:r w:rsidR="000B33C5" w:rsidRPr="004A4B3A">
        <w:t xml:space="preserve"> </w:t>
      </w:r>
      <w:r w:rsidRPr="004A4B3A">
        <w:t xml:space="preserve">By contrast, for oxygenated </w:t>
      </w:r>
      <w:r w:rsidR="0024479F" w:rsidRPr="004A4B3A">
        <w:t xml:space="preserve">RBCs from SCD patients (labelled </w:t>
      </w:r>
      <w:proofErr w:type="spellStart"/>
      <w:r w:rsidRPr="004A4B3A">
        <w:t>HbS</w:t>
      </w:r>
      <w:proofErr w:type="spellEnd"/>
      <w:r w:rsidRPr="004A4B3A">
        <w:t xml:space="preserve"> </w:t>
      </w:r>
      <w:r w:rsidR="0024479F" w:rsidRPr="004A4B3A">
        <w:t xml:space="preserve">in Figure </w:t>
      </w:r>
      <w:r w:rsidR="00607B6B">
        <w:t>4</w:t>
      </w:r>
      <w:r w:rsidR="0024479F" w:rsidRPr="004A4B3A">
        <w:t>)</w:t>
      </w:r>
      <w:r w:rsidRPr="004A4B3A">
        <w:t>, the hydrophilic MUA tip (</w:t>
      </w:r>
      <w:r w:rsidR="00607B6B">
        <w:t>4</w:t>
      </w:r>
      <w:r w:rsidRPr="004A4B3A">
        <w:t>b(ii)) showed a greater abundance of high-adhesion regions</w:t>
      </w:r>
      <w:r w:rsidR="008C7059" w:rsidRPr="004A4B3A">
        <w:t xml:space="preserve"> despite a slight reduction in modal adhesion (overall leading to greater mean adhesion</w:t>
      </w:r>
      <w:r w:rsidR="008E2B00" w:rsidRPr="004A4B3A">
        <w:t>, cf. ODT tip</w:t>
      </w:r>
      <w:r w:rsidR="008C7059" w:rsidRPr="004A4B3A">
        <w:t>)</w:t>
      </w:r>
      <w:r w:rsidR="008E2B00" w:rsidRPr="004A4B3A">
        <w:t>.</w:t>
      </w:r>
      <w:r w:rsidRPr="004A4B3A">
        <w:t xml:space="preserve"> </w:t>
      </w:r>
      <w:r w:rsidR="008E2B00" w:rsidRPr="004A4B3A">
        <w:t xml:space="preserve">These observations, together, </w:t>
      </w:r>
      <w:r w:rsidRPr="004A4B3A">
        <w:t>sugges</w:t>
      </w:r>
      <w:r w:rsidR="00132F9D" w:rsidRPr="004A4B3A">
        <w:t>t</w:t>
      </w:r>
      <w:r w:rsidRPr="004A4B3A">
        <w:t xml:space="preserve"> an increase in surface hydrophilic species in </w:t>
      </w:r>
      <w:r w:rsidR="008C7059" w:rsidRPr="004A4B3A">
        <w:t xml:space="preserve">SCD </w:t>
      </w:r>
      <w:r w:rsidRPr="004A4B3A">
        <w:t>patients’ RBCs under oxygenated conditions</w:t>
      </w:r>
      <w:r w:rsidR="008C7059" w:rsidRPr="004A4B3A">
        <w:t xml:space="preserve"> (cf. those from normal individuals)</w:t>
      </w:r>
      <w:r w:rsidRPr="004A4B3A">
        <w:t xml:space="preserve">. </w:t>
      </w:r>
      <w:r w:rsidR="000B33C5" w:rsidRPr="004A4B3A">
        <w:t xml:space="preserve"> </w:t>
      </w:r>
      <w:r w:rsidRPr="004A4B3A">
        <w:t xml:space="preserve">For deoxygenated </w:t>
      </w:r>
      <w:r w:rsidR="00AB05E9" w:rsidRPr="004A4B3A">
        <w:t>RBCs from normal individuals</w:t>
      </w:r>
      <w:r w:rsidRPr="004A4B3A">
        <w:t>, the MUA tip showed stronger adhesion than the ODT tip, indicating greater hydrophilic adhesion</w:t>
      </w:r>
      <w:r w:rsidR="00B53D70" w:rsidRPr="004A4B3A">
        <w:t xml:space="preserve"> in this state</w:t>
      </w:r>
      <w:r w:rsidRPr="004A4B3A">
        <w:t xml:space="preserve"> (</w:t>
      </w:r>
      <w:r w:rsidR="0094434E" w:rsidRPr="004A4B3A">
        <w:t>contrary to</w:t>
      </w:r>
      <w:r w:rsidR="00B53D70" w:rsidRPr="004A4B3A">
        <w:t xml:space="preserve"> what was observed for</w:t>
      </w:r>
      <w:r w:rsidR="0094434E" w:rsidRPr="004A4B3A">
        <w:t xml:space="preserve"> </w:t>
      </w:r>
      <w:r w:rsidRPr="004A4B3A">
        <w:t>oxygenated</w:t>
      </w:r>
      <w:r w:rsidR="00AB05E9" w:rsidRPr="004A4B3A">
        <w:t xml:space="preserve"> normal</w:t>
      </w:r>
      <w:r w:rsidRPr="004A4B3A">
        <w:t xml:space="preserve"> </w:t>
      </w:r>
      <w:r w:rsidR="00AB05E9" w:rsidRPr="004A4B3A">
        <w:t>RBCs</w:t>
      </w:r>
      <w:r w:rsidRPr="004A4B3A">
        <w:t>), providing evidence for an increase in surface H-bonding species</w:t>
      </w:r>
      <w:r w:rsidR="0094434E" w:rsidRPr="004A4B3A">
        <w:t xml:space="preserve"> </w:t>
      </w:r>
      <w:r w:rsidR="00B53D70" w:rsidRPr="004A4B3A">
        <w:t xml:space="preserve">of RBCs </w:t>
      </w:r>
      <w:r w:rsidR="0094434E" w:rsidRPr="004A4B3A">
        <w:t>in the deoxygenated state</w:t>
      </w:r>
      <w:r w:rsidRPr="004A4B3A">
        <w:t xml:space="preserve">. </w:t>
      </w:r>
      <w:r w:rsidR="000B33C5" w:rsidRPr="004A4B3A">
        <w:t xml:space="preserve"> </w:t>
      </w:r>
      <w:r w:rsidRPr="004A4B3A">
        <w:t>For deoxygenated RBCs from SCD patients, the adhesion profiles for either tip</w:t>
      </w:r>
      <w:r w:rsidR="00876322" w:rsidRPr="004A4B3A">
        <w:t xml:space="preserve"> (</w:t>
      </w:r>
      <w:r w:rsidRPr="004A4B3A">
        <w:t xml:space="preserve">shown in Figure </w:t>
      </w:r>
      <w:r w:rsidR="00607B6B">
        <w:t>4</w:t>
      </w:r>
      <w:r w:rsidRPr="004A4B3A">
        <w:t>b(iv)</w:t>
      </w:r>
      <w:r w:rsidR="00876322" w:rsidRPr="004A4B3A">
        <w:t>)</w:t>
      </w:r>
      <w:r w:rsidRPr="004A4B3A">
        <w:t xml:space="preserve"> became essentially</w:t>
      </w:r>
      <w:r w:rsidR="0019590C" w:rsidRPr="004A4B3A">
        <w:t xml:space="preserve"> </w:t>
      </w:r>
      <w:r w:rsidRPr="004A4B3A">
        <w:t>indistinguishable</w:t>
      </w:r>
      <w:r w:rsidR="00E71ED2" w:rsidRPr="004A4B3A">
        <w:t xml:space="preserve"> </w:t>
      </w:r>
      <w:r w:rsidR="008E2B00" w:rsidRPr="004A4B3A">
        <w:t>by eye</w:t>
      </w:r>
      <w:r w:rsidR="00BE3AF2" w:rsidRPr="004A4B3A">
        <w:t xml:space="preserve"> showing increased </w:t>
      </w:r>
      <w:r w:rsidR="002A794B" w:rsidRPr="004A4B3A">
        <w:t xml:space="preserve">modal </w:t>
      </w:r>
      <w:r w:rsidR="00BE3AF2" w:rsidRPr="004A4B3A">
        <w:t>adhesion for both functionalities compared to the oxygenated state and greater relative adhesion</w:t>
      </w:r>
      <w:r w:rsidR="002A794B" w:rsidRPr="004A4B3A">
        <w:t xml:space="preserve"> from</w:t>
      </w:r>
      <w:r w:rsidR="00BE3AF2" w:rsidRPr="004A4B3A">
        <w:t xml:space="preserve"> hydroph</w:t>
      </w:r>
      <w:r w:rsidR="002A794B" w:rsidRPr="004A4B3A">
        <w:t>ilic</w:t>
      </w:r>
      <w:r w:rsidR="00BE3AF2" w:rsidRPr="004A4B3A">
        <w:t xml:space="preserve"> moieties</w:t>
      </w:r>
      <w:r w:rsidR="004A4B3A" w:rsidRPr="004A4B3A">
        <w:t>.</w:t>
      </w:r>
      <w:r w:rsidR="003A5F84" w:rsidRPr="004A4B3A">
        <w:t xml:space="preserve"> This leads</w:t>
      </w:r>
      <w:r w:rsidRPr="004A4B3A">
        <w:t xml:space="preserve"> to the conclusion that the surface of deoxygenated sickle cells had no </w:t>
      </w:r>
      <w:r w:rsidR="008E2B00" w:rsidRPr="004A4B3A">
        <w:t xml:space="preserve">significant </w:t>
      </w:r>
      <w:r w:rsidRPr="004A4B3A">
        <w:t xml:space="preserve">overall preference between hydrophilic or hydrophobic probes </w:t>
      </w:r>
      <w:r w:rsidR="00FE086A" w:rsidRPr="004A4B3A">
        <w:lastRenderedPageBreak/>
        <w:t xml:space="preserve">notwithstanding the observation that they were </w:t>
      </w:r>
      <w:r w:rsidR="00B53D70" w:rsidRPr="004A4B3A">
        <w:t>“</w:t>
      </w:r>
      <w:r w:rsidRPr="004A4B3A">
        <w:t>stickier</w:t>
      </w:r>
      <w:r w:rsidR="00B53D70" w:rsidRPr="004A4B3A">
        <w:t>”</w:t>
      </w:r>
      <w:r w:rsidRPr="004A4B3A">
        <w:t xml:space="preserve"> than when oxygenated (</w:t>
      </w:r>
      <w:r w:rsidR="00607B6B">
        <w:t>4</w:t>
      </w:r>
      <w:r w:rsidRPr="004A4B3A">
        <w:t xml:space="preserve">a(ii) and </w:t>
      </w:r>
      <w:r w:rsidR="00607B6B">
        <w:t>4</w:t>
      </w:r>
      <w:r w:rsidRPr="004A4B3A">
        <w:t xml:space="preserve">a(iv)). </w:t>
      </w:r>
      <w:r w:rsidR="000B33C5" w:rsidRPr="004A4B3A">
        <w:t xml:space="preserve"> </w:t>
      </w:r>
      <w:r w:rsidR="00AA63F0" w:rsidRPr="004A4B3A">
        <w:t>The results from using two differently coated tips implies</w:t>
      </w:r>
      <w:r w:rsidRPr="004A4B3A">
        <w:t xml:space="preserve"> that both strongly hydrophilic an</w:t>
      </w:r>
      <w:r w:rsidR="00D21AAA" w:rsidRPr="004A4B3A">
        <w:t xml:space="preserve">d strongly hydrophobic species </w:t>
      </w:r>
      <w:r w:rsidR="00AA63F0" w:rsidRPr="004A4B3A">
        <w:t>are</w:t>
      </w:r>
      <w:r w:rsidRPr="004A4B3A">
        <w:t xml:space="preserve"> more prevalent </w:t>
      </w:r>
      <w:r w:rsidR="00AA63F0" w:rsidRPr="004A4B3A">
        <w:t>on</w:t>
      </w:r>
      <w:r w:rsidRPr="004A4B3A">
        <w:t xml:space="preserve"> the surface of</w:t>
      </w:r>
      <w:r w:rsidR="00D21AAA" w:rsidRPr="004A4B3A">
        <w:t xml:space="preserve"> RBCs</w:t>
      </w:r>
      <w:r w:rsidRPr="004A4B3A">
        <w:t xml:space="preserve"> </w:t>
      </w:r>
      <w:r w:rsidR="00AA63F0" w:rsidRPr="004A4B3A">
        <w:t xml:space="preserve">from SCD patients </w:t>
      </w:r>
      <w:r w:rsidRPr="004A4B3A">
        <w:t xml:space="preserve">than </w:t>
      </w:r>
      <w:r w:rsidR="00AA63F0" w:rsidRPr="004A4B3A">
        <w:t xml:space="preserve">on the surfaces </w:t>
      </w:r>
      <w:r w:rsidRPr="004A4B3A">
        <w:t xml:space="preserve">of </w:t>
      </w:r>
      <w:r w:rsidR="00AA63F0" w:rsidRPr="004A4B3A">
        <w:t>RBC</w:t>
      </w:r>
      <w:r w:rsidR="002A794B" w:rsidRPr="004A4B3A">
        <w:t>s</w:t>
      </w:r>
      <w:r w:rsidRPr="004A4B3A">
        <w:t xml:space="preserve"> from normal individuals and that, furthermore, such </w:t>
      </w:r>
      <w:r w:rsidR="00AA63F0" w:rsidRPr="004A4B3A">
        <w:t>differences</w:t>
      </w:r>
      <w:r w:rsidRPr="004A4B3A">
        <w:t xml:space="preserve"> </w:t>
      </w:r>
      <w:r w:rsidR="00AA63F0" w:rsidRPr="004A4B3A">
        <w:t>are</w:t>
      </w:r>
      <w:r w:rsidRPr="004A4B3A">
        <w:t xml:space="preserve"> </w:t>
      </w:r>
      <w:r w:rsidR="00D21AAA" w:rsidRPr="004A4B3A">
        <w:t>exaggerated</w:t>
      </w:r>
      <w:r w:rsidRPr="004A4B3A">
        <w:t xml:space="preserve"> </w:t>
      </w:r>
      <w:r w:rsidR="00D21AAA" w:rsidRPr="004A4B3A">
        <w:t>on</w:t>
      </w:r>
      <w:r w:rsidRPr="004A4B3A">
        <w:t xml:space="preserve"> deoxygenat</w:t>
      </w:r>
      <w:r w:rsidR="00D21AAA" w:rsidRPr="004A4B3A">
        <w:t>ion</w:t>
      </w:r>
      <w:r w:rsidRPr="004A4B3A">
        <w:t>.</w:t>
      </w:r>
    </w:p>
    <w:p w14:paraId="11D814FD" w14:textId="77777777" w:rsidR="00A10CC0" w:rsidRPr="00337148" w:rsidRDefault="00A10CC0" w:rsidP="00A10CC0"/>
    <w:p w14:paraId="3EA1B2C5" w14:textId="721A6A9A" w:rsidR="0016627C" w:rsidRDefault="00A10CC0">
      <w:pPr>
        <w:rPr>
          <w:b/>
          <w:bCs/>
        </w:rPr>
      </w:pPr>
      <w:r w:rsidRPr="004A4B3A">
        <w:t>Finally, column (c) compares RBCs from normal individual</w:t>
      </w:r>
      <w:r w:rsidR="00390FA0" w:rsidRPr="004A4B3A">
        <w:t>s</w:t>
      </w:r>
      <w:r w:rsidRPr="004A4B3A">
        <w:t xml:space="preserve"> and SCD patients under both the same </w:t>
      </w:r>
      <w:r w:rsidR="00B95186" w:rsidRPr="004A4B3A">
        <w:t xml:space="preserve">state of </w:t>
      </w:r>
      <w:r w:rsidRPr="004A4B3A">
        <w:t xml:space="preserve">oxygenation and the same tip functionality. </w:t>
      </w:r>
      <w:r w:rsidR="000B33C5" w:rsidRPr="004A4B3A">
        <w:t xml:space="preserve"> </w:t>
      </w:r>
      <w:r w:rsidRPr="004A4B3A">
        <w:t>When oxygenated, both types of tip exhibited stronger adhesion for the surface of RBCs from SCD patients than for those from normal individuals (</w:t>
      </w:r>
      <w:r w:rsidR="00607B6B">
        <w:t>4</w:t>
      </w:r>
      <w:r w:rsidRPr="004A4B3A">
        <w:t>c(</w:t>
      </w:r>
      <w:proofErr w:type="spellStart"/>
      <w:r w:rsidRPr="004A4B3A">
        <w:t>i</w:t>
      </w:r>
      <w:proofErr w:type="spellEnd"/>
      <w:r w:rsidRPr="004A4B3A">
        <w:t xml:space="preserve">) and </w:t>
      </w:r>
      <w:r w:rsidR="00607B6B">
        <w:t>4</w:t>
      </w:r>
      <w:r w:rsidRPr="004A4B3A">
        <w:t>c(ii))</w:t>
      </w:r>
      <w:r w:rsidR="0073054B" w:rsidRPr="004A4B3A">
        <w:t>, clearly showing increased concentrations of strongly hydrophilic and strongly hydrophobic moieties at the surface of the former.</w:t>
      </w:r>
      <w:r w:rsidR="00EC69AB" w:rsidRPr="004A4B3A">
        <w:t xml:space="preserve"> </w:t>
      </w:r>
      <w:r w:rsidR="00DC1919" w:rsidRPr="004A4B3A">
        <w:t xml:space="preserve"> The same wa</w:t>
      </w:r>
      <w:r w:rsidRPr="004A4B3A">
        <w:t>s true for the modal adhesion for deoxygenated RBCs (</w:t>
      </w:r>
      <w:r w:rsidR="00607B6B">
        <w:t>4</w:t>
      </w:r>
      <w:r w:rsidRPr="004A4B3A">
        <w:t xml:space="preserve">c(iii) and </w:t>
      </w:r>
      <w:r w:rsidR="00607B6B">
        <w:t>4</w:t>
      </w:r>
      <w:r w:rsidRPr="004A4B3A">
        <w:t>c(iv))</w:t>
      </w:r>
      <w:r w:rsidR="00DC1919" w:rsidRPr="004A4B3A">
        <w:t>, however the distinction wa</w:t>
      </w:r>
      <w:r w:rsidRPr="004A4B3A">
        <w:t xml:space="preserve">s not as pronounced. </w:t>
      </w:r>
      <w:r w:rsidR="000B33C5" w:rsidRPr="004A4B3A">
        <w:t xml:space="preserve"> </w:t>
      </w:r>
      <w:r w:rsidRPr="004A4B3A">
        <w:t xml:space="preserve">Using the MUA tip, </w:t>
      </w:r>
      <w:r w:rsidR="00845D79" w:rsidRPr="004A4B3A">
        <w:t xml:space="preserve">deoxygenated </w:t>
      </w:r>
      <w:r w:rsidRPr="004A4B3A">
        <w:t>RBCs from SCD patients showed a</w:t>
      </w:r>
      <w:r w:rsidR="00AC3AA6" w:rsidRPr="004A4B3A">
        <w:t>n</w:t>
      </w:r>
      <w:r w:rsidRPr="004A4B3A">
        <w:t xml:space="preserve"> increase in the modal adhesion (0.9 compared to 0.</w:t>
      </w:r>
      <w:r w:rsidR="00845D79" w:rsidRPr="004A4B3A">
        <w:t>7</w:t>
      </w:r>
      <w:r w:rsidRPr="004A4B3A">
        <w:t xml:space="preserve"> units) but lower abundance of high-adhesion regions compared to those from normal individuals (</w:t>
      </w:r>
      <w:r w:rsidR="00607B6B">
        <w:t>4</w:t>
      </w:r>
      <w:r w:rsidRPr="004A4B3A">
        <w:t xml:space="preserve">c(iii)), giving a lower overall mean adhesion of 1.27 for </w:t>
      </w:r>
      <w:proofErr w:type="spellStart"/>
      <w:r w:rsidRPr="004A4B3A">
        <w:t>HbS</w:t>
      </w:r>
      <w:r w:rsidR="009E69AD">
        <w:t>S</w:t>
      </w:r>
      <w:proofErr w:type="spellEnd"/>
      <w:r w:rsidRPr="004A4B3A">
        <w:t xml:space="preserve"> compared to 1.37 for </w:t>
      </w:r>
      <w:proofErr w:type="spellStart"/>
      <w:r w:rsidRPr="004A4B3A">
        <w:t>HbA</w:t>
      </w:r>
      <w:r w:rsidR="009E69AD">
        <w:t>A</w:t>
      </w:r>
      <w:proofErr w:type="spellEnd"/>
      <w:r w:rsidRPr="004A4B3A">
        <w:t>.</w:t>
      </w:r>
      <w:r w:rsidR="0073054B" w:rsidRPr="004A4B3A">
        <w:t xml:space="preserve"> This suggests increases in both hydrophilic and hydrophobic moieties, but to a lesser extent than for cells </w:t>
      </w:r>
      <w:r w:rsidR="003A5F84" w:rsidRPr="004A4B3A">
        <w:t xml:space="preserve">in </w:t>
      </w:r>
      <w:r w:rsidR="0073054B" w:rsidRPr="004A4B3A">
        <w:t>the oxygenated state.</w:t>
      </w:r>
      <w:r w:rsidR="000B33C5" w:rsidRPr="004A4B3A">
        <w:t xml:space="preserve"> </w:t>
      </w:r>
      <w:r w:rsidRPr="004A4B3A">
        <w:t xml:space="preserve">With the ODT tip, however, there was a distinct increase in the mean adhesion (1.09 compared to 0.68), modal adhesion (0.8 compared to 0.4), and abundance of high-adhesion regions for </w:t>
      </w:r>
      <w:r w:rsidR="00DC1919" w:rsidRPr="004A4B3A">
        <w:t>patients’ RBCs</w:t>
      </w:r>
      <w:r w:rsidRPr="004A4B3A">
        <w:t xml:space="preserve"> (</w:t>
      </w:r>
      <w:r w:rsidR="00845D79" w:rsidRPr="004A4B3A">
        <w:t xml:space="preserve">P=0.1 adhesion of 1.962 compared to 1.322, </w:t>
      </w:r>
      <w:r w:rsidR="00607B6B">
        <w:t>4</w:t>
      </w:r>
      <w:r w:rsidRPr="004A4B3A">
        <w:t>c(iv)).</w:t>
      </w:r>
      <w:r w:rsidR="004E17CA" w:rsidRPr="004A4B3A">
        <w:t xml:space="preserve"> This </w:t>
      </w:r>
      <w:r w:rsidR="003A5F84" w:rsidRPr="004A4B3A">
        <w:t xml:space="preserve">infers </w:t>
      </w:r>
      <w:r w:rsidR="0022727D">
        <w:t>that there is a substantial increase in</w:t>
      </w:r>
      <w:r w:rsidR="004E17CA" w:rsidRPr="004A4B3A">
        <w:t xml:space="preserve"> hydrophobic moieties at the surface in the deoxygenated state (cf. the increase in hydrophilic species).</w:t>
      </w:r>
      <w:r w:rsidR="00AC3AA6" w:rsidRPr="004A4B3A">
        <w:t xml:space="preserve"> In summary, comparing the adhesion profiles of both cell genotypes </w:t>
      </w:r>
      <w:r w:rsidR="0073054B" w:rsidRPr="004A4B3A">
        <w:t xml:space="preserve">shows </w:t>
      </w:r>
      <w:r w:rsidR="0022727D">
        <w:t xml:space="preserve">that there are </w:t>
      </w:r>
      <w:r w:rsidR="0073054B" w:rsidRPr="004A4B3A">
        <w:t xml:space="preserve">significant differences with cells from SCD patients being considerably “stickier”. </w:t>
      </w:r>
      <w:r w:rsidR="000B6A5D" w:rsidRPr="004A4B3A">
        <w:t xml:space="preserve"> It is also apparent that deoxygenated sickle cells show a far greater exposure of strongly hydrophobic moieties than hydrophilic ones. </w:t>
      </w:r>
      <w:r w:rsidR="0073054B" w:rsidRPr="004A4B3A">
        <w:t xml:space="preserve">Furthermore, the differences are more substantial in the oxygenated state, suggesting that deoxygenation also results in significant membrane alterations which dampen the observed distinction between cell genotypes when in this </w:t>
      </w:r>
      <w:r w:rsidR="00987089" w:rsidRPr="004A4B3A">
        <w:t xml:space="preserve">oxygenation </w:t>
      </w:r>
      <w:r w:rsidR="0073054B" w:rsidRPr="004A4B3A">
        <w:t>state.</w:t>
      </w:r>
      <w:r w:rsidR="004E17CA" w:rsidRPr="004A4B3A">
        <w:t xml:space="preserve"> </w:t>
      </w:r>
    </w:p>
    <w:p w14:paraId="7A7899D1" w14:textId="7FB1F237" w:rsidR="0046413A" w:rsidRDefault="0046413A">
      <w:pPr>
        <w:rPr>
          <w:b/>
          <w:bCs/>
        </w:rPr>
      </w:pPr>
    </w:p>
    <w:p w14:paraId="68A61B98" w14:textId="77777777" w:rsidR="0046413A" w:rsidRPr="004A4B3A" w:rsidRDefault="0046413A"/>
    <w:p w14:paraId="25C4D2C2" w14:textId="3D5B42DB" w:rsidR="003A1AF2" w:rsidRPr="00057225" w:rsidRDefault="003A1AF2" w:rsidP="00057225">
      <w:pPr>
        <w:pStyle w:val="ListParagraph"/>
        <w:numPr>
          <w:ilvl w:val="0"/>
          <w:numId w:val="7"/>
        </w:numPr>
        <w:rPr>
          <w:b/>
          <w:bCs/>
          <w:sz w:val="28"/>
          <w:szCs w:val="28"/>
        </w:rPr>
      </w:pPr>
      <w:r w:rsidRPr="00057225">
        <w:rPr>
          <w:b/>
          <w:bCs/>
          <w:sz w:val="28"/>
          <w:szCs w:val="28"/>
        </w:rPr>
        <w:t>Discussion</w:t>
      </w:r>
    </w:p>
    <w:p w14:paraId="0AD623E3" w14:textId="27A9ECCB" w:rsidR="003A1AF2" w:rsidRPr="00337148" w:rsidRDefault="003A1AF2" w:rsidP="003A1AF2"/>
    <w:p w14:paraId="467DFE78" w14:textId="637A0F01" w:rsidR="00A72E83" w:rsidRPr="0053136E" w:rsidRDefault="00603067" w:rsidP="003A1AF2">
      <w:r w:rsidRPr="0053136E">
        <w:t>Spectroscopic and frictional changes as well as adhesive interactions of the</w:t>
      </w:r>
      <w:r w:rsidR="00811F06" w:rsidRPr="0053136E">
        <w:t xml:space="preserve"> </w:t>
      </w:r>
      <w:proofErr w:type="spellStart"/>
      <w:r w:rsidR="00811F06" w:rsidRPr="0053136E">
        <w:t>HbS</w:t>
      </w:r>
      <w:proofErr w:type="spellEnd"/>
      <w:r w:rsidRPr="0053136E">
        <w:t xml:space="preserve"> RBC surface </w:t>
      </w:r>
      <w:r w:rsidR="0022727D" w:rsidRPr="0053136E">
        <w:t xml:space="preserve">in the oxygenated and deoxygenated states </w:t>
      </w:r>
      <w:r w:rsidRPr="0053136E">
        <w:t xml:space="preserve">were initially examined with an uncoated gold tip, which is intrinsically </w:t>
      </w:r>
      <w:r w:rsidR="0022727D" w:rsidRPr="0053136E">
        <w:t>hydrophobic.</w:t>
      </w:r>
      <w:r w:rsidR="00811F06" w:rsidRPr="0053136E">
        <w:t xml:space="preserve"> </w:t>
      </w:r>
      <w:r w:rsidR="009E353C" w:rsidRPr="0053136E">
        <w:t>More detailed characterisation was achieved</w:t>
      </w:r>
      <w:r w:rsidR="0079322E" w:rsidRPr="0053136E">
        <w:t xml:space="preserve"> </w:t>
      </w:r>
      <w:r w:rsidRPr="0053136E">
        <w:t xml:space="preserve">using tips coated with ODT and MUA, </w:t>
      </w:r>
      <w:r w:rsidR="00811F06" w:rsidRPr="0053136E">
        <w:t xml:space="preserve">comparing the </w:t>
      </w:r>
      <w:proofErr w:type="spellStart"/>
      <w:r w:rsidR="00811F06" w:rsidRPr="0053136E">
        <w:t>HbS</w:t>
      </w:r>
      <w:r w:rsidR="006C0904" w:rsidRPr="0053136E">
        <w:t>S</w:t>
      </w:r>
      <w:proofErr w:type="spellEnd"/>
      <w:r w:rsidR="00811F06" w:rsidRPr="0053136E">
        <w:t xml:space="preserve"> cells to </w:t>
      </w:r>
      <w:proofErr w:type="spellStart"/>
      <w:r w:rsidR="00811F06" w:rsidRPr="0053136E">
        <w:t>HbA</w:t>
      </w:r>
      <w:r w:rsidR="006C0904" w:rsidRPr="0053136E">
        <w:t>A</w:t>
      </w:r>
      <w:proofErr w:type="spellEnd"/>
      <w:r w:rsidR="00811F06" w:rsidRPr="0053136E">
        <w:t xml:space="preserve"> cells in each </w:t>
      </w:r>
      <w:r w:rsidR="00B55702" w:rsidRPr="0053136E">
        <w:t xml:space="preserve">oxygenation </w:t>
      </w:r>
      <w:r w:rsidR="00811F06" w:rsidRPr="0053136E">
        <w:t>state</w:t>
      </w:r>
      <w:r w:rsidRPr="0053136E">
        <w:t>.</w:t>
      </w:r>
      <w:r w:rsidR="00D93CE4" w:rsidRPr="0053136E">
        <w:t xml:space="preserve">  </w:t>
      </w:r>
      <w:r w:rsidR="00087BCD" w:rsidRPr="0053136E">
        <w:t>ODT functionality on the AFM tip exposes long-chain (hydrophobic) hydrocarbon tails which will adhere p</w:t>
      </w:r>
      <w:r w:rsidR="001E4489" w:rsidRPr="0053136E">
        <w:t>referentially to similar hydrophobic species</w:t>
      </w:r>
      <w:r w:rsidR="00087BCD" w:rsidRPr="0053136E">
        <w:t xml:space="preserve"> that can form significant Van der Waals’ interactions e.g. through interdigitation of hydrocarbon chains</w:t>
      </w:r>
      <w:r w:rsidR="00117D43" w:rsidRPr="0053136E">
        <w:t xml:space="preserve"> (i.e. lipid tail groups)</w:t>
      </w:r>
      <w:r w:rsidR="00087BCD" w:rsidRPr="0053136E">
        <w:t>. MUA, however, exposes acid functionality that will adhere predominantly through H-bonding and thus is a surface probe for hydrophilic moieties</w:t>
      </w:r>
      <w:r w:rsidR="00117D43" w:rsidRPr="0053136E">
        <w:t xml:space="preserve"> (e.g. increased surface concentrations of oxygen-containing groups from membrane oxidation, or larger concentrations of negatively charged PS lipid head groups)</w:t>
      </w:r>
      <w:r w:rsidR="00087BCD" w:rsidRPr="0053136E">
        <w:t xml:space="preserve">. </w:t>
      </w:r>
      <w:r w:rsidR="00A72E83" w:rsidRPr="0053136E">
        <w:rPr>
          <w:rFonts w:cs="AppleSystemUIFont"/>
        </w:rPr>
        <w:t xml:space="preserve">Although measurements </w:t>
      </w:r>
      <w:r w:rsidR="00D93CE4" w:rsidRPr="0053136E">
        <w:rPr>
          <w:rFonts w:cs="AppleSystemUIFont"/>
        </w:rPr>
        <w:t>were</w:t>
      </w:r>
      <w:r w:rsidR="00A72E83" w:rsidRPr="0053136E">
        <w:rPr>
          <w:rFonts w:cs="AppleSystemUIFont"/>
        </w:rPr>
        <w:t xml:space="preserve"> made in air</w:t>
      </w:r>
      <w:r w:rsidR="005435C3" w:rsidRPr="0053136E">
        <w:rPr>
          <w:rFonts w:cs="AppleSystemUIFont"/>
        </w:rPr>
        <w:t xml:space="preserve"> (i.e. not in a physiological environment)</w:t>
      </w:r>
      <w:r w:rsidR="00DA66DD" w:rsidRPr="0053136E">
        <w:rPr>
          <w:rFonts w:cs="AppleSystemUIFont"/>
        </w:rPr>
        <w:t>,</w:t>
      </w:r>
      <w:r w:rsidR="00A72E83" w:rsidRPr="0053136E">
        <w:rPr>
          <w:rFonts w:cs="AppleSystemUIFont"/>
        </w:rPr>
        <w:t xml:space="preserve"> in which lipid bilayers are less stable (cf</w:t>
      </w:r>
      <w:r w:rsidR="008473CF" w:rsidRPr="0053136E">
        <w:rPr>
          <w:rFonts w:cs="AppleSystemUIFont"/>
        </w:rPr>
        <w:t>.</w:t>
      </w:r>
      <w:r w:rsidR="00A72E83" w:rsidRPr="0053136E">
        <w:rPr>
          <w:rFonts w:cs="AppleSystemUIFont"/>
        </w:rPr>
        <w:t xml:space="preserve"> under aqueous media), </w:t>
      </w:r>
      <w:r w:rsidR="00DA46D4" w:rsidRPr="0053136E">
        <w:rPr>
          <w:rFonts w:cs="AppleSystemUIFont"/>
        </w:rPr>
        <w:t>RBC</w:t>
      </w:r>
      <w:r w:rsidR="00A72E83" w:rsidRPr="0053136E">
        <w:rPr>
          <w:rFonts w:cs="AppleSystemUIFont"/>
        </w:rPr>
        <w:t xml:space="preserve">s from both normal individuals and from </w:t>
      </w:r>
      <w:r w:rsidR="00471452" w:rsidRPr="0053136E">
        <w:rPr>
          <w:rFonts w:cs="AppleSystemUIFont"/>
        </w:rPr>
        <w:t>SCD</w:t>
      </w:r>
      <w:r w:rsidR="00A72E83" w:rsidRPr="0053136E">
        <w:rPr>
          <w:rFonts w:cs="AppleSystemUIFont"/>
        </w:rPr>
        <w:t xml:space="preserve"> patients were treated similarly, implying that </w:t>
      </w:r>
      <w:r w:rsidR="006104FC" w:rsidRPr="0053136E">
        <w:rPr>
          <w:rFonts w:cs="AppleSystemUIFont"/>
        </w:rPr>
        <w:t xml:space="preserve">any </w:t>
      </w:r>
      <w:r w:rsidR="0097507D" w:rsidRPr="0053136E">
        <w:rPr>
          <w:rFonts w:cs="AppleSystemUIFont"/>
        </w:rPr>
        <w:t>differences in b</w:t>
      </w:r>
      <w:r w:rsidR="001A12FA" w:rsidRPr="0053136E">
        <w:rPr>
          <w:rFonts w:cs="AppleSystemUIFont"/>
        </w:rPr>
        <w:t>ehaviour</w:t>
      </w:r>
      <w:r w:rsidR="00A72E83" w:rsidRPr="0053136E">
        <w:rPr>
          <w:rFonts w:cs="AppleSystemUIFont"/>
        </w:rPr>
        <w:t xml:space="preserve"> result</w:t>
      </w:r>
      <w:r w:rsidR="00C546A1" w:rsidRPr="0053136E">
        <w:rPr>
          <w:rFonts w:cs="AppleSystemUIFont"/>
        </w:rPr>
        <w:t>ed</w:t>
      </w:r>
      <w:r w:rsidR="00A72E83" w:rsidRPr="0053136E">
        <w:rPr>
          <w:rFonts w:cs="AppleSystemUIFont"/>
        </w:rPr>
        <w:t xml:space="preserve"> from fundamental </w:t>
      </w:r>
      <w:r w:rsidR="000113CC" w:rsidRPr="0053136E">
        <w:rPr>
          <w:rFonts w:cs="AppleSystemUIFont"/>
        </w:rPr>
        <w:t>effects</w:t>
      </w:r>
      <w:r w:rsidR="00A72E83" w:rsidRPr="0053136E">
        <w:rPr>
          <w:rFonts w:cs="AppleSystemUIFont"/>
        </w:rPr>
        <w:t xml:space="preserve"> due to the presence of norma</w:t>
      </w:r>
      <w:r w:rsidR="001A12FA" w:rsidRPr="0053136E">
        <w:rPr>
          <w:rFonts w:cs="AppleSystemUIFont"/>
        </w:rPr>
        <w:t>l</w:t>
      </w:r>
      <w:r w:rsidR="00A72E83" w:rsidRPr="0053136E">
        <w:rPr>
          <w:rFonts w:cs="AppleSystemUIFont"/>
        </w:rPr>
        <w:t xml:space="preserve"> </w:t>
      </w:r>
      <w:proofErr w:type="spellStart"/>
      <w:r w:rsidR="00A72E83" w:rsidRPr="0053136E">
        <w:rPr>
          <w:rFonts w:cs="AppleSystemUIFont"/>
        </w:rPr>
        <w:t>HbA</w:t>
      </w:r>
      <w:proofErr w:type="spellEnd"/>
      <w:r w:rsidR="00A72E83" w:rsidRPr="0053136E">
        <w:rPr>
          <w:rFonts w:cs="AppleSystemUIFont"/>
        </w:rPr>
        <w:t xml:space="preserve"> or mutated </w:t>
      </w:r>
      <w:proofErr w:type="spellStart"/>
      <w:r w:rsidR="00A72E83" w:rsidRPr="0053136E">
        <w:rPr>
          <w:rFonts w:cs="AppleSystemUIFont"/>
        </w:rPr>
        <w:t>HbS</w:t>
      </w:r>
      <w:proofErr w:type="spellEnd"/>
      <w:r w:rsidR="00811F06" w:rsidRPr="0053136E">
        <w:rPr>
          <w:rFonts w:cs="AppleSystemUIFont"/>
        </w:rPr>
        <w:t xml:space="preserve">, as well as the oxygenation state </w:t>
      </w:r>
      <w:r w:rsidR="00811F06" w:rsidRPr="0053136E">
        <w:rPr>
          <w:rFonts w:cs="AppleSystemUIFont"/>
        </w:rPr>
        <w:lastRenderedPageBreak/>
        <w:t>of the cell</w:t>
      </w:r>
      <w:r w:rsidR="00A72E83" w:rsidRPr="0053136E">
        <w:rPr>
          <w:rFonts w:cs="AppleSystemUIFont"/>
        </w:rPr>
        <w:t>.</w:t>
      </w:r>
      <w:r w:rsidR="00B75A6B" w:rsidRPr="0053136E">
        <w:rPr>
          <w:rFonts w:cs="AppleSystemUIFont"/>
        </w:rPr>
        <w:fldChar w:fldCharType="begin" w:fldLock="1"/>
      </w:r>
      <w:r w:rsidR="00D37D3A" w:rsidRPr="0053136E">
        <w:rPr>
          <w:rFonts w:cs="AppleSystemUIFont"/>
        </w:rPr>
        <w:instrText>ADDIN CSL_CITATION {"citationItems":[{"id":"ITEM-1","itemData":{"DOI":"10.1021/ja01317a513","ISSN":"15205126","author":[{"dropping-particle":"","family":"Blodgett","given":"Katharine B.","non-dropping-particle":"","parse-names":false,"suffix":""}],"container-title":"Journal of the American Chemical Society","id":"ITEM-1","issue":"2","issued":{"date-parts":[["1934"]]},"page":"495","title":"Monomolecular films of fatty acids on glass","type":"article-journal","volume":"56"},"uris":["http://www.mendeley.com/documents/?uuid=49abbf2d-08b2-4e33-916c-a7db886ff1ba"]}],"mendeley":{"formattedCitation":"&lt;sup&gt;28&lt;/sup&gt;","plainTextFormattedCitation":"28","previouslyFormattedCitation":"&lt;sup&gt;30&lt;/sup&gt;"},"properties":{"noteIndex":0},"schema":"https://github.com/citation-style-language/schema/raw/master/csl-citation.json"}</w:instrText>
      </w:r>
      <w:r w:rsidR="00B75A6B" w:rsidRPr="0053136E">
        <w:rPr>
          <w:rFonts w:cs="AppleSystemUIFont"/>
        </w:rPr>
        <w:fldChar w:fldCharType="separate"/>
      </w:r>
      <w:r w:rsidR="00D37D3A" w:rsidRPr="0053136E">
        <w:rPr>
          <w:rFonts w:cs="AppleSystemUIFont"/>
          <w:noProof/>
          <w:vertAlign w:val="superscript"/>
        </w:rPr>
        <w:t>28</w:t>
      </w:r>
      <w:r w:rsidR="00B75A6B" w:rsidRPr="0053136E">
        <w:rPr>
          <w:rFonts w:cs="AppleSystemUIFont"/>
        </w:rPr>
        <w:fldChar w:fldCharType="end"/>
      </w:r>
      <w:r w:rsidR="005435C3" w:rsidRPr="0053136E">
        <w:rPr>
          <w:rFonts w:cs="AppleSystemUIFont"/>
        </w:rPr>
        <w:t xml:space="preserve"> Furthermore, it should be noted that, unlike pure lipid bilayers, RBC membranes do not rapidly ‘collapse’</w:t>
      </w:r>
      <w:r w:rsidR="00E21675" w:rsidRPr="0053136E">
        <w:rPr>
          <w:rFonts w:cs="AppleSystemUIFont"/>
        </w:rPr>
        <w:t xml:space="preserve"> or</w:t>
      </w:r>
      <w:r w:rsidR="005435C3" w:rsidRPr="0053136E">
        <w:rPr>
          <w:rFonts w:cs="AppleSystemUIFont"/>
        </w:rPr>
        <w:t xml:space="preserve"> </w:t>
      </w:r>
      <w:r w:rsidR="001E4489" w:rsidRPr="0053136E">
        <w:rPr>
          <w:rFonts w:cs="AppleSystemUIFont"/>
        </w:rPr>
        <w:t xml:space="preserve">degenerate </w:t>
      </w:r>
      <w:r w:rsidR="005435C3" w:rsidRPr="0053136E">
        <w:rPr>
          <w:rFonts w:cs="AppleSystemUIFont"/>
        </w:rPr>
        <w:t>on exposure to air and maintain their structure and integrity for long periods. Therefore, it is reasonable to conclude that the effects on the membrane due to exposure in air are significantly less than those observed in pure lipid bilayers.</w:t>
      </w:r>
    </w:p>
    <w:p w14:paraId="3E6F56C4" w14:textId="77777777" w:rsidR="00A72E83" w:rsidRPr="00337148" w:rsidRDefault="00A72E83" w:rsidP="003A1AF2"/>
    <w:p w14:paraId="2EF64D41" w14:textId="77777777" w:rsidR="00603067" w:rsidRPr="00337148" w:rsidRDefault="00603067" w:rsidP="003A1AF2"/>
    <w:p w14:paraId="13786A38" w14:textId="66AC8DEE" w:rsidR="00603067" w:rsidRPr="00057225" w:rsidRDefault="00603067" w:rsidP="00057225">
      <w:pPr>
        <w:pStyle w:val="ListParagraph"/>
        <w:numPr>
          <w:ilvl w:val="1"/>
          <w:numId w:val="7"/>
        </w:numPr>
        <w:rPr>
          <w:i/>
        </w:rPr>
      </w:pPr>
      <w:r w:rsidRPr="00057225">
        <w:rPr>
          <w:i/>
        </w:rPr>
        <w:t>Morphology</w:t>
      </w:r>
    </w:p>
    <w:p w14:paraId="7D141C5C" w14:textId="77777777" w:rsidR="00E37A6D" w:rsidRPr="00337148" w:rsidRDefault="00E37A6D" w:rsidP="00603067"/>
    <w:p w14:paraId="0D8FA3CA" w14:textId="581F3263" w:rsidR="00603067" w:rsidRPr="004A4B3A" w:rsidRDefault="008D3924" w:rsidP="00603067">
      <w:r w:rsidRPr="004A4B3A">
        <w:t>A</w:t>
      </w:r>
      <w:r w:rsidR="00E37A6D" w:rsidRPr="004A4B3A">
        <w:t xml:space="preserve">s expected, deoxygenation of </w:t>
      </w:r>
      <w:r w:rsidR="00DA46D4" w:rsidRPr="004A4B3A">
        <w:t xml:space="preserve">RBCs from SCD patients </w:t>
      </w:r>
      <w:r w:rsidR="00B160E0" w:rsidRPr="004A4B3A">
        <w:t>caused distortion in</w:t>
      </w:r>
      <w:r w:rsidR="00E37A6D" w:rsidRPr="004A4B3A">
        <w:t xml:space="preserve"> morphology from the normal biconcave disc to sickles and a variety of other bizarre shapes, subsequent to polymerisation of th</w:t>
      </w:r>
      <w:r w:rsidR="005411A0" w:rsidRPr="004A4B3A">
        <w:t>e mutated HbS</w:t>
      </w:r>
      <w:r w:rsidR="00E37A6D" w:rsidRPr="004A4B3A">
        <w:t>.</w:t>
      </w:r>
      <w:r w:rsidR="00E71ED2" w:rsidRPr="004A4B3A">
        <w:fldChar w:fldCharType="begin" w:fldLock="1"/>
      </w:r>
      <w:r w:rsidR="00D37D3A">
        <w:instrText>ADDIN CSL_CITATION {"citationItems":[{"id":"ITEM-1","itemData":{"DOI":"10.1182/blood.v68.2.450.bloodjournal682450","ISSN":"00064971","abstract":"We hypothesized that the deoxygenation-induced increase in cation permeability of sickle cells was related to mechanical distention of the membrane by growing HbS polymer within the cell. To test this hypothesis, we determined the effect of deoxygenation on cation fluxes in sickle cells under conditions that restricted or permitted extensive growth of polymer, producing different degrees of membrane distention. Manipulation of suspending medium osmolality for density-isolated high and low mean cell hemoglobin concentration (MCHC) cells was used to regulate the extensional growth of polymer bundles and hence membrane distortion. For initially low MCHC cells, the deoxygenation-induced increase in both Na and K fluxes was markedly suppressed when the MCHC was increased by increasing the osmolality. This suppression corresponded to the inhibition of extensive morphologic cellular distortion. For initially high MCHC, ISC-rich cells, deoxygenation had minimal effect on K permeability. However, reduction of MCHC by a decrease in osmolality produced a concomitant increase in cation permeability and cellular distortion. These observations support the idea that the sickling-associated increase in membrane permeability is related to mechanical stress imposed on the membrane by bundles of HbS polymer.","author":[{"dropping-particle":"","family":"Mohandas","given":"N.","non-dropping-particle":"","parse-names":false,"suffix":""},{"dropping-particle":"","family":"Rossi","given":"M. E.","non-dropping-particle":"","parse-names":false,"suffix":""},{"dropping-particle":"","family":"Clark","given":"M. R.","non-dropping-particle":"","parse-names":false,"suffix":""}],"container-title":"Blood","id":"ITEM-1","issue":"2","issued":{"date-parts":[["1986"]]},"page":"450-454","title":"Association between morphologic distortion of sickle cells and deoxygenation-induced cation permeability increase","type":"article-journal","volume":"68"},"uris":["http://www.mendeley.com/documents/?uuid=14d5463a-c47f-4165-a309-da6fd792c239"]}],"mendeley":{"formattedCitation":"&lt;sup&gt;25&lt;/sup&gt;","plainTextFormattedCitation":"25","previouslyFormattedCitation":"&lt;sup&gt;27&lt;/sup&gt;"},"properties":{"noteIndex":0},"schema":"https://github.com/citation-style-language/schema/raw/master/csl-citation.json"}</w:instrText>
      </w:r>
      <w:r w:rsidR="00E71ED2" w:rsidRPr="004A4B3A">
        <w:fldChar w:fldCharType="separate"/>
      </w:r>
      <w:r w:rsidR="00D37D3A" w:rsidRPr="00D37D3A">
        <w:rPr>
          <w:noProof/>
          <w:vertAlign w:val="superscript"/>
        </w:rPr>
        <w:t>25</w:t>
      </w:r>
      <w:r w:rsidR="00E71ED2" w:rsidRPr="004A4B3A">
        <w:fldChar w:fldCharType="end"/>
      </w:r>
      <w:r w:rsidR="005D6325" w:rsidRPr="004A4B3A">
        <w:t xml:space="preserve"> </w:t>
      </w:r>
      <w:r w:rsidR="00E37A6D" w:rsidRPr="004A4B3A">
        <w:t xml:space="preserve"> </w:t>
      </w:r>
      <w:r w:rsidR="004E258B" w:rsidRPr="004A4B3A">
        <w:t>T</w:t>
      </w:r>
      <w:r w:rsidR="00E37A6D" w:rsidRPr="004A4B3A">
        <w:t>opographical</w:t>
      </w:r>
      <w:r w:rsidR="00603067" w:rsidRPr="004A4B3A">
        <w:t xml:space="preserve"> measurements on the sickle cells (Figure </w:t>
      </w:r>
      <w:r w:rsidR="00607B6B">
        <w:t>3</w:t>
      </w:r>
      <w:r w:rsidR="00E37A6D" w:rsidRPr="004A4B3A">
        <w:t>a</w:t>
      </w:r>
      <w:r w:rsidR="00603067" w:rsidRPr="004A4B3A">
        <w:t xml:space="preserve">) showed an increase in membrane roughness for </w:t>
      </w:r>
      <w:r w:rsidR="00A36845" w:rsidRPr="004A4B3A">
        <w:t xml:space="preserve">these </w:t>
      </w:r>
      <w:r w:rsidR="00603067" w:rsidRPr="004A4B3A">
        <w:t>sickled cells compared to those in the oxygenated state</w:t>
      </w:r>
      <w:r w:rsidR="00797108" w:rsidRPr="004A4B3A">
        <w:t>, consistent with polymer formation</w:t>
      </w:r>
      <w:r w:rsidR="00336DFF" w:rsidRPr="004A4B3A">
        <w:t xml:space="preserve"> and Hb aggregation</w:t>
      </w:r>
      <w:r w:rsidR="00603067" w:rsidRPr="004A4B3A">
        <w:t>.</w:t>
      </w:r>
      <w:r w:rsidR="00B75A6B" w:rsidRPr="004A4B3A">
        <w:fldChar w:fldCharType="begin" w:fldLock="1"/>
      </w:r>
      <w:r w:rsidR="00D37D3A">
        <w:instrText>ADDIN CSL_CITATION {"citationItems":[{"id":"ITEM-1","itemData":{"DOI":"10.1038/s41598-017-08255-9","ISSN":"20452322","abstract":"Transfusion of packed red blood cells (PRBC) to patients in critical states is often accompanied by post-transfusion complications. This may be related with disturbance of properties of PRBC and their membranes during long-term storage in the hemopreservative solution. The purpose of our work is the study of transformation of morphology, membranes stiffness and nanostructure for assessment of PRBC quality, in vitro. By atomic force microscopy we studied the transformation of cell morphology, the appearance of topological nanodefects of membranes and by atomic force spectroscopy studied the change of membrane stiffness during 40 days of storage of PRBC. It was shown that there is a transition period (20–26 days), in which we observed an increase in the Young’s modulus of the membranes 1.6–2 times and transition of cells into irreversible forms. This process was preceded by the appearance of topological nanodefects of membranes. These parameters can be used for quality assessment of PRBC and for improvement of transfusion rules.","author":[{"dropping-particle":"","family":"Kozlova","given":"E.","non-dropping-particle":"","parse-names":false,"suffix":""},{"dropping-particle":"","family":"Chernysh","given":"A.","non-dropping-particle":"","parse-names":false,"suffix":""},{"dropping-particle":"","family":"Moroz","given":"V.","non-dropping-particle":"","parse-names":false,"suffix":""},{"dropping-particle":"","family":"Sergunova","given":"V.","non-dropping-particle":"","parse-names":false,"suffix":""},{"dropping-particle":"","family":"Gudkova","given":"O.","non-dropping-particle":"","parse-names":false,"suffix":""},{"dropping-particle":"","family":"Manchenko","given":"E.","non-dropping-particle":"","parse-names":false,"suffix":""}],"container-title":"Scientific Reports","id":"ITEM-1","issue":"1","issued":{"date-parts":[["2017"]]},"title":"Morphology, membrane nanostructure and stiffness for quality assessment of packed red blood cells","type":"article-journal","volume":"7"},"uris":["http://www.mendeley.com/documents/?uuid=2655bdf5-07de-4f7a-bc6f-dc89267fe982"]},{"id":"ITEM-2","itemData":{"DOI":"10.1529/biophysj.104.039743","ISSN":"00063495","abstract":"Crystallization of the mutated hemoglobin, HbC, which occurs inside red blood cells of patients expressing betaC-globin and exhibiting the homozygous CC and the heterozygous SC (in which two mutant beta-globins, S and C, are expressed) diseases, is a convenient model for processes underlying numerous condensation diseases. As a first step, we investigated the molecular-level mechanisms of crystallization of this protein from high-concentration phosphate buffer in its stable carbomonoxy form using high-resolution atomic force microscopy. We found that in conditions of equilibrium with the solution, the crystals' surface reconstructs into four-molecule-wide strands along the crystallographic a (or b) axis. However, the crystals do not grow by the alignment of such preformed strands. We found that the crystals grow by the attachment of single molecules to suitable sites on the surface. These sites are located along the edges of new layers generated by two-dimensional nucleation or by screw dislocations. During growth, the steps propagate with random velocities, with the mean being an increasing function of the crystallization driving force. These results show that the crystallization mechanisms of HbC are similar to those found for other proteins. Therefore, strategies developed to control protein crystallization in vitro may be applicable to pathology-related crystallization systems. Copyright 2004 Biophysical Society","author":[{"dropping-particle":"","family":"Feeling-Taylor","given":"Angela R.","non-dropping-particle":"","parse-names":false,"suffix":""},{"dropping-particle":"","family":"Yau","given":"S. T.","non-dropping-particle":"","parse-names":false,"suffix":""},{"dropping-particle":"","family":"Petsev","given":"Dimiter N.","non-dropping-particle":"","parse-names":false,"suffix":""},{"dropping-particle":"","family":"Nagel","given":"Ronald L.","non-dropping-particle":"","parse-names":false,"suffix":""},{"dropping-particle":"","family":"Hirsch","given":"Rhoda Elison","non-dropping-particle":"","parse-names":false,"suffix":""},{"dropping-particle":"","family":"Vekilov","given":"Peter G.","non-dropping-particle":"","parse-names":false,"suffix":""}],"container-title":"Biophysical journal","id":"ITEM-2","issue":"4","issued":{"date-parts":[["2004"]]},"page":"2621-2629","title":"Crystallization mechanisms of hemoglobin C in the R state.","type":"article-journal","volume":"87"},"uris":["http://www.mendeley.com/documents/?uuid=b8e52672-c1ec-4372-a7ec-e7c38c2392fb"]},{"id":"ITEM-3","itemData":{"DOI":"10.1016/j.bbamem.2007.01.014","ISSN":"00052736","abstract":"A novel approach to the study of RBCs based on the collection of three-dimensional high-resolution AFM images and on the measure of the surface roughness of their plasma membrane is presented. The dependence of the roughness from several parameters of the imaging was investigated and a general rule for a trustful analysis and comparison has been suggested. The roughness of RBCs is a morphology-related parameter which has been shown to be characteristic of the single cells composing a sample, but independent of the overall geometric shape (discocyte or spherocyte) of the erythrocytes, thus providing extra-information with respect to a conventional morphology study. The use of the average roughness value as a label of a whole sample was tested on different kinds of samples. Analyzed data revealed that the quantitative roughness value does not change after treatment of RBCs with various commonly used fixation and staining methods while a drastic decrease occurs when studying cells with membrane-skeletal alteration both naturally occurring or artificially induced by chemical treatments. The present method provides a quantitative and powerful tool for a novel approach to the study of erythrocytes structure through an ultrastructural morphological analysis with the potential to give information, in a non-invasive way, on the RBCs function. © 2007 Elsevier B.V. All rights reserved.","author":[{"dropping-particle":"","family":"Girasole","given":"M.","non-dropping-particle":"","parse-names":false,"suffix":""},{"dropping-particle":"","family":"Pompeo","given":"G.","non-dropping-particle":"","parse-names":false,"suffix":""},{"dropping-particle":"","family":"Cricenti","given":"A.","non-dropping-particle":"","parse-names":false,"suffix":""},{"dropping-particle":"","family":"Congiu-Castellano","given":"A.","non-dropping-particle":"","parse-names":false,"suffix":""},{"dropping-particle":"","family":"Andreola","given":"F.","non-dropping-particle":"","parse-names":false,"suffix":""},{"dropping-particle":"","family":"Serafino","given":"A.","non-dropping-particle":"","parse-names":false,"suffix":""},{"dropping-particle":"","family":"Frazer","given":"B. H.","non-dropping-particle":"","parse-names":false,"suffix":""},{"dropping-particle":"","family":"Boumis","given":"G.","non-dropping-particle":"","parse-names":false,"suffix":""},{"dropping-particle":"","family":"Amiconi","given":"G.","non-dropping-particle":"","parse-names":false,"suffix":""}],"container-title":"Biochimica et Biophysica Acta - Biomembranes","id":"ITEM-3","issue":"5","issued":{"date-parts":[["2007"]]},"page":"1268-1276","title":"Roughness of the plasma membrane as an independent morphological parameter to study RBCs: A quantitative atomic force microscopy investigation","type":"article-journal","volume":"1768"},"uris":["http://www.mendeley.com/documents/?uuid=6dd4d8a5-8c8e-4be9-9669-91df2a3094c4"]},{"id":"ITEM-4","itemData":{"DOI":"10.1063/1.4895755","ISSN":"19321058","abstract":"Red blood cells (RBCs) possess a unique capacity for undergoing cellular deformation to navigate across various human microcirculation vessels, enabling them to pass through capillaries that are smaller than their diameter and to carry out their role as gas carriers between blood and tissues. Since there is growing evidence that red blood cell deformability is impaired in some pathological conditions, measurement of RBC deformability has been the focus of numerous studies over the past decades. Nevertheless, reports on healthy and pathological RBCs are currently limited and, in many cases, are not expressed in terms of well-defined cell membrane parameters such as elasticity and viscosity. Hence, it is often difficult to integrate these results into the basic understanding of RBC behaviour, as well as into clinical applications. The aim of this review is to summarize currently available reports on RBC deformability and to highlight its association with various human diseases such as hereditary disorders (e.g., spherocytosis, elliptocytosis, ovalocytosis, and stomatocytosis), metabolic disorders (e.g., diabetes, hypercholesterolemia, obesity), adenosine triphosphate-induced membrane changes, oxidative stress, and paroxysmal nocturnal hemoglobinuria. Microfluidic techniques have been identified as the key to develop state-of-the-art dynamic experimental models for elucidating the significance of RBC membrane alterations in pathological conditions and the role that such alterations play in the microvasculature flow dynamics.","author":[{"dropping-particle":"","family":"Tomaiuolo","given":"Giovanna","non-dropping-particle":"","parse-names":false,"suffix":""}],"container-title":"Biomicrofluidics","id":"ITEM-4","issue":"5","issued":{"date-parts":[["2014"]]},"title":"Biomechanical properties of red blood cells in health and disease towards microfluidics","type":"article-journal","volume":"8"},"uris":["http://www.mendeley.com/documents/?uuid=f55aa34c-87c3-409b-9a1f-55ad2cd15d2c"]}],"mendeley":{"formattedCitation":"&lt;sup&gt;29–32&lt;/sup&gt;","plainTextFormattedCitation":"29–32","previouslyFormattedCitation":"&lt;sup&gt;31–34&lt;/sup&gt;"},"properties":{"noteIndex":0},"schema":"https://github.com/citation-style-language/schema/raw/master/csl-citation.json"}</w:instrText>
      </w:r>
      <w:r w:rsidR="00B75A6B" w:rsidRPr="004A4B3A">
        <w:fldChar w:fldCharType="separate"/>
      </w:r>
      <w:r w:rsidR="00D37D3A" w:rsidRPr="00D37D3A">
        <w:rPr>
          <w:noProof/>
          <w:vertAlign w:val="superscript"/>
        </w:rPr>
        <w:t>29–32</w:t>
      </w:r>
      <w:r w:rsidR="00B75A6B" w:rsidRPr="004A4B3A">
        <w:fldChar w:fldCharType="end"/>
      </w:r>
    </w:p>
    <w:p w14:paraId="5A8B2DC2" w14:textId="47526324" w:rsidR="00603067" w:rsidRPr="00337148" w:rsidRDefault="00603067" w:rsidP="00603067"/>
    <w:p w14:paraId="3EB249D9" w14:textId="77777777" w:rsidR="00B04486" w:rsidRPr="00337148" w:rsidRDefault="00B04486" w:rsidP="00603067"/>
    <w:p w14:paraId="28676037" w14:textId="0C1D0DF0" w:rsidR="00603067" w:rsidRPr="00337148" w:rsidRDefault="00603067" w:rsidP="00057225">
      <w:pPr>
        <w:pStyle w:val="ListParagraph"/>
        <w:numPr>
          <w:ilvl w:val="1"/>
          <w:numId w:val="7"/>
        </w:numPr>
      </w:pPr>
      <w:r w:rsidRPr="00057225">
        <w:rPr>
          <w:i/>
        </w:rPr>
        <w:t xml:space="preserve">Infrared </w:t>
      </w:r>
      <w:r w:rsidR="007C0EE3" w:rsidRPr="00057225">
        <w:rPr>
          <w:i/>
        </w:rPr>
        <w:t>and Friction I</w:t>
      </w:r>
      <w:r w:rsidRPr="00057225">
        <w:rPr>
          <w:i/>
        </w:rPr>
        <w:t>maging</w:t>
      </w:r>
    </w:p>
    <w:p w14:paraId="741D843C" w14:textId="77777777" w:rsidR="006755BE" w:rsidRPr="00337148" w:rsidRDefault="006755BE" w:rsidP="006755BE">
      <w:pPr>
        <w:pStyle w:val="ListParagraph"/>
        <w:ind w:left="1080"/>
      </w:pPr>
    </w:p>
    <w:p w14:paraId="03C0B9AB" w14:textId="77A85819" w:rsidR="00A42F57" w:rsidRPr="004A4B3A" w:rsidRDefault="00AE2B05" w:rsidP="00603067">
      <w:r w:rsidRPr="004A4B3A">
        <w:t>RBCs from SCD patients, under</w:t>
      </w:r>
      <w:r w:rsidR="00035012" w:rsidRPr="004A4B3A">
        <w:t xml:space="preserve"> </w:t>
      </w:r>
      <w:r w:rsidR="005A19FB" w:rsidRPr="004A4B3A">
        <w:t xml:space="preserve">both oxygenated and deoxygenated </w:t>
      </w:r>
      <w:r w:rsidRPr="004A4B3A">
        <w:t>conditions</w:t>
      </w:r>
      <w:r w:rsidR="00035012" w:rsidRPr="004A4B3A">
        <w:t xml:space="preserve">, </w:t>
      </w:r>
      <w:r w:rsidR="00603067" w:rsidRPr="004A4B3A">
        <w:t>showed close correlation</w:t>
      </w:r>
      <w:r w:rsidR="0022727D">
        <w:t>,</w:t>
      </w:r>
      <w:r w:rsidR="00603067" w:rsidRPr="004A4B3A">
        <w:t xml:space="preserve"> </w:t>
      </w:r>
      <w:r w:rsidR="0022727D">
        <w:t xml:space="preserve">when taken concurrently, </w:t>
      </w:r>
      <w:r w:rsidR="00603067" w:rsidRPr="004A4B3A">
        <w:t xml:space="preserve">between regions of </w:t>
      </w:r>
      <w:r w:rsidR="00E2265F" w:rsidRPr="004A4B3A">
        <w:t xml:space="preserve">increased friction and of </w:t>
      </w:r>
      <w:r w:rsidR="00603067" w:rsidRPr="004A4B3A">
        <w:t xml:space="preserve">greater IR intensity </w:t>
      </w:r>
      <w:r w:rsidR="00B55702" w:rsidRPr="004A4B3A">
        <w:t xml:space="preserve">at </w:t>
      </w:r>
      <w:r w:rsidR="008A58BF" w:rsidRPr="004A4B3A">
        <w:t>1165 cm</w:t>
      </w:r>
      <w:r w:rsidR="008A58BF" w:rsidRPr="004A4B3A">
        <w:rPr>
          <w:vertAlign w:val="superscript"/>
        </w:rPr>
        <w:t>-1</w:t>
      </w:r>
      <w:r w:rsidR="008A58BF" w:rsidRPr="004A4B3A">
        <w:t xml:space="preserve"> (Figure </w:t>
      </w:r>
      <w:r w:rsidR="00607B6B">
        <w:t>3</w:t>
      </w:r>
      <w:r w:rsidR="008A58BF" w:rsidRPr="004A4B3A">
        <w:t xml:space="preserve">b and </w:t>
      </w:r>
      <w:r w:rsidR="00607B6B">
        <w:t>3</w:t>
      </w:r>
      <w:r w:rsidR="008A58BF" w:rsidRPr="004A4B3A">
        <w:t>d).</w:t>
      </w:r>
      <w:r w:rsidR="00D15E8D" w:rsidRPr="004A4B3A">
        <w:t xml:space="preserve"> These regions were also subsequently correlated with increased adhesion through detachment force measurements.</w:t>
      </w:r>
      <w:r w:rsidR="008A58BF" w:rsidRPr="004A4B3A">
        <w:t xml:space="preserve">  Spectra averaged over multiple regions and across several cells confirmed</w:t>
      </w:r>
      <w:r w:rsidR="00EF7C95" w:rsidRPr="004A4B3A">
        <w:t xml:space="preserve"> this</w:t>
      </w:r>
      <w:r w:rsidR="008A58BF" w:rsidRPr="004A4B3A">
        <w:t xml:space="preserve"> increase in the 1165 cm</w:t>
      </w:r>
      <w:r w:rsidR="008A58BF" w:rsidRPr="004A4B3A">
        <w:rPr>
          <w:vertAlign w:val="superscript"/>
        </w:rPr>
        <w:t>-1</w:t>
      </w:r>
      <w:r w:rsidR="008A58BF" w:rsidRPr="004A4B3A">
        <w:t xml:space="preserve"> band </w:t>
      </w:r>
      <w:r w:rsidR="009E353C" w:rsidRPr="004A4B3A">
        <w:t>intensity</w:t>
      </w:r>
      <w:r w:rsidR="00D15E8D" w:rsidRPr="004A4B3A">
        <w:t xml:space="preserve"> for deoxygenated cells </w:t>
      </w:r>
      <w:r w:rsidR="004A4B3A" w:rsidRPr="004A4B3A">
        <w:t>(</w:t>
      </w:r>
      <w:r w:rsidR="008A58BF" w:rsidRPr="004A4B3A">
        <w:t xml:space="preserve">Figure </w:t>
      </w:r>
      <w:r w:rsidR="00607B6B">
        <w:t>3</w:t>
      </w:r>
      <w:r w:rsidR="008A58BF" w:rsidRPr="004A4B3A">
        <w:t xml:space="preserve">c). </w:t>
      </w:r>
      <w:r w:rsidR="00D215EF" w:rsidRPr="004A4B3A">
        <w:t xml:space="preserve"> </w:t>
      </w:r>
      <w:r w:rsidR="008A58BF" w:rsidRPr="004A4B3A">
        <w:t>The 1165 cm</w:t>
      </w:r>
      <w:r w:rsidR="008A58BF" w:rsidRPr="004A4B3A">
        <w:rPr>
          <w:vertAlign w:val="superscript"/>
        </w:rPr>
        <w:t>-1</w:t>
      </w:r>
      <w:r w:rsidR="00D215EF" w:rsidRPr="004A4B3A">
        <w:t xml:space="preserve"> band is</w:t>
      </w:r>
      <w:r w:rsidR="008A58BF" w:rsidRPr="004A4B3A">
        <w:t xml:space="preserve"> attributed to C-O moieties, </w:t>
      </w:r>
      <w:r w:rsidR="00D215EF" w:rsidRPr="004A4B3A">
        <w:t>i</w:t>
      </w:r>
      <w:r w:rsidR="00636756" w:rsidRPr="004A4B3A">
        <w:t>.</w:t>
      </w:r>
      <w:r w:rsidR="00D215EF" w:rsidRPr="004A4B3A">
        <w:t>e</w:t>
      </w:r>
      <w:r w:rsidR="00636756" w:rsidRPr="004A4B3A">
        <w:t>.</w:t>
      </w:r>
      <w:r w:rsidR="00D215EF" w:rsidRPr="004A4B3A">
        <w:t xml:space="preserve"> </w:t>
      </w:r>
      <w:r w:rsidR="00EB7144" w:rsidRPr="004A4B3A">
        <w:t xml:space="preserve">it is </w:t>
      </w:r>
      <w:r w:rsidR="008A58BF" w:rsidRPr="004A4B3A">
        <w:t>a marker for addition of oxygen to the membrane and thus for oxidative stress.</w:t>
      </w:r>
      <w:r w:rsidR="00AB6DD5" w:rsidRPr="004A4B3A">
        <w:fldChar w:fldCharType="begin" w:fldLock="1"/>
      </w:r>
      <w:r w:rsidR="00D37D3A">
        <w:instrText>ADDIN CSL_CITATION {"citationItems":[{"id":"ITEM-1","itemData":{"DOI":"10.1155/2019/2181370","ISSN":"23146141","abstract":"Introduction. Oxidative stress is a state of imbalance between the production of reactive oxygen species and antioxidant defenses. It results in the oxidation of all cellular elements and, to a large extent, proteins, causing inter alia the formation of carbonyl groups in their structures. The study focused on assessment of changes in the plasma protein-bound carbonyls in police horses after combat training and after rest and the applicability of infrared spectroscopy with a Fourier transform, utilizing the attenuated total reflectance (FTIR-ATR) in detecting plasma protein oxidation. Methods. We evaluated the influence of both the different concentrations of hydrogen peroxide and combat training on protein carbonylation in horse blood plasma. The oxidation of plasma proteins was assessed using a spectrophotometric method based on the carbonyl groups derivatization with 2,4-dinitrophenylhydrazine (DNPH). The measured values were correlated with the carbonyl groups concentrations determined by means of the FTIR-ATR method. Results. The linear correlation between the DNPH and FTIR-ATR methods was shown. The concentration of plasma protein-bound carbonyls significantly deceased in police horses after one-day rest when compared to the values measured directly after the combat training (a drop by 23%, p&lt;0.05 and 29%, p&lt;0.01 measured by DNPH and FTIR-ATR methods, respectively). These results were consistent with the proteins phosphorylation analysis. Conclusion. The FTIR-ATR method may be applied to measure the level of plasma proteins peroxidation.","author":[{"dropping-particle":"","family":"Bujok","given":"Jolanta","non-dropping-particle":"","parse-names":false,"suffix":""},{"dropping-particle":"","family":"Gąsior-Głogowska","given":"Marlena","non-dropping-particle":"","parse-names":false,"suffix":""},{"dropping-particle":"","family":"Marszałek","given":"Michał","non-dropping-particle":"","parse-names":false,"suffix":""},{"dropping-particle":"","family":"Trochanowska-Pauk","given":"Natalia","non-dropping-particle":"","parse-names":false,"suffix":""},{"dropping-particle":"","family":"Zigo","given":"František","non-dropping-particle":"","parse-names":false,"suffix":""},{"dropping-particle":"","family":"Pavľak","given":"Alexander","non-dropping-particle":"","parse-names":false,"suffix":""},{"dropping-particle":"","family":"Komorowska","given":"Małgorzata","non-dropping-particle":"","parse-names":false,"suffix":""},{"dropping-particle":"","family":"Walski","given":"Tomasz","non-dropping-particle":"","parse-names":false,"suffix":""}],"container-title":"BioMed Research International","id":"ITEM-1","issued":{"date-parts":[["2019"]]},"title":"Applicability of FTIR-ATR method to measure carbonyls in blood plasma after physical and mental stress","type":"article-journal","volume":"2019"},"uris":["http://www.mendeley.com/documents/?uuid=82f2e8bb-0572-4518-92a2-6efefbd52725"]},{"id":"ITEM-2","itemData":{"DOI":"10.1039/b408931f","ISSN":"00032654","abstract":"This study was designed to evaluate changes in erythrocyte contents during endurance moderate intensity exercise, a model of physiological oxidative stress. 16 endurance-trained subjects cycled 2 h at 55% of maximal aerobic capacity and blood was collected every 15 min. Transmission FT-IR spectrometry was used to analyze separately plasma and erythrocyte content changes during oxidative stress. Erythrocyte FT-IR spectra were corrected for hemoconcentration (Hc) before spectral areas integration of main IR absorbances belonging to phospholipids [νas(CH3), νas(CH 2), and ν(P=O)], proteins [v(C=O) and δ(N-H)], and lactate [ν(C-O)] were used to determine erythrocyte content changes. Changes in νas(CH2) and v(P=O) absorbances while νas(CH3) remained stable showed the magnitude of free radical attacks on phospholipids bilayer. Decrease in v(C=O) and δ(N-H) absorbances while plasma and intracellular lactate, 02 consumption, and Hc rose were linked to hemoglobin, and possibly spectrin, denaturation. Finally, the synergistic changes found between physiological, plasmatic and erythrocyte parameters showed that FT-IR spectrometry was a sufficiently accurate and sensitive method to determine acute changes in erythrocytes during moderate, physiological, oxidative stress.","author":[{"dropping-particle":"","family":"Petibois","given":"Cyril","non-dropping-particle":"","parse-names":false,"suffix":""},{"dropping-particle":"","family":"Déléris","given":"Gérard","non-dropping-particle":"","parse-names":false,"suffix":""}],"container-title":"Analyst","id":"ITEM-2","issue":"10","issued":{"date-parts":[["2004"]]},"page":"912-916","title":"Oxidative stress effects on erythrocytes determined by FT-IR spectrometry","type":"article-journal","volume":"129"},"uris":["http://www.mendeley.com/documents/?uuid=543a886e-fbbc-41a5-955a-51826b8f3888"]}],"mendeley":{"formattedCitation":"&lt;sup&gt;3,26&lt;/sup&gt;","plainTextFormattedCitation":"3,26","previouslyFormattedCitation":"&lt;sup&gt;3,28&lt;/sup&gt;"},"properties":{"noteIndex":0},"schema":"https://github.com/citation-style-language/schema/raw/master/csl-citation.json"}</w:instrText>
      </w:r>
      <w:r w:rsidR="00AB6DD5" w:rsidRPr="004A4B3A">
        <w:fldChar w:fldCharType="separate"/>
      </w:r>
      <w:r w:rsidR="00D37D3A" w:rsidRPr="00D37D3A">
        <w:rPr>
          <w:noProof/>
          <w:vertAlign w:val="superscript"/>
        </w:rPr>
        <w:t>3,26</w:t>
      </w:r>
      <w:r w:rsidR="00AB6DD5" w:rsidRPr="004A4B3A">
        <w:fldChar w:fldCharType="end"/>
      </w:r>
      <w:r w:rsidR="008A58BF" w:rsidRPr="004A4B3A">
        <w:t xml:space="preserve">  </w:t>
      </w:r>
      <w:r w:rsidR="00D215EF" w:rsidRPr="004A4B3A">
        <w:t>These findings</w:t>
      </w:r>
      <w:r w:rsidR="00B728E9" w:rsidRPr="004A4B3A">
        <w:t xml:space="preserve"> </w:t>
      </w:r>
      <w:r w:rsidR="009E353C" w:rsidRPr="004A4B3A">
        <w:t>are</w:t>
      </w:r>
      <w:r w:rsidR="00B728E9" w:rsidRPr="004A4B3A">
        <w:t xml:space="preserve"> consistent with a rise in friction</w:t>
      </w:r>
      <w:r w:rsidR="00D15E8D" w:rsidRPr="004A4B3A">
        <w:t xml:space="preserve"> and adhesion</w:t>
      </w:r>
      <w:r w:rsidR="00B728E9" w:rsidRPr="004A4B3A">
        <w:t xml:space="preserve"> occurring concomitantly with greater oxidative stress</w:t>
      </w:r>
      <w:r w:rsidR="00603067" w:rsidRPr="004A4B3A">
        <w:t>.</w:t>
      </w:r>
      <w:r w:rsidR="00A15A6B" w:rsidRPr="004A4B3A">
        <w:t xml:space="preserve"> </w:t>
      </w:r>
      <w:r w:rsidR="00603067" w:rsidRPr="004A4B3A">
        <w:t xml:space="preserve"> </w:t>
      </w:r>
      <w:r w:rsidR="00B728E9" w:rsidRPr="004A4B3A">
        <w:t>T</w:t>
      </w:r>
      <w:r w:rsidR="00BD5356" w:rsidRPr="004A4B3A">
        <w:t xml:space="preserve">he relative increase in friction (as well as adhesion) for a </w:t>
      </w:r>
      <w:r w:rsidR="009E353C" w:rsidRPr="004A4B3A">
        <w:t>specific</w:t>
      </w:r>
      <w:r w:rsidR="00BD5356" w:rsidRPr="004A4B3A">
        <w:t xml:space="preserve"> increase in </w:t>
      </w:r>
      <w:r w:rsidR="009E353C" w:rsidRPr="004A4B3A">
        <w:t xml:space="preserve">concentration of </w:t>
      </w:r>
      <w:r w:rsidR="00BD5356" w:rsidRPr="004A4B3A">
        <w:t xml:space="preserve">C-O moieties </w:t>
      </w:r>
      <w:r w:rsidR="00E4610A" w:rsidRPr="004A4B3A">
        <w:t>was</w:t>
      </w:r>
      <w:r w:rsidR="00BD5356" w:rsidRPr="004A4B3A">
        <w:t xml:space="preserve"> significantly greater</w:t>
      </w:r>
      <w:r w:rsidR="00B728E9" w:rsidRPr="004A4B3A">
        <w:t>, however,</w:t>
      </w:r>
      <w:r w:rsidR="00BD5356" w:rsidRPr="004A4B3A">
        <w:t xml:space="preserve"> for deoxygenated cells (comparing Figure </w:t>
      </w:r>
      <w:r w:rsidR="00607B6B">
        <w:t>3</w:t>
      </w:r>
      <w:r w:rsidR="00BD5356" w:rsidRPr="004A4B3A">
        <w:t xml:space="preserve">d with </w:t>
      </w:r>
      <w:r w:rsidR="00607B6B">
        <w:t>3</w:t>
      </w:r>
      <w:r w:rsidR="00BD5356" w:rsidRPr="004A4B3A">
        <w:t xml:space="preserve">b and </w:t>
      </w:r>
      <w:r w:rsidR="00607B6B">
        <w:t>3</w:t>
      </w:r>
      <w:r w:rsidR="00BD5356" w:rsidRPr="004A4B3A">
        <w:t>e)</w:t>
      </w:r>
      <w:r w:rsidR="006649FF" w:rsidRPr="004A4B3A">
        <w:t xml:space="preserve">, </w:t>
      </w:r>
      <w:r w:rsidR="00235AF1" w:rsidRPr="004A4B3A">
        <w:t>meaning</w:t>
      </w:r>
      <w:r w:rsidR="003A5F84" w:rsidRPr="004A4B3A">
        <w:t xml:space="preserve"> </w:t>
      </w:r>
      <w:r w:rsidR="00B55702" w:rsidRPr="004A4B3A">
        <w:t>significantly greater membrane disruption under hypoxic conditions, but also that the increase in friction, in part, arises from sources other than C-O moieties at the surface</w:t>
      </w:r>
      <w:r w:rsidR="00BD5356" w:rsidRPr="004A4B3A">
        <w:t xml:space="preserve">. </w:t>
      </w:r>
      <w:r w:rsidR="00C30C48" w:rsidRPr="004A4B3A">
        <w:t xml:space="preserve"> When deoxygenated, </w:t>
      </w:r>
      <w:r w:rsidR="003D2D91" w:rsidRPr="004A4B3A">
        <w:t>RBC</w:t>
      </w:r>
      <w:r w:rsidR="00C30C48" w:rsidRPr="004A4B3A">
        <w:t xml:space="preserve"> metabolism </w:t>
      </w:r>
      <w:r w:rsidR="00F40911" w:rsidRPr="004A4B3A">
        <w:t xml:space="preserve">is </w:t>
      </w:r>
      <w:r w:rsidR="00C30C48" w:rsidRPr="004A4B3A">
        <w:t>switche</w:t>
      </w:r>
      <w:r w:rsidR="00F40911" w:rsidRPr="004A4B3A">
        <w:t>d</w:t>
      </w:r>
      <w:r w:rsidR="00C30C48" w:rsidRPr="004A4B3A">
        <w:t xml:space="preserve"> s</w:t>
      </w:r>
      <w:r w:rsidR="00F44869" w:rsidRPr="004A4B3A">
        <w:t>uch</w:t>
      </w:r>
      <w:r w:rsidR="00C30C48" w:rsidRPr="004A4B3A">
        <w:t xml:space="preserve"> that glucose passes</w:t>
      </w:r>
      <w:r w:rsidR="00E55BBE" w:rsidRPr="004A4B3A">
        <w:t xml:space="preserve"> preferentially</w:t>
      </w:r>
      <w:r w:rsidR="00C30C48" w:rsidRPr="004A4B3A">
        <w:t xml:space="preserve"> </w:t>
      </w:r>
      <w:r w:rsidR="00F44869" w:rsidRPr="004A4B3A">
        <w:t xml:space="preserve">along </w:t>
      </w:r>
      <w:r w:rsidR="00C30C48" w:rsidRPr="004A4B3A">
        <w:t>the normal glycolytic</w:t>
      </w:r>
      <w:r w:rsidR="00056F99" w:rsidRPr="004A4B3A">
        <w:t xml:space="preserve"> (Embden-Meyerhof)</w:t>
      </w:r>
      <w:r w:rsidR="00C30C48" w:rsidRPr="004A4B3A">
        <w:t xml:space="preserve"> pathway and </w:t>
      </w:r>
      <w:r w:rsidR="00E55BBE" w:rsidRPr="004A4B3A">
        <w:t xml:space="preserve">away from </w:t>
      </w:r>
      <w:r w:rsidR="00C30C48" w:rsidRPr="004A4B3A">
        <w:t xml:space="preserve">the pentose-phosphate </w:t>
      </w:r>
      <w:r w:rsidR="00056F99" w:rsidRPr="004A4B3A">
        <w:t>pathway (or hexose monophosphate shunt)</w:t>
      </w:r>
      <w:r w:rsidR="00C30C48" w:rsidRPr="004A4B3A">
        <w:t xml:space="preserve"> with concomitant reduction in synthesis of NADPH, a major antioxidant defence of red cells</w:t>
      </w:r>
      <w:r w:rsidR="00F44869" w:rsidRPr="004A4B3A">
        <w:t>.</w:t>
      </w:r>
      <w:r w:rsidR="00B3268F" w:rsidRPr="004A4B3A">
        <w:fldChar w:fldCharType="begin" w:fldLock="1"/>
      </w:r>
      <w:r w:rsidR="00D37D3A">
        <w:instrText>ADDIN CSL_CITATION {"citationItems":[{"id":"ITEM-1","itemData":{"ISSN":"00219258","PMID":"1705546","abstract":"Previous studies demonstrated that the in vitro tyrosine phosphorylation of the human erythrocyte anion transporter, band 3, prevented the binding of various glycolytic enzymes to the N terminus of the cytoplasmic tail. Since these enzymes are inhibited in their bound state, the functional consequences of band 3 tyrosine phosphorylation in the red cell should be to activate the enzymes and elevate glycolysis. We searched for various enhancers of band 3 tyrosine phosphorylation using a novel assay designed to measure the phosphotyrosine levels at the band 3 tyrosine phosphorylation/glycolytic enzyme-binding site. This assay measures the extent of phosphorylation of a synthetic band 3 peptide entrapped within resealed red cells. Using this assay, three distinct compounds, all mild oxidants, were found to stimulate the tyrosine phosphorylation of band 3. All three compounds were also found to elevate glycolytic rates in intact erythrocytes. Moreover, the antitumor drug adriamycin was found to coordinately prevent these agents from stimulating both band 3 tyrosine phosphorylation and erythrocyte glycolysis. These results suggest a possible function for a protein tyrosine kinase in human erythrocytes, to regulate glycolysis through the tyrosine phosphorylation of band 3.","author":[{"dropping-particle":"","family":"Harrison","given":"M. L.","non-dropping-particle":"","parse-names":false,"suffix":""},{"dropping-particle":"","family":"Rathinavelu","given":"P.","non-dropping-particle":"","parse-names":false,"suffix":""},{"dropping-particle":"","family":"Arese","given":"P.","non-dropping-particle":"","parse-names":false,"suffix":""},{"dropping-particle":"","family":"Geahlen","given":"R. L.","non-dropping-particle":"","parse-names":false,"suffix":""},{"dropping-particle":"","family":"Low","given":"P. S.","non-dropping-particle":"","parse-names":false,"suffix":""}],"container-title":"Journal of Biological Chemistry","id":"ITEM-1","issue":"7","issued":{"date-parts":[["1991"]]},"page":"4106-4111","title":"Role of band 3 tyrosine phosphorylation in the regulation of erythrocyte glycolysis","type":"article-journal","volume":"266"},"uris":["http://www.mendeley.com/documents/?uuid=e09acf7e-35f6-415c-8624-9bcf19903aa7"]}],"mendeley":{"formattedCitation":"&lt;sup&gt;33&lt;/sup&gt;","plainTextFormattedCitation":"33","previouslyFormattedCitation":"&lt;sup&gt;35&lt;/sup&gt;"},"properties":{"noteIndex":0},"schema":"https://github.com/citation-style-language/schema/raw/master/csl-citation.json"}</w:instrText>
      </w:r>
      <w:r w:rsidR="00B3268F" w:rsidRPr="004A4B3A">
        <w:fldChar w:fldCharType="separate"/>
      </w:r>
      <w:r w:rsidR="00D37D3A" w:rsidRPr="00D37D3A">
        <w:rPr>
          <w:noProof/>
          <w:vertAlign w:val="superscript"/>
        </w:rPr>
        <w:t>33</w:t>
      </w:r>
      <w:r w:rsidR="00B3268F" w:rsidRPr="004A4B3A">
        <w:fldChar w:fldCharType="end"/>
      </w:r>
      <w:r w:rsidR="00F44869" w:rsidRPr="004A4B3A">
        <w:t xml:space="preserve">  A fall in NADPH levels would provide </w:t>
      </w:r>
      <w:r w:rsidR="00C30C48" w:rsidRPr="004A4B3A">
        <w:t xml:space="preserve">a </w:t>
      </w:r>
      <w:r w:rsidR="0022727D">
        <w:t>logical</w:t>
      </w:r>
      <w:r w:rsidR="009E353C" w:rsidRPr="004A4B3A">
        <w:t xml:space="preserve"> </w:t>
      </w:r>
      <w:r w:rsidR="00C30C48" w:rsidRPr="004A4B3A">
        <w:t xml:space="preserve">mechanism </w:t>
      </w:r>
      <w:r w:rsidR="009E353C" w:rsidRPr="004A4B3A">
        <w:t xml:space="preserve">to explain these </w:t>
      </w:r>
      <w:r w:rsidR="00757DEB" w:rsidRPr="004A4B3A">
        <w:t>observations</w:t>
      </w:r>
      <w:r w:rsidR="00B55702" w:rsidRPr="004A4B3A">
        <w:t xml:space="preserve"> of greater oxidative action for cells in the deoxygenated state.</w:t>
      </w:r>
    </w:p>
    <w:p w14:paraId="11C92350" w14:textId="221C95B6" w:rsidR="00A42F57" w:rsidRPr="00337148" w:rsidRDefault="00A42F57" w:rsidP="00603067"/>
    <w:p w14:paraId="3DA83E69" w14:textId="77777777" w:rsidR="00B04486" w:rsidRPr="00337148" w:rsidRDefault="00B04486" w:rsidP="00603067"/>
    <w:p w14:paraId="51547068" w14:textId="20165EBE" w:rsidR="00603067" w:rsidRPr="00057225" w:rsidRDefault="00603067" w:rsidP="00057225">
      <w:pPr>
        <w:pStyle w:val="ListParagraph"/>
        <w:numPr>
          <w:ilvl w:val="1"/>
          <w:numId w:val="7"/>
        </w:numPr>
        <w:rPr>
          <w:i/>
        </w:rPr>
      </w:pPr>
      <w:r w:rsidRPr="00057225">
        <w:rPr>
          <w:i/>
        </w:rPr>
        <w:t>Adhesion</w:t>
      </w:r>
    </w:p>
    <w:p w14:paraId="2F69149B" w14:textId="609B48F3" w:rsidR="00603067" w:rsidRPr="00337148" w:rsidRDefault="00603067" w:rsidP="00603067"/>
    <w:p w14:paraId="1ABA36D0" w14:textId="6471ED67" w:rsidR="006A293E" w:rsidRPr="0053136E" w:rsidRDefault="002426F4" w:rsidP="00603067">
      <w:r w:rsidRPr="0053136E">
        <w:t xml:space="preserve">The use of </w:t>
      </w:r>
      <w:r w:rsidR="00A72E83" w:rsidRPr="0053136E">
        <w:t xml:space="preserve">ODT and MUA tips </w:t>
      </w:r>
      <w:r w:rsidR="00A3255A" w:rsidRPr="0053136E">
        <w:t>to measure adhesion in RBCs from both normal individuals and from SCD patients</w:t>
      </w:r>
      <w:r w:rsidR="00771721" w:rsidRPr="0053136E">
        <w:t>, in the oxygenated and deoxygenated states,</w:t>
      </w:r>
      <w:r w:rsidR="00A3255A" w:rsidRPr="0053136E">
        <w:t xml:space="preserve"> </w:t>
      </w:r>
      <w:r w:rsidR="00A72E83" w:rsidRPr="0053136E">
        <w:t>allow</w:t>
      </w:r>
      <w:r w:rsidRPr="0053136E">
        <w:t>ed</w:t>
      </w:r>
      <w:r w:rsidR="00A72E83" w:rsidRPr="0053136E">
        <w:t xml:space="preserve"> identification of</w:t>
      </w:r>
      <w:r w:rsidR="00951A90" w:rsidRPr="0053136E">
        <w:t xml:space="preserve"> </w:t>
      </w:r>
      <w:r w:rsidR="00A3255A" w:rsidRPr="0053136E">
        <w:t xml:space="preserve">surface alterations from species that predominately interact through </w:t>
      </w:r>
      <w:r w:rsidR="00A72E83" w:rsidRPr="0053136E">
        <w:t>hydrophobic</w:t>
      </w:r>
      <w:r w:rsidR="00117D43" w:rsidRPr="0053136E">
        <w:t xml:space="preserve"> (Van der Waals’)</w:t>
      </w:r>
      <w:r w:rsidR="00A72E83" w:rsidRPr="0053136E">
        <w:t xml:space="preserve"> or hydrophi</w:t>
      </w:r>
      <w:r w:rsidR="00B04486" w:rsidRPr="0053136E">
        <w:t>lic</w:t>
      </w:r>
      <w:r w:rsidR="00117D43" w:rsidRPr="0053136E">
        <w:t xml:space="preserve"> (electrostatic and/or H-bonding)</w:t>
      </w:r>
      <w:r w:rsidR="00B04486" w:rsidRPr="0053136E">
        <w:t xml:space="preserve"> attractions</w:t>
      </w:r>
      <w:r w:rsidR="00117D43" w:rsidRPr="0053136E">
        <w:t xml:space="preserve"> in air</w:t>
      </w:r>
      <w:r w:rsidR="00A3255A" w:rsidRPr="0053136E">
        <w:t>, respectively</w:t>
      </w:r>
      <w:r w:rsidR="00B04486" w:rsidRPr="0053136E">
        <w:t>.</w:t>
      </w:r>
      <w:r w:rsidR="00D42C39" w:rsidRPr="0053136E">
        <w:t xml:space="preserve"> </w:t>
      </w:r>
      <w:r w:rsidR="00A3255A" w:rsidRPr="0053136E">
        <w:t xml:space="preserve"> </w:t>
      </w:r>
      <w:r w:rsidR="006A293E" w:rsidRPr="0053136E">
        <w:t xml:space="preserve">The adhesion profiles in Figure </w:t>
      </w:r>
      <w:r w:rsidR="00607B6B" w:rsidRPr="0053136E">
        <w:t>4</w:t>
      </w:r>
      <w:r w:rsidR="00CE744B" w:rsidRPr="0053136E">
        <w:t xml:space="preserve"> indicate that there were </w:t>
      </w:r>
      <w:r w:rsidR="00636756" w:rsidRPr="0053136E">
        <w:t xml:space="preserve">significant changes </w:t>
      </w:r>
      <w:r w:rsidR="006A293E" w:rsidRPr="0053136E">
        <w:t xml:space="preserve">to </w:t>
      </w:r>
      <w:r w:rsidR="00636756" w:rsidRPr="0053136E">
        <w:t xml:space="preserve">the </w:t>
      </w:r>
      <w:r w:rsidR="006A293E" w:rsidRPr="0053136E">
        <w:t xml:space="preserve">modal </w:t>
      </w:r>
      <w:r w:rsidR="006A293E" w:rsidRPr="0053136E">
        <w:lastRenderedPageBreak/>
        <w:t>adhesion as well as</w:t>
      </w:r>
      <w:r w:rsidR="00CE744B" w:rsidRPr="0053136E">
        <w:t xml:space="preserve"> to</w:t>
      </w:r>
      <w:r w:rsidR="00D42C39" w:rsidRPr="0053136E">
        <w:t xml:space="preserve"> the width of the distribution</w:t>
      </w:r>
      <w:r w:rsidR="00771721" w:rsidRPr="0053136E">
        <w:t xml:space="preserve"> </w:t>
      </w:r>
      <w:r w:rsidR="004A4B3A" w:rsidRPr="0053136E">
        <w:t>occurring</w:t>
      </w:r>
      <w:r w:rsidR="00771721" w:rsidRPr="0053136E">
        <w:t xml:space="preserve"> for both deoxygenated cells (cf. oxygenated) and in </w:t>
      </w:r>
      <w:proofErr w:type="spellStart"/>
      <w:r w:rsidR="00771721" w:rsidRPr="0053136E">
        <w:t>HbS</w:t>
      </w:r>
      <w:r w:rsidR="006C0904" w:rsidRPr="0053136E">
        <w:t>S</w:t>
      </w:r>
      <w:proofErr w:type="spellEnd"/>
      <w:r w:rsidR="00771721" w:rsidRPr="0053136E">
        <w:t xml:space="preserve"> cells (cf. </w:t>
      </w:r>
      <w:proofErr w:type="spellStart"/>
      <w:r w:rsidR="00771721" w:rsidRPr="0053136E">
        <w:t>HbA</w:t>
      </w:r>
      <w:r w:rsidR="006C0904" w:rsidRPr="0053136E">
        <w:t>A</w:t>
      </w:r>
      <w:proofErr w:type="spellEnd"/>
      <w:r w:rsidR="00771721" w:rsidRPr="0053136E">
        <w:t>).</w:t>
      </w:r>
    </w:p>
    <w:p w14:paraId="412FCC02" w14:textId="77777777" w:rsidR="006A293E" w:rsidRPr="00337148" w:rsidRDefault="006A293E" w:rsidP="00603067"/>
    <w:p w14:paraId="7DEA2D00" w14:textId="2F4ADADF" w:rsidR="00603067" w:rsidRPr="004A4B3A" w:rsidRDefault="00803265" w:rsidP="00603067">
      <w:r w:rsidRPr="004A4B3A">
        <w:t xml:space="preserve">Deoxygenated </w:t>
      </w:r>
      <w:r w:rsidR="008A5EDA" w:rsidRPr="004A4B3A">
        <w:t>RBC</w:t>
      </w:r>
      <w:r w:rsidRPr="004A4B3A">
        <w:t>s, irrespective of Hb type</w:t>
      </w:r>
      <w:r w:rsidR="001C6F5F" w:rsidRPr="004A4B3A">
        <w:t xml:space="preserve"> or tip functionality</w:t>
      </w:r>
      <w:r w:rsidRPr="004A4B3A">
        <w:t>, show</w:t>
      </w:r>
      <w:r w:rsidR="009765D2" w:rsidRPr="004A4B3A">
        <w:t>ed</w:t>
      </w:r>
      <w:r w:rsidRPr="004A4B3A">
        <w:t xml:space="preserve"> an increased width distribution compared to their oxygenated counterparts, i.e. indicating increases in both hydrophobicity and hydrophilicity</w:t>
      </w:r>
      <w:r w:rsidR="009765D2" w:rsidRPr="004A4B3A">
        <w:t xml:space="preserve">, </w:t>
      </w:r>
      <w:r w:rsidR="00B34940" w:rsidRPr="004A4B3A">
        <w:t xml:space="preserve">and consistent with </w:t>
      </w:r>
      <w:r w:rsidRPr="004A4B3A">
        <w:t>lateral</w:t>
      </w:r>
      <w:r w:rsidR="00120352" w:rsidRPr="004A4B3A">
        <w:t xml:space="preserve"> inhomogeneity in the membrane components</w:t>
      </w:r>
      <w:r w:rsidR="00AD513D" w:rsidRPr="004A4B3A">
        <w:t>.</w:t>
      </w:r>
      <w:r w:rsidR="00D42C39" w:rsidRPr="004A4B3A">
        <w:t xml:space="preserve">  </w:t>
      </w:r>
      <w:r w:rsidR="008066F5" w:rsidRPr="004A4B3A">
        <w:t xml:space="preserve">A similar comparison </w:t>
      </w:r>
      <w:r w:rsidR="00F908EF" w:rsidRPr="004A4B3A">
        <w:t xml:space="preserve">between adhesion profiles from </w:t>
      </w:r>
      <w:proofErr w:type="spellStart"/>
      <w:r w:rsidR="00F908EF" w:rsidRPr="004A4B3A">
        <w:t>HbS</w:t>
      </w:r>
      <w:r w:rsidR="006C0904">
        <w:t>S</w:t>
      </w:r>
      <w:proofErr w:type="spellEnd"/>
      <w:r w:rsidR="00F7674E">
        <w:t xml:space="preserve"> </w:t>
      </w:r>
      <w:r w:rsidR="00F908EF" w:rsidRPr="004A4B3A">
        <w:t xml:space="preserve">and </w:t>
      </w:r>
      <w:proofErr w:type="spellStart"/>
      <w:r w:rsidR="00F908EF" w:rsidRPr="004A4B3A">
        <w:t>HbA</w:t>
      </w:r>
      <w:r w:rsidR="006C0904">
        <w:t>A</w:t>
      </w:r>
      <w:proofErr w:type="spellEnd"/>
      <w:r w:rsidR="00F908EF" w:rsidRPr="004A4B3A">
        <w:t xml:space="preserve"> cells</w:t>
      </w:r>
      <w:r w:rsidR="00F46558" w:rsidRPr="004A4B3A">
        <w:t>,</w:t>
      </w:r>
      <w:r w:rsidR="00F908EF" w:rsidRPr="004A4B3A">
        <w:t xml:space="preserve"> independent of oxygenation state or tip functionality</w:t>
      </w:r>
      <w:r w:rsidR="00F46558" w:rsidRPr="004A4B3A">
        <w:t>,</w:t>
      </w:r>
      <w:r w:rsidR="00F908EF" w:rsidRPr="004A4B3A">
        <w:t xml:space="preserve"> </w:t>
      </w:r>
      <w:r w:rsidR="00CB5D24" w:rsidRPr="004A4B3A">
        <w:t>indicate</w:t>
      </w:r>
      <w:r w:rsidR="00F46558" w:rsidRPr="004A4B3A">
        <w:t>s</w:t>
      </w:r>
      <w:r w:rsidR="00CB5D24" w:rsidRPr="004A4B3A">
        <w:t xml:space="preserve"> that the adhesion distributions of RBCs</w:t>
      </w:r>
      <w:r w:rsidR="008A5EDA" w:rsidRPr="004A4B3A">
        <w:t xml:space="preserve"> from SCD patients</w:t>
      </w:r>
      <w:r w:rsidR="008066F5" w:rsidRPr="004A4B3A">
        <w:t xml:space="preserve"> </w:t>
      </w:r>
      <w:r w:rsidR="00FB611D" w:rsidRPr="004A4B3A">
        <w:t>were broader</w:t>
      </w:r>
      <w:r w:rsidR="00CB5D24" w:rsidRPr="004A4B3A">
        <w:t xml:space="preserve"> than those from normal individuals.</w:t>
      </w:r>
    </w:p>
    <w:p w14:paraId="2C0A7881" w14:textId="28BDA583" w:rsidR="00FC362C" w:rsidRPr="00337148" w:rsidRDefault="00FC362C" w:rsidP="00603067"/>
    <w:p w14:paraId="52F5A7D8" w14:textId="1C4B8086" w:rsidR="0022727D" w:rsidRDefault="00770329" w:rsidP="00603067">
      <w:r w:rsidRPr="004A4B3A">
        <w:t>Changes in hydrophobic and hydrophilic adhesion may occur to one modality alone or</w:t>
      </w:r>
      <w:r w:rsidR="00D263BD" w:rsidRPr="004A4B3A">
        <w:t>, conversely,</w:t>
      </w:r>
      <w:r w:rsidRPr="004A4B3A">
        <w:t xml:space="preserve"> both may be altered.  There is the potential to distinguish between these </w:t>
      </w:r>
      <w:r w:rsidR="0022727D">
        <w:t xml:space="preserve">two </w:t>
      </w:r>
      <w:r w:rsidRPr="004A4B3A">
        <w:t>possibilities.  Thus</w:t>
      </w:r>
      <w:r w:rsidR="0074147F" w:rsidRPr="004A4B3A">
        <w:t>,</w:t>
      </w:r>
      <w:r w:rsidRPr="004A4B3A">
        <w:t xml:space="preserve"> an increase in hydrophobic adhesion (ODT tip) on its own would increase its “high extreme” adhesion regions</w:t>
      </w:r>
      <w:r w:rsidR="00FC362C" w:rsidRPr="004A4B3A">
        <w:t xml:space="preserve"> </w:t>
      </w:r>
      <w:r w:rsidR="0074147F" w:rsidRPr="004A4B3A">
        <w:t xml:space="preserve">(e.g. </w:t>
      </w:r>
      <w:r w:rsidR="00DE0019" w:rsidRPr="004A4B3A">
        <w:t xml:space="preserve">increase in </w:t>
      </w:r>
      <w:r w:rsidR="0074147F" w:rsidRPr="004A4B3A">
        <w:t>P=0.1</w:t>
      </w:r>
      <w:r w:rsidR="00DE0019" w:rsidRPr="004A4B3A">
        <w:t xml:space="preserve"> adhesion</w:t>
      </w:r>
      <w:r w:rsidR="0074147F" w:rsidRPr="004A4B3A">
        <w:t xml:space="preserve">) </w:t>
      </w:r>
      <w:r w:rsidR="00FC362C" w:rsidRPr="004A4B3A">
        <w:t>alongside the distribution width.</w:t>
      </w:r>
      <w:r w:rsidR="00D42C39" w:rsidRPr="004A4B3A">
        <w:t xml:space="preserve">  </w:t>
      </w:r>
      <w:r w:rsidR="00FC362C" w:rsidRPr="004A4B3A">
        <w:t>The adhesion profiles comparing oxygenation state with the ODT tip (</w:t>
      </w:r>
      <w:r w:rsidR="00607B6B">
        <w:t>4</w:t>
      </w:r>
      <w:r w:rsidR="00FC362C" w:rsidRPr="004A4B3A">
        <w:t>a(</w:t>
      </w:r>
      <w:proofErr w:type="spellStart"/>
      <w:r w:rsidR="00FC362C" w:rsidRPr="004A4B3A">
        <w:t>i</w:t>
      </w:r>
      <w:proofErr w:type="spellEnd"/>
      <w:r w:rsidR="00FC362C" w:rsidRPr="004A4B3A">
        <w:t xml:space="preserve">) and </w:t>
      </w:r>
      <w:r w:rsidR="00607B6B">
        <w:t>4</w:t>
      </w:r>
      <w:r w:rsidR="00FC362C" w:rsidRPr="004A4B3A">
        <w:t>a(ii))</w:t>
      </w:r>
      <w:r w:rsidRPr="004A4B3A">
        <w:t>, however,</w:t>
      </w:r>
      <w:r w:rsidR="00FC362C" w:rsidRPr="004A4B3A">
        <w:t xml:space="preserve"> </w:t>
      </w:r>
      <w:r w:rsidR="0074147F" w:rsidRPr="004A4B3A">
        <w:t xml:space="preserve">mostly </w:t>
      </w:r>
      <w:r w:rsidR="00FC362C" w:rsidRPr="004A4B3A">
        <w:t>show</w:t>
      </w:r>
      <w:r w:rsidRPr="004A4B3A">
        <w:t>ed</w:t>
      </w:r>
      <w:r w:rsidR="00FC362C" w:rsidRPr="004A4B3A">
        <w:t xml:space="preserve"> a decrease in high adhesion regions relative to the modal peak</w:t>
      </w:r>
      <w:r w:rsidR="0074147F" w:rsidRPr="004A4B3A">
        <w:t xml:space="preserve"> (e.g. P(A&gt;3xMode))</w:t>
      </w:r>
      <w:r w:rsidR="00FC362C" w:rsidRPr="004A4B3A">
        <w:t xml:space="preserve">. </w:t>
      </w:r>
      <w:r w:rsidR="00755ED1" w:rsidRPr="004A4B3A">
        <w:t xml:space="preserve"> This wa</w:t>
      </w:r>
      <w:r w:rsidR="00FC362C" w:rsidRPr="004A4B3A">
        <w:t xml:space="preserve">s </w:t>
      </w:r>
      <w:r w:rsidR="00E54906" w:rsidRPr="004A4B3A">
        <w:t xml:space="preserve">visually </w:t>
      </w:r>
      <w:r w:rsidR="00FC362C" w:rsidRPr="004A4B3A">
        <w:t xml:space="preserve">much clearer for </w:t>
      </w:r>
      <w:r w:rsidR="008A5EDA" w:rsidRPr="004A4B3A">
        <w:t>RBCs</w:t>
      </w:r>
      <w:r w:rsidR="00755ED1" w:rsidRPr="004A4B3A">
        <w:t xml:space="preserve"> from normal individuals </w:t>
      </w:r>
      <w:r w:rsidR="00FC362C" w:rsidRPr="004A4B3A">
        <w:t xml:space="preserve">since the modal adhesion </w:t>
      </w:r>
      <w:r w:rsidR="00755ED1" w:rsidRPr="004A4B3A">
        <w:t>wa</w:t>
      </w:r>
      <w:r w:rsidR="00FC362C" w:rsidRPr="004A4B3A">
        <w:t xml:space="preserve">s indistinguishable for </w:t>
      </w:r>
      <w:r w:rsidR="00CA6843" w:rsidRPr="004A4B3A">
        <w:t xml:space="preserve">either oxygenation </w:t>
      </w:r>
      <w:r w:rsidR="00FC362C" w:rsidRPr="004A4B3A">
        <w:t>state</w:t>
      </w:r>
      <w:r w:rsidR="00755ED1" w:rsidRPr="004A4B3A">
        <w:t xml:space="preserve">.  For </w:t>
      </w:r>
      <w:r w:rsidR="008A5EDA" w:rsidRPr="004A4B3A">
        <w:t>RBCs</w:t>
      </w:r>
      <w:r w:rsidR="00755ED1" w:rsidRPr="004A4B3A">
        <w:t xml:space="preserve"> from SCD patients</w:t>
      </w:r>
      <w:r w:rsidR="00FC362C" w:rsidRPr="004A4B3A">
        <w:t>,</w:t>
      </w:r>
      <w:r w:rsidR="00755ED1" w:rsidRPr="004A4B3A">
        <w:t xml:space="preserve"> however,</w:t>
      </w:r>
      <w:r w:rsidR="00FC362C" w:rsidRPr="004A4B3A">
        <w:t xml:space="preserve"> </w:t>
      </w:r>
      <w:r w:rsidR="007E1D9A" w:rsidRPr="004A4B3A">
        <w:t xml:space="preserve">under </w:t>
      </w:r>
      <w:r w:rsidR="00FC362C" w:rsidRPr="004A4B3A">
        <w:t xml:space="preserve">deoxygenated </w:t>
      </w:r>
      <w:r w:rsidR="007E1D9A" w:rsidRPr="004A4B3A">
        <w:t xml:space="preserve">conditions there was </w:t>
      </w:r>
      <w:r w:rsidR="00FC362C" w:rsidRPr="004A4B3A">
        <w:t xml:space="preserve">increased modal adhesion </w:t>
      </w:r>
      <w:r w:rsidR="007E1D9A" w:rsidRPr="004A4B3A">
        <w:t xml:space="preserve">and </w:t>
      </w:r>
      <w:r w:rsidR="00FC362C" w:rsidRPr="004A4B3A">
        <w:t>a similar contribution from high adhesion regions, indi</w:t>
      </w:r>
      <w:r w:rsidR="00B055D0" w:rsidRPr="004A4B3A">
        <w:t>cating a relative reduction of “high extremes”</w:t>
      </w:r>
      <w:r w:rsidR="0080351B" w:rsidRPr="004A4B3A">
        <w:t xml:space="preserve"> (</w:t>
      </w:r>
      <w:r w:rsidR="00E54906" w:rsidRPr="004A4B3A">
        <w:t xml:space="preserve">clearly </w:t>
      </w:r>
      <w:r w:rsidR="0080351B" w:rsidRPr="004A4B3A">
        <w:t>demonstrated in P(A&gt;3xMode) values)</w:t>
      </w:r>
      <w:r w:rsidR="00FC362C" w:rsidRPr="004A4B3A">
        <w:t>.</w:t>
      </w:r>
      <w:r w:rsidR="004104CE" w:rsidRPr="004A4B3A">
        <w:t xml:space="preserve"> </w:t>
      </w:r>
    </w:p>
    <w:p w14:paraId="48D04D09" w14:textId="77777777" w:rsidR="0022727D" w:rsidRDefault="0022727D" w:rsidP="00603067"/>
    <w:p w14:paraId="0E8CB1B0" w14:textId="5EF7527A" w:rsidR="004104CE" w:rsidRPr="004A4B3A" w:rsidRDefault="00645469" w:rsidP="00603067">
      <w:r w:rsidRPr="004A4B3A">
        <w:t>These results show that increases in hydrophobic adhesion, result</w:t>
      </w:r>
      <w:r w:rsidR="00235AF1" w:rsidRPr="004A4B3A">
        <w:t>ing</w:t>
      </w:r>
      <w:r w:rsidRPr="004A4B3A">
        <w:t xml:space="preserve"> in greater modal adhesion with ODT and a greater distribution width (surface heterogeneity), do</w:t>
      </w:r>
      <w:r w:rsidR="00235AF1" w:rsidRPr="004A4B3A">
        <w:t xml:space="preserve"> no</w:t>
      </w:r>
      <w:r w:rsidRPr="004A4B3A">
        <w:t>t occur</w:t>
      </w:r>
      <w:r w:rsidR="008718C2" w:rsidRPr="004A4B3A">
        <w:t xml:space="preserve"> </w:t>
      </w:r>
      <w:r w:rsidR="00775D3B" w:rsidRPr="004A4B3A">
        <w:t xml:space="preserve">alone </w:t>
      </w:r>
      <w:r w:rsidR="008718C2" w:rsidRPr="004A4B3A">
        <w:t>on deoxygenation</w:t>
      </w:r>
      <w:r w:rsidRPr="004A4B3A">
        <w:t xml:space="preserve">, and that there are additional increases in concentrations of highly hydrophilic surface moieties. </w:t>
      </w:r>
      <w:r w:rsidR="00D15E8D" w:rsidRPr="004A4B3A">
        <w:t xml:space="preserve">Furthermore, no increase in modal adhesion for </w:t>
      </w:r>
      <w:proofErr w:type="spellStart"/>
      <w:r w:rsidR="00D15E8D" w:rsidRPr="004A4B3A">
        <w:t>HbA</w:t>
      </w:r>
      <w:r w:rsidR="006C0904">
        <w:t>A</w:t>
      </w:r>
      <w:proofErr w:type="spellEnd"/>
      <w:r w:rsidR="00D15E8D" w:rsidRPr="004A4B3A">
        <w:t xml:space="preserve"> cells </w:t>
      </w:r>
      <w:r w:rsidR="00352DD0" w:rsidRPr="004A4B3A">
        <w:t xml:space="preserve">suggests competing increases in both functionalities whereas the increase in the modal ODT adhesion for </w:t>
      </w:r>
      <w:proofErr w:type="spellStart"/>
      <w:r w:rsidR="00352DD0" w:rsidRPr="004A4B3A">
        <w:t>HbS</w:t>
      </w:r>
      <w:r w:rsidR="006C0904">
        <w:t>S</w:t>
      </w:r>
      <w:proofErr w:type="spellEnd"/>
      <w:r w:rsidR="00352DD0" w:rsidRPr="004A4B3A">
        <w:t xml:space="preserve"> cells shows that the hydrophobic moieties dominate (but still present</w:t>
      </w:r>
      <w:r w:rsidR="00235AF1" w:rsidRPr="004A4B3A">
        <w:t>ing</w:t>
      </w:r>
      <w:r w:rsidR="00352DD0" w:rsidRPr="004A4B3A">
        <w:t xml:space="preserve"> increased hydrophilic species, hence the reduced P value).</w:t>
      </w:r>
    </w:p>
    <w:p w14:paraId="1E8C9C75" w14:textId="77777777" w:rsidR="004104CE" w:rsidRPr="00337148" w:rsidRDefault="004104CE" w:rsidP="00603067"/>
    <w:p w14:paraId="03025D64" w14:textId="409924A7" w:rsidR="00603067" w:rsidRPr="004A4B3A" w:rsidRDefault="004104CE" w:rsidP="00603067">
      <w:r w:rsidRPr="004A4B3A">
        <w:t xml:space="preserve">A similar comparison </w:t>
      </w:r>
      <w:r w:rsidR="00E922AE" w:rsidRPr="004A4B3A">
        <w:t xml:space="preserve">to that between oxygenated and deoxygenated RBCs from SCD patients, as previously described, </w:t>
      </w:r>
      <w:r w:rsidRPr="004A4B3A">
        <w:t>can be made</w:t>
      </w:r>
      <w:r w:rsidR="00B04966" w:rsidRPr="004A4B3A">
        <w:t xml:space="preserve"> between </w:t>
      </w:r>
      <w:r w:rsidR="004423E8" w:rsidRPr="004A4B3A">
        <w:t xml:space="preserve">oxygenated </w:t>
      </w:r>
      <w:r w:rsidR="009157C8" w:rsidRPr="004A4B3A">
        <w:t>RBC</w:t>
      </w:r>
      <w:r w:rsidR="00B04966" w:rsidRPr="004A4B3A">
        <w:t xml:space="preserve">s from the two </w:t>
      </w:r>
      <w:r w:rsidR="00E922AE" w:rsidRPr="004A4B3A">
        <w:t xml:space="preserve">different </w:t>
      </w:r>
      <w:r w:rsidR="00B04966" w:rsidRPr="004A4B3A">
        <w:t>genotypes (</w:t>
      </w:r>
      <w:r w:rsidRPr="004A4B3A">
        <w:t xml:space="preserve">Figure </w:t>
      </w:r>
      <w:r w:rsidR="00607B6B">
        <w:t>4</w:t>
      </w:r>
      <w:r w:rsidRPr="004A4B3A">
        <w:t>c(ii)</w:t>
      </w:r>
      <w:r w:rsidR="00B04966" w:rsidRPr="004A4B3A">
        <w:t>)</w:t>
      </w:r>
      <w:r w:rsidR="00E922AE" w:rsidRPr="004A4B3A">
        <w:t>.</w:t>
      </w:r>
      <w:r w:rsidRPr="004A4B3A">
        <w:t xml:space="preserve"> </w:t>
      </w:r>
      <w:r w:rsidR="00E922AE" w:rsidRPr="004A4B3A">
        <w:t xml:space="preserve">This shows that </w:t>
      </w:r>
      <w:proofErr w:type="spellStart"/>
      <w:r w:rsidR="00E922AE" w:rsidRPr="004A4B3A">
        <w:t>HbS</w:t>
      </w:r>
      <w:r w:rsidR="006C0904">
        <w:t>S</w:t>
      </w:r>
      <w:proofErr w:type="spellEnd"/>
      <w:r w:rsidR="00E922AE" w:rsidRPr="004A4B3A">
        <w:t xml:space="preserve"> cells with ODT result in a reduction of high adhesion regions relative to the modal peak (P(A&gt;3xMode)) despite an increased modal adhesion and increased distribution width. This, as previously, suggests increases in both hydrophilic and hydrophobic moieties at the surface</w:t>
      </w:r>
      <w:r w:rsidR="00475D64" w:rsidRPr="004A4B3A">
        <w:t>, but with greater emphasis on hydrophobic species</w:t>
      </w:r>
      <w:r w:rsidR="00E922AE" w:rsidRPr="004A4B3A">
        <w:t>.</w:t>
      </w:r>
      <w:r w:rsidR="004423E8" w:rsidRPr="004A4B3A">
        <w:t xml:space="preserve"> </w:t>
      </w:r>
      <w:r w:rsidR="00E64EA7" w:rsidRPr="004A4B3A">
        <w:t>In deoxygenated RBCs from SCD patients s</w:t>
      </w:r>
      <w:r w:rsidR="004423E8" w:rsidRPr="004A4B3A">
        <w:t xml:space="preserve">uch a </w:t>
      </w:r>
      <w:r w:rsidRPr="004A4B3A">
        <w:t>comparison is</w:t>
      </w:r>
      <w:r w:rsidR="004423E8" w:rsidRPr="004A4B3A">
        <w:t xml:space="preserve"> more</w:t>
      </w:r>
      <w:r w:rsidRPr="004A4B3A">
        <w:t xml:space="preserve"> difficult </w:t>
      </w:r>
      <w:r w:rsidR="0022727D">
        <w:t xml:space="preserve">to make </w:t>
      </w:r>
      <w:r w:rsidRPr="004A4B3A">
        <w:t>due to the</w:t>
      </w:r>
      <w:r w:rsidR="00DB7421" w:rsidRPr="004A4B3A">
        <w:t xml:space="preserve"> considerable</w:t>
      </w:r>
      <w:r w:rsidR="005D52BE" w:rsidRPr="004A4B3A">
        <w:t xml:space="preserve"> increase</w:t>
      </w:r>
      <w:r w:rsidR="00DB7421" w:rsidRPr="004A4B3A">
        <w:t xml:space="preserve"> in</w:t>
      </w:r>
      <w:r w:rsidR="005D52BE" w:rsidRPr="004A4B3A">
        <w:t xml:space="preserve"> </w:t>
      </w:r>
      <w:r w:rsidR="00DB7421" w:rsidRPr="004A4B3A">
        <w:t>adhesion</w:t>
      </w:r>
      <w:r w:rsidRPr="004A4B3A">
        <w:t xml:space="preserve">. </w:t>
      </w:r>
      <w:r w:rsidR="00201943" w:rsidRPr="004A4B3A">
        <w:t xml:space="preserve"> </w:t>
      </w:r>
      <w:r w:rsidR="00C00AE9" w:rsidRPr="004A4B3A">
        <w:t xml:space="preserve">Nevertheless, quantitative analysis demonstrates the same observation where a slight decrease in P(A&gt;3xMode) is observed for the SCD cells compared to those from normal individuals. However, this decrease is comparatively small </w:t>
      </w:r>
      <w:r w:rsidR="0022727D">
        <w:t>so</w:t>
      </w:r>
      <w:r w:rsidR="00C00AE9" w:rsidRPr="004A4B3A">
        <w:t xml:space="preserve"> f</w:t>
      </w:r>
      <w:r w:rsidR="004D7362" w:rsidRPr="004A4B3A">
        <w:t>or this</w:t>
      </w:r>
      <w:r w:rsidR="00201943" w:rsidRPr="004A4B3A">
        <w:t xml:space="preserve"> purpose</w:t>
      </w:r>
      <w:r w:rsidR="004D7362" w:rsidRPr="004A4B3A">
        <w:t xml:space="preserve"> </w:t>
      </w:r>
      <w:r w:rsidR="00201943" w:rsidRPr="004A4B3A">
        <w:t xml:space="preserve">it is </w:t>
      </w:r>
      <w:r w:rsidR="00F0574B" w:rsidRPr="004A4B3A">
        <w:t>more useful</w:t>
      </w:r>
      <w:r w:rsidR="004D7362" w:rsidRPr="004A4B3A">
        <w:t xml:space="preserve"> </w:t>
      </w:r>
      <w:r w:rsidR="00201943" w:rsidRPr="004A4B3A">
        <w:t>t</w:t>
      </w:r>
      <w:r w:rsidR="004D7362" w:rsidRPr="004A4B3A">
        <w:t xml:space="preserve">o </w:t>
      </w:r>
      <w:r w:rsidR="00201943" w:rsidRPr="004A4B3A">
        <w:t xml:space="preserve">consider results obtained with </w:t>
      </w:r>
      <w:r w:rsidR="004D7362" w:rsidRPr="004A4B3A">
        <w:t>the</w:t>
      </w:r>
      <w:r w:rsidR="00201943" w:rsidRPr="004A4B3A">
        <w:t xml:space="preserve"> hydrophilic</w:t>
      </w:r>
      <w:r w:rsidR="004D7362" w:rsidRPr="004A4B3A">
        <w:t xml:space="preserve"> MUA tip (</w:t>
      </w:r>
      <w:r w:rsidR="00607B6B">
        <w:t>4</w:t>
      </w:r>
      <w:r w:rsidR="004D7362" w:rsidRPr="004A4B3A">
        <w:t xml:space="preserve">c(iii)). </w:t>
      </w:r>
      <w:r w:rsidR="00201943" w:rsidRPr="004A4B3A">
        <w:t xml:space="preserve"> </w:t>
      </w:r>
      <w:r w:rsidR="004D7362" w:rsidRPr="004A4B3A">
        <w:t>Th</w:t>
      </w:r>
      <w:r w:rsidR="00201943" w:rsidRPr="004A4B3A">
        <w:t>e</w:t>
      </w:r>
      <w:r w:rsidR="004D7362" w:rsidRPr="004A4B3A">
        <w:t>s</w:t>
      </w:r>
      <w:r w:rsidR="00201943" w:rsidRPr="004A4B3A">
        <w:t>e</w:t>
      </w:r>
      <w:r w:rsidR="004D7362" w:rsidRPr="004A4B3A">
        <w:t xml:space="preserve"> show</w:t>
      </w:r>
      <w:r w:rsidR="00201943" w:rsidRPr="004A4B3A">
        <w:t>ed</w:t>
      </w:r>
      <w:r w:rsidR="004D7362" w:rsidRPr="004A4B3A">
        <w:t xml:space="preserve"> that, despite an increased modal adhesion, the ‘high extremes’ </w:t>
      </w:r>
      <w:r w:rsidR="00420AE3" w:rsidRPr="004A4B3A">
        <w:t>we</w:t>
      </w:r>
      <w:r w:rsidR="004D7362" w:rsidRPr="004A4B3A">
        <w:t>re also</w:t>
      </w:r>
      <w:r w:rsidR="00236262" w:rsidRPr="004A4B3A">
        <w:t xml:space="preserve"> </w:t>
      </w:r>
      <w:r w:rsidR="00C00AE9" w:rsidRPr="004A4B3A">
        <w:t xml:space="preserve">visually </w:t>
      </w:r>
      <w:r w:rsidR="00236262" w:rsidRPr="004A4B3A">
        <w:t>found</w:t>
      </w:r>
      <w:r w:rsidR="004D7362" w:rsidRPr="004A4B3A">
        <w:t xml:space="preserve"> </w:t>
      </w:r>
      <w:r w:rsidR="00F0574B" w:rsidRPr="004A4B3A">
        <w:t xml:space="preserve">to be numerically </w:t>
      </w:r>
      <w:r w:rsidR="00775D3B" w:rsidRPr="004A4B3A">
        <w:t>fewer</w:t>
      </w:r>
      <w:r w:rsidR="009D4C4D" w:rsidRPr="004A4B3A">
        <w:t xml:space="preserve"> </w:t>
      </w:r>
      <w:r w:rsidR="004D7362" w:rsidRPr="004A4B3A">
        <w:t xml:space="preserve">for </w:t>
      </w:r>
      <w:r w:rsidR="00DE0019" w:rsidRPr="004A4B3A">
        <w:t xml:space="preserve">SCD </w:t>
      </w:r>
      <w:r w:rsidR="00236262" w:rsidRPr="004A4B3A">
        <w:t>patient RBCs</w:t>
      </w:r>
      <w:r w:rsidR="00C00AE9" w:rsidRPr="004A4B3A">
        <w:t xml:space="preserve">, </w:t>
      </w:r>
      <w:r w:rsidR="00F0574B" w:rsidRPr="004A4B3A">
        <w:t>concomitant with</w:t>
      </w:r>
      <w:r w:rsidR="00C00AE9" w:rsidRPr="004A4B3A">
        <w:t xml:space="preserve"> a greater decrease in the P value</w:t>
      </w:r>
      <w:r w:rsidR="004D7362" w:rsidRPr="004A4B3A">
        <w:t xml:space="preserve">. </w:t>
      </w:r>
      <w:r w:rsidR="00420AE3" w:rsidRPr="004A4B3A">
        <w:t xml:space="preserve"> </w:t>
      </w:r>
      <w:r w:rsidR="000E37B5" w:rsidRPr="004A4B3A">
        <w:t xml:space="preserve">Using </w:t>
      </w:r>
      <w:r w:rsidR="00801A17" w:rsidRPr="004A4B3A">
        <w:t xml:space="preserve">this tip </w:t>
      </w:r>
      <w:r w:rsidR="000E37B5" w:rsidRPr="004A4B3A">
        <w:t xml:space="preserve">to </w:t>
      </w:r>
      <w:r w:rsidR="00801A17" w:rsidRPr="004A4B3A">
        <w:t>prob</w:t>
      </w:r>
      <w:r w:rsidR="000E37B5" w:rsidRPr="004A4B3A">
        <w:t xml:space="preserve">e </w:t>
      </w:r>
      <w:r w:rsidR="00801A17" w:rsidRPr="004A4B3A">
        <w:t xml:space="preserve">hydrophilic interactions, </w:t>
      </w:r>
      <w:r w:rsidR="00FA1318" w:rsidRPr="004A4B3A">
        <w:t>a reduction of high-adhesion regions, despite increas</w:t>
      </w:r>
      <w:r w:rsidR="000E37B5" w:rsidRPr="004A4B3A">
        <w:t>ed</w:t>
      </w:r>
      <w:r w:rsidR="00FA1318" w:rsidRPr="004A4B3A">
        <w:t xml:space="preserve"> width distribution and </w:t>
      </w:r>
      <w:r w:rsidR="000E37B5" w:rsidRPr="004A4B3A">
        <w:t>modal peak, suggested</w:t>
      </w:r>
      <w:r w:rsidR="00FA1318" w:rsidRPr="004A4B3A">
        <w:t xml:space="preserve"> far greater oxidative stress to the surface</w:t>
      </w:r>
      <w:r w:rsidR="00117B34" w:rsidRPr="004A4B3A">
        <w:t>,</w:t>
      </w:r>
      <w:r w:rsidR="00FA1318" w:rsidRPr="004A4B3A">
        <w:t xml:space="preserve"> to </w:t>
      </w:r>
      <w:r w:rsidR="00FA1318" w:rsidRPr="004A4B3A">
        <w:lastRenderedPageBreak/>
        <w:t>the exten</w:t>
      </w:r>
      <w:r w:rsidR="00420AE3" w:rsidRPr="004A4B3A">
        <w:t>t that the homogeneity wa</w:t>
      </w:r>
      <w:r w:rsidR="00FA1318" w:rsidRPr="004A4B3A">
        <w:t>s actually increased</w:t>
      </w:r>
      <w:r w:rsidR="00F46558" w:rsidRPr="004A4B3A">
        <w:t xml:space="preserve"> (as was observed </w:t>
      </w:r>
      <w:r w:rsidR="00CD0E71" w:rsidRPr="004A4B3A">
        <w:t xml:space="preserve">in the C-O IR intensity maps in Figure </w:t>
      </w:r>
      <w:r w:rsidR="00607B6B">
        <w:t>3</w:t>
      </w:r>
      <w:r w:rsidR="00CD0E71" w:rsidRPr="004A4B3A">
        <w:t>d)</w:t>
      </w:r>
      <w:r w:rsidR="00FA1318" w:rsidRPr="004A4B3A">
        <w:t xml:space="preserve">. </w:t>
      </w:r>
      <w:r w:rsidR="00D84FB9" w:rsidRPr="004A4B3A">
        <w:t xml:space="preserve"> In this case, m</w:t>
      </w:r>
      <w:r w:rsidR="00FA1318" w:rsidRPr="004A4B3A">
        <w:t xml:space="preserve">embrane disruption </w:t>
      </w:r>
      <w:r w:rsidR="00D84FB9" w:rsidRPr="004A4B3A">
        <w:t xml:space="preserve">resulting in </w:t>
      </w:r>
      <w:r w:rsidR="00FB149F" w:rsidRPr="004A4B3A">
        <w:t xml:space="preserve">the </w:t>
      </w:r>
      <w:r w:rsidR="00FA1318" w:rsidRPr="004A4B3A">
        <w:t>expos</w:t>
      </w:r>
      <w:r w:rsidR="00D84FB9" w:rsidRPr="004A4B3A">
        <w:t>ure of h</w:t>
      </w:r>
      <w:r w:rsidR="00FA1318" w:rsidRPr="004A4B3A">
        <w:t>ydrophobic moieties</w:t>
      </w:r>
      <w:r w:rsidR="00D84FB9" w:rsidRPr="004A4B3A">
        <w:t xml:space="preserve"> must have been sufficiently extensive to </w:t>
      </w:r>
      <w:r w:rsidR="00FA1318" w:rsidRPr="004A4B3A">
        <w:t xml:space="preserve">reduce the adhesion of those regions that would otherwise </w:t>
      </w:r>
      <w:r w:rsidR="00D84FB9" w:rsidRPr="004A4B3A">
        <w:t>have led to the measurement of “extreme’</w:t>
      </w:r>
      <w:r w:rsidR="00FA1318" w:rsidRPr="004A4B3A">
        <w:t xml:space="preserve"> values. </w:t>
      </w:r>
    </w:p>
    <w:p w14:paraId="79DF8CBD" w14:textId="77777777" w:rsidR="008C4171" w:rsidRPr="00337148" w:rsidRDefault="008C4171" w:rsidP="00603067"/>
    <w:p w14:paraId="67FFF9D9" w14:textId="77777777" w:rsidR="00ED1A72" w:rsidRPr="00337148" w:rsidRDefault="00ED1A72" w:rsidP="00603067"/>
    <w:p w14:paraId="0CC57210" w14:textId="17A32886" w:rsidR="00603067" w:rsidRPr="00057225" w:rsidRDefault="00603067" w:rsidP="00057225">
      <w:pPr>
        <w:pStyle w:val="ListParagraph"/>
        <w:numPr>
          <w:ilvl w:val="1"/>
          <w:numId w:val="7"/>
        </w:numPr>
        <w:rPr>
          <w:i/>
        </w:rPr>
      </w:pPr>
      <w:r w:rsidRPr="00057225">
        <w:rPr>
          <w:i/>
        </w:rPr>
        <w:t>Mechanis</w:t>
      </w:r>
      <w:r w:rsidR="0063537D" w:rsidRPr="00057225">
        <w:rPr>
          <w:i/>
        </w:rPr>
        <w:t>tic</w:t>
      </w:r>
      <w:r w:rsidRPr="00057225">
        <w:rPr>
          <w:i/>
        </w:rPr>
        <w:t xml:space="preserve"> considerations</w:t>
      </w:r>
    </w:p>
    <w:p w14:paraId="0DB59427" w14:textId="77777777" w:rsidR="00603067" w:rsidRPr="00337148" w:rsidRDefault="00603067" w:rsidP="00603067">
      <w:pPr>
        <w:rPr>
          <w:b/>
        </w:rPr>
      </w:pPr>
    </w:p>
    <w:p w14:paraId="57DCBDFF" w14:textId="70C087F6" w:rsidR="0046413A" w:rsidRDefault="00CF3ACA" w:rsidP="0046413A">
      <w:r w:rsidRPr="0053136E">
        <w:t>To explain the changes in adhesion profiles, w</w:t>
      </w:r>
      <w:r w:rsidR="00CC2EAD" w:rsidRPr="0053136E">
        <w:t xml:space="preserve">e postulate that the main targets of </w:t>
      </w:r>
      <w:r w:rsidR="00475D64" w:rsidRPr="0053136E">
        <w:t xml:space="preserve">strongly </w:t>
      </w:r>
      <w:r w:rsidR="00CC2EAD" w:rsidRPr="0053136E">
        <w:t>hydrophobic adhesion are the</w:t>
      </w:r>
      <w:r w:rsidR="00316154" w:rsidRPr="0053136E">
        <w:t xml:space="preserve"> aliphatic lipid tails</w:t>
      </w:r>
      <w:r w:rsidR="00950FF3" w:rsidRPr="0053136E">
        <w:t xml:space="preserve"> which can </w:t>
      </w:r>
      <w:r w:rsidR="001E4489" w:rsidRPr="0053136E">
        <w:t xml:space="preserve">undergo </w:t>
      </w:r>
      <w:r w:rsidR="00950FF3" w:rsidRPr="0053136E">
        <w:t>Van der Waals’ attractions through interdigitation with the ODT tip functionality</w:t>
      </w:r>
      <w:r w:rsidR="00BA42DC" w:rsidRPr="0053136E">
        <w:t xml:space="preserve">.  Targets of </w:t>
      </w:r>
      <w:r w:rsidR="00CC2EAD" w:rsidRPr="0053136E">
        <w:t>hydrophilic adhesion</w:t>
      </w:r>
      <w:r w:rsidR="00BA42DC" w:rsidRPr="0053136E">
        <w:t>, however,</w:t>
      </w:r>
      <w:r w:rsidR="00CC2EAD" w:rsidRPr="0053136E">
        <w:t xml:space="preserve"> may be</w:t>
      </w:r>
      <w:r w:rsidR="00316154" w:rsidRPr="0053136E">
        <w:t xml:space="preserve"> two-fold</w:t>
      </w:r>
      <w:r w:rsidR="00BF29F4" w:rsidRPr="0053136E">
        <w:t xml:space="preserve">:  </w:t>
      </w:r>
      <w:r w:rsidR="00316154" w:rsidRPr="0053136E">
        <w:t xml:space="preserve">first, </w:t>
      </w:r>
      <w:r w:rsidR="00775D3B" w:rsidRPr="0053136E">
        <w:t xml:space="preserve">oxidative damage to membrane proteins that result in the inhibition of </w:t>
      </w:r>
      <w:proofErr w:type="spellStart"/>
      <w:r w:rsidR="00775D3B" w:rsidRPr="0053136E">
        <w:t>flippase</w:t>
      </w:r>
      <w:proofErr w:type="spellEnd"/>
      <w:r w:rsidR="00775D3B" w:rsidRPr="0053136E">
        <w:t xml:space="preserve"> and activation of scramblase leading to </w:t>
      </w:r>
      <w:r w:rsidR="00E4574C" w:rsidRPr="0053136E">
        <w:t>exposed</w:t>
      </w:r>
      <w:r w:rsidR="00316154" w:rsidRPr="0053136E">
        <w:t xml:space="preserve"> </w:t>
      </w:r>
      <w:proofErr w:type="spellStart"/>
      <w:r w:rsidR="00316154" w:rsidRPr="0053136E">
        <w:t>aminophospholipid</w:t>
      </w:r>
      <w:proofErr w:type="spellEnd"/>
      <w:r w:rsidR="00316154" w:rsidRPr="0053136E">
        <w:t xml:space="preserve"> PS </w:t>
      </w:r>
      <w:r w:rsidR="00775D3B" w:rsidRPr="0053136E">
        <w:t xml:space="preserve">(as previously mentioned) </w:t>
      </w:r>
      <w:r w:rsidR="00316154" w:rsidRPr="0053136E">
        <w:t>which has charged, ionic head groups</w:t>
      </w:r>
      <w:r w:rsidR="00BF29F4" w:rsidRPr="0053136E">
        <w:t>;</w:t>
      </w:r>
      <w:r w:rsidR="00316154" w:rsidRPr="0053136E">
        <w:t xml:space="preserve"> and</w:t>
      </w:r>
      <w:r w:rsidR="00BF29F4" w:rsidRPr="0053136E">
        <w:t>,</w:t>
      </w:r>
      <w:r w:rsidR="00316154" w:rsidRPr="0053136E">
        <w:t xml:space="preserve"> second</w:t>
      </w:r>
      <w:r w:rsidR="00BF29F4" w:rsidRPr="0053136E">
        <w:t>,</w:t>
      </w:r>
      <w:r w:rsidR="00316154" w:rsidRPr="0053136E">
        <w:t xml:space="preserve"> the presence of C-O</w:t>
      </w:r>
      <w:r w:rsidR="00590D7A" w:rsidRPr="0053136E">
        <w:t xml:space="preserve"> moieties</w:t>
      </w:r>
      <w:r w:rsidR="00316154" w:rsidRPr="0053136E">
        <w:t xml:space="preserve"> following oxidative damage.</w:t>
      </w:r>
      <w:r w:rsidR="00B3268F" w:rsidRPr="0053136E">
        <w:fldChar w:fldCharType="begin" w:fldLock="1"/>
      </w:r>
      <w:r w:rsidR="00D37D3A" w:rsidRPr="0053136E">
        <w:instrText>ADDIN CSL_CITATION {"citationItems":[{"id":"ITEM-1","itemData":{"ISSN":"00064971","abstract":"We studied the effect of sickling on the transmembrane reorientation and distribution of phospholipids in the red blood cells of patients homozygous for sickle cell anemia (SS). To this purpose, we followed the redistribution kinetics of trace amounts of spin-labeled analogues of natural phospholipids first introduced in the membrane outer leaflet of normal or sickle erythrocytes exposed to air or nitrogen. Deoxygenation had no effect on the lipid redistribution kinetics in normal (AA) cell membranes. At atmospheric pO2, unfractionated SS cells were not different from normal cells. However, on deoxygenation inducing sickling, phosphatidylcholine passive diffusion was accelerated and the rate of the adenosine triphosphate-dependent transport of aminophospholipids was reduced, especially for phosphatidylserine. The stationary distribution of the aminophospholipids between the two leaflets was slightly less asymmetric, a phenomenon more pronounced with phosphatidylethanolamine. These changes were rapidly reversible on reoxygenation. When SS cells were separated by density, both dense and light cells exhibited the properties cited above. However, dense cells exposed to air possessed a lower aminophospholipid transport rate. These data favor the relationship between aminophospholipid translocase activity and phospholipid transmembrane asymmetry. Sickle cell disease is the first case of aminophospholipid translocase pathology.","author":[{"dropping-particle":"","family":"Blumenfeld","given":"N.","non-dropping-particle":"","parse-names":false,"suffix":""},{"dropping-particle":"","family":"Zachowski","given":"A.","non-dropping-particle":"","parse-names":false,"suffix":""},{"dropping-particle":"","family":"Galacteros","given":"F.","non-dropping-particle":"","parse-names":false,"suffix":""},{"dropping-particle":"","family":"Beuzard","given":"Y.","non-dropping-particle":"","parse-names":false,"suffix":""},{"dropping-particle":"","family":"Devaux","given":"P. F.","non-dropping-particle":"","parse-names":false,"suffix":""}],"container-title":"Blood","id":"ITEM-1","issue":"4","issued":{"date-parts":[["1991"]]},"page":"849-854","title":"Transmembrane mobility of phospholipids in sickle erythrocytes: Effect of deoxygenation on diffusion and asymmetry","type":"article-journal","volume":"77"},"uris":["http://www.mendeley.com/documents/?uuid=0eeae405-8ce4-429f-a32f-8d0fd590b316"]},{"id":"ITEM-2","itemData":{"DOI":"10.1097/00062752-199803000-00007","ISSN":"10656251","abstract":"The asymmetric distribution of membrane phospholipids was first described more than two decades ago. The selective localization across the bilayer indicated that asymmetric biomembranes are assembled and maintained by specific mechanisms that control transbilayer lipid sidedness. The loss of phospholipid asymmetry and in particular the appearance of phosphatidylserine (PS) on the outer surface is associated with many physiologic and pathologic phenomena. Understanding the mechanisms that govern membrane lipid sidedness, including those that promote a collapse of phospholipid asymmetry, seems essential to understanding the disease states in which this unwanted PS exposure, or lack of PS exposure, is observed. Recent studies have identified some of the keyplayers in these regulatory systems. Their role, as well as the consequences of PS exposure in blood cell pathology are summarized in this chapter.","author":[{"dropping-particle":"","family":"Kuypers","given":"Frans A.","non-dropping-particle":"","parse-names":false,"suffix":""}],"container-title":"Current Opinion in Hematology","id":"ITEM-2","issue":"2","issued":{"date-parts":[["1998"]]},"page":"122-131","title":"Phospholipid asymmetry in health and disease","type":"article","volume":"5"},"uris":["http://www.mendeley.com/documents/?uuid=9fc82b5b-247d-4a26-b47b-83388a2c0ce0"]}],"mendeley":{"formattedCitation":"&lt;sup&gt;34,35&lt;/sup&gt;","plainTextFormattedCitation":"34,35","previouslyFormattedCitation":"&lt;sup&gt;36,37&lt;/sup&gt;"},"properties":{"noteIndex":0},"schema":"https://github.com/citation-style-language/schema/raw/master/csl-citation.json"}</w:instrText>
      </w:r>
      <w:r w:rsidR="00B3268F" w:rsidRPr="0053136E">
        <w:fldChar w:fldCharType="separate"/>
      </w:r>
      <w:r w:rsidR="00D37D3A" w:rsidRPr="0053136E">
        <w:rPr>
          <w:noProof/>
          <w:vertAlign w:val="superscript"/>
        </w:rPr>
        <w:t>34,35</w:t>
      </w:r>
      <w:r w:rsidR="00B3268F" w:rsidRPr="0053136E">
        <w:fldChar w:fldCharType="end"/>
      </w:r>
      <w:r w:rsidR="00316154" w:rsidRPr="0053136E">
        <w:t xml:space="preserve">  </w:t>
      </w:r>
      <w:r w:rsidR="001C56A7" w:rsidRPr="0053136E">
        <w:t xml:space="preserve">For </w:t>
      </w:r>
      <w:r w:rsidR="00BF29F4" w:rsidRPr="0053136E">
        <w:t>PS</w:t>
      </w:r>
      <w:r w:rsidR="00775D3B" w:rsidRPr="0053136E">
        <w:t xml:space="preserve"> exposure</w:t>
      </w:r>
      <w:r w:rsidR="001C56A7" w:rsidRPr="0053136E">
        <w:t xml:space="preserve">, surface changes are more likely to be </w:t>
      </w:r>
      <w:r w:rsidR="009C6AD6" w:rsidRPr="0053136E">
        <w:t xml:space="preserve">comparatively </w:t>
      </w:r>
      <w:r w:rsidR="001C56A7" w:rsidRPr="0053136E">
        <w:t>homogeneous whilst oxidative damage</w:t>
      </w:r>
      <w:r w:rsidR="00F539A6" w:rsidRPr="0053136E">
        <w:t xml:space="preserve"> leading to accumulation of C-O moieties</w:t>
      </w:r>
      <w:r w:rsidR="001C56A7" w:rsidRPr="0053136E">
        <w:t xml:space="preserve"> may be more </w:t>
      </w:r>
      <w:r w:rsidR="00E4574C" w:rsidRPr="0053136E">
        <w:t>irregular</w:t>
      </w:r>
      <w:r w:rsidR="00F539A6" w:rsidRPr="0053136E">
        <w:t>,</w:t>
      </w:r>
      <w:r w:rsidR="001C56A7" w:rsidRPr="0053136E">
        <w:t xml:space="preserve"> due</w:t>
      </w:r>
      <w:r w:rsidR="000F607A" w:rsidRPr="0053136E">
        <w:t xml:space="preserve"> to</w:t>
      </w:r>
      <w:r w:rsidR="001C56A7" w:rsidRPr="0053136E">
        <w:t xml:space="preserve"> inhomogeneity either </w:t>
      </w:r>
      <w:r w:rsidR="00E4574C" w:rsidRPr="0053136E">
        <w:t xml:space="preserve">in </w:t>
      </w:r>
      <w:r w:rsidR="00884CAB" w:rsidRPr="0053136E">
        <w:t xml:space="preserve">the capacity for </w:t>
      </w:r>
      <w:r w:rsidR="001C56A7" w:rsidRPr="0053136E">
        <w:t xml:space="preserve">oxidative defence </w:t>
      </w:r>
      <w:r w:rsidR="00884CAB" w:rsidRPr="0053136E">
        <w:t>or</w:t>
      </w:r>
      <w:r w:rsidR="001C56A7" w:rsidRPr="0053136E">
        <w:t xml:space="preserve"> </w:t>
      </w:r>
      <w:r w:rsidR="00E4574C" w:rsidRPr="0053136E">
        <w:t>in</w:t>
      </w:r>
      <w:r w:rsidR="001C56A7" w:rsidRPr="0053136E">
        <w:t xml:space="preserve"> the</w:t>
      </w:r>
      <w:r w:rsidR="00884CAB" w:rsidRPr="0053136E">
        <w:t xml:space="preserve"> amount of</w:t>
      </w:r>
      <w:r w:rsidR="001C56A7" w:rsidRPr="0053136E">
        <w:t xml:space="preserve"> oxidative </w:t>
      </w:r>
      <w:r w:rsidR="00884CAB" w:rsidRPr="0053136E">
        <w:t>challenge</w:t>
      </w:r>
      <w:r w:rsidR="00500E28" w:rsidRPr="0053136E">
        <w:t xml:space="preserve"> (</w:t>
      </w:r>
      <w:r w:rsidR="00500E28" w:rsidRPr="0053136E">
        <w:rPr>
          <w:b/>
          <w:bCs/>
        </w:rPr>
        <w:t>Supp</w:t>
      </w:r>
      <w:r w:rsidR="009C6AD6" w:rsidRPr="0053136E">
        <w:rPr>
          <w:b/>
          <w:bCs/>
        </w:rPr>
        <w:t>orting</w:t>
      </w:r>
      <w:r w:rsidR="00500E28" w:rsidRPr="0053136E">
        <w:rPr>
          <w:b/>
          <w:bCs/>
        </w:rPr>
        <w:t xml:space="preserve"> Information, S1</w:t>
      </w:r>
      <w:r w:rsidR="00500E28" w:rsidRPr="0053136E">
        <w:t>)</w:t>
      </w:r>
      <w:r w:rsidR="001C56A7" w:rsidRPr="0053136E">
        <w:t>.</w:t>
      </w:r>
      <w:r w:rsidR="00BF29F4" w:rsidRPr="0053136E">
        <w:t xml:space="preserve">  </w:t>
      </w:r>
      <w:r w:rsidR="00E4574C" w:rsidRPr="0053136E">
        <w:t xml:space="preserve">As demonstrated by the </w:t>
      </w:r>
      <w:r w:rsidR="00475D64" w:rsidRPr="0053136E">
        <w:t xml:space="preserve">friction and </w:t>
      </w:r>
      <w:r w:rsidR="00E4574C" w:rsidRPr="0053136E">
        <w:t xml:space="preserve">adhesion maps (Figure </w:t>
      </w:r>
      <w:r w:rsidR="00607B6B" w:rsidRPr="0053136E">
        <w:t>3</w:t>
      </w:r>
      <w:r w:rsidR="00475D64" w:rsidRPr="0053136E">
        <w:t xml:space="preserve">b and </w:t>
      </w:r>
      <w:r w:rsidR="00607B6B" w:rsidRPr="0053136E">
        <w:t>3</w:t>
      </w:r>
      <w:r w:rsidR="00B159CC" w:rsidRPr="0053136E">
        <w:t>e</w:t>
      </w:r>
      <w:r w:rsidR="00E4574C" w:rsidRPr="0053136E">
        <w:t xml:space="preserve">) and adhesion profiles (Figure </w:t>
      </w:r>
      <w:r w:rsidR="00607B6B" w:rsidRPr="0053136E">
        <w:t>4</w:t>
      </w:r>
      <w:r w:rsidR="00E4574C" w:rsidRPr="0053136E">
        <w:t>), o</w:t>
      </w:r>
      <w:r w:rsidR="00BF29F4" w:rsidRPr="0053136E">
        <w:t xml:space="preserve">xidative damage may disturb the lateral homogeneity of lipid across the surface. </w:t>
      </w:r>
      <w:r w:rsidR="0047402F" w:rsidRPr="0053136E">
        <w:t xml:space="preserve"> We propose that </w:t>
      </w:r>
      <w:r w:rsidR="00603067" w:rsidRPr="0053136E">
        <w:t xml:space="preserve">addition of </w:t>
      </w:r>
      <w:r w:rsidR="00406276" w:rsidRPr="0053136E">
        <w:t xml:space="preserve">a </w:t>
      </w:r>
      <w:r w:rsidR="00603067" w:rsidRPr="0053136E">
        <w:t xml:space="preserve">hydrophilic ROS to an otherwise hydrophobic environment </w:t>
      </w:r>
      <w:r w:rsidR="0047402F" w:rsidRPr="0053136E">
        <w:t xml:space="preserve">would </w:t>
      </w:r>
      <w:r w:rsidR="00406276" w:rsidRPr="0053136E">
        <w:t xml:space="preserve">be followed by </w:t>
      </w:r>
      <w:r w:rsidR="00603067" w:rsidRPr="0053136E">
        <w:t>migration of this group to the surface</w:t>
      </w:r>
      <w:r w:rsidR="00406276" w:rsidRPr="0053136E">
        <w:t>,</w:t>
      </w:r>
      <w:r w:rsidR="00603067" w:rsidRPr="0053136E">
        <w:t xml:space="preserve"> with </w:t>
      </w:r>
      <w:r w:rsidR="00406276" w:rsidRPr="0053136E">
        <w:t xml:space="preserve">consequent </w:t>
      </w:r>
      <w:r w:rsidR="00603067" w:rsidRPr="0053136E">
        <w:t xml:space="preserve">disruption to the aliphatic lipid tail. </w:t>
      </w:r>
      <w:r w:rsidR="00406276" w:rsidRPr="0053136E">
        <w:t xml:space="preserve"> </w:t>
      </w:r>
      <w:r w:rsidR="00AE38C5" w:rsidRPr="0053136E">
        <w:t>Thus</w:t>
      </w:r>
      <w:r w:rsidR="00E2746D" w:rsidRPr="0053136E">
        <w:t>,</w:t>
      </w:r>
      <w:r w:rsidR="00603067" w:rsidRPr="0053136E">
        <w:rPr>
          <w:rFonts w:cs="AppleSystemUIFont"/>
        </w:rPr>
        <w:t xml:space="preserve"> oxidative stress </w:t>
      </w:r>
      <w:r w:rsidR="00AE38C5" w:rsidRPr="0053136E">
        <w:rPr>
          <w:rFonts w:cs="AppleSystemUIFont"/>
        </w:rPr>
        <w:t xml:space="preserve">would </w:t>
      </w:r>
      <w:r w:rsidR="00603067" w:rsidRPr="0053136E">
        <w:rPr>
          <w:rFonts w:cs="AppleSystemUIFont"/>
        </w:rPr>
        <w:t xml:space="preserve">result not only in localised exposure of oxygen-containing groups, but also in significant disruption of the membrane, leading to exposure of </w:t>
      </w:r>
      <w:r w:rsidR="00C42547" w:rsidRPr="0053136E">
        <w:rPr>
          <w:rFonts w:cs="AppleSystemUIFont"/>
        </w:rPr>
        <w:t xml:space="preserve">the </w:t>
      </w:r>
      <w:r w:rsidR="00603067" w:rsidRPr="0053136E">
        <w:rPr>
          <w:rFonts w:cs="AppleSystemUIFont"/>
        </w:rPr>
        <w:t>hydrophobic groups</w:t>
      </w:r>
      <w:r w:rsidR="00C42547" w:rsidRPr="0053136E">
        <w:rPr>
          <w:rFonts w:cs="AppleSystemUIFont"/>
        </w:rPr>
        <w:t xml:space="preserve"> of aliphatic lipid tails</w:t>
      </w:r>
      <w:r w:rsidR="00603067" w:rsidRPr="0053136E">
        <w:rPr>
          <w:rFonts w:cs="AppleSystemUIFont"/>
        </w:rPr>
        <w:t xml:space="preserve"> propagating from the site of oxidation</w:t>
      </w:r>
      <w:r w:rsidR="00590D7A" w:rsidRPr="0053136E">
        <w:rPr>
          <w:rFonts w:cs="AppleSystemUIFont"/>
        </w:rPr>
        <w:t xml:space="preserve"> (as is consistent with the </w:t>
      </w:r>
      <w:r w:rsidR="00235AF1" w:rsidRPr="0053136E">
        <w:rPr>
          <w:rFonts w:cs="AppleSystemUIFont"/>
        </w:rPr>
        <w:t xml:space="preserve">experimental </w:t>
      </w:r>
      <w:r w:rsidR="00590D7A" w:rsidRPr="0053136E">
        <w:rPr>
          <w:rFonts w:cs="AppleSystemUIFont"/>
        </w:rPr>
        <w:t>AFM-IR and adhesion measurements)</w:t>
      </w:r>
      <w:r w:rsidR="00603067" w:rsidRPr="0053136E">
        <w:rPr>
          <w:rFonts w:cs="AppleSystemUIFont"/>
        </w:rPr>
        <w:t xml:space="preserve">. </w:t>
      </w:r>
      <w:r w:rsidR="00F34025" w:rsidRPr="0053136E">
        <w:rPr>
          <w:rFonts w:cs="AppleSystemUIFont"/>
        </w:rPr>
        <w:t xml:space="preserve"> </w:t>
      </w:r>
      <w:r w:rsidR="00B224E0" w:rsidRPr="0053136E">
        <w:rPr>
          <w:rFonts w:cs="AppleSystemUIFont"/>
        </w:rPr>
        <w:t xml:space="preserve">These membrane alterations would be expected to occur concurrently with PS lipid exposure and </w:t>
      </w:r>
      <w:r w:rsidR="001E4489" w:rsidRPr="0053136E">
        <w:rPr>
          <w:rFonts w:cs="AppleSystemUIFont"/>
        </w:rPr>
        <w:t xml:space="preserve">so </w:t>
      </w:r>
      <w:r w:rsidR="00B224E0" w:rsidRPr="0053136E">
        <w:rPr>
          <w:rFonts w:cs="AppleSystemUIFont"/>
        </w:rPr>
        <w:t xml:space="preserve">the observed adhesion would result from convolution of the two effects. </w:t>
      </w:r>
      <w:r w:rsidR="0022511E" w:rsidRPr="0053136E">
        <w:t xml:space="preserve">A </w:t>
      </w:r>
      <w:r w:rsidR="00E267D3" w:rsidRPr="0053136E">
        <w:t>schematic</w:t>
      </w:r>
      <w:r w:rsidR="0022511E" w:rsidRPr="0053136E">
        <w:t xml:space="preserve"> version of </w:t>
      </w:r>
      <w:r w:rsidR="00B224E0" w:rsidRPr="0053136E">
        <w:t xml:space="preserve">the </w:t>
      </w:r>
      <w:r w:rsidR="0022511E" w:rsidRPr="0053136E">
        <w:t>mechanism</w:t>
      </w:r>
      <w:r w:rsidR="00B224E0" w:rsidRPr="0053136E">
        <w:t xml:space="preserve"> showing just the oxidative stress</w:t>
      </w:r>
      <w:r w:rsidR="0022511E" w:rsidRPr="0053136E">
        <w:t xml:space="preserve"> is </w:t>
      </w:r>
      <w:r w:rsidR="00E4574C" w:rsidRPr="0053136E">
        <w:t>presented</w:t>
      </w:r>
      <w:r w:rsidR="0022511E" w:rsidRPr="0053136E">
        <w:t xml:space="preserve"> in Figure </w:t>
      </w:r>
      <w:r w:rsidR="00607B6B" w:rsidRPr="0053136E">
        <w:t>5</w:t>
      </w:r>
      <w:r w:rsidR="00433FBF" w:rsidRPr="0053136E">
        <w:t>.</w:t>
      </w:r>
      <w:r w:rsidR="00B224E0" w:rsidRPr="0053136E">
        <w:t xml:space="preserve"> (</w:t>
      </w:r>
      <w:r w:rsidR="001E4489" w:rsidRPr="0053136E">
        <w:t xml:space="preserve">The contribution of </w:t>
      </w:r>
      <w:r w:rsidR="00B224E0" w:rsidRPr="0053136E">
        <w:t xml:space="preserve">PS exposure has been omitted </w:t>
      </w:r>
      <w:r w:rsidR="001E4489" w:rsidRPr="0053136E">
        <w:t xml:space="preserve">as </w:t>
      </w:r>
      <w:r w:rsidR="00B224E0" w:rsidRPr="0053136E">
        <w:t xml:space="preserve">its mechanism </w:t>
      </w:r>
      <w:r w:rsidR="00BE64B2" w:rsidRPr="0053136E">
        <w:t xml:space="preserve">is </w:t>
      </w:r>
      <w:r w:rsidR="00B224E0" w:rsidRPr="0053136E">
        <w:t>well-known</w:t>
      </w:r>
      <w:r w:rsidR="00BE64B2" w:rsidRPr="0053136E">
        <w:t xml:space="preserve"> and straight forward</w:t>
      </w:r>
      <w:r w:rsidR="0022511E" w:rsidRPr="0053136E">
        <w:t>.</w:t>
      </w:r>
      <w:r w:rsidR="00433FBF" w:rsidRPr="0053136E">
        <w:t>)</w:t>
      </w:r>
      <w:r w:rsidR="0022511E" w:rsidRPr="0053136E">
        <w:t xml:space="preserve"> </w:t>
      </w:r>
      <w:r w:rsidR="00603067" w:rsidRPr="0053136E">
        <w:rPr>
          <w:rFonts w:cs="AppleSystemUIFont"/>
        </w:rPr>
        <w:t>Consequently, we hypothesis</w:t>
      </w:r>
      <w:r w:rsidR="0001615D" w:rsidRPr="0053136E">
        <w:rPr>
          <w:rFonts w:cs="AppleSystemUIFont"/>
        </w:rPr>
        <w:t>e</w:t>
      </w:r>
      <w:r w:rsidR="00603067" w:rsidRPr="0053136E">
        <w:rPr>
          <w:rFonts w:cs="AppleSystemUIFont"/>
        </w:rPr>
        <w:t xml:space="preserve"> that a small amount of localised oxidative stress can lead to </w:t>
      </w:r>
      <w:r w:rsidR="00E2746D" w:rsidRPr="0053136E">
        <w:rPr>
          <w:rFonts w:cs="AppleSystemUIFont"/>
        </w:rPr>
        <w:t xml:space="preserve">significant membrane disruption and </w:t>
      </w:r>
      <w:r w:rsidR="00603067" w:rsidRPr="0053136E">
        <w:rPr>
          <w:rFonts w:cs="AppleSystemUIFont"/>
        </w:rPr>
        <w:t>the exposure of both hydrophobic as well as H-bonding groups</w:t>
      </w:r>
      <w:r w:rsidR="0090352F" w:rsidRPr="0053136E">
        <w:rPr>
          <w:rFonts w:cs="AppleSystemUIFont"/>
        </w:rPr>
        <w:t xml:space="preserve"> that can alter the adhesion properties of the membrane to both hydrophilic and hydrophobic </w:t>
      </w:r>
      <w:r w:rsidR="00BE64B2" w:rsidRPr="0053136E">
        <w:rPr>
          <w:rFonts w:cs="AppleSystemUIFont"/>
        </w:rPr>
        <w:t xml:space="preserve">tip </w:t>
      </w:r>
      <w:r w:rsidR="0090352F" w:rsidRPr="0053136E">
        <w:rPr>
          <w:rFonts w:cs="AppleSystemUIFont"/>
        </w:rPr>
        <w:t>functionalities</w:t>
      </w:r>
      <w:r w:rsidR="00603067" w:rsidRPr="0053136E">
        <w:rPr>
          <w:rFonts w:cs="AppleSystemUIFont"/>
        </w:rPr>
        <w:t xml:space="preserve">. </w:t>
      </w:r>
      <w:r w:rsidR="00F34025" w:rsidRPr="0053136E">
        <w:rPr>
          <w:rFonts w:cs="AppleSystemUIFont"/>
        </w:rPr>
        <w:t xml:space="preserve"> </w:t>
      </w:r>
      <w:r w:rsidR="00603067" w:rsidRPr="0053136E">
        <w:rPr>
          <w:rFonts w:cs="AppleSystemUIFont"/>
        </w:rPr>
        <w:t>This would result in a broadening of the adhesion profile</w:t>
      </w:r>
      <w:r w:rsidR="00C31336" w:rsidRPr="0053136E">
        <w:rPr>
          <w:rFonts w:cs="AppleSystemUIFont"/>
        </w:rPr>
        <w:t xml:space="preserve"> </w:t>
      </w:r>
      <w:r w:rsidR="00BE64B2" w:rsidRPr="0053136E">
        <w:rPr>
          <w:rFonts w:cs="AppleSystemUIFont"/>
        </w:rPr>
        <w:t xml:space="preserve">in these regions </w:t>
      </w:r>
      <w:r w:rsidR="00C31336" w:rsidRPr="0053136E">
        <w:rPr>
          <w:rFonts w:cs="AppleSystemUIFont"/>
        </w:rPr>
        <w:t xml:space="preserve">with either </w:t>
      </w:r>
      <w:r w:rsidR="00BE64B2" w:rsidRPr="0053136E">
        <w:rPr>
          <w:rFonts w:cs="AppleSystemUIFont"/>
        </w:rPr>
        <w:t>of the function</w:t>
      </w:r>
      <w:r w:rsidR="00433FBF" w:rsidRPr="0053136E">
        <w:rPr>
          <w:rFonts w:cs="AppleSystemUIFont"/>
        </w:rPr>
        <w:t>alis</w:t>
      </w:r>
      <w:r w:rsidR="00BE64B2" w:rsidRPr="0053136E">
        <w:rPr>
          <w:rFonts w:cs="AppleSystemUIFont"/>
        </w:rPr>
        <w:t xml:space="preserve">ed </w:t>
      </w:r>
      <w:r w:rsidR="00C31336" w:rsidRPr="0053136E">
        <w:rPr>
          <w:rFonts w:cs="AppleSystemUIFont"/>
        </w:rPr>
        <w:t>tip</w:t>
      </w:r>
      <w:r w:rsidR="00BE64B2" w:rsidRPr="0053136E">
        <w:rPr>
          <w:rFonts w:cs="AppleSystemUIFont"/>
        </w:rPr>
        <w:t>s</w:t>
      </w:r>
      <w:r w:rsidR="00433FBF" w:rsidRPr="0053136E">
        <w:rPr>
          <w:rFonts w:cs="AppleSystemUIFont"/>
        </w:rPr>
        <w:t>, in comparison to</w:t>
      </w:r>
      <w:r w:rsidR="00603067" w:rsidRPr="0053136E">
        <w:rPr>
          <w:rFonts w:cs="AppleSystemUIFont"/>
        </w:rPr>
        <w:t xml:space="preserve"> the narrower and quite uniform adhesion noted for </w:t>
      </w:r>
      <w:r w:rsidR="00D42EAA" w:rsidRPr="0053136E">
        <w:rPr>
          <w:rFonts w:cs="AppleSystemUIFont"/>
        </w:rPr>
        <w:t xml:space="preserve">PS </w:t>
      </w:r>
      <w:r w:rsidR="00603067" w:rsidRPr="0053136E">
        <w:rPr>
          <w:rFonts w:cs="AppleSystemUIFont"/>
        </w:rPr>
        <w:t>exposure</w:t>
      </w:r>
      <w:r w:rsidR="00D42EAA" w:rsidRPr="0053136E">
        <w:rPr>
          <w:rFonts w:cs="AppleSystemUIFont"/>
        </w:rPr>
        <w:t xml:space="preserve"> alone</w:t>
      </w:r>
      <w:r w:rsidR="00603067" w:rsidRPr="0053136E">
        <w:rPr>
          <w:rFonts w:cs="AppleSystemUIFont"/>
        </w:rPr>
        <w:t>.</w:t>
      </w:r>
      <w:r w:rsidR="00C31336" w:rsidRPr="0053136E">
        <w:rPr>
          <w:rFonts w:cs="AppleSystemUIFont"/>
        </w:rPr>
        <w:t xml:space="preserve"> </w:t>
      </w:r>
    </w:p>
    <w:p w14:paraId="252CD218" w14:textId="77777777" w:rsidR="0046413A" w:rsidRPr="0046413A" w:rsidRDefault="0046413A" w:rsidP="0046413A"/>
    <w:p w14:paraId="4A71D726" w14:textId="77777777" w:rsidR="0046413A" w:rsidRDefault="0046413A" w:rsidP="0046413A">
      <w:pPr>
        <w:keepNext/>
      </w:pPr>
      <w:r>
        <w:rPr>
          <w:noProof/>
          <w:color w:val="FF0000"/>
          <w:lang w:eastAsia="en-GB"/>
        </w:rPr>
        <w:lastRenderedPageBreak/>
        <w:drawing>
          <wp:inline distT="0" distB="0" distL="0" distR="0" wp14:anchorId="54E73B47" wp14:editId="45D9F76C">
            <wp:extent cx="5727700" cy="4370070"/>
            <wp:effectExtent l="0" t="0" r="0" b="0"/>
            <wp:docPr id="15" name="Picture 15" descr="A close up of a building&#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Oxi Stress Mechanism.png"/>
                    <pic:cNvPicPr/>
                  </pic:nvPicPr>
                  <pic:blipFill>
                    <a:blip r:embed="rId14" cstate="print">
                      <a:extLst>
                        <a:ext uri="{28A0092B-C50C-407E-A947-70E740481C1C}">
                          <a14:useLocalDpi xmlns:a14="http://schemas.microsoft.com/office/drawing/2010/main" val="0"/>
                        </a:ext>
                      </a:extLst>
                    </a:blip>
                    <a:stretch>
                      <a:fillRect/>
                    </a:stretch>
                  </pic:blipFill>
                  <pic:spPr>
                    <a:xfrm>
                      <a:off x="0" y="0"/>
                      <a:ext cx="5727700" cy="4370070"/>
                    </a:xfrm>
                    <a:prstGeom prst="rect">
                      <a:avLst/>
                    </a:prstGeom>
                  </pic:spPr>
                </pic:pic>
              </a:graphicData>
            </a:graphic>
          </wp:inline>
        </w:drawing>
      </w:r>
    </w:p>
    <w:p w14:paraId="0C579BC8" w14:textId="77777777" w:rsidR="0046413A" w:rsidRDefault="0046413A" w:rsidP="0046413A">
      <w:pPr>
        <w:rPr>
          <w:sz w:val="28"/>
          <w:szCs w:val="28"/>
        </w:rPr>
      </w:pPr>
    </w:p>
    <w:p w14:paraId="7BDA461E" w14:textId="55F5C1E6" w:rsidR="00C31336" w:rsidRPr="0046413A" w:rsidRDefault="0046413A" w:rsidP="0046413A">
      <w:pPr>
        <w:rPr>
          <w:i/>
        </w:rPr>
      </w:pPr>
      <w:r w:rsidRPr="0053136E">
        <w:rPr>
          <w:i/>
        </w:rPr>
        <w:t xml:space="preserve">Figure </w:t>
      </w:r>
      <w:r w:rsidRPr="0053136E">
        <w:rPr>
          <w:i/>
        </w:rPr>
        <w:fldChar w:fldCharType="begin"/>
      </w:r>
      <w:r w:rsidRPr="0053136E">
        <w:rPr>
          <w:i/>
        </w:rPr>
        <w:instrText xml:space="preserve"> SEQ Figure \* ARABIC </w:instrText>
      </w:r>
      <w:r w:rsidRPr="0053136E">
        <w:rPr>
          <w:i/>
        </w:rPr>
        <w:fldChar w:fldCharType="separate"/>
      </w:r>
      <w:r w:rsidRPr="0053136E">
        <w:rPr>
          <w:i/>
          <w:noProof/>
        </w:rPr>
        <w:t>5</w:t>
      </w:r>
      <w:r w:rsidRPr="0053136E">
        <w:rPr>
          <w:i/>
        </w:rPr>
        <w:fldChar w:fldCharType="end"/>
      </w:r>
      <w:r w:rsidRPr="0053136E">
        <w:rPr>
          <w:i/>
        </w:rPr>
        <w:t xml:space="preserve">:  Schematic representation of the mechanism proposed for oxidative stress and reaction to a lipid bilayer membrane. This represents only part of the overall change in the membrane and should be considered in combination with PS lipid exposure that has been omitted here for clarity.  Specifically, the mechanism involves the following processes:  (a) ROS appear at the surface of a well-ordered lipid bilayer;  (b) ROS attack at the </w:t>
      </w:r>
      <w:r w:rsidRPr="0053136E">
        <w:rPr>
          <w:i/>
        </w:rPr>
        <w:sym w:font="Symbol" w:char="F061"/>
      </w:r>
      <w:r w:rsidRPr="0053136E">
        <w:rPr>
          <w:i/>
        </w:rPr>
        <w:t xml:space="preserve"> positions to unsaturation forming the most stable intermediate;  (c) this introduces new hydrophilic moieties into an otherwise hydrophobic environment, forcing their migration to the membrane surface (thermodynamic considerations for this spontaneous process are given in Supplementary Information, S4);  and (d) the movement causes direct disordering and kinks in the lipid tail which can also expose hydrophobic functionality at the surface.  (Adapted from previous mechanistic representations, e.g. </w:t>
      </w:r>
      <w:proofErr w:type="spellStart"/>
      <w:r w:rsidRPr="0053136E">
        <w:rPr>
          <w:i/>
        </w:rPr>
        <w:t>Itri</w:t>
      </w:r>
      <w:proofErr w:type="spellEnd"/>
      <w:r w:rsidRPr="0053136E">
        <w:rPr>
          <w:i/>
        </w:rPr>
        <w:t xml:space="preserve"> el al.</w:t>
      </w:r>
      <w:r w:rsidRPr="0053136E">
        <w:rPr>
          <w:i/>
        </w:rPr>
        <w:fldChar w:fldCharType="begin" w:fldLock="1"/>
      </w:r>
      <w:r w:rsidRPr="0053136E">
        <w:rPr>
          <w:i/>
        </w:rPr>
        <w:instrText>ADDIN CSL_CITATION {"citationItems":[{"id":"ITEM-1","itemData":{"DOI":"10.1007/s12551-013-0128-9","ISSN":"18672450","abstract":"Studying photosensitized oxidation of unsaturated phospholipids is of importance for understanding the basic processes underlying photodynamic therapy, photoaging and many other biological dysfunctions. In this review we show that the giant unilamellar vesicle, when used as a simplified model of biological membranes, is a powerful tool to investigate how in situ photogenerated oxidative species impact the phospholipid bilayer. The extent of membrane damage can be modulated by choosing a specific photosensitizer (PS) which is activated by light irradiation and can react by either type I and or type II mechanism. We will show that type II PS generates only singlet oxygen which reacts to the phospholipid acyl double bond. The byproduct thus formed is a lipid hydroperoxide which accumulates in the membrane as a function of singlet oxygen production and induces an increase in its area without significantly affecting membrane permeability. The presence of a lipid hydroperoxide can also play an important role in the formation of the lipid domain for mimetic plasma membranes. Lipid hydroperoxides can be also transformed in shortened chain compounds, such as aldehydes and carboxylic acids, in the presence of a PS that reacts via the type I mechanism. The presence of such byproducts may form hydrophilic pores in the membrane for moderate oxidative stress or promote membrane disruption for massive oxidation. Our results provide a new tool to explore membrane response to an oxidative stress and may have implications in biological signaling of redox misbalance. © 2013 International Union for Pure and Applied Biophysics (IUPAB) and Springer-Verlag Berlin Heidelberg.","author":[{"dropping-particle":"","family":"Itri","given":"Rosangela","non-dropping-particle":"","parse-names":false,"suffix":""},{"dropping-particle":"","family":"Junqueira","given":"Helena C.","non-dropping-particle":"","parse-names":false,"suffix":""},{"dropping-particle":"","family":"Mertins","given":"Omar","non-dropping-particle":"","parse-names":false,"suffix":""},{"dropping-particle":"","family":"Baptista","given":"Maurício S.","non-dropping-particle":"","parse-names":false,"suffix":""}],"container-title":"Biophysical Reviews","id":"ITEM-1","issue":"1","issued":{"date-parts":[["2014"]]},"page":"47-61","title":"Membrane changes under oxidative stress: The impact of oxidized lipids","type":"article","volume":"6"},"uris":["http://www.mendeley.com/documents/?uuid=0fc3c0d4-cf67-4edf-b64b-eb27e7909216"]}],"mendeley":{"formattedCitation":"&lt;sup&gt;36&lt;/sup&gt;","plainTextFormattedCitation":"36","previouslyFormattedCitation":"&lt;sup&gt;38&lt;/sup&gt;"},"properties":{"noteIndex":0},"schema":"https://github.com/citation-style-language/schema/raw/master/csl-citation.json"}</w:instrText>
      </w:r>
      <w:r w:rsidRPr="0053136E">
        <w:rPr>
          <w:i/>
        </w:rPr>
        <w:fldChar w:fldCharType="separate"/>
      </w:r>
      <w:r w:rsidRPr="0053136E">
        <w:rPr>
          <w:noProof/>
          <w:vertAlign w:val="superscript"/>
        </w:rPr>
        <w:t>36</w:t>
      </w:r>
      <w:r w:rsidRPr="0053136E">
        <w:rPr>
          <w:i/>
        </w:rPr>
        <w:fldChar w:fldCharType="end"/>
      </w:r>
      <w:r w:rsidRPr="0053136E">
        <w:rPr>
          <w:i/>
        </w:rPr>
        <w:t>)</w:t>
      </w:r>
    </w:p>
    <w:p w14:paraId="25102A51" w14:textId="78343A51" w:rsidR="00C31336" w:rsidRDefault="00C31336" w:rsidP="009122B6">
      <w:pPr>
        <w:autoSpaceDE w:val="0"/>
        <w:autoSpaceDN w:val="0"/>
        <w:adjustRightInd w:val="0"/>
        <w:rPr>
          <w:b/>
          <w:bCs/>
        </w:rPr>
      </w:pPr>
    </w:p>
    <w:p w14:paraId="06AE2DEA" w14:textId="6324207B" w:rsidR="00C31336" w:rsidRDefault="00C31336" w:rsidP="009122B6">
      <w:pPr>
        <w:autoSpaceDE w:val="0"/>
        <w:autoSpaceDN w:val="0"/>
        <w:adjustRightInd w:val="0"/>
        <w:rPr>
          <w:b/>
          <w:bCs/>
        </w:rPr>
      </w:pPr>
    </w:p>
    <w:p w14:paraId="7BFEEA8B" w14:textId="77777777" w:rsidR="00C31336" w:rsidRPr="00337148" w:rsidRDefault="00C31336" w:rsidP="009122B6">
      <w:pPr>
        <w:autoSpaceDE w:val="0"/>
        <w:autoSpaceDN w:val="0"/>
        <w:adjustRightInd w:val="0"/>
        <w:rPr>
          <w:b/>
          <w:bCs/>
        </w:rPr>
      </w:pPr>
    </w:p>
    <w:p w14:paraId="51C99A56" w14:textId="071C32E8" w:rsidR="009122B6" w:rsidRPr="00C31336" w:rsidRDefault="009122B6" w:rsidP="00C31336">
      <w:pPr>
        <w:pStyle w:val="ListParagraph"/>
        <w:numPr>
          <w:ilvl w:val="0"/>
          <w:numId w:val="7"/>
        </w:numPr>
        <w:autoSpaceDE w:val="0"/>
        <w:autoSpaceDN w:val="0"/>
        <w:adjustRightInd w:val="0"/>
        <w:rPr>
          <w:b/>
          <w:bCs/>
          <w:sz w:val="28"/>
          <w:szCs w:val="28"/>
        </w:rPr>
      </w:pPr>
      <w:r w:rsidRPr="00C31336">
        <w:rPr>
          <w:b/>
          <w:bCs/>
          <w:sz w:val="28"/>
          <w:szCs w:val="28"/>
        </w:rPr>
        <w:t>Conclusion</w:t>
      </w:r>
    </w:p>
    <w:p w14:paraId="3B0E97CF" w14:textId="77777777" w:rsidR="009122B6" w:rsidRPr="00337148" w:rsidRDefault="009122B6" w:rsidP="009122B6">
      <w:pPr>
        <w:autoSpaceDE w:val="0"/>
        <w:autoSpaceDN w:val="0"/>
        <w:adjustRightInd w:val="0"/>
      </w:pPr>
    </w:p>
    <w:p w14:paraId="1FB84B5D" w14:textId="6500C9BB" w:rsidR="003750C7" w:rsidRPr="0046413A" w:rsidRDefault="00A60C01">
      <w:r w:rsidRPr="0046413A">
        <w:t xml:space="preserve">In this study, we have examined the adhesive interactions and spectroscopic changes to the membranes of </w:t>
      </w:r>
      <w:r w:rsidR="00675C22" w:rsidRPr="0046413A">
        <w:t xml:space="preserve">dried </w:t>
      </w:r>
      <w:r w:rsidR="00313FCC" w:rsidRPr="0046413A">
        <w:t>RBCs</w:t>
      </w:r>
      <w:r w:rsidR="001F0C45" w:rsidRPr="0046413A">
        <w:t xml:space="preserve"> from normal individuals and those </w:t>
      </w:r>
      <w:r w:rsidR="00976469" w:rsidRPr="0046413A">
        <w:t>from patients with SCD</w:t>
      </w:r>
      <w:r w:rsidRPr="0046413A">
        <w:t xml:space="preserve"> using the hybrid technique of AFM-IR</w:t>
      </w:r>
      <w:r w:rsidR="00951A90" w:rsidRPr="0046413A">
        <w:t xml:space="preserve"> with gold tips and </w:t>
      </w:r>
      <w:r w:rsidR="00313FCC" w:rsidRPr="0046413A">
        <w:t>with</w:t>
      </w:r>
      <w:r w:rsidR="00951A90" w:rsidRPr="0046413A">
        <w:t xml:space="preserve"> specifically functionalised</w:t>
      </w:r>
      <w:r w:rsidR="00313FCC" w:rsidRPr="0046413A">
        <w:t xml:space="preserve"> tips</w:t>
      </w:r>
      <w:r w:rsidR="00951A90" w:rsidRPr="0046413A">
        <w:t xml:space="preserve"> to </w:t>
      </w:r>
      <w:r w:rsidR="00313FCC" w:rsidRPr="0046413A">
        <w:t>provide</w:t>
      </w:r>
      <w:r w:rsidR="00951A90" w:rsidRPr="0046413A">
        <w:t xml:space="preserve"> hydrophobic (ODT) or hydrophilic (MUA) probes</w:t>
      </w:r>
      <w:r w:rsidRPr="0046413A">
        <w:t xml:space="preserve">. </w:t>
      </w:r>
      <w:r w:rsidR="008A4E8D" w:rsidRPr="0046413A">
        <w:t xml:space="preserve"> </w:t>
      </w:r>
      <w:r w:rsidRPr="0046413A">
        <w:t xml:space="preserve">Significant </w:t>
      </w:r>
      <w:r w:rsidR="002F006E" w:rsidRPr="0046413A">
        <w:t xml:space="preserve">differences and </w:t>
      </w:r>
      <w:r w:rsidRPr="0046413A">
        <w:t xml:space="preserve">changes in adhesion behaviour of </w:t>
      </w:r>
      <w:r w:rsidR="001F0C45" w:rsidRPr="0046413A">
        <w:t>normal</w:t>
      </w:r>
      <w:r w:rsidRPr="0046413A">
        <w:t xml:space="preserve"> and sickle cells</w:t>
      </w:r>
      <w:r w:rsidR="00976469" w:rsidRPr="0046413A">
        <w:t xml:space="preserve"> were observed</w:t>
      </w:r>
      <w:r w:rsidR="00BB0A57" w:rsidRPr="0046413A">
        <w:t xml:space="preserve">. </w:t>
      </w:r>
      <w:r w:rsidR="0096377C" w:rsidRPr="0046413A">
        <w:t xml:space="preserve"> </w:t>
      </w:r>
      <w:r w:rsidR="008C5946" w:rsidRPr="0046413A">
        <w:t>RBCs were exposed to</w:t>
      </w:r>
      <w:r w:rsidR="00876F96" w:rsidRPr="0046413A">
        <w:t xml:space="preserve"> </w:t>
      </w:r>
      <w:r w:rsidR="008C5946" w:rsidRPr="0046413A">
        <w:t xml:space="preserve">and fixed under different oxygenation environments prior to drying and AFM-IR </w:t>
      </w:r>
      <w:r w:rsidR="008C5946" w:rsidRPr="0046413A">
        <w:lastRenderedPageBreak/>
        <w:t>analysis</w:t>
      </w:r>
      <w:r w:rsidR="00876F96" w:rsidRPr="0046413A">
        <w:t>.</w:t>
      </w:r>
      <w:r w:rsidR="008C5946" w:rsidRPr="0046413A">
        <w:t xml:space="preserve"> </w:t>
      </w:r>
      <w:r w:rsidR="00876F96" w:rsidRPr="0046413A">
        <w:t>O</w:t>
      </w:r>
      <w:r w:rsidR="001D320B" w:rsidRPr="0046413A">
        <w:t>n deoxygenation (cf</w:t>
      </w:r>
      <w:r w:rsidR="0060232D" w:rsidRPr="0046413A">
        <w:t>.</w:t>
      </w:r>
      <w:r w:rsidR="001D320B" w:rsidRPr="0046413A">
        <w:t xml:space="preserve"> oxygenation), red cells from both genotypes </w:t>
      </w:r>
      <w:r w:rsidR="001D320B" w:rsidRPr="0046413A">
        <w:rPr>
          <w:rFonts w:cs="AppleSystemUIFont"/>
        </w:rPr>
        <w:t>showed changes consistent with an increase</w:t>
      </w:r>
      <w:r w:rsidR="000B5DFA" w:rsidRPr="0046413A">
        <w:rPr>
          <w:rFonts w:cs="AppleSystemUIFont"/>
        </w:rPr>
        <w:t xml:space="preserve"> in</w:t>
      </w:r>
      <w:r w:rsidR="001D320B" w:rsidRPr="0046413A">
        <w:rPr>
          <w:rFonts w:cs="AppleSystemUIFont"/>
        </w:rPr>
        <w:t xml:space="preserve"> oxidative </w:t>
      </w:r>
      <w:r w:rsidR="000B5DFA" w:rsidRPr="0046413A">
        <w:rPr>
          <w:rFonts w:cs="AppleSystemUIFont"/>
        </w:rPr>
        <w:t>damage</w:t>
      </w:r>
      <w:r w:rsidR="001D320B" w:rsidRPr="0046413A">
        <w:rPr>
          <w:rFonts w:cs="AppleSystemUIFont"/>
        </w:rPr>
        <w:t xml:space="preserve"> and of PS exposure.  Overall, however, r</w:t>
      </w:r>
      <w:r w:rsidR="0096377C" w:rsidRPr="0046413A">
        <w:t>ed cells from SCD patients</w:t>
      </w:r>
      <w:r w:rsidR="00781AAD" w:rsidRPr="0046413A">
        <w:t xml:space="preserve"> were more compromised than those from normal individuals</w:t>
      </w:r>
      <w:r w:rsidR="00311C3E" w:rsidRPr="0046413A">
        <w:t xml:space="preserve">, </w:t>
      </w:r>
      <w:r w:rsidR="008A71F0" w:rsidRPr="0046413A">
        <w:t>especially regarding</w:t>
      </w:r>
      <w:r w:rsidR="00311C3E" w:rsidRPr="0046413A">
        <w:t xml:space="preserve"> oxidative damage to the membrane</w:t>
      </w:r>
      <w:r w:rsidR="00475D64" w:rsidRPr="0046413A">
        <w:t xml:space="preserve"> and hydrophobic lipid tail exposure</w:t>
      </w:r>
      <w:r w:rsidR="0096377C" w:rsidRPr="0046413A">
        <w:rPr>
          <w:rFonts w:cs="AppleSystemUIFont"/>
        </w:rPr>
        <w:t xml:space="preserve">. </w:t>
      </w:r>
      <w:r w:rsidR="00781AAD" w:rsidRPr="0046413A">
        <w:rPr>
          <w:rFonts w:cs="AppleSystemUIFont"/>
        </w:rPr>
        <w:t xml:space="preserve"> </w:t>
      </w:r>
      <w:r w:rsidR="00217D82" w:rsidRPr="0046413A">
        <w:t xml:space="preserve">With these measurements being on RBCs in air, however, there </w:t>
      </w:r>
      <w:r w:rsidR="00876F96" w:rsidRPr="0046413A">
        <w:t>are</w:t>
      </w:r>
      <w:r w:rsidR="00217D82" w:rsidRPr="0046413A">
        <w:t xml:space="preserve"> likely</w:t>
      </w:r>
      <w:r w:rsidR="00876F96" w:rsidRPr="0046413A">
        <w:t xml:space="preserve"> to be</w:t>
      </w:r>
      <w:r w:rsidR="00217D82" w:rsidRPr="0046413A">
        <w:t xml:space="preserve"> some </w:t>
      </w:r>
      <w:r w:rsidR="00876F96" w:rsidRPr="0046413A">
        <w:t>differences c</w:t>
      </w:r>
      <w:r w:rsidR="00217D82" w:rsidRPr="0046413A">
        <w:t>ompared to the physiological environment. Nevertheless, comparisons between similarly treated cells</w:t>
      </w:r>
      <w:r w:rsidRPr="0046413A">
        <w:rPr>
          <w:rFonts w:cs="AppleSystemUIFont"/>
        </w:rPr>
        <w:t xml:space="preserve"> are compatible with previous suggestions about the nature of membrane changes on deoxygenation as well as within SCD itself. </w:t>
      </w:r>
      <w:r w:rsidR="001D320B" w:rsidRPr="0046413A">
        <w:rPr>
          <w:rFonts w:cs="AppleSystemUIFont"/>
        </w:rPr>
        <w:t xml:space="preserve"> </w:t>
      </w:r>
      <w:r w:rsidRPr="0046413A">
        <w:t>By probing the significance of such oxidative stress and PS exposure on cell adhesion</w:t>
      </w:r>
      <w:r w:rsidR="00590D7A" w:rsidRPr="0046413A">
        <w:t>,</w:t>
      </w:r>
      <w:r w:rsidRPr="0046413A">
        <w:t xml:space="preserve"> the current work has provided support for a mechanism for oxidative stress on RBC membranes</w:t>
      </w:r>
      <w:r w:rsidR="00590D7A" w:rsidRPr="0046413A">
        <w:t xml:space="preserve"> whereby oxidative action to the membrane lipids result in migration of hydrophilic oxygen-containing groups to the surface followed by propagating lipid tail disruption and exposure of hydrophobic tail groups.</w:t>
      </w:r>
      <w:r w:rsidR="00217D82" w:rsidRPr="0046413A">
        <w:t xml:space="preserve"> The </w:t>
      </w:r>
      <w:r w:rsidR="004664AF" w:rsidRPr="0046413A">
        <w:t>large</w:t>
      </w:r>
      <w:r w:rsidR="00217D82" w:rsidRPr="0046413A">
        <w:t xml:space="preserve"> observed variations between </w:t>
      </w:r>
      <w:r w:rsidR="004664AF" w:rsidRPr="0046413A">
        <w:t xml:space="preserve">different </w:t>
      </w:r>
      <w:r w:rsidR="00217D82" w:rsidRPr="0046413A">
        <w:t>cell</w:t>
      </w:r>
      <w:r w:rsidR="004664AF" w:rsidRPr="0046413A">
        <w:t xml:space="preserve"> genotypes and oxygenation states</w:t>
      </w:r>
      <w:r w:rsidR="00217D82" w:rsidRPr="0046413A">
        <w:t xml:space="preserve"> demonstrates that a large proportion of the oxidative damage occurs </w:t>
      </w:r>
      <w:r w:rsidR="00217D82" w:rsidRPr="0046413A">
        <w:rPr>
          <w:i/>
          <w:iCs/>
        </w:rPr>
        <w:t>in situ</w:t>
      </w:r>
      <w:r w:rsidR="004664AF" w:rsidRPr="0046413A">
        <w:t xml:space="preserve"> rather than due to air exposure, thus correlating the observations to physiological differences between the cells. S</w:t>
      </w:r>
      <w:r w:rsidR="00590D7A" w:rsidRPr="0046413A">
        <w:t>uch exposure was found to result in significant increases to both membrane friction and adhesion, and hence</w:t>
      </w:r>
      <w:r w:rsidRPr="0046413A">
        <w:t xml:space="preserve"> are significant in the context of </w:t>
      </w:r>
      <w:proofErr w:type="spellStart"/>
      <w:r w:rsidRPr="0046413A">
        <w:t>vaso</w:t>
      </w:r>
      <w:proofErr w:type="spellEnd"/>
      <w:r w:rsidRPr="0046413A">
        <w:t>-occlusion crises and potential SCD treatments.</w:t>
      </w:r>
    </w:p>
    <w:p w14:paraId="65D58B15" w14:textId="4C457EEB" w:rsidR="000D6CED" w:rsidRDefault="000D6CED"/>
    <w:p w14:paraId="2122E0E1" w14:textId="543525BF" w:rsidR="000D6CED" w:rsidRDefault="000D6CED">
      <w:pPr>
        <w:rPr>
          <w:b/>
          <w:bCs/>
          <w:sz w:val="28"/>
          <w:szCs w:val="28"/>
        </w:rPr>
      </w:pPr>
      <w:r w:rsidRPr="000D6CED">
        <w:rPr>
          <w:b/>
          <w:bCs/>
          <w:sz w:val="28"/>
          <w:szCs w:val="28"/>
        </w:rPr>
        <w:t>Acknowledgements</w:t>
      </w:r>
    </w:p>
    <w:p w14:paraId="15F5E4C2" w14:textId="77777777" w:rsidR="000D6CED" w:rsidRPr="000D6CED" w:rsidRDefault="000D6CED">
      <w:pPr>
        <w:rPr>
          <w:b/>
          <w:bCs/>
          <w:sz w:val="28"/>
          <w:szCs w:val="28"/>
        </w:rPr>
      </w:pPr>
    </w:p>
    <w:p w14:paraId="26C49736" w14:textId="781F2545" w:rsidR="000D6CED" w:rsidRDefault="000D6CED" w:rsidP="000D6CED">
      <w:r w:rsidRPr="000D6CED">
        <w:t xml:space="preserve">We are grateful for Unilever R&amp;D and the EPSRC for providing the </w:t>
      </w:r>
      <w:proofErr w:type="spellStart"/>
      <w:r w:rsidRPr="000D6CED">
        <w:t>iCASE</w:t>
      </w:r>
      <w:proofErr w:type="spellEnd"/>
      <w:r w:rsidRPr="000D6CED">
        <w:t xml:space="preserve"> studentship for A. P. F. on Grant EP/R511870/1. </w:t>
      </w:r>
    </w:p>
    <w:p w14:paraId="5DE5CEA3" w14:textId="77777777" w:rsidR="000D6CED" w:rsidRPr="000D6CED" w:rsidRDefault="000D6CED" w:rsidP="000D6CED"/>
    <w:p w14:paraId="48E2A6DC" w14:textId="1555AE30" w:rsidR="000D6CED" w:rsidRDefault="000D6CED">
      <w:pPr>
        <w:rPr>
          <w:b/>
          <w:bCs/>
          <w:sz w:val="28"/>
          <w:szCs w:val="28"/>
        </w:rPr>
      </w:pPr>
      <w:r w:rsidRPr="000D6CED">
        <w:rPr>
          <w:b/>
          <w:bCs/>
          <w:sz w:val="28"/>
          <w:szCs w:val="28"/>
        </w:rPr>
        <w:t>Author Contributions</w:t>
      </w:r>
    </w:p>
    <w:p w14:paraId="2528F502" w14:textId="2F4C1F7A" w:rsidR="00626279" w:rsidRDefault="00626279" w:rsidP="000D6CED"/>
    <w:p w14:paraId="16604551" w14:textId="025FBFC9" w:rsidR="00626279" w:rsidRPr="00626279" w:rsidRDefault="00626279" w:rsidP="00626279">
      <w:pPr>
        <w:rPr>
          <w:lang w:eastAsia="en-GB"/>
        </w:rPr>
      </w:pPr>
      <w:r w:rsidRPr="00626279">
        <w:rPr>
          <w:lang w:eastAsia="en-GB"/>
        </w:rPr>
        <w:t>A.P.F. conducted the experiments, processed and interpreted the results and drafted the manuscript; M.T.L.C. commissioned the instrument, designed the experiments and supervised the acquisition of the data; P.B.D. conceived the project, oversaw the structure of the manuscript and refined the interpretation of the data; J.S.G. prepared the samples, oversaw the data interpretation and refined the manuscript; J.N.B. and D.C.R. undertook sample collection, oversaw the project and revised the structure of and interpretation within the manuscript.</w:t>
      </w:r>
    </w:p>
    <w:p w14:paraId="664A95CD" w14:textId="77777777" w:rsidR="000D6CED" w:rsidRPr="000D6CED" w:rsidRDefault="000D6CED" w:rsidP="000D6CED"/>
    <w:p w14:paraId="56CB1632" w14:textId="77777777" w:rsidR="003750C7" w:rsidRDefault="003750C7"/>
    <w:p w14:paraId="56BCE892" w14:textId="77777777" w:rsidR="003750C7" w:rsidRPr="00DD7E42" w:rsidRDefault="003750C7">
      <w:pPr>
        <w:rPr>
          <w:b/>
          <w:bCs/>
          <w:sz w:val="28"/>
          <w:szCs w:val="28"/>
        </w:rPr>
      </w:pPr>
      <w:r w:rsidRPr="00DD7E42">
        <w:rPr>
          <w:b/>
          <w:bCs/>
          <w:sz w:val="28"/>
          <w:szCs w:val="28"/>
        </w:rPr>
        <w:t>References</w:t>
      </w:r>
    </w:p>
    <w:p w14:paraId="4B9FD9C4" w14:textId="77777777" w:rsidR="003750C7" w:rsidRDefault="003750C7"/>
    <w:p w14:paraId="34355F46" w14:textId="46917F42" w:rsidR="00D37D3A" w:rsidRPr="00D37D3A" w:rsidRDefault="003750C7" w:rsidP="00D37D3A">
      <w:pPr>
        <w:widowControl w:val="0"/>
        <w:autoSpaceDE w:val="0"/>
        <w:autoSpaceDN w:val="0"/>
        <w:adjustRightInd w:val="0"/>
        <w:ind w:left="640" w:hanging="640"/>
        <w:rPr>
          <w:rFonts w:ascii="Calibri" w:hAnsi="Calibri" w:cs="Calibri"/>
          <w:noProof/>
        </w:rPr>
      </w:pPr>
      <w:r>
        <w:fldChar w:fldCharType="begin" w:fldLock="1"/>
      </w:r>
      <w:r>
        <w:instrText xml:space="preserve">ADDIN Mendeley Bibliography CSL_BIBLIOGRAPHY </w:instrText>
      </w:r>
      <w:r>
        <w:fldChar w:fldCharType="separate"/>
      </w:r>
      <w:r w:rsidR="00D37D3A" w:rsidRPr="00D37D3A">
        <w:rPr>
          <w:rFonts w:ascii="Calibri" w:hAnsi="Calibri" w:cs="Calibri"/>
          <w:noProof/>
        </w:rPr>
        <w:t>1.</w:t>
      </w:r>
      <w:r w:rsidR="00D37D3A" w:rsidRPr="00D37D3A">
        <w:rPr>
          <w:rFonts w:ascii="Calibri" w:hAnsi="Calibri" w:cs="Calibri"/>
          <w:noProof/>
        </w:rPr>
        <w:tab/>
        <w:t xml:space="preserve">Lux, S. E. Anatomy of the red cell membrane skeleton: Unanswered questions. </w:t>
      </w:r>
      <w:r w:rsidR="00D37D3A" w:rsidRPr="00D37D3A">
        <w:rPr>
          <w:rFonts w:ascii="Calibri" w:hAnsi="Calibri" w:cs="Calibri"/>
          <w:i/>
          <w:iCs/>
          <w:noProof/>
        </w:rPr>
        <w:t>Blood</w:t>
      </w:r>
      <w:r w:rsidR="00D37D3A" w:rsidRPr="00D37D3A">
        <w:rPr>
          <w:rFonts w:ascii="Calibri" w:hAnsi="Calibri" w:cs="Calibri"/>
          <w:noProof/>
        </w:rPr>
        <w:t xml:space="preserve"> </w:t>
      </w:r>
      <w:r w:rsidR="00D37D3A" w:rsidRPr="00D37D3A">
        <w:rPr>
          <w:rFonts w:ascii="Calibri" w:hAnsi="Calibri" w:cs="Calibri"/>
          <w:b/>
          <w:bCs/>
          <w:noProof/>
        </w:rPr>
        <w:t>127</w:t>
      </w:r>
      <w:r w:rsidR="00D37D3A" w:rsidRPr="00D37D3A">
        <w:rPr>
          <w:rFonts w:ascii="Calibri" w:hAnsi="Calibri" w:cs="Calibri"/>
          <w:noProof/>
        </w:rPr>
        <w:t>, 187–199 (2016).</w:t>
      </w:r>
    </w:p>
    <w:p w14:paraId="7E94C67C" w14:textId="77777777" w:rsidR="00D37D3A" w:rsidRPr="00D37D3A" w:rsidRDefault="00D37D3A" w:rsidP="00D37D3A">
      <w:pPr>
        <w:widowControl w:val="0"/>
        <w:autoSpaceDE w:val="0"/>
        <w:autoSpaceDN w:val="0"/>
        <w:adjustRightInd w:val="0"/>
        <w:ind w:left="640" w:hanging="640"/>
        <w:rPr>
          <w:rFonts w:ascii="Calibri" w:hAnsi="Calibri" w:cs="Calibri"/>
          <w:noProof/>
        </w:rPr>
      </w:pPr>
      <w:r w:rsidRPr="00D37D3A">
        <w:rPr>
          <w:rFonts w:ascii="Calibri" w:hAnsi="Calibri" w:cs="Calibri"/>
          <w:noProof/>
        </w:rPr>
        <w:t>2.</w:t>
      </w:r>
      <w:r w:rsidRPr="00D37D3A">
        <w:rPr>
          <w:rFonts w:ascii="Calibri" w:hAnsi="Calibri" w:cs="Calibri"/>
          <w:noProof/>
        </w:rPr>
        <w:tab/>
        <w:t xml:space="preserve">D’Alessandro, A., Hansen, K. C., Eisenmesser, E. Z. &amp; Zimring, J. C. Protect, repair, destroy or sacrifice: A role of oxidative stress biology in inter-donor variability of blood storage? </w:t>
      </w:r>
      <w:r w:rsidRPr="00D37D3A">
        <w:rPr>
          <w:rFonts w:ascii="Calibri" w:hAnsi="Calibri" w:cs="Calibri"/>
          <w:i/>
          <w:iCs/>
          <w:noProof/>
        </w:rPr>
        <w:t>Blood Transfus.</w:t>
      </w:r>
      <w:r w:rsidRPr="00D37D3A">
        <w:rPr>
          <w:rFonts w:ascii="Calibri" w:hAnsi="Calibri" w:cs="Calibri"/>
          <w:noProof/>
        </w:rPr>
        <w:t xml:space="preserve"> </w:t>
      </w:r>
      <w:r w:rsidRPr="00D37D3A">
        <w:rPr>
          <w:rFonts w:ascii="Calibri" w:hAnsi="Calibri" w:cs="Calibri"/>
          <w:b/>
          <w:bCs/>
          <w:noProof/>
        </w:rPr>
        <w:t>17</w:t>
      </w:r>
      <w:r w:rsidRPr="00D37D3A">
        <w:rPr>
          <w:rFonts w:ascii="Calibri" w:hAnsi="Calibri" w:cs="Calibri"/>
          <w:noProof/>
        </w:rPr>
        <w:t>, 281–288 (2019).</w:t>
      </w:r>
    </w:p>
    <w:p w14:paraId="2C8F7CE2" w14:textId="77777777" w:rsidR="00D37D3A" w:rsidRPr="00D37D3A" w:rsidRDefault="00D37D3A" w:rsidP="00D37D3A">
      <w:pPr>
        <w:widowControl w:val="0"/>
        <w:autoSpaceDE w:val="0"/>
        <w:autoSpaceDN w:val="0"/>
        <w:adjustRightInd w:val="0"/>
        <w:ind w:left="640" w:hanging="640"/>
        <w:rPr>
          <w:rFonts w:ascii="Calibri" w:hAnsi="Calibri" w:cs="Calibri"/>
          <w:noProof/>
        </w:rPr>
      </w:pPr>
      <w:r w:rsidRPr="00D37D3A">
        <w:rPr>
          <w:rFonts w:ascii="Calibri" w:hAnsi="Calibri" w:cs="Calibri"/>
          <w:noProof/>
        </w:rPr>
        <w:t>3.</w:t>
      </w:r>
      <w:r w:rsidRPr="00D37D3A">
        <w:rPr>
          <w:rFonts w:ascii="Calibri" w:hAnsi="Calibri" w:cs="Calibri"/>
          <w:noProof/>
        </w:rPr>
        <w:tab/>
        <w:t xml:space="preserve">Petibois, C. &amp; Déléris, G. Oxidative stress effects on erythrocytes determined by FT-IR spectrometry. </w:t>
      </w:r>
      <w:r w:rsidRPr="00D37D3A">
        <w:rPr>
          <w:rFonts w:ascii="Calibri" w:hAnsi="Calibri" w:cs="Calibri"/>
          <w:i/>
          <w:iCs/>
          <w:noProof/>
        </w:rPr>
        <w:t>Analyst</w:t>
      </w:r>
      <w:r w:rsidRPr="00D37D3A">
        <w:rPr>
          <w:rFonts w:ascii="Calibri" w:hAnsi="Calibri" w:cs="Calibri"/>
          <w:noProof/>
        </w:rPr>
        <w:t xml:space="preserve"> </w:t>
      </w:r>
      <w:r w:rsidRPr="00D37D3A">
        <w:rPr>
          <w:rFonts w:ascii="Calibri" w:hAnsi="Calibri" w:cs="Calibri"/>
          <w:b/>
          <w:bCs/>
          <w:noProof/>
        </w:rPr>
        <w:t>129</w:t>
      </w:r>
      <w:r w:rsidRPr="00D37D3A">
        <w:rPr>
          <w:rFonts w:ascii="Calibri" w:hAnsi="Calibri" w:cs="Calibri"/>
          <w:noProof/>
        </w:rPr>
        <w:t>, 912–916 (2004).</w:t>
      </w:r>
    </w:p>
    <w:p w14:paraId="17B6AB11" w14:textId="77777777" w:rsidR="00D37D3A" w:rsidRPr="00D37D3A" w:rsidRDefault="00D37D3A" w:rsidP="00D37D3A">
      <w:pPr>
        <w:widowControl w:val="0"/>
        <w:autoSpaceDE w:val="0"/>
        <w:autoSpaceDN w:val="0"/>
        <w:adjustRightInd w:val="0"/>
        <w:ind w:left="640" w:hanging="640"/>
        <w:rPr>
          <w:rFonts w:ascii="Calibri" w:hAnsi="Calibri" w:cs="Calibri"/>
          <w:noProof/>
        </w:rPr>
      </w:pPr>
      <w:r w:rsidRPr="00D37D3A">
        <w:rPr>
          <w:rFonts w:ascii="Calibri" w:hAnsi="Calibri" w:cs="Calibri"/>
          <w:noProof/>
        </w:rPr>
        <w:t>4.</w:t>
      </w:r>
      <w:r w:rsidRPr="00D37D3A">
        <w:rPr>
          <w:rFonts w:ascii="Calibri" w:hAnsi="Calibri" w:cs="Calibri"/>
          <w:noProof/>
        </w:rPr>
        <w:tab/>
        <w:t xml:space="preserve">Mohanty, J. G., Nagababu, E. &amp; Rifkind, J. M. Red blood cell oxidative stress impairs oxygen delivery and induces red blood cell aging. </w:t>
      </w:r>
      <w:r w:rsidRPr="00D37D3A">
        <w:rPr>
          <w:rFonts w:ascii="Calibri" w:hAnsi="Calibri" w:cs="Calibri"/>
          <w:i/>
          <w:iCs/>
          <w:noProof/>
        </w:rPr>
        <w:t>Front. Physiol.</w:t>
      </w:r>
      <w:r w:rsidRPr="00D37D3A">
        <w:rPr>
          <w:rFonts w:ascii="Calibri" w:hAnsi="Calibri" w:cs="Calibri"/>
          <w:noProof/>
        </w:rPr>
        <w:t xml:space="preserve"> </w:t>
      </w:r>
      <w:r w:rsidRPr="00D37D3A">
        <w:rPr>
          <w:rFonts w:ascii="Calibri" w:hAnsi="Calibri" w:cs="Calibri"/>
          <w:b/>
          <w:bCs/>
          <w:noProof/>
        </w:rPr>
        <w:t>5</w:t>
      </w:r>
      <w:r w:rsidRPr="00D37D3A">
        <w:rPr>
          <w:rFonts w:ascii="Calibri" w:hAnsi="Calibri" w:cs="Calibri"/>
          <w:noProof/>
        </w:rPr>
        <w:t>, (2014).</w:t>
      </w:r>
    </w:p>
    <w:p w14:paraId="55CD7128" w14:textId="77777777" w:rsidR="00D37D3A" w:rsidRPr="00876F96" w:rsidRDefault="00D37D3A" w:rsidP="00D37D3A">
      <w:pPr>
        <w:widowControl w:val="0"/>
        <w:autoSpaceDE w:val="0"/>
        <w:autoSpaceDN w:val="0"/>
        <w:adjustRightInd w:val="0"/>
        <w:ind w:left="640" w:hanging="640"/>
        <w:rPr>
          <w:rFonts w:ascii="Calibri" w:hAnsi="Calibri" w:cs="Calibri"/>
          <w:noProof/>
          <w:lang w:val="fr-FR"/>
        </w:rPr>
      </w:pPr>
      <w:r w:rsidRPr="00D37D3A">
        <w:rPr>
          <w:rFonts w:ascii="Calibri" w:hAnsi="Calibri" w:cs="Calibri"/>
          <w:noProof/>
        </w:rPr>
        <w:lastRenderedPageBreak/>
        <w:t>5.</w:t>
      </w:r>
      <w:r w:rsidRPr="00D37D3A">
        <w:rPr>
          <w:rFonts w:ascii="Calibri" w:hAnsi="Calibri" w:cs="Calibri"/>
          <w:noProof/>
        </w:rPr>
        <w:tab/>
        <w:t xml:space="preserve">Rees, D. C., Williams, T. N. &amp; Gladwin, M. T. Sickle-cell disease. </w:t>
      </w:r>
      <w:r w:rsidRPr="00876F96">
        <w:rPr>
          <w:rFonts w:ascii="Calibri" w:hAnsi="Calibri" w:cs="Calibri"/>
          <w:i/>
          <w:iCs/>
          <w:noProof/>
          <w:lang w:val="fr-FR"/>
        </w:rPr>
        <w:t>Lancet</w:t>
      </w:r>
      <w:r w:rsidRPr="00876F96">
        <w:rPr>
          <w:rFonts w:ascii="Calibri" w:hAnsi="Calibri" w:cs="Calibri"/>
          <w:noProof/>
          <w:lang w:val="fr-FR"/>
        </w:rPr>
        <w:t xml:space="preserve"> </w:t>
      </w:r>
      <w:r w:rsidRPr="00876F96">
        <w:rPr>
          <w:rFonts w:ascii="Calibri" w:hAnsi="Calibri" w:cs="Calibri"/>
          <w:b/>
          <w:bCs/>
          <w:noProof/>
          <w:lang w:val="fr-FR"/>
        </w:rPr>
        <w:t>376</w:t>
      </w:r>
      <w:r w:rsidRPr="00876F96">
        <w:rPr>
          <w:rFonts w:ascii="Calibri" w:hAnsi="Calibri" w:cs="Calibri"/>
          <w:noProof/>
          <w:lang w:val="fr-FR"/>
        </w:rPr>
        <w:t>, 2018–2031 (2010).</w:t>
      </w:r>
    </w:p>
    <w:p w14:paraId="457AFE65" w14:textId="77777777" w:rsidR="00D37D3A" w:rsidRPr="00D37D3A" w:rsidRDefault="00D37D3A" w:rsidP="00D37D3A">
      <w:pPr>
        <w:widowControl w:val="0"/>
        <w:autoSpaceDE w:val="0"/>
        <w:autoSpaceDN w:val="0"/>
        <w:adjustRightInd w:val="0"/>
        <w:ind w:left="640" w:hanging="640"/>
        <w:rPr>
          <w:rFonts w:ascii="Calibri" w:hAnsi="Calibri" w:cs="Calibri"/>
          <w:noProof/>
        </w:rPr>
      </w:pPr>
      <w:r w:rsidRPr="00876F96">
        <w:rPr>
          <w:rFonts w:ascii="Calibri" w:hAnsi="Calibri" w:cs="Calibri"/>
          <w:noProof/>
          <w:lang w:val="fr-FR"/>
        </w:rPr>
        <w:t>6.</w:t>
      </w:r>
      <w:r w:rsidRPr="00876F96">
        <w:rPr>
          <w:rFonts w:ascii="Calibri" w:hAnsi="Calibri" w:cs="Calibri"/>
          <w:noProof/>
          <w:lang w:val="fr-FR"/>
        </w:rPr>
        <w:tab/>
        <w:t xml:space="preserve">Piel, F. B. Distribution géographique de la drépanocytose en 2010. </w:t>
      </w:r>
      <w:r w:rsidRPr="00D37D3A">
        <w:rPr>
          <w:rFonts w:ascii="Calibri" w:hAnsi="Calibri" w:cs="Calibri"/>
          <w:i/>
          <w:iCs/>
          <w:noProof/>
        </w:rPr>
        <w:t>Medecine/Sciences</w:t>
      </w:r>
      <w:r w:rsidRPr="00D37D3A">
        <w:rPr>
          <w:rFonts w:ascii="Calibri" w:hAnsi="Calibri" w:cs="Calibri"/>
          <w:noProof/>
        </w:rPr>
        <w:t xml:space="preserve"> </w:t>
      </w:r>
      <w:r w:rsidRPr="00D37D3A">
        <w:rPr>
          <w:rFonts w:ascii="Calibri" w:hAnsi="Calibri" w:cs="Calibri"/>
          <w:b/>
          <w:bCs/>
          <w:noProof/>
        </w:rPr>
        <w:t>29</w:t>
      </w:r>
      <w:r w:rsidRPr="00D37D3A">
        <w:rPr>
          <w:rFonts w:ascii="Calibri" w:hAnsi="Calibri" w:cs="Calibri"/>
          <w:noProof/>
        </w:rPr>
        <w:t>, 965–967 (2013).</w:t>
      </w:r>
    </w:p>
    <w:p w14:paraId="1A7E53FE" w14:textId="77777777" w:rsidR="00D37D3A" w:rsidRPr="00D37D3A" w:rsidRDefault="00D37D3A" w:rsidP="00D37D3A">
      <w:pPr>
        <w:widowControl w:val="0"/>
        <w:autoSpaceDE w:val="0"/>
        <w:autoSpaceDN w:val="0"/>
        <w:adjustRightInd w:val="0"/>
        <w:ind w:left="640" w:hanging="640"/>
        <w:rPr>
          <w:rFonts w:ascii="Calibri" w:hAnsi="Calibri" w:cs="Calibri"/>
          <w:noProof/>
        </w:rPr>
      </w:pPr>
      <w:r w:rsidRPr="00D37D3A">
        <w:rPr>
          <w:rFonts w:ascii="Calibri" w:hAnsi="Calibri" w:cs="Calibri"/>
          <w:noProof/>
        </w:rPr>
        <w:t>7.</w:t>
      </w:r>
      <w:r w:rsidRPr="00D37D3A">
        <w:rPr>
          <w:rFonts w:ascii="Calibri" w:hAnsi="Calibri" w:cs="Calibri"/>
          <w:noProof/>
        </w:rPr>
        <w:tab/>
        <w:t xml:space="preserve">Bunn, H. F. &amp; Forget, B. G. </w:t>
      </w:r>
      <w:r w:rsidRPr="00D37D3A">
        <w:rPr>
          <w:rFonts w:ascii="Calibri" w:hAnsi="Calibri" w:cs="Calibri"/>
          <w:i/>
          <w:iCs/>
          <w:noProof/>
        </w:rPr>
        <w:t>Hemoglobin: Molecular, Genetic and Clinical Aspects</w:t>
      </w:r>
      <w:r w:rsidRPr="00D37D3A">
        <w:rPr>
          <w:rFonts w:ascii="Calibri" w:hAnsi="Calibri" w:cs="Calibri"/>
          <w:noProof/>
        </w:rPr>
        <w:t>. (Saunders, 1986).</w:t>
      </w:r>
    </w:p>
    <w:p w14:paraId="7B68EEF1" w14:textId="77777777" w:rsidR="00D37D3A" w:rsidRPr="00D37D3A" w:rsidRDefault="00D37D3A" w:rsidP="00D37D3A">
      <w:pPr>
        <w:widowControl w:val="0"/>
        <w:autoSpaceDE w:val="0"/>
        <w:autoSpaceDN w:val="0"/>
        <w:adjustRightInd w:val="0"/>
        <w:ind w:left="640" w:hanging="640"/>
        <w:rPr>
          <w:rFonts w:ascii="Calibri" w:hAnsi="Calibri" w:cs="Calibri"/>
          <w:noProof/>
        </w:rPr>
      </w:pPr>
      <w:r w:rsidRPr="00D37D3A">
        <w:rPr>
          <w:rFonts w:ascii="Calibri" w:hAnsi="Calibri" w:cs="Calibri"/>
          <w:noProof/>
        </w:rPr>
        <w:t>8.</w:t>
      </w:r>
      <w:r w:rsidRPr="00D37D3A">
        <w:rPr>
          <w:rFonts w:ascii="Calibri" w:hAnsi="Calibri" w:cs="Calibri"/>
          <w:noProof/>
        </w:rPr>
        <w:tab/>
        <w:t xml:space="preserve">Christoph, G. W., Hofrichter, J. &amp; Eaton, W. A. Understanding the shape of sickled red cells. </w:t>
      </w:r>
      <w:r w:rsidRPr="00D37D3A">
        <w:rPr>
          <w:rFonts w:ascii="Calibri" w:hAnsi="Calibri" w:cs="Calibri"/>
          <w:i/>
          <w:iCs/>
          <w:noProof/>
        </w:rPr>
        <w:t>Biophys. J.</w:t>
      </w:r>
      <w:r w:rsidRPr="00D37D3A">
        <w:rPr>
          <w:rFonts w:ascii="Calibri" w:hAnsi="Calibri" w:cs="Calibri"/>
          <w:noProof/>
        </w:rPr>
        <w:t xml:space="preserve"> </w:t>
      </w:r>
      <w:r w:rsidRPr="00D37D3A">
        <w:rPr>
          <w:rFonts w:ascii="Calibri" w:hAnsi="Calibri" w:cs="Calibri"/>
          <w:b/>
          <w:bCs/>
          <w:noProof/>
        </w:rPr>
        <w:t>88</w:t>
      </w:r>
      <w:r w:rsidRPr="00D37D3A">
        <w:rPr>
          <w:rFonts w:ascii="Calibri" w:hAnsi="Calibri" w:cs="Calibri"/>
          <w:noProof/>
        </w:rPr>
        <w:t>, 1371–1376 (2005).</w:t>
      </w:r>
    </w:p>
    <w:p w14:paraId="03A3922F" w14:textId="77777777" w:rsidR="00D37D3A" w:rsidRPr="00D37D3A" w:rsidRDefault="00D37D3A" w:rsidP="00D37D3A">
      <w:pPr>
        <w:widowControl w:val="0"/>
        <w:autoSpaceDE w:val="0"/>
        <w:autoSpaceDN w:val="0"/>
        <w:adjustRightInd w:val="0"/>
        <w:ind w:left="640" w:hanging="640"/>
        <w:rPr>
          <w:rFonts w:ascii="Calibri" w:hAnsi="Calibri" w:cs="Calibri"/>
          <w:noProof/>
        </w:rPr>
      </w:pPr>
      <w:r w:rsidRPr="00D37D3A">
        <w:rPr>
          <w:rFonts w:ascii="Calibri" w:hAnsi="Calibri" w:cs="Calibri"/>
          <w:noProof/>
        </w:rPr>
        <w:t>9.</w:t>
      </w:r>
      <w:r w:rsidRPr="00D37D3A">
        <w:rPr>
          <w:rFonts w:ascii="Calibri" w:hAnsi="Calibri" w:cs="Calibri"/>
          <w:noProof/>
        </w:rPr>
        <w:tab/>
        <w:t xml:space="preserve">Haest, C. W. M. Distribution and Movement of Membrane Lipids. in </w:t>
      </w:r>
      <w:r w:rsidRPr="00D37D3A">
        <w:rPr>
          <w:rFonts w:ascii="Calibri" w:hAnsi="Calibri" w:cs="Calibri"/>
          <w:i/>
          <w:iCs/>
          <w:noProof/>
        </w:rPr>
        <w:t>Red Cell Membrane Transport in Health and Disease</w:t>
      </w:r>
      <w:r w:rsidRPr="00D37D3A">
        <w:rPr>
          <w:rFonts w:ascii="Calibri" w:hAnsi="Calibri" w:cs="Calibri"/>
          <w:noProof/>
        </w:rPr>
        <w:t xml:space="preserve"> (2003). doi:10.1007/978-3-662-05181-8_1</w:t>
      </w:r>
    </w:p>
    <w:p w14:paraId="352BC7A7" w14:textId="77777777" w:rsidR="00D37D3A" w:rsidRPr="00D37D3A" w:rsidRDefault="00D37D3A" w:rsidP="00D37D3A">
      <w:pPr>
        <w:widowControl w:val="0"/>
        <w:autoSpaceDE w:val="0"/>
        <w:autoSpaceDN w:val="0"/>
        <w:adjustRightInd w:val="0"/>
        <w:ind w:left="640" w:hanging="640"/>
        <w:rPr>
          <w:rFonts w:ascii="Calibri" w:hAnsi="Calibri" w:cs="Calibri"/>
          <w:noProof/>
        </w:rPr>
      </w:pPr>
      <w:r w:rsidRPr="00876F96">
        <w:rPr>
          <w:rFonts w:ascii="Calibri" w:hAnsi="Calibri" w:cs="Calibri"/>
          <w:noProof/>
          <w:lang w:val="nl-NL"/>
        </w:rPr>
        <w:t>10.</w:t>
      </w:r>
      <w:r w:rsidRPr="00876F96">
        <w:rPr>
          <w:rFonts w:ascii="Calibri" w:hAnsi="Calibri" w:cs="Calibri"/>
          <w:noProof/>
          <w:lang w:val="nl-NL"/>
        </w:rPr>
        <w:tab/>
        <w:t xml:space="preserve">Wesseling, M. C. </w:t>
      </w:r>
      <w:r w:rsidRPr="00876F96">
        <w:rPr>
          <w:rFonts w:ascii="Calibri" w:hAnsi="Calibri" w:cs="Calibri"/>
          <w:i/>
          <w:iCs/>
          <w:noProof/>
          <w:lang w:val="nl-NL"/>
        </w:rPr>
        <w:t>et al.</w:t>
      </w:r>
      <w:r w:rsidRPr="00876F96">
        <w:rPr>
          <w:rFonts w:ascii="Calibri" w:hAnsi="Calibri" w:cs="Calibri"/>
          <w:noProof/>
          <w:lang w:val="nl-NL"/>
        </w:rPr>
        <w:t xml:space="preserve"> </w:t>
      </w:r>
      <w:r w:rsidRPr="00D37D3A">
        <w:rPr>
          <w:rFonts w:ascii="Calibri" w:hAnsi="Calibri" w:cs="Calibri"/>
          <w:noProof/>
        </w:rPr>
        <w:t xml:space="preserve">Phosphatidylserine exposure in human red blood cells depending on cell age. </w:t>
      </w:r>
      <w:r w:rsidRPr="00D37D3A">
        <w:rPr>
          <w:rFonts w:ascii="Calibri" w:hAnsi="Calibri" w:cs="Calibri"/>
          <w:i/>
          <w:iCs/>
          <w:noProof/>
        </w:rPr>
        <w:t>Cell. Physiol. Biochem.</w:t>
      </w:r>
      <w:r w:rsidRPr="00D37D3A">
        <w:rPr>
          <w:rFonts w:ascii="Calibri" w:hAnsi="Calibri" w:cs="Calibri"/>
          <w:noProof/>
        </w:rPr>
        <w:t xml:space="preserve"> </w:t>
      </w:r>
      <w:r w:rsidRPr="00D37D3A">
        <w:rPr>
          <w:rFonts w:ascii="Calibri" w:hAnsi="Calibri" w:cs="Calibri"/>
          <w:b/>
          <w:bCs/>
          <w:noProof/>
        </w:rPr>
        <w:t>38</w:t>
      </w:r>
      <w:r w:rsidRPr="00D37D3A">
        <w:rPr>
          <w:rFonts w:ascii="Calibri" w:hAnsi="Calibri" w:cs="Calibri"/>
          <w:noProof/>
        </w:rPr>
        <w:t>, 1376–1390 (2016).</w:t>
      </w:r>
    </w:p>
    <w:p w14:paraId="6B971C72" w14:textId="77777777" w:rsidR="00D37D3A" w:rsidRPr="00D37D3A" w:rsidRDefault="00D37D3A" w:rsidP="00D37D3A">
      <w:pPr>
        <w:widowControl w:val="0"/>
        <w:autoSpaceDE w:val="0"/>
        <w:autoSpaceDN w:val="0"/>
        <w:adjustRightInd w:val="0"/>
        <w:ind w:left="640" w:hanging="640"/>
        <w:rPr>
          <w:rFonts w:ascii="Calibri" w:hAnsi="Calibri" w:cs="Calibri"/>
          <w:noProof/>
        </w:rPr>
      </w:pPr>
      <w:r w:rsidRPr="00D37D3A">
        <w:rPr>
          <w:rFonts w:ascii="Calibri" w:hAnsi="Calibri" w:cs="Calibri"/>
          <w:noProof/>
        </w:rPr>
        <w:t>11.</w:t>
      </w:r>
      <w:r w:rsidRPr="00D37D3A">
        <w:rPr>
          <w:rFonts w:ascii="Calibri" w:hAnsi="Calibri" w:cs="Calibri"/>
          <w:noProof/>
        </w:rPr>
        <w:tab/>
        <w:t xml:space="preserve">Hannemann, A. </w:t>
      </w:r>
      <w:r w:rsidRPr="00D37D3A">
        <w:rPr>
          <w:rFonts w:ascii="Calibri" w:hAnsi="Calibri" w:cs="Calibri"/>
          <w:i/>
          <w:iCs/>
          <w:noProof/>
        </w:rPr>
        <w:t>et al.</w:t>
      </w:r>
      <w:r w:rsidRPr="00D37D3A">
        <w:rPr>
          <w:rFonts w:ascii="Calibri" w:hAnsi="Calibri" w:cs="Calibri"/>
          <w:noProof/>
        </w:rPr>
        <w:t xml:space="preserve"> Oxidative stress and phosphatidylserine exposure in red cells from patients with sickle cell anaemia. </w:t>
      </w:r>
      <w:r w:rsidRPr="00D37D3A">
        <w:rPr>
          <w:rFonts w:ascii="Calibri" w:hAnsi="Calibri" w:cs="Calibri"/>
          <w:i/>
          <w:iCs/>
          <w:noProof/>
        </w:rPr>
        <w:t>Br. J. Haematol.</w:t>
      </w:r>
      <w:r w:rsidRPr="00D37D3A">
        <w:rPr>
          <w:rFonts w:ascii="Calibri" w:hAnsi="Calibri" w:cs="Calibri"/>
          <w:noProof/>
        </w:rPr>
        <w:t xml:space="preserve"> </w:t>
      </w:r>
      <w:r w:rsidRPr="00D37D3A">
        <w:rPr>
          <w:rFonts w:ascii="Calibri" w:hAnsi="Calibri" w:cs="Calibri"/>
          <w:b/>
          <w:bCs/>
          <w:noProof/>
        </w:rPr>
        <w:t>182</w:t>
      </w:r>
      <w:r w:rsidRPr="00D37D3A">
        <w:rPr>
          <w:rFonts w:ascii="Calibri" w:hAnsi="Calibri" w:cs="Calibri"/>
          <w:noProof/>
        </w:rPr>
        <w:t>, 567–578 (2018).</w:t>
      </w:r>
    </w:p>
    <w:p w14:paraId="1F2B25E5" w14:textId="77777777" w:rsidR="00D37D3A" w:rsidRPr="00D37D3A" w:rsidRDefault="00D37D3A" w:rsidP="00D37D3A">
      <w:pPr>
        <w:widowControl w:val="0"/>
        <w:autoSpaceDE w:val="0"/>
        <w:autoSpaceDN w:val="0"/>
        <w:adjustRightInd w:val="0"/>
        <w:ind w:left="640" w:hanging="640"/>
        <w:rPr>
          <w:rFonts w:ascii="Calibri" w:hAnsi="Calibri" w:cs="Calibri"/>
          <w:noProof/>
        </w:rPr>
      </w:pPr>
      <w:r w:rsidRPr="00D37D3A">
        <w:rPr>
          <w:rFonts w:ascii="Calibri" w:hAnsi="Calibri" w:cs="Calibri"/>
          <w:noProof/>
        </w:rPr>
        <w:t>12.</w:t>
      </w:r>
      <w:r w:rsidRPr="00D37D3A">
        <w:rPr>
          <w:rFonts w:ascii="Calibri" w:hAnsi="Calibri" w:cs="Calibri"/>
          <w:noProof/>
        </w:rPr>
        <w:tab/>
        <w:t xml:space="preserve">Bassé, F., Stout, J. G., Sims, P. J. &amp; Wiedmer, T. Isolation of an erythrocyte membrane protein that mediates Ca2+- dependent transbilayer movement of phospholipid. </w:t>
      </w:r>
      <w:r w:rsidRPr="00D37D3A">
        <w:rPr>
          <w:rFonts w:ascii="Calibri" w:hAnsi="Calibri" w:cs="Calibri"/>
          <w:i/>
          <w:iCs/>
          <w:noProof/>
        </w:rPr>
        <w:t>J. Biol. Chem.</w:t>
      </w:r>
      <w:r w:rsidRPr="00D37D3A">
        <w:rPr>
          <w:rFonts w:ascii="Calibri" w:hAnsi="Calibri" w:cs="Calibri"/>
          <w:noProof/>
        </w:rPr>
        <w:t xml:space="preserve"> (1996). doi:10.1074/jbc.271.29.17205</w:t>
      </w:r>
    </w:p>
    <w:p w14:paraId="55598BFF" w14:textId="77777777" w:rsidR="00D37D3A" w:rsidRPr="00D37D3A" w:rsidRDefault="00D37D3A" w:rsidP="00D37D3A">
      <w:pPr>
        <w:widowControl w:val="0"/>
        <w:autoSpaceDE w:val="0"/>
        <w:autoSpaceDN w:val="0"/>
        <w:adjustRightInd w:val="0"/>
        <w:ind w:left="640" w:hanging="640"/>
        <w:rPr>
          <w:rFonts w:ascii="Calibri" w:hAnsi="Calibri" w:cs="Calibri"/>
          <w:noProof/>
        </w:rPr>
      </w:pPr>
      <w:r w:rsidRPr="00D37D3A">
        <w:rPr>
          <w:rFonts w:ascii="Calibri" w:hAnsi="Calibri" w:cs="Calibri"/>
          <w:noProof/>
        </w:rPr>
        <w:t>13.</w:t>
      </w:r>
      <w:r w:rsidRPr="00D37D3A">
        <w:rPr>
          <w:rFonts w:ascii="Calibri" w:hAnsi="Calibri" w:cs="Calibri"/>
          <w:noProof/>
        </w:rPr>
        <w:tab/>
        <w:t xml:space="preserve">Bevers, E. M. &amp; Williamson, P. L. Phospholipid scramblase: An update. </w:t>
      </w:r>
      <w:r w:rsidRPr="00D37D3A">
        <w:rPr>
          <w:rFonts w:ascii="Calibri" w:hAnsi="Calibri" w:cs="Calibri"/>
          <w:i/>
          <w:iCs/>
          <w:noProof/>
        </w:rPr>
        <w:t>FEBS Letters</w:t>
      </w:r>
      <w:r w:rsidRPr="00D37D3A">
        <w:rPr>
          <w:rFonts w:ascii="Calibri" w:hAnsi="Calibri" w:cs="Calibri"/>
          <w:noProof/>
        </w:rPr>
        <w:t xml:space="preserve"> </w:t>
      </w:r>
      <w:r w:rsidRPr="00D37D3A">
        <w:rPr>
          <w:rFonts w:ascii="Calibri" w:hAnsi="Calibri" w:cs="Calibri"/>
          <w:b/>
          <w:bCs/>
          <w:noProof/>
        </w:rPr>
        <w:t>584</w:t>
      </w:r>
      <w:r w:rsidRPr="00D37D3A">
        <w:rPr>
          <w:rFonts w:ascii="Calibri" w:hAnsi="Calibri" w:cs="Calibri"/>
          <w:noProof/>
        </w:rPr>
        <w:t>, 2724–2730 (2010).</w:t>
      </w:r>
    </w:p>
    <w:p w14:paraId="675C8C40" w14:textId="77777777" w:rsidR="00D37D3A" w:rsidRPr="00D37D3A" w:rsidRDefault="00D37D3A" w:rsidP="00D37D3A">
      <w:pPr>
        <w:widowControl w:val="0"/>
        <w:autoSpaceDE w:val="0"/>
        <w:autoSpaceDN w:val="0"/>
        <w:adjustRightInd w:val="0"/>
        <w:ind w:left="640" w:hanging="640"/>
        <w:rPr>
          <w:rFonts w:ascii="Calibri" w:hAnsi="Calibri" w:cs="Calibri"/>
          <w:noProof/>
        </w:rPr>
      </w:pPr>
      <w:r w:rsidRPr="00D37D3A">
        <w:rPr>
          <w:rFonts w:ascii="Calibri" w:hAnsi="Calibri" w:cs="Calibri"/>
          <w:noProof/>
        </w:rPr>
        <w:t>14.</w:t>
      </w:r>
      <w:r w:rsidRPr="00D37D3A">
        <w:rPr>
          <w:rFonts w:ascii="Calibri" w:hAnsi="Calibri" w:cs="Calibri"/>
          <w:noProof/>
        </w:rPr>
        <w:tab/>
        <w:t xml:space="preserve">Weiss, E., Cytlak, U. M., Rees, D. C., Osei, A. &amp; Gibson, J. S. Deoxygenation-induced and Ca2+ dependent phosphatidylserine externalisation in red blood cells from normal individuals and sickle cell patients. </w:t>
      </w:r>
      <w:r w:rsidRPr="00D37D3A">
        <w:rPr>
          <w:rFonts w:ascii="Calibri" w:hAnsi="Calibri" w:cs="Calibri"/>
          <w:i/>
          <w:iCs/>
          <w:noProof/>
        </w:rPr>
        <w:t>Cell Calcium</w:t>
      </w:r>
      <w:r w:rsidRPr="00D37D3A">
        <w:rPr>
          <w:rFonts w:ascii="Calibri" w:hAnsi="Calibri" w:cs="Calibri"/>
          <w:noProof/>
        </w:rPr>
        <w:t xml:space="preserve"> (2012). doi:10.1016/j.ceca.2011.10.005</w:t>
      </w:r>
    </w:p>
    <w:p w14:paraId="647D728D" w14:textId="77777777" w:rsidR="00D37D3A" w:rsidRPr="00D37D3A" w:rsidRDefault="00D37D3A" w:rsidP="00D37D3A">
      <w:pPr>
        <w:widowControl w:val="0"/>
        <w:autoSpaceDE w:val="0"/>
        <w:autoSpaceDN w:val="0"/>
        <w:adjustRightInd w:val="0"/>
        <w:ind w:left="640" w:hanging="640"/>
        <w:rPr>
          <w:rFonts w:ascii="Calibri" w:hAnsi="Calibri" w:cs="Calibri"/>
          <w:noProof/>
        </w:rPr>
      </w:pPr>
      <w:r w:rsidRPr="00D37D3A">
        <w:rPr>
          <w:rFonts w:ascii="Calibri" w:hAnsi="Calibri" w:cs="Calibri"/>
          <w:noProof/>
        </w:rPr>
        <w:t>15.</w:t>
      </w:r>
      <w:r w:rsidRPr="00D37D3A">
        <w:rPr>
          <w:rFonts w:ascii="Calibri" w:hAnsi="Calibri" w:cs="Calibri"/>
          <w:noProof/>
        </w:rPr>
        <w:tab/>
        <w:t xml:space="preserve">Cytlak, U. M., Hannemann, A., Rees, D. C. &amp; Gibson, J. S. Identification of the Ca 2+ entry pathway involved in deoxygenation-induced phosphatidylserine exposure in red blood cells from patients with sickle cell disease. </w:t>
      </w:r>
      <w:r w:rsidRPr="00D37D3A">
        <w:rPr>
          <w:rFonts w:ascii="Calibri" w:hAnsi="Calibri" w:cs="Calibri"/>
          <w:i/>
          <w:iCs/>
          <w:noProof/>
        </w:rPr>
        <w:t>Pflugers Arch. Eur. J. Physiol.</w:t>
      </w:r>
      <w:r w:rsidRPr="00D37D3A">
        <w:rPr>
          <w:rFonts w:ascii="Calibri" w:hAnsi="Calibri" w:cs="Calibri"/>
          <w:noProof/>
        </w:rPr>
        <w:t xml:space="preserve"> </w:t>
      </w:r>
      <w:r w:rsidRPr="00D37D3A">
        <w:rPr>
          <w:rFonts w:ascii="Calibri" w:hAnsi="Calibri" w:cs="Calibri"/>
          <w:b/>
          <w:bCs/>
          <w:noProof/>
        </w:rPr>
        <w:t>465</w:t>
      </w:r>
      <w:r w:rsidRPr="00D37D3A">
        <w:rPr>
          <w:rFonts w:ascii="Calibri" w:hAnsi="Calibri" w:cs="Calibri"/>
          <w:noProof/>
        </w:rPr>
        <w:t>, 1651–1660 (2013).</w:t>
      </w:r>
    </w:p>
    <w:p w14:paraId="3BA07C5D" w14:textId="77777777" w:rsidR="00D37D3A" w:rsidRPr="00D37D3A" w:rsidRDefault="00D37D3A" w:rsidP="00D37D3A">
      <w:pPr>
        <w:widowControl w:val="0"/>
        <w:autoSpaceDE w:val="0"/>
        <w:autoSpaceDN w:val="0"/>
        <w:adjustRightInd w:val="0"/>
        <w:ind w:left="640" w:hanging="640"/>
        <w:rPr>
          <w:rFonts w:ascii="Calibri" w:hAnsi="Calibri" w:cs="Calibri"/>
          <w:noProof/>
        </w:rPr>
      </w:pPr>
      <w:r w:rsidRPr="00D37D3A">
        <w:rPr>
          <w:rFonts w:ascii="Calibri" w:hAnsi="Calibri" w:cs="Calibri"/>
          <w:noProof/>
        </w:rPr>
        <w:t>16.</w:t>
      </w:r>
      <w:r w:rsidRPr="00D37D3A">
        <w:rPr>
          <w:rFonts w:ascii="Calibri" w:hAnsi="Calibri" w:cs="Calibri"/>
          <w:noProof/>
        </w:rPr>
        <w:tab/>
        <w:t xml:space="preserve">Lew, V. L. &amp; Bookchin, R. M. Ion transport pathology in the mechanism of sickle cell dehydration. </w:t>
      </w:r>
      <w:r w:rsidRPr="00D37D3A">
        <w:rPr>
          <w:rFonts w:ascii="Calibri" w:hAnsi="Calibri" w:cs="Calibri"/>
          <w:i/>
          <w:iCs/>
          <w:noProof/>
        </w:rPr>
        <w:t>Physiol. Rev.</w:t>
      </w:r>
      <w:r w:rsidRPr="00D37D3A">
        <w:rPr>
          <w:rFonts w:ascii="Calibri" w:hAnsi="Calibri" w:cs="Calibri"/>
          <w:noProof/>
        </w:rPr>
        <w:t xml:space="preserve"> </w:t>
      </w:r>
      <w:r w:rsidRPr="00D37D3A">
        <w:rPr>
          <w:rFonts w:ascii="Calibri" w:hAnsi="Calibri" w:cs="Calibri"/>
          <w:b/>
          <w:bCs/>
          <w:noProof/>
        </w:rPr>
        <w:t>85</w:t>
      </w:r>
      <w:r w:rsidRPr="00D37D3A">
        <w:rPr>
          <w:rFonts w:ascii="Calibri" w:hAnsi="Calibri" w:cs="Calibri"/>
          <w:noProof/>
        </w:rPr>
        <w:t>, 179–200 (2005).</w:t>
      </w:r>
    </w:p>
    <w:p w14:paraId="16CFE044" w14:textId="77777777" w:rsidR="00D37D3A" w:rsidRPr="00D37D3A" w:rsidRDefault="00D37D3A" w:rsidP="00D37D3A">
      <w:pPr>
        <w:widowControl w:val="0"/>
        <w:autoSpaceDE w:val="0"/>
        <w:autoSpaceDN w:val="0"/>
        <w:adjustRightInd w:val="0"/>
        <w:ind w:left="640" w:hanging="640"/>
        <w:rPr>
          <w:rFonts w:ascii="Calibri" w:hAnsi="Calibri" w:cs="Calibri"/>
          <w:noProof/>
        </w:rPr>
      </w:pPr>
      <w:r w:rsidRPr="00D37D3A">
        <w:rPr>
          <w:rFonts w:ascii="Calibri" w:hAnsi="Calibri" w:cs="Calibri"/>
          <w:noProof/>
        </w:rPr>
        <w:t>17.</w:t>
      </w:r>
      <w:r w:rsidRPr="00D37D3A">
        <w:rPr>
          <w:rFonts w:ascii="Calibri" w:hAnsi="Calibri" w:cs="Calibri"/>
          <w:noProof/>
        </w:rPr>
        <w:tab/>
        <w:t xml:space="preserve">Hebbel, R. P. Beyond hemoglobin polymerization: the red blood cell membrane and sickle disease pathophysiology. </w:t>
      </w:r>
      <w:r w:rsidRPr="00D37D3A">
        <w:rPr>
          <w:rFonts w:ascii="Calibri" w:hAnsi="Calibri" w:cs="Calibri"/>
          <w:i/>
          <w:iCs/>
          <w:noProof/>
        </w:rPr>
        <w:t>Blood</w:t>
      </w:r>
      <w:r w:rsidRPr="00D37D3A">
        <w:rPr>
          <w:rFonts w:ascii="Calibri" w:hAnsi="Calibri" w:cs="Calibri"/>
          <w:noProof/>
        </w:rPr>
        <w:t xml:space="preserve"> </w:t>
      </w:r>
      <w:r w:rsidRPr="00D37D3A">
        <w:rPr>
          <w:rFonts w:ascii="Calibri" w:hAnsi="Calibri" w:cs="Calibri"/>
          <w:b/>
          <w:bCs/>
          <w:noProof/>
        </w:rPr>
        <w:t>77</w:t>
      </w:r>
      <w:r w:rsidRPr="00D37D3A">
        <w:rPr>
          <w:rFonts w:ascii="Calibri" w:hAnsi="Calibri" w:cs="Calibri"/>
          <w:noProof/>
        </w:rPr>
        <w:t>, 214–37 (1991).</w:t>
      </w:r>
    </w:p>
    <w:p w14:paraId="3FDB5A6F" w14:textId="77777777" w:rsidR="00D37D3A" w:rsidRPr="00D37D3A" w:rsidRDefault="00D37D3A" w:rsidP="00D37D3A">
      <w:pPr>
        <w:widowControl w:val="0"/>
        <w:autoSpaceDE w:val="0"/>
        <w:autoSpaceDN w:val="0"/>
        <w:adjustRightInd w:val="0"/>
        <w:ind w:left="640" w:hanging="640"/>
        <w:rPr>
          <w:rFonts w:ascii="Calibri" w:hAnsi="Calibri" w:cs="Calibri"/>
          <w:noProof/>
        </w:rPr>
      </w:pPr>
      <w:r w:rsidRPr="00D37D3A">
        <w:rPr>
          <w:rFonts w:ascii="Calibri" w:hAnsi="Calibri" w:cs="Calibri"/>
          <w:noProof/>
        </w:rPr>
        <w:t>18.</w:t>
      </w:r>
      <w:r w:rsidRPr="00D37D3A">
        <w:rPr>
          <w:rFonts w:ascii="Calibri" w:hAnsi="Calibri" w:cs="Calibri"/>
          <w:noProof/>
        </w:rPr>
        <w:tab/>
        <w:t xml:space="preserve">Shalev, O, Leida, MN, Hebbel, RP, Jacob, HS, Eaton, J. Abnormal erythrocyte calcium homeostasis in oxidant-induced hemolytic disease. </w:t>
      </w:r>
      <w:r w:rsidRPr="00D37D3A">
        <w:rPr>
          <w:rFonts w:ascii="Calibri" w:hAnsi="Calibri" w:cs="Calibri"/>
          <w:i/>
          <w:iCs/>
          <w:noProof/>
        </w:rPr>
        <w:t>Blood</w:t>
      </w:r>
      <w:r w:rsidRPr="00D37D3A">
        <w:rPr>
          <w:rFonts w:ascii="Calibri" w:hAnsi="Calibri" w:cs="Calibri"/>
          <w:noProof/>
        </w:rPr>
        <w:t xml:space="preserve"> </w:t>
      </w:r>
      <w:r w:rsidRPr="00D37D3A">
        <w:rPr>
          <w:rFonts w:ascii="Calibri" w:hAnsi="Calibri" w:cs="Calibri"/>
          <w:b/>
          <w:bCs/>
          <w:noProof/>
        </w:rPr>
        <w:t>58</w:t>
      </w:r>
      <w:r w:rsidRPr="00D37D3A">
        <w:rPr>
          <w:rFonts w:ascii="Calibri" w:hAnsi="Calibri" w:cs="Calibri"/>
          <w:noProof/>
        </w:rPr>
        <w:t>, 1232–5. (1981).</w:t>
      </w:r>
    </w:p>
    <w:p w14:paraId="5D2923F9" w14:textId="77777777" w:rsidR="00D37D3A" w:rsidRPr="00D37D3A" w:rsidRDefault="00D37D3A" w:rsidP="00D37D3A">
      <w:pPr>
        <w:widowControl w:val="0"/>
        <w:autoSpaceDE w:val="0"/>
        <w:autoSpaceDN w:val="0"/>
        <w:adjustRightInd w:val="0"/>
        <w:ind w:left="640" w:hanging="640"/>
        <w:rPr>
          <w:rFonts w:ascii="Calibri" w:hAnsi="Calibri" w:cs="Calibri"/>
          <w:noProof/>
        </w:rPr>
      </w:pPr>
      <w:r w:rsidRPr="00D37D3A">
        <w:rPr>
          <w:rFonts w:ascii="Calibri" w:hAnsi="Calibri" w:cs="Calibri"/>
          <w:noProof/>
        </w:rPr>
        <w:t>19.</w:t>
      </w:r>
      <w:r w:rsidRPr="00D37D3A">
        <w:rPr>
          <w:rFonts w:ascii="Calibri" w:hAnsi="Calibri" w:cs="Calibri"/>
          <w:noProof/>
        </w:rPr>
        <w:tab/>
        <w:t xml:space="preserve">Zaidi, A. </w:t>
      </w:r>
      <w:r w:rsidRPr="00D37D3A">
        <w:rPr>
          <w:rFonts w:ascii="Calibri" w:hAnsi="Calibri" w:cs="Calibri"/>
          <w:i/>
          <w:iCs/>
          <w:noProof/>
        </w:rPr>
        <w:t>et al.</w:t>
      </w:r>
      <w:r w:rsidRPr="00D37D3A">
        <w:rPr>
          <w:rFonts w:ascii="Calibri" w:hAnsi="Calibri" w:cs="Calibri"/>
          <w:noProof/>
        </w:rPr>
        <w:t xml:space="preserve"> Oxidative Inactivation of Purified Plasma Membrane Ca 2+ -ATPase by Hydrogen Peroxide and Protection by Calmodulin. </w:t>
      </w:r>
      <w:r w:rsidRPr="00D37D3A">
        <w:rPr>
          <w:rFonts w:ascii="Calibri" w:hAnsi="Calibri" w:cs="Calibri"/>
          <w:i/>
          <w:iCs/>
          <w:noProof/>
        </w:rPr>
        <w:t>Biochemistry</w:t>
      </w:r>
      <w:r w:rsidRPr="00D37D3A">
        <w:rPr>
          <w:rFonts w:ascii="Calibri" w:hAnsi="Calibri" w:cs="Calibri"/>
          <w:noProof/>
        </w:rPr>
        <w:t xml:space="preserve"> </w:t>
      </w:r>
      <w:r w:rsidRPr="00D37D3A">
        <w:rPr>
          <w:rFonts w:ascii="Calibri" w:hAnsi="Calibri" w:cs="Calibri"/>
          <w:b/>
          <w:bCs/>
          <w:noProof/>
        </w:rPr>
        <w:t>42</w:t>
      </w:r>
      <w:r w:rsidRPr="00D37D3A">
        <w:rPr>
          <w:rFonts w:ascii="Calibri" w:hAnsi="Calibri" w:cs="Calibri"/>
          <w:noProof/>
        </w:rPr>
        <w:t>, 12001–12010 (2003).</w:t>
      </w:r>
    </w:p>
    <w:p w14:paraId="0E55E485" w14:textId="77777777" w:rsidR="00D37D3A" w:rsidRPr="00D37D3A" w:rsidRDefault="00D37D3A" w:rsidP="00D37D3A">
      <w:pPr>
        <w:widowControl w:val="0"/>
        <w:autoSpaceDE w:val="0"/>
        <w:autoSpaceDN w:val="0"/>
        <w:adjustRightInd w:val="0"/>
        <w:ind w:left="640" w:hanging="640"/>
        <w:rPr>
          <w:rFonts w:ascii="Calibri" w:hAnsi="Calibri" w:cs="Calibri"/>
          <w:noProof/>
        </w:rPr>
      </w:pPr>
      <w:r w:rsidRPr="00D37D3A">
        <w:rPr>
          <w:rFonts w:ascii="Calibri" w:hAnsi="Calibri" w:cs="Calibri"/>
          <w:noProof/>
        </w:rPr>
        <w:t>20.</w:t>
      </w:r>
      <w:r w:rsidRPr="00D37D3A">
        <w:rPr>
          <w:rFonts w:ascii="Calibri" w:hAnsi="Calibri" w:cs="Calibri"/>
          <w:noProof/>
        </w:rPr>
        <w:tab/>
        <w:t xml:space="preserve">Tait, J. F. &amp; Gibson, D. Measurement of membrane phospholipid asymmetry in normal and sickle-cell erythrocytes by means of annexin V binding. </w:t>
      </w:r>
      <w:r w:rsidRPr="00D37D3A">
        <w:rPr>
          <w:rFonts w:ascii="Calibri" w:hAnsi="Calibri" w:cs="Calibri"/>
          <w:i/>
          <w:iCs/>
          <w:noProof/>
        </w:rPr>
        <w:t>J. Lab. Clin. Med.</w:t>
      </w:r>
      <w:r w:rsidRPr="00D37D3A">
        <w:rPr>
          <w:rFonts w:ascii="Calibri" w:hAnsi="Calibri" w:cs="Calibri"/>
          <w:noProof/>
        </w:rPr>
        <w:t xml:space="preserve"> (1994).</w:t>
      </w:r>
    </w:p>
    <w:p w14:paraId="102C8CB9" w14:textId="77777777" w:rsidR="00D37D3A" w:rsidRPr="00D37D3A" w:rsidRDefault="00D37D3A" w:rsidP="00D37D3A">
      <w:pPr>
        <w:widowControl w:val="0"/>
        <w:autoSpaceDE w:val="0"/>
        <w:autoSpaceDN w:val="0"/>
        <w:adjustRightInd w:val="0"/>
        <w:ind w:left="640" w:hanging="640"/>
        <w:rPr>
          <w:rFonts w:ascii="Calibri" w:hAnsi="Calibri" w:cs="Calibri"/>
          <w:noProof/>
        </w:rPr>
      </w:pPr>
      <w:r w:rsidRPr="00D37D3A">
        <w:rPr>
          <w:rFonts w:ascii="Calibri" w:hAnsi="Calibri" w:cs="Calibri"/>
          <w:noProof/>
        </w:rPr>
        <w:t>21.</w:t>
      </w:r>
      <w:r w:rsidRPr="00D37D3A">
        <w:rPr>
          <w:rFonts w:ascii="Calibri" w:hAnsi="Calibri" w:cs="Calibri"/>
          <w:noProof/>
        </w:rPr>
        <w:tab/>
        <w:t xml:space="preserve">Kuypers, F. A. </w:t>
      </w:r>
      <w:r w:rsidRPr="00D37D3A">
        <w:rPr>
          <w:rFonts w:ascii="Calibri" w:hAnsi="Calibri" w:cs="Calibri"/>
          <w:i/>
          <w:iCs/>
          <w:noProof/>
        </w:rPr>
        <w:t>et al.</w:t>
      </w:r>
      <w:r w:rsidRPr="00D37D3A">
        <w:rPr>
          <w:rFonts w:ascii="Calibri" w:hAnsi="Calibri" w:cs="Calibri"/>
          <w:noProof/>
        </w:rPr>
        <w:t xml:space="preserve"> Detection of altered membrane phospholipid asymmetry in subpopulations of human red blood cells using fluorescently labeled annexin V. </w:t>
      </w:r>
      <w:r w:rsidRPr="00D37D3A">
        <w:rPr>
          <w:rFonts w:ascii="Calibri" w:hAnsi="Calibri" w:cs="Calibri"/>
          <w:i/>
          <w:iCs/>
          <w:noProof/>
        </w:rPr>
        <w:t>Blood</w:t>
      </w:r>
      <w:r w:rsidRPr="00D37D3A">
        <w:rPr>
          <w:rFonts w:ascii="Calibri" w:hAnsi="Calibri" w:cs="Calibri"/>
          <w:noProof/>
        </w:rPr>
        <w:t xml:space="preserve"> </w:t>
      </w:r>
      <w:r w:rsidRPr="00D37D3A">
        <w:rPr>
          <w:rFonts w:ascii="Calibri" w:hAnsi="Calibri" w:cs="Calibri"/>
          <w:b/>
          <w:bCs/>
          <w:noProof/>
        </w:rPr>
        <w:t>87</w:t>
      </w:r>
      <w:r w:rsidRPr="00D37D3A">
        <w:rPr>
          <w:rFonts w:ascii="Calibri" w:hAnsi="Calibri" w:cs="Calibri"/>
          <w:noProof/>
        </w:rPr>
        <w:t>, 1179–87 (1996).</w:t>
      </w:r>
    </w:p>
    <w:p w14:paraId="181F56D9" w14:textId="77777777" w:rsidR="00D37D3A" w:rsidRPr="00D37D3A" w:rsidRDefault="00D37D3A" w:rsidP="00D37D3A">
      <w:pPr>
        <w:widowControl w:val="0"/>
        <w:autoSpaceDE w:val="0"/>
        <w:autoSpaceDN w:val="0"/>
        <w:adjustRightInd w:val="0"/>
        <w:ind w:left="640" w:hanging="640"/>
        <w:rPr>
          <w:rFonts w:ascii="Calibri" w:hAnsi="Calibri" w:cs="Calibri"/>
          <w:noProof/>
        </w:rPr>
      </w:pPr>
      <w:r w:rsidRPr="00D37D3A">
        <w:rPr>
          <w:rFonts w:ascii="Calibri" w:hAnsi="Calibri" w:cs="Calibri"/>
          <w:noProof/>
        </w:rPr>
        <w:t>22.</w:t>
      </w:r>
      <w:r w:rsidRPr="00D37D3A">
        <w:rPr>
          <w:rFonts w:ascii="Calibri" w:hAnsi="Calibri" w:cs="Calibri"/>
          <w:noProof/>
        </w:rPr>
        <w:tab/>
        <w:t xml:space="preserve">Dazzi, A. </w:t>
      </w:r>
      <w:r w:rsidRPr="00D37D3A">
        <w:rPr>
          <w:rFonts w:ascii="Calibri" w:hAnsi="Calibri" w:cs="Calibri"/>
          <w:i/>
          <w:iCs/>
          <w:noProof/>
        </w:rPr>
        <w:t>et al.</w:t>
      </w:r>
      <w:r w:rsidRPr="00D37D3A">
        <w:rPr>
          <w:rFonts w:ascii="Calibri" w:hAnsi="Calibri" w:cs="Calibri"/>
          <w:noProof/>
        </w:rPr>
        <w:t xml:space="preserve"> AFM-IR: Combining atomic force microscopy and infrared spectroscopy for nanoscale chemical characterization. </w:t>
      </w:r>
      <w:r w:rsidRPr="00D37D3A">
        <w:rPr>
          <w:rFonts w:ascii="Calibri" w:hAnsi="Calibri" w:cs="Calibri"/>
          <w:i/>
          <w:iCs/>
          <w:noProof/>
        </w:rPr>
        <w:t>Appl. Spectrosc.</w:t>
      </w:r>
      <w:r w:rsidRPr="00D37D3A">
        <w:rPr>
          <w:rFonts w:ascii="Calibri" w:hAnsi="Calibri" w:cs="Calibri"/>
          <w:noProof/>
        </w:rPr>
        <w:t xml:space="preserve"> </w:t>
      </w:r>
      <w:r w:rsidRPr="00D37D3A">
        <w:rPr>
          <w:rFonts w:ascii="Calibri" w:hAnsi="Calibri" w:cs="Calibri"/>
          <w:b/>
          <w:bCs/>
          <w:noProof/>
        </w:rPr>
        <w:t>66</w:t>
      </w:r>
      <w:r w:rsidRPr="00D37D3A">
        <w:rPr>
          <w:rFonts w:ascii="Calibri" w:hAnsi="Calibri" w:cs="Calibri"/>
          <w:noProof/>
        </w:rPr>
        <w:t>, 1365–1384 (2012).</w:t>
      </w:r>
    </w:p>
    <w:p w14:paraId="05537ACF" w14:textId="77777777" w:rsidR="00D37D3A" w:rsidRPr="00D37D3A" w:rsidRDefault="00D37D3A" w:rsidP="00D37D3A">
      <w:pPr>
        <w:widowControl w:val="0"/>
        <w:autoSpaceDE w:val="0"/>
        <w:autoSpaceDN w:val="0"/>
        <w:adjustRightInd w:val="0"/>
        <w:ind w:left="640" w:hanging="640"/>
        <w:rPr>
          <w:rFonts w:ascii="Calibri" w:hAnsi="Calibri" w:cs="Calibri"/>
          <w:noProof/>
        </w:rPr>
      </w:pPr>
      <w:r w:rsidRPr="00D37D3A">
        <w:rPr>
          <w:rFonts w:ascii="Calibri" w:hAnsi="Calibri" w:cs="Calibri"/>
          <w:noProof/>
        </w:rPr>
        <w:t>23.</w:t>
      </w:r>
      <w:r w:rsidRPr="00D37D3A">
        <w:rPr>
          <w:rFonts w:ascii="Calibri" w:hAnsi="Calibri" w:cs="Calibri"/>
          <w:noProof/>
        </w:rPr>
        <w:tab/>
        <w:t xml:space="preserve">Speake, P. F., Roberts, C. A. &amp; Gibson, J. S. Effect of changes in respiratory blood parameters on equine red blood cell K-C1 cotransporter. </w:t>
      </w:r>
      <w:r w:rsidRPr="00D37D3A">
        <w:rPr>
          <w:rFonts w:ascii="Calibri" w:hAnsi="Calibri" w:cs="Calibri"/>
          <w:i/>
          <w:iCs/>
          <w:noProof/>
        </w:rPr>
        <w:t>Am. J. Physiol. - Cell Physiol.</w:t>
      </w:r>
      <w:r w:rsidRPr="00D37D3A">
        <w:rPr>
          <w:rFonts w:ascii="Calibri" w:hAnsi="Calibri" w:cs="Calibri"/>
          <w:noProof/>
        </w:rPr>
        <w:t xml:space="preserve"> </w:t>
      </w:r>
      <w:r w:rsidRPr="00D37D3A">
        <w:rPr>
          <w:rFonts w:ascii="Calibri" w:hAnsi="Calibri" w:cs="Calibri"/>
          <w:b/>
          <w:bCs/>
          <w:noProof/>
        </w:rPr>
        <w:lastRenderedPageBreak/>
        <w:t>273</w:t>
      </w:r>
      <w:r w:rsidRPr="00D37D3A">
        <w:rPr>
          <w:rFonts w:ascii="Calibri" w:hAnsi="Calibri" w:cs="Calibri"/>
          <w:noProof/>
        </w:rPr>
        <w:t>, 1811–8 (1997).</w:t>
      </w:r>
    </w:p>
    <w:p w14:paraId="6E9AFE9C" w14:textId="77777777" w:rsidR="00D37D3A" w:rsidRPr="00D37D3A" w:rsidRDefault="00D37D3A" w:rsidP="00D37D3A">
      <w:pPr>
        <w:widowControl w:val="0"/>
        <w:autoSpaceDE w:val="0"/>
        <w:autoSpaceDN w:val="0"/>
        <w:adjustRightInd w:val="0"/>
        <w:ind w:left="640" w:hanging="640"/>
        <w:rPr>
          <w:rFonts w:ascii="Calibri" w:hAnsi="Calibri" w:cs="Calibri"/>
          <w:noProof/>
        </w:rPr>
      </w:pPr>
      <w:r w:rsidRPr="00D37D3A">
        <w:rPr>
          <w:rFonts w:ascii="Calibri" w:hAnsi="Calibri" w:cs="Calibri"/>
          <w:noProof/>
        </w:rPr>
        <w:t>24.</w:t>
      </w:r>
      <w:r w:rsidRPr="00D37D3A">
        <w:rPr>
          <w:rFonts w:ascii="Calibri" w:hAnsi="Calibri" w:cs="Calibri"/>
          <w:noProof/>
        </w:rPr>
        <w:tab/>
        <w:t xml:space="preserve">Fellows, A. P., Casford, M. T. L. &amp; Davies, P. B. Spectral Analysis and Deconvolution of the Amide I Band of Proteins Presenting with High-Frequency Noise and Baseline Shifts. </w:t>
      </w:r>
      <w:r w:rsidRPr="00D37D3A">
        <w:rPr>
          <w:rFonts w:ascii="Calibri" w:hAnsi="Calibri" w:cs="Calibri"/>
          <w:i/>
          <w:iCs/>
          <w:noProof/>
        </w:rPr>
        <w:t>Appl. Spectrosc.</w:t>
      </w:r>
      <w:r w:rsidRPr="00D37D3A">
        <w:rPr>
          <w:rFonts w:ascii="Calibri" w:hAnsi="Calibri" w:cs="Calibri"/>
          <w:noProof/>
        </w:rPr>
        <w:t xml:space="preserve"> (2020). doi:10.1177/0003702819898536</w:t>
      </w:r>
    </w:p>
    <w:p w14:paraId="4B269557" w14:textId="77777777" w:rsidR="00D37D3A" w:rsidRPr="00D37D3A" w:rsidRDefault="00D37D3A" w:rsidP="00D37D3A">
      <w:pPr>
        <w:widowControl w:val="0"/>
        <w:autoSpaceDE w:val="0"/>
        <w:autoSpaceDN w:val="0"/>
        <w:adjustRightInd w:val="0"/>
        <w:ind w:left="640" w:hanging="640"/>
        <w:rPr>
          <w:rFonts w:ascii="Calibri" w:hAnsi="Calibri" w:cs="Calibri"/>
          <w:noProof/>
        </w:rPr>
      </w:pPr>
      <w:r w:rsidRPr="00D37D3A">
        <w:rPr>
          <w:rFonts w:ascii="Calibri" w:hAnsi="Calibri" w:cs="Calibri"/>
          <w:noProof/>
        </w:rPr>
        <w:t>25.</w:t>
      </w:r>
      <w:r w:rsidRPr="00D37D3A">
        <w:rPr>
          <w:rFonts w:ascii="Calibri" w:hAnsi="Calibri" w:cs="Calibri"/>
          <w:noProof/>
        </w:rPr>
        <w:tab/>
        <w:t xml:space="preserve">Mohandas, N., Rossi, M. E. &amp; Clark, M. R. Association between morphologic distortion of sickle cells and deoxygenation-induced cation permeability increase. </w:t>
      </w:r>
      <w:r w:rsidRPr="00D37D3A">
        <w:rPr>
          <w:rFonts w:ascii="Calibri" w:hAnsi="Calibri" w:cs="Calibri"/>
          <w:i/>
          <w:iCs/>
          <w:noProof/>
        </w:rPr>
        <w:t>Blood</w:t>
      </w:r>
      <w:r w:rsidRPr="00D37D3A">
        <w:rPr>
          <w:rFonts w:ascii="Calibri" w:hAnsi="Calibri" w:cs="Calibri"/>
          <w:noProof/>
        </w:rPr>
        <w:t xml:space="preserve"> </w:t>
      </w:r>
      <w:r w:rsidRPr="00D37D3A">
        <w:rPr>
          <w:rFonts w:ascii="Calibri" w:hAnsi="Calibri" w:cs="Calibri"/>
          <w:b/>
          <w:bCs/>
          <w:noProof/>
        </w:rPr>
        <w:t>68</w:t>
      </w:r>
      <w:r w:rsidRPr="00D37D3A">
        <w:rPr>
          <w:rFonts w:ascii="Calibri" w:hAnsi="Calibri" w:cs="Calibri"/>
          <w:noProof/>
        </w:rPr>
        <w:t>, 450–454 (1986).</w:t>
      </w:r>
    </w:p>
    <w:p w14:paraId="223C0F63" w14:textId="77777777" w:rsidR="00D37D3A" w:rsidRPr="00D37D3A" w:rsidRDefault="00D37D3A" w:rsidP="00D37D3A">
      <w:pPr>
        <w:widowControl w:val="0"/>
        <w:autoSpaceDE w:val="0"/>
        <w:autoSpaceDN w:val="0"/>
        <w:adjustRightInd w:val="0"/>
        <w:ind w:left="640" w:hanging="640"/>
        <w:rPr>
          <w:rFonts w:ascii="Calibri" w:hAnsi="Calibri" w:cs="Calibri"/>
          <w:noProof/>
        </w:rPr>
      </w:pPr>
      <w:r w:rsidRPr="00D37D3A">
        <w:rPr>
          <w:rFonts w:ascii="Calibri" w:hAnsi="Calibri" w:cs="Calibri"/>
          <w:noProof/>
        </w:rPr>
        <w:t>26.</w:t>
      </w:r>
      <w:r w:rsidRPr="00D37D3A">
        <w:rPr>
          <w:rFonts w:ascii="Calibri" w:hAnsi="Calibri" w:cs="Calibri"/>
          <w:noProof/>
        </w:rPr>
        <w:tab/>
        <w:t xml:space="preserve">Bujok, J. </w:t>
      </w:r>
      <w:r w:rsidRPr="00D37D3A">
        <w:rPr>
          <w:rFonts w:ascii="Calibri" w:hAnsi="Calibri" w:cs="Calibri"/>
          <w:i/>
          <w:iCs/>
          <w:noProof/>
        </w:rPr>
        <w:t>et al.</w:t>
      </w:r>
      <w:r w:rsidRPr="00D37D3A">
        <w:rPr>
          <w:rFonts w:ascii="Calibri" w:hAnsi="Calibri" w:cs="Calibri"/>
          <w:noProof/>
        </w:rPr>
        <w:t xml:space="preserve"> Applicability of FTIR-ATR method to measure carbonyls in blood plasma after physical and mental stress. </w:t>
      </w:r>
      <w:r w:rsidRPr="00D37D3A">
        <w:rPr>
          <w:rFonts w:ascii="Calibri" w:hAnsi="Calibri" w:cs="Calibri"/>
          <w:i/>
          <w:iCs/>
          <w:noProof/>
        </w:rPr>
        <w:t>Biomed Res. Int.</w:t>
      </w:r>
      <w:r w:rsidRPr="00D37D3A">
        <w:rPr>
          <w:rFonts w:ascii="Calibri" w:hAnsi="Calibri" w:cs="Calibri"/>
          <w:noProof/>
        </w:rPr>
        <w:t xml:space="preserve"> </w:t>
      </w:r>
      <w:r w:rsidRPr="00D37D3A">
        <w:rPr>
          <w:rFonts w:ascii="Calibri" w:hAnsi="Calibri" w:cs="Calibri"/>
          <w:b/>
          <w:bCs/>
          <w:noProof/>
        </w:rPr>
        <w:t>2019</w:t>
      </w:r>
      <w:r w:rsidRPr="00D37D3A">
        <w:rPr>
          <w:rFonts w:ascii="Calibri" w:hAnsi="Calibri" w:cs="Calibri"/>
          <w:noProof/>
        </w:rPr>
        <w:t>, (2019).</w:t>
      </w:r>
    </w:p>
    <w:p w14:paraId="75270834" w14:textId="77777777" w:rsidR="00D37D3A" w:rsidRPr="00D37D3A" w:rsidRDefault="00D37D3A" w:rsidP="00D37D3A">
      <w:pPr>
        <w:widowControl w:val="0"/>
        <w:autoSpaceDE w:val="0"/>
        <w:autoSpaceDN w:val="0"/>
        <w:adjustRightInd w:val="0"/>
        <w:ind w:left="640" w:hanging="640"/>
        <w:rPr>
          <w:rFonts w:ascii="Calibri" w:hAnsi="Calibri" w:cs="Calibri"/>
          <w:noProof/>
        </w:rPr>
      </w:pPr>
      <w:r w:rsidRPr="00D37D3A">
        <w:rPr>
          <w:rFonts w:ascii="Calibri" w:hAnsi="Calibri" w:cs="Calibri"/>
          <w:noProof/>
        </w:rPr>
        <w:t>27.</w:t>
      </w:r>
      <w:r w:rsidRPr="00D37D3A">
        <w:rPr>
          <w:rFonts w:ascii="Calibri" w:hAnsi="Calibri" w:cs="Calibri"/>
          <w:noProof/>
        </w:rPr>
        <w:tab/>
        <w:t xml:space="preserve">Smith, T. The hydrophilic nature of a clean gold surface. </w:t>
      </w:r>
      <w:r w:rsidRPr="00D37D3A">
        <w:rPr>
          <w:rFonts w:ascii="Calibri" w:hAnsi="Calibri" w:cs="Calibri"/>
          <w:i/>
          <w:iCs/>
          <w:noProof/>
        </w:rPr>
        <w:t>J. Colloid Interface Sci.</w:t>
      </w:r>
      <w:r w:rsidRPr="00D37D3A">
        <w:rPr>
          <w:rFonts w:ascii="Calibri" w:hAnsi="Calibri" w:cs="Calibri"/>
          <w:noProof/>
        </w:rPr>
        <w:t xml:space="preserve"> </w:t>
      </w:r>
      <w:r w:rsidRPr="00D37D3A">
        <w:rPr>
          <w:rFonts w:ascii="Calibri" w:hAnsi="Calibri" w:cs="Calibri"/>
          <w:b/>
          <w:bCs/>
          <w:noProof/>
        </w:rPr>
        <w:t>75</w:t>
      </w:r>
      <w:r w:rsidRPr="00D37D3A">
        <w:rPr>
          <w:rFonts w:ascii="Calibri" w:hAnsi="Calibri" w:cs="Calibri"/>
          <w:noProof/>
        </w:rPr>
        <w:t>, 51–55 (1980).</w:t>
      </w:r>
    </w:p>
    <w:p w14:paraId="7572986A" w14:textId="77777777" w:rsidR="00D37D3A" w:rsidRPr="00D37D3A" w:rsidRDefault="00D37D3A" w:rsidP="00D37D3A">
      <w:pPr>
        <w:widowControl w:val="0"/>
        <w:autoSpaceDE w:val="0"/>
        <w:autoSpaceDN w:val="0"/>
        <w:adjustRightInd w:val="0"/>
        <w:ind w:left="640" w:hanging="640"/>
        <w:rPr>
          <w:rFonts w:ascii="Calibri" w:hAnsi="Calibri" w:cs="Calibri"/>
          <w:noProof/>
        </w:rPr>
      </w:pPr>
      <w:r w:rsidRPr="00D37D3A">
        <w:rPr>
          <w:rFonts w:ascii="Calibri" w:hAnsi="Calibri" w:cs="Calibri"/>
          <w:noProof/>
        </w:rPr>
        <w:t>28.</w:t>
      </w:r>
      <w:r w:rsidRPr="00D37D3A">
        <w:rPr>
          <w:rFonts w:ascii="Calibri" w:hAnsi="Calibri" w:cs="Calibri"/>
          <w:noProof/>
        </w:rPr>
        <w:tab/>
        <w:t xml:space="preserve">Blodgett, K. B. Monomolecular films of fatty acids on glass. </w:t>
      </w:r>
      <w:r w:rsidRPr="00D37D3A">
        <w:rPr>
          <w:rFonts w:ascii="Calibri" w:hAnsi="Calibri" w:cs="Calibri"/>
          <w:i/>
          <w:iCs/>
          <w:noProof/>
        </w:rPr>
        <w:t>J. Am. Chem. Soc.</w:t>
      </w:r>
      <w:r w:rsidRPr="00D37D3A">
        <w:rPr>
          <w:rFonts w:ascii="Calibri" w:hAnsi="Calibri" w:cs="Calibri"/>
          <w:noProof/>
        </w:rPr>
        <w:t xml:space="preserve"> </w:t>
      </w:r>
      <w:r w:rsidRPr="00D37D3A">
        <w:rPr>
          <w:rFonts w:ascii="Calibri" w:hAnsi="Calibri" w:cs="Calibri"/>
          <w:b/>
          <w:bCs/>
          <w:noProof/>
        </w:rPr>
        <w:t>56</w:t>
      </w:r>
      <w:r w:rsidRPr="00D37D3A">
        <w:rPr>
          <w:rFonts w:ascii="Calibri" w:hAnsi="Calibri" w:cs="Calibri"/>
          <w:noProof/>
        </w:rPr>
        <w:t>, 495 (1934).</w:t>
      </w:r>
    </w:p>
    <w:p w14:paraId="484E1F81" w14:textId="77777777" w:rsidR="00D37D3A" w:rsidRPr="00D37D3A" w:rsidRDefault="00D37D3A" w:rsidP="00D37D3A">
      <w:pPr>
        <w:widowControl w:val="0"/>
        <w:autoSpaceDE w:val="0"/>
        <w:autoSpaceDN w:val="0"/>
        <w:adjustRightInd w:val="0"/>
        <w:ind w:left="640" w:hanging="640"/>
        <w:rPr>
          <w:rFonts w:ascii="Calibri" w:hAnsi="Calibri" w:cs="Calibri"/>
          <w:noProof/>
        </w:rPr>
      </w:pPr>
      <w:r w:rsidRPr="00D37D3A">
        <w:rPr>
          <w:rFonts w:ascii="Calibri" w:hAnsi="Calibri" w:cs="Calibri"/>
          <w:noProof/>
        </w:rPr>
        <w:t>29.</w:t>
      </w:r>
      <w:r w:rsidRPr="00D37D3A">
        <w:rPr>
          <w:rFonts w:ascii="Calibri" w:hAnsi="Calibri" w:cs="Calibri"/>
          <w:noProof/>
        </w:rPr>
        <w:tab/>
        <w:t xml:space="preserve">Kozlova, E. </w:t>
      </w:r>
      <w:r w:rsidRPr="00D37D3A">
        <w:rPr>
          <w:rFonts w:ascii="Calibri" w:hAnsi="Calibri" w:cs="Calibri"/>
          <w:i/>
          <w:iCs/>
          <w:noProof/>
        </w:rPr>
        <w:t>et al.</w:t>
      </w:r>
      <w:r w:rsidRPr="00D37D3A">
        <w:rPr>
          <w:rFonts w:ascii="Calibri" w:hAnsi="Calibri" w:cs="Calibri"/>
          <w:noProof/>
        </w:rPr>
        <w:t xml:space="preserve"> Morphology, membrane nanostructure and stiffness for quality assessment of packed red blood cells. </w:t>
      </w:r>
      <w:r w:rsidRPr="00D37D3A">
        <w:rPr>
          <w:rFonts w:ascii="Calibri" w:hAnsi="Calibri" w:cs="Calibri"/>
          <w:i/>
          <w:iCs/>
          <w:noProof/>
        </w:rPr>
        <w:t>Sci. Rep.</w:t>
      </w:r>
      <w:r w:rsidRPr="00D37D3A">
        <w:rPr>
          <w:rFonts w:ascii="Calibri" w:hAnsi="Calibri" w:cs="Calibri"/>
          <w:noProof/>
        </w:rPr>
        <w:t xml:space="preserve"> </w:t>
      </w:r>
      <w:r w:rsidRPr="00D37D3A">
        <w:rPr>
          <w:rFonts w:ascii="Calibri" w:hAnsi="Calibri" w:cs="Calibri"/>
          <w:b/>
          <w:bCs/>
          <w:noProof/>
        </w:rPr>
        <w:t>7</w:t>
      </w:r>
      <w:r w:rsidRPr="00D37D3A">
        <w:rPr>
          <w:rFonts w:ascii="Calibri" w:hAnsi="Calibri" w:cs="Calibri"/>
          <w:noProof/>
        </w:rPr>
        <w:t>, (2017).</w:t>
      </w:r>
    </w:p>
    <w:p w14:paraId="781B8196" w14:textId="77777777" w:rsidR="00D37D3A" w:rsidRPr="00D37D3A" w:rsidRDefault="00D37D3A" w:rsidP="00D37D3A">
      <w:pPr>
        <w:widowControl w:val="0"/>
        <w:autoSpaceDE w:val="0"/>
        <w:autoSpaceDN w:val="0"/>
        <w:adjustRightInd w:val="0"/>
        <w:ind w:left="640" w:hanging="640"/>
        <w:rPr>
          <w:rFonts w:ascii="Calibri" w:hAnsi="Calibri" w:cs="Calibri"/>
          <w:noProof/>
        </w:rPr>
      </w:pPr>
      <w:r w:rsidRPr="00D37D3A">
        <w:rPr>
          <w:rFonts w:ascii="Calibri" w:hAnsi="Calibri" w:cs="Calibri"/>
          <w:noProof/>
        </w:rPr>
        <w:t>30.</w:t>
      </w:r>
      <w:r w:rsidRPr="00D37D3A">
        <w:rPr>
          <w:rFonts w:ascii="Calibri" w:hAnsi="Calibri" w:cs="Calibri"/>
          <w:noProof/>
        </w:rPr>
        <w:tab/>
        <w:t xml:space="preserve">Feeling-Taylor, A. R. </w:t>
      </w:r>
      <w:r w:rsidRPr="00D37D3A">
        <w:rPr>
          <w:rFonts w:ascii="Calibri" w:hAnsi="Calibri" w:cs="Calibri"/>
          <w:i/>
          <w:iCs/>
          <w:noProof/>
        </w:rPr>
        <w:t>et al.</w:t>
      </w:r>
      <w:r w:rsidRPr="00D37D3A">
        <w:rPr>
          <w:rFonts w:ascii="Calibri" w:hAnsi="Calibri" w:cs="Calibri"/>
          <w:noProof/>
        </w:rPr>
        <w:t xml:space="preserve"> Crystallization mechanisms of hemoglobin C in the R state. </w:t>
      </w:r>
      <w:r w:rsidRPr="00D37D3A">
        <w:rPr>
          <w:rFonts w:ascii="Calibri" w:hAnsi="Calibri" w:cs="Calibri"/>
          <w:i/>
          <w:iCs/>
          <w:noProof/>
        </w:rPr>
        <w:t>Biophys. J.</w:t>
      </w:r>
      <w:r w:rsidRPr="00D37D3A">
        <w:rPr>
          <w:rFonts w:ascii="Calibri" w:hAnsi="Calibri" w:cs="Calibri"/>
          <w:noProof/>
        </w:rPr>
        <w:t xml:space="preserve"> </w:t>
      </w:r>
      <w:r w:rsidRPr="00D37D3A">
        <w:rPr>
          <w:rFonts w:ascii="Calibri" w:hAnsi="Calibri" w:cs="Calibri"/>
          <w:b/>
          <w:bCs/>
          <w:noProof/>
        </w:rPr>
        <w:t>87</w:t>
      </w:r>
      <w:r w:rsidRPr="00D37D3A">
        <w:rPr>
          <w:rFonts w:ascii="Calibri" w:hAnsi="Calibri" w:cs="Calibri"/>
          <w:noProof/>
        </w:rPr>
        <w:t>, 2621–2629 (2004).</w:t>
      </w:r>
    </w:p>
    <w:p w14:paraId="52473CA5" w14:textId="77777777" w:rsidR="00D37D3A" w:rsidRPr="00D37D3A" w:rsidRDefault="00D37D3A" w:rsidP="00D37D3A">
      <w:pPr>
        <w:widowControl w:val="0"/>
        <w:autoSpaceDE w:val="0"/>
        <w:autoSpaceDN w:val="0"/>
        <w:adjustRightInd w:val="0"/>
        <w:ind w:left="640" w:hanging="640"/>
        <w:rPr>
          <w:rFonts w:ascii="Calibri" w:hAnsi="Calibri" w:cs="Calibri"/>
          <w:noProof/>
        </w:rPr>
      </w:pPr>
      <w:r w:rsidRPr="00D37D3A">
        <w:rPr>
          <w:rFonts w:ascii="Calibri" w:hAnsi="Calibri" w:cs="Calibri"/>
          <w:noProof/>
        </w:rPr>
        <w:t>31.</w:t>
      </w:r>
      <w:r w:rsidRPr="00D37D3A">
        <w:rPr>
          <w:rFonts w:ascii="Calibri" w:hAnsi="Calibri" w:cs="Calibri"/>
          <w:noProof/>
        </w:rPr>
        <w:tab/>
        <w:t xml:space="preserve">Girasole, M. </w:t>
      </w:r>
      <w:r w:rsidRPr="00D37D3A">
        <w:rPr>
          <w:rFonts w:ascii="Calibri" w:hAnsi="Calibri" w:cs="Calibri"/>
          <w:i/>
          <w:iCs/>
          <w:noProof/>
        </w:rPr>
        <w:t>et al.</w:t>
      </w:r>
      <w:r w:rsidRPr="00D37D3A">
        <w:rPr>
          <w:rFonts w:ascii="Calibri" w:hAnsi="Calibri" w:cs="Calibri"/>
          <w:noProof/>
        </w:rPr>
        <w:t xml:space="preserve"> Roughness of the plasma membrane as an independent morphological parameter to study RBCs: A quantitative atomic force microscopy investigation. </w:t>
      </w:r>
      <w:r w:rsidRPr="00D37D3A">
        <w:rPr>
          <w:rFonts w:ascii="Calibri" w:hAnsi="Calibri" w:cs="Calibri"/>
          <w:i/>
          <w:iCs/>
          <w:noProof/>
        </w:rPr>
        <w:t>Biochim. Biophys. Acta - Biomembr.</w:t>
      </w:r>
      <w:r w:rsidRPr="00D37D3A">
        <w:rPr>
          <w:rFonts w:ascii="Calibri" w:hAnsi="Calibri" w:cs="Calibri"/>
          <w:noProof/>
        </w:rPr>
        <w:t xml:space="preserve"> </w:t>
      </w:r>
      <w:r w:rsidRPr="00D37D3A">
        <w:rPr>
          <w:rFonts w:ascii="Calibri" w:hAnsi="Calibri" w:cs="Calibri"/>
          <w:b/>
          <w:bCs/>
          <w:noProof/>
        </w:rPr>
        <w:t>1768</w:t>
      </w:r>
      <w:r w:rsidRPr="00D37D3A">
        <w:rPr>
          <w:rFonts w:ascii="Calibri" w:hAnsi="Calibri" w:cs="Calibri"/>
          <w:noProof/>
        </w:rPr>
        <w:t>, 1268–1276 (2007).</w:t>
      </w:r>
    </w:p>
    <w:p w14:paraId="11EE682D" w14:textId="77777777" w:rsidR="00D37D3A" w:rsidRPr="00D37D3A" w:rsidRDefault="00D37D3A" w:rsidP="00D37D3A">
      <w:pPr>
        <w:widowControl w:val="0"/>
        <w:autoSpaceDE w:val="0"/>
        <w:autoSpaceDN w:val="0"/>
        <w:adjustRightInd w:val="0"/>
        <w:ind w:left="640" w:hanging="640"/>
        <w:rPr>
          <w:rFonts w:ascii="Calibri" w:hAnsi="Calibri" w:cs="Calibri"/>
          <w:noProof/>
        </w:rPr>
      </w:pPr>
      <w:r w:rsidRPr="00D37D3A">
        <w:rPr>
          <w:rFonts w:ascii="Calibri" w:hAnsi="Calibri" w:cs="Calibri"/>
          <w:noProof/>
        </w:rPr>
        <w:t>32.</w:t>
      </w:r>
      <w:r w:rsidRPr="00D37D3A">
        <w:rPr>
          <w:rFonts w:ascii="Calibri" w:hAnsi="Calibri" w:cs="Calibri"/>
          <w:noProof/>
        </w:rPr>
        <w:tab/>
        <w:t xml:space="preserve">Tomaiuolo, G. Biomechanical properties of red blood cells in health and disease towards microfluidics. </w:t>
      </w:r>
      <w:r w:rsidRPr="00D37D3A">
        <w:rPr>
          <w:rFonts w:ascii="Calibri" w:hAnsi="Calibri" w:cs="Calibri"/>
          <w:i/>
          <w:iCs/>
          <w:noProof/>
        </w:rPr>
        <w:t>Biomicrofluidics</w:t>
      </w:r>
      <w:r w:rsidRPr="00D37D3A">
        <w:rPr>
          <w:rFonts w:ascii="Calibri" w:hAnsi="Calibri" w:cs="Calibri"/>
          <w:noProof/>
        </w:rPr>
        <w:t xml:space="preserve"> </w:t>
      </w:r>
      <w:r w:rsidRPr="00D37D3A">
        <w:rPr>
          <w:rFonts w:ascii="Calibri" w:hAnsi="Calibri" w:cs="Calibri"/>
          <w:b/>
          <w:bCs/>
          <w:noProof/>
        </w:rPr>
        <w:t>8</w:t>
      </w:r>
      <w:r w:rsidRPr="00D37D3A">
        <w:rPr>
          <w:rFonts w:ascii="Calibri" w:hAnsi="Calibri" w:cs="Calibri"/>
          <w:noProof/>
        </w:rPr>
        <w:t>, (2014).</w:t>
      </w:r>
    </w:p>
    <w:p w14:paraId="021F3ED9" w14:textId="77777777" w:rsidR="00D37D3A" w:rsidRPr="00D37D3A" w:rsidRDefault="00D37D3A" w:rsidP="00D37D3A">
      <w:pPr>
        <w:widowControl w:val="0"/>
        <w:autoSpaceDE w:val="0"/>
        <w:autoSpaceDN w:val="0"/>
        <w:adjustRightInd w:val="0"/>
        <w:ind w:left="640" w:hanging="640"/>
        <w:rPr>
          <w:rFonts w:ascii="Calibri" w:hAnsi="Calibri" w:cs="Calibri"/>
          <w:noProof/>
        </w:rPr>
      </w:pPr>
      <w:r w:rsidRPr="00D37D3A">
        <w:rPr>
          <w:rFonts w:ascii="Calibri" w:hAnsi="Calibri" w:cs="Calibri"/>
          <w:noProof/>
        </w:rPr>
        <w:t>33.</w:t>
      </w:r>
      <w:r w:rsidRPr="00D37D3A">
        <w:rPr>
          <w:rFonts w:ascii="Calibri" w:hAnsi="Calibri" w:cs="Calibri"/>
          <w:noProof/>
        </w:rPr>
        <w:tab/>
        <w:t xml:space="preserve">Harrison, M. L., Rathinavelu, P., Arese, P., Geahlen, R. L. &amp; Low, P. S. Role of band 3 tyrosine phosphorylation in the regulation of erythrocyte glycolysis. </w:t>
      </w:r>
      <w:r w:rsidRPr="00D37D3A">
        <w:rPr>
          <w:rFonts w:ascii="Calibri" w:hAnsi="Calibri" w:cs="Calibri"/>
          <w:i/>
          <w:iCs/>
          <w:noProof/>
        </w:rPr>
        <w:t>J. Biol. Chem.</w:t>
      </w:r>
      <w:r w:rsidRPr="00D37D3A">
        <w:rPr>
          <w:rFonts w:ascii="Calibri" w:hAnsi="Calibri" w:cs="Calibri"/>
          <w:noProof/>
        </w:rPr>
        <w:t xml:space="preserve"> </w:t>
      </w:r>
      <w:r w:rsidRPr="00D37D3A">
        <w:rPr>
          <w:rFonts w:ascii="Calibri" w:hAnsi="Calibri" w:cs="Calibri"/>
          <w:b/>
          <w:bCs/>
          <w:noProof/>
        </w:rPr>
        <w:t>266</w:t>
      </w:r>
      <w:r w:rsidRPr="00D37D3A">
        <w:rPr>
          <w:rFonts w:ascii="Calibri" w:hAnsi="Calibri" w:cs="Calibri"/>
          <w:noProof/>
        </w:rPr>
        <w:t>, 4106–4111 (1991).</w:t>
      </w:r>
    </w:p>
    <w:p w14:paraId="03BABCAA" w14:textId="77777777" w:rsidR="00D37D3A" w:rsidRPr="00D37D3A" w:rsidRDefault="00D37D3A" w:rsidP="00D37D3A">
      <w:pPr>
        <w:widowControl w:val="0"/>
        <w:autoSpaceDE w:val="0"/>
        <w:autoSpaceDN w:val="0"/>
        <w:adjustRightInd w:val="0"/>
        <w:ind w:left="640" w:hanging="640"/>
        <w:rPr>
          <w:rFonts w:ascii="Calibri" w:hAnsi="Calibri" w:cs="Calibri"/>
          <w:noProof/>
        </w:rPr>
      </w:pPr>
      <w:r w:rsidRPr="00D37D3A">
        <w:rPr>
          <w:rFonts w:ascii="Calibri" w:hAnsi="Calibri" w:cs="Calibri"/>
          <w:noProof/>
        </w:rPr>
        <w:t>34.</w:t>
      </w:r>
      <w:r w:rsidRPr="00D37D3A">
        <w:rPr>
          <w:rFonts w:ascii="Calibri" w:hAnsi="Calibri" w:cs="Calibri"/>
          <w:noProof/>
        </w:rPr>
        <w:tab/>
        <w:t xml:space="preserve">Blumenfeld, N., Zachowski, A., Galacteros, F., Beuzard, Y. &amp; Devaux, P. F. Transmembrane mobility of phospholipids in sickle erythrocytes: Effect of deoxygenation on diffusion and asymmetry. </w:t>
      </w:r>
      <w:r w:rsidRPr="00D37D3A">
        <w:rPr>
          <w:rFonts w:ascii="Calibri" w:hAnsi="Calibri" w:cs="Calibri"/>
          <w:i/>
          <w:iCs/>
          <w:noProof/>
        </w:rPr>
        <w:t>Blood</w:t>
      </w:r>
      <w:r w:rsidRPr="00D37D3A">
        <w:rPr>
          <w:rFonts w:ascii="Calibri" w:hAnsi="Calibri" w:cs="Calibri"/>
          <w:noProof/>
        </w:rPr>
        <w:t xml:space="preserve"> </w:t>
      </w:r>
      <w:r w:rsidRPr="00D37D3A">
        <w:rPr>
          <w:rFonts w:ascii="Calibri" w:hAnsi="Calibri" w:cs="Calibri"/>
          <w:b/>
          <w:bCs/>
          <w:noProof/>
        </w:rPr>
        <w:t>77</w:t>
      </w:r>
      <w:r w:rsidRPr="00D37D3A">
        <w:rPr>
          <w:rFonts w:ascii="Calibri" w:hAnsi="Calibri" w:cs="Calibri"/>
          <w:noProof/>
        </w:rPr>
        <w:t>, 849–854 (1991).</w:t>
      </w:r>
    </w:p>
    <w:p w14:paraId="2DE47138" w14:textId="77777777" w:rsidR="00D37D3A" w:rsidRPr="00D37D3A" w:rsidRDefault="00D37D3A" w:rsidP="00D37D3A">
      <w:pPr>
        <w:widowControl w:val="0"/>
        <w:autoSpaceDE w:val="0"/>
        <w:autoSpaceDN w:val="0"/>
        <w:adjustRightInd w:val="0"/>
        <w:ind w:left="640" w:hanging="640"/>
        <w:rPr>
          <w:rFonts w:ascii="Calibri" w:hAnsi="Calibri" w:cs="Calibri"/>
          <w:noProof/>
        </w:rPr>
      </w:pPr>
      <w:r w:rsidRPr="00D37D3A">
        <w:rPr>
          <w:rFonts w:ascii="Calibri" w:hAnsi="Calibri" w:cs="Calibri"/>
          <w:noProof/>
        </w:rPr>
        <w:t>35.</w:t>
      </w:r>
      <w:r w:rsidRPr="00D37D3A">
        <w:rPr>
          <w:rFonts w:ascii="Calibri" w:hAnsi="Calibri" w:cs="Calibri"/>
          <w:noProof/>
        </w:rPr>
        <w:tab/>
        <w:t xml:space="preserve">Kuypers, F. A. Phospholipid asymmetry in health and disease. </w:t>
      </w:r>
      <w:r w:rsidRPr="00D37D3A">
        <w:rPr>
          <w:rFonts w:ascii="Calibri" w:hAnsi="Calibri" w:cs="Calibri"/>
          <w:i/>
          <w:iCs/>
          <w:noProof/>
        </w:rPr>
        <w:t>Current Opinion in Hematology</w:t>
      </w:r>
      <w:r w:rsidRPr="00D37D3A">
        <w:rPr>
          <w:rFonts w:ascii="Calibri" w:hAnsi="Calibri" w:cs="Calibri"/>
          <w:noProof/>
        </w:rPr>
        <w:t xml:space="preserve"> </w:t>
      </w:r>
      <w:r w:rsidRPr="00D37D3A">
        <w:rPr>
          <w:rFonts w:ascii="Calibri" w:hAnsi="Calibri" w:cs="Calibri"/>
          <w:b/>
          <w:bCs/>
          <w:noProof/>
        </w:rPr>
        <w:t>5</w:t>
      </w:r>
      <w:r w:rsidRPr="00D37D3A">
        <w:rPr>
          <w:rFonts w:ascii="Calibri" w:hAnsi="Calibri" w:cs="Calibri"/>
          <w:noProof/>
        </w:rPr>
        <w:t>, 122–131 (1998).</w:t>
      </w:r>
    </w:p>
    <w:p w14:paraId="2FD8494D" w14:textId="77777777" w:rsidR="00D37D3A" w:rsidRPr="00D37D3A" w:rsidRDefault="00D37D3A" w:rsidP="00D37D3A">
      <w:pPr>
        <w:widowControl w:val="0"/>
        <w:autoSpaceDE w:val="0"/>
        <w:autoSpaceDN w:val="0"/>
        <w:adjustRightInd w:val="0"/>
        <w:ind w:left="640" w:hanging="640"/>
        <w:rPr>
          <w:rFonts w:ascii="Calibri" w:hAnsi="Calibri" w:cs="Calibri"/>
          <w:noProof/>
        </w:rPr>
      </w:pPr>
      <w:r w:rsidRPr="00D37D3A">
        <w:rPr>
          <w:rFonts w:ascii="Calibri" w:hAnsi="Calibri" w:cs="Calibri"/>
          <w:noProof/>
        </w:rPr>
        <w:t>36.</w:t>
      </w:r>
      <w:r w:rsidRPr="00D37D3A">
        <w:rPr>
          <w:rFonts w:ascii="Calibri" w:hAnsi="Calibri" w:cs="Calibri"/>
          <w:noProof/>
        </w:rPr>
        <w:tab/>
        <w:t xml:space="preserve">Itri, R., Junqueira, H. C., Mertins, O. &amp; Baptista, M. S. Membrane changes under oxidative stress: The impact of oxidized lipids. </w:t>
      </w:r>
      <w:r w:rsidRPr="00D37D3A">
        <w:rPr>
          <w:rFonts w:ascii="Calibri" w:hAnsi="Calibri" w:cs="Calibri"/>
          <w:i/>
          <w:iCs/>
          <w:noProof/>
        </w:rPr>
        <w:t>Biophysical Reviews</w:t>
      </w:r>
      <w:r w:rsidRPr="00D37D3A">
        <w:rPr>
          <w:rFonts w:ascii="Calibri" w:hAnsi="Calibri" w:cs="Calibri"/>
          <w:noProof/>
        </w:rPr>
        <w:t xml:space="preserve"> </w:t>
      </w:r>
      <w:r w:rsidRPr="00D37D3A">
        <w:rPr>
          <w:rFonts w:ascii="Calibri" w:hAnsi="Calibri" w:cs="Calibri"/>
          <w:b/>
          <w:bCs/>
          <w:noProof/>
        </w:rPr>
        <w:t>6</w:t>
      </w:r>
      <w:r w:rsidRPr="00D37D3A">
        <w:rPr>
          <w:rFonts w:ascii="Calibri" w:hAnsi="Calibri" w:cs="Calibri"/>
          <w:noProof/>
        </w:rPr>
        <w:t>, 47–61 (2014).</w:t>
      </w:r>
    </w:p>
    <w:p w14:paraId="61E33F30" w14:textId="07D029B5" w:rsidR="0050680A" w:rsidRDefault="003750C7" w:rsidP="0046413A">
      <w:pPr>
        <w:widowControl w:val="0"/>
        <w:autoSpaceDE w:val="0"/>
        <w:autoSpaceDN w:val="0"/>
        <w:adjustRightInd w:val="0"/>
      </w:pPr>
      <w:r>
        <w:fldChar w:fldCharType="end"/>
      </w:r>
    </w:p>
    <w:p w14:paraId="65FBF5C4" w14:textId="77777777" w:rsidR="0050680A" w:rsidRDefault="0050680A" w:rsidP="0050680A"/>
    <w:p w14:paraId="7F666226" w14:textId="77777777" w:rsidR="0050680A" w:rsidRPr="00DF3949" w:rsidRDefault="0050680A" w:rsidP="0050680A">
      <w:pPr>
        <w:spacing w:before="100" w:beforeAutospacing="1" w:after="100" w:afterAutospacing="1"/>
        <w:rPr>
          <w:rFonts w:eastAsia="Times New Roman" w:cstheme="minorHAnsi"/>
          <w:b/>
          <w:bCs/>
        </w:rPr>
      </w:pPr>
    </w:p>
    <w:p w14:paraId="0EAB9E06" w14:textId="77777777" w:rsidR="00700F56" w:rsidRPr="00700F56" w:rsidRDefault="00700F56" w:rsidP="003A1AF2"/>
    <w:sectPr w:rsidR="00700F56" w:rsidRPr="00700F56" w:rsidSect="005F79D1">
      <w:footerReference w:type="even" r:id="rId15"/>
      <w:footerReference w:type="default" r:id="rId16"/>
      <w:pgSz w:w="11900" w:h="16840"/>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72712AD9" w14:textId="77777777" w:rsidR="00283BE5" w:rsidRDefault="00283BE5">
      <w:r>
        <w:separator/>
      </w:r>
    </w:p>
  </w:endnote>
  <w:endnote w:type="continuationSeparator" w:id="0">
    <w:p w14:paraId="74FB8670" w14:textId="77777777" w:rsidR="00283BE5" w:rsidRDefault="00283BE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Symbol">
    <w:panose1 w:val="05050102010706020507"/>
    <w:charset w:val="02"/>
    <w:family w:val="decorative"/>
    <w:pitch w:val="variable"/>
    <w:sig w:usb0="00000003" w:usb1="10000000" w:usb2="00000000" w:usb3="00000000" w:csb0="8000000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Cambria Math">
    <w:panose1 w:val="02040503050406030204"/>
    <w:charset w:val="00"/>
    <w:family w:val="roman"/>
    <w:pitch w:val="variable"/>
    <w:sig w:usb0="E00002FF" w:usb1="420024FF" w:usb2="00000000" w:usb3="00000000" w:csb0="0000019F" w:csb1="00000000"/>
  </w:font>
  <w:font w:name="Arial">
    <w:panose1 w:val="020B0604020202020204"/>
    <w:charset w:val="00"/>
    <w:family w:val="swiss"/>
    <w:pitch w:val="variable"/>
    <w:sig w:usb0="E0002EFF" w:usb1="C000785B" w:usb2="00000009" w:usb3="00000000" w:csb0="000001FF" w:csb1="00000000"/>
  </w:font>
  <w:font w:name="AppleSystemUIFont">
    <w:altName w:val="Calibri"/>
    <w:panose1 w:val="020B0604020202020204"/>
    <w:charset w:val="00"/>
    <w:family w:val="auto"/>
    <w:notTrueType/>
    <w:pitch w:val="default"/>
    <w:sig w:usb0="00000003" w:usb1="00000000" w:usb2="00000000" w:usb3="00000000" w:csb0="00000001"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rPr>
        <w:rStyle w:val="PageNumber"/>
      </w:rPr>
      <w:id w:val="362417030"/>
      <w:docPartObj>
        <w:docPartGallery w:val="Page Numbers (Bottom of Page)"/>
        <w:docPartUnique/>
      </w:docPartObj>
    </w:sdtPr>
    <w:sdtEndPr>
      <w:rPr>
        <w:rStyle w:val="PageNumber"/>
      </w:rPr>
    </w:sdtEndPr>
    <w:sdtContent>
      <w:p w14:paraId="25851C53" w14:textId="77777777" w:rsidR="00E40649" w:rsidRDefault="00E40649" w:rsidP="00B220CD">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7E9C75EA" w14:textId="77777777" w:rsidR="00E40649" w:rsidRDefault="00E40649">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rPr>
        <w:rStyle w:val="PageNumber"/>
      </w:rPr>
      <w:id w:val="-400831006"/>
      <w:docPartObj>
        <w:docPartGallery w:val="Page Numbers (Bottom of Page)"/>
        <w:docPartUnique/>
      </w:docPartObj>
    </w:sdtPr>
    <w:sdtEndPr>
      <w:rPr>
        <w:rStyle w:val="PageNumber"/>
      </w:rPr>
    </w:sdtEndPr>
    <w:sdtContent>
      <w:p w14:paraId="52054D7D" w14:textId="0411BEB8" w:rsidR="00E40649" w:rsidRDefault="00E40649" w:rsidP="00B220CD">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separate"/>
        </w:r>
        <w:r w:rsidR="00722638">
          <w:rPr>
            <w:rStyle w:val="PageNumber"/>
            <w:noProof/>
          </w:rPr>
          <w:t>23</w:t>
        </w:r>
        <w:r>
          <w:rPr>
            <w:rStyle w:val="PageNumber"/>
          </w:rPr>
          <w:fldChar w:fldCharType="end"/>
        </w:r>
      </w:p>
    </w:sdtContent>
  </w:sdt>
  <w:p w14:paraId="307A893B" w14:textId="77777777" w:rsidR="00E40649" w:rsidRDefault="00E40649">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0D433F56" w14:textId="77777777" w:rsidR="00283BE5" w:rsidRDefault="00283BE5">
      <w:r>
        <w:separator/>
      </w:r>
    </w:p>
  </w:footnote>
  <w:footnote w:type="continuationSeparator" w:id="0">
    <w:p w14:paraId="537F918E" w14:textId="77777777" w:rsidR="00283BE5" w:rsidRDefault="00283BE5">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1942396A"/>
    <w:multiLevelType w:val="multilevel"/>
    <w:tmpl w:val="099AD220"/>
    <w:lvl w:ilvl="0">
      <w:start w:val="1"/>
      <w:numFmt w:val="decimal"/>
      <w:lvlText w:val="%1."/>
      <w:lvlJc w:val="left"/>
      <w:pPr>
        <w:ind w:left="360" w:hanging="360"/>
      </w:pPr>
      <w:rPr>
        <w:rFonts w:hint="default"/>
      </w:r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 w15:restartNumberingAfterBreak="0">
    <w:nsid w:val="2DF54BE6"/>
    <w:multiLevelType w:val="hybridMultilevel"/>
    <w:tmpl w:val="68B44AB6"/>
    <w:lvl w:ilvl="0" w:tplc="8D649B56">
      <w:start w:val="1"/>
      <w:numFmt w:val="lowerLetter"/>
      <w:lvlText w:val="%1)"/>
      <w:lvlJc w:val="left"/>
      <w:pPr>
        <w:ind w:left="720" w:hanging="360"/>
      </w:pPr>
      <w:rPr>
        <w:rFonts w:asciiTheme="minorHAnsi" w:eastAsiaTheme="minorHAnsi" w:hAnsiTheme="minorHAnsi" w:cstheme="minorBidi"/>
      </w:rPr>
    </w:lvl>
    <w:lvl w:ilvl="1" w:tplc="0809001B">
      <w:start w:val="1"/>
      <w:numFmt w:val="lowerRoman"/>
      <w:lvlText w:val="%2."/>
      <w:lvlJc w:val="righ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324F2BBA"/>
    <w:multiLevelType w:val="hybridMultilevel"/>
    <w:tmpl w:val="5F8C0428"/>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3CFA1216"/>
    <w:multiLevelType w:val="hybridMultilevel"/>
    <w:tmpl w:val="FB848FB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46BE372B"/>
    <w:multiLevelType w:val="hybridMultilevel"/>
    <w:tmpl w:val="83B43588"/>
    <w:lvl w:ilvl="0" w:tplc="08090019">
      <w:start w:val="1"/>
      <w:numFmt w:val="lowerLetter"/>
      <w:lvlText w:val="%1."/>
      <w:lvlJc w:val="left"/>
      <w:pPr>
        <w:ind w:left="720" w:hanging="360"/>
      </w:pPr>
    </w:lvl>
    <w:lvl w:ilvl="1" w:tplc="0809001B">
      <w:start w:val="1"/>
      <w:numFmt w:val="lowerRoman"/>
      <w:lvlText w:val="%2."/>
      <w:lvlJc w:val="righ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5B3126D4"/>
    <w:multiLevelType w:val="hybridMultilevel"/>
    <w:tmpl w:val="EA321824"/>
    <w:lvl w:ilvl="0" w:tplc="92B802E2">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6B944B7C"/>
    <w:multiLevelType w:val="hybridMultilevel"/>
    <w:tmpl w:val="68B44AB6"/>
    <w:lvl w:ilvl="0" w:tplc="8D649B56">
      <w:start w:val="1"/>
      <w:numFmt w:val="lowerLetter"/>
      <w:lvlText w:val="%1)"/>
      <w:lvlJc w:val="left"/>
      <w:pPr>
        <w:ind w:left="720" w:hanging="360"/>
      </w:pPr>
      <w:rPr>
        <w:rFonts w:asciiTheme="minorHAnsi" w:eastAsiaTheme="minorHAnsi" w:hAnsiTheme="minorHAnsi" w:cstheme="minorBidi"/>
      </w:rPr>
    </w:lvl>
    <w:lvl w:ilvl="1" w:tplc="0809001B">
      <w:start w:val="1"/>
      <w:numFmt w:val="lowerRoman"/>
      <w:lvlText w:val="%2."/>
      <w:lvlJc w:val="righ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2"/>
  </w:num>
  <w:num w:numId="2">
    <w:abstractNumId w:val="6"/>
  </w:num>
  <w:num w:numId="3">
    <w:abstractNumId w:val="4"/>
  </w:num>
  <w:num w:numId="4">
    <w:abstractNumId w:val="3"/>
  </w:num>
  <w:num w:numId="5">
    <w:abstractNumId w:val="1"/>
  </w:num>
  <w:num w:numId="6">
    <w:abstractNumId w:val="5"/>
  </w:num>
  <w:num w:numId="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6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A1AF2"/>
    <w:rsid w:val="0000547B"/>
    <w:rsid w:val="000113CC"/>
    <w:rsid w:val="0001615D"/>
    <w:rsid w:val="00016D7A"/>
    <w:rsid w:val="00017443"/>
    <w:rsid w:val="000217B5"/>
    <w:rsid w:val="00023A0C"/>
    <w:rsid w:val="00033A93"/>
    <w:rsid w:val="00035012"/>
    <w:rsid w:val="00037159"/>
    <w:rsid w:val="00043853"/>
    <w:rsid w:val="000525A5"/>
    <w:rsid w:val="000527EE"/>
    <w:rsid w:val="00052A92"/>
    <w:rsid w:val="00056F99"/>
    <w:rsid w:val="00057225"/>
    <w:rsid w:val="000651A0"/>
    <w:rsid w:val="00067E03"/>
    <w:rsid w:val="00081D08"/>
    <w:rsid w:val="00087BCD"/>
    <w:rsid w:val="00091523"/>
    <w:rsid w:val="000A2F12"/>
    <w:rsid w:val="000A7E92"/>
    <w:rsid w:val="000B33C5"/>
    <w:rsid w:val="000B5DFA"/>
    <w:rsid w:val="000B6A5D"/>
    <w:rsid w:val="000C12EB"/>
    <w:rsid w:val="000C4CAE"/>
    <w:rsid w:val="000D0816"/>
    <w:rsid w:val="000D6CED"/>
    <w:rsid w:val="000D7AAE"/>
    <w:rsid w:val="000E0304"/>
    <w:rsid w:val="000E11C9"/>
    <w:rsid w:val="000E340B"/>
    <w:rsid w:val="000E37B5"/>
    <w:rsid w:val="000E533A"/>
    <w:rsid w:val="000E7B3B"/>
    <w:rsid w:val="000F41CE"/>
    <w:rsid w:val="000F607A"/>
    <w:rsid w:val="00100A10"/>
    <w:rsid w:val="00102555"/>
    <w:rsid w:val="0011692D"/>
    <w:rsid w:val="00117B34"/>
    <w:rsid w:val="00117D43"/>
    <w:rsid w:val="00120352"/>
    <w:rsid w:val="00121C56"/>
    <w:rsid w:val="00122B49"/>
    <w:rsid w:val="00132F9D"/>
    <w:rsid w:val="00140497"/>
    <w:rsid w:val="00140BC4"/>
    <w:rsid w:val="001441A6"/>
    <w:rsid w:val="00145942"/>
    <w:rsid w:val="00165B98"/>
    <w:rsid w:val="00165F93"/>
    <w:rsid w:val="0016627C"/>
    <w:rsid w:val="00171DED"/>
    <w:rsid w:val="00172056"/>
    <w:rsid w:val="00187676"/>
    <w:rsid w:val="00190F88"/>
    <w:rsid w:val="00192AA2"/>
    <w:rsid w:val="00193C9E"/>
    <w:rsid w:val="001952B4"/>
    <w:rsid w:val="0019590C"/>
    <w:rsid w:val="001A12FA"/>
    <w:rsid w:val="001B1E17"/>
    <w:rsid w:val="001B43E2"/>
    <w:rsid w:val="001B680B"/>
    <w:rsid w:val="001C3B5D"/>
    <w:rsid w:val="001C56A7"/>
    <w:rsid w:val="001C6F5F"/>
    <w:rsid w:val="001D04E7"/>
    <w:rsid w:val="001D0936"/>
    <w:rsid w:val="001D0FCB"/>
    <w:rsid w:val="001D320B"/>
    <w:rsid w:val="001E4489"/>
    <w:rsid w:val="001E77FA"/>
    <w:rsid w:val="001F0C45"/>
    <w:rsid w:val="00201943"/>
    <w:rsid w:val="00217D82"/>
    <w:rsid w:val="002228EB"/>
    <w:rsid w:val="0022511E"/>
    <w:rsid w:val="0022727D"/>
    <w:rsid w:val="0022748C"/>
    <w:rsid w:val="00230279"/>
    <w:rsid w:val="00233089"/>
    <w:rsid w:val="002356C8"/>
    <w:rsid w:val="00235AF1"/>
    <w:rsid w:val="00236262"/>
    <w:rsid w:val="00236E1E"/>
    <w:rsid w:val="00241AC1"/>
    <w:rsid w:val="002426F4"/>
    <w:rsid w:val="00243CAC"/>
    <w:rsid w:val="00243E89"/>
    <w:rsid w:val="0024479F"/>
    <w:rsid w:val="00251520"/>
    <w:rsid w:val="00256CF6"/>
    <w:rsid w:val="00263DA3"/>
    <w:rsid w:val="00263E89"/>
    <w:rsid w:val="00266C07"/>
    <w:rsid w:val="002676E8"/>
    <w:rsid w:val="00270F30"/>
    <w:rsid w:val="00275758"/>
    <w:rsid w:val="00276834"/>
    <w:rsid w:val="0027776D"/>
    <w:rsid w:val="002831CC"/>
    <w:rsid w:val="00283BE5"/>
    <w:rsid w:val="00285E07"/>
    <w:rsid w:val="00287A04"/>
    <w:rsid w:val="00294F29"/>
    <w:rsid w:val="002A33CA"/>
    <w:rsid w:val="002A794B"/>
    <w:rsid w:val="002B5FAC"/>
    <w:rsid w:val="002B6A06"/>
    <w:rsid w:val="002C4AEE"/>
    <w:rsid w:val="002C50DA"/>
    <w:rsid w:val="002D465F"/>
    <w:rsid w:val="002E184D"/>
    <w:rsid w:val="002F006E"/>
    <w:rsid w:val="002F0B1A"/>
    <w:rsid w:val="00302B81"/>
    <w:rsid w:val="0030469E"/>
    <w:rsid w:val="00304C72"/>
    <w:rsid w:val="00311C3E"/>
    <w:rsid w:val="00312CFC"/>
    <w:rsid w:val="00313FCC"/>
    <w:rsid w:val="00316154"/>
    <w:rsid w:val="0032145C"/>
    <w:rsid w:val="00324DAA"/>
    <w:rsid w:val="0032540F"/>
    <w:rsid w:val="003307B3"/>
    <w:rsid w:val="00332F8C"/>
    <w:rsid w:val="00335A9C"/>
    <w:rsid w:val="0033660C"/>
    <w:rsid w:val="00336DFF"/>
    <w:rsid w:val="00337148"/>
    <w:rsid w:val="003440DC"/>
    <w:rsid w:val="00344845"/>
    <w:rsid w:val="00346701"/>
    <w:rsid w:val="003521E9"/>
    <w:rsid w:val="00352DD0"/>
    <w:rsid w:val="00360B28"/>
    <w:rsid w:val="00372602"/>
    <w:rsid w:val="003750C7"/>
    <w:rsid w:val="00380F87"/>
    <w:rsid w:val="0038427B"/>
    <w:rsid w:val="003853C8"/>
    <w:rsid w:val="00390FA0"/>
    <w:rsid w:val="00393E3B"/>
    <w:rsid w:val="00395B78"/>
    <w:rsid w:val="0039658C"/>
    <w:rsid w:val="00396D10"/>
    <w:rsid w:val="003A1AF2"/>
    <w:rsid w:val="003A4FB9"/>
    <w:rsid w:val="003A5EBD"/>
    <w:rsid w:val="003A5F84"/>
    <w:rsid w:val="003B10FC"/>
    <w:rsid w:val="003D19B6"/>
    <w:rsid w:val="003D2D91"/>
    <w:rsid w:val="003E1220"/>
    <w:rsid w:val="003E2616"/>
    <w:rsid w:val="003E4C51"/>
    <w:rsid w:val="003F2171"/>
    <w:rsid w:val="00406276"/>
    <w:rsid w:val="004104CE"/>
    <w:rsid w:val="00415316"/>
    <w:rsid w:val="00420AE3"/>
    <w:rsid w:val="00424F16"/>
    <w:rsid w:val="00433FBF"/>
    <w:rsid w:val="004402F1"/>
    <w:rsid w:val="004423E8"/>
    <w:rsid w:val="00444D6A"/>
    <w:rsid w:val="004514A5"/>
    <w:rsid w:val="004615D2"/>
    <w:rsid w:val="00462CF1"/>
    <w:rsid w:val="0046413A"/>
    <w:rsid w:val="004664AF"/>
    <w:rsid w:val="00471452"/>
    <w:rsid w:val="00472CBA"/>
    <w:rsid w:val="0047402F"/>
    <w:rsid w:val="00475D64"/>
    <w:rsid w:val="004770BE"/>
    <w:rsid w:val="00477DF5"/>
    <w:rsid w:val="0048382D"/>
    <w:rsid w:val="00487A8E"/>
    <w:rsid w:val="0049611A"/>
    <w:rsid w:val="004A4099"/>
    <w:rsid w:val="004A4B3A"/>
    <w:rsid w:val="004A6808"/>
    <w:rsid w:val="004A7BC5"/>
    <w:rsid w:val="004C10FA"/>
    <w:rsid w:val="004C3883"/>
    <w:rsid w:val="004C4501"/>
    <w:rsid w:val="004C516C"/>
    <w:rsid w:val="004C7834"/>
    <w:rsid w:val="004D3D3F"/>
    <w:rsid w:val="004D7362"/>
    <w:rsid w:val="004E17CA"/>
    <w:rsid w:val="004E258B"/>
    <w:rsid w:val="004E3181"/>
    <w:rsid w:val="00500E28"/>
    <w:rsid w:val="00502C7E"/>
    <w:rsid w:val="00503C50"/>
    <w:rsid w:val="00505455"/>
    <w:rsid w:val="0050680A"/>
    <w:rsid w:val="00515D42"/>
    <w:rsid w:val="00520A83"/>
    <w:rsid w:val="00525BD7"/>
    <w:rsid w:val="00527781"/>
    <w:rsid w:val="00530DE1"/>
    <w:rsid w:val="0053136E"/>
    <w:rsid w:val="00532029"/>
    <w:rsid w:val="00533C2F"/>
    <w:rsid w:val="00537CA8"/>
    <w:rsid w:val="005411A0"/>
    <w:rsid w:val="005435C3"/>
    <w:rsid w:val="0055249A"/>
    <w:rsid w:val="005546FD"/>
    <w:rsid w:val="0057714D"/>
    <w:rsid w:val="0058105E"/>
    <w:rsid w:val="005872FC"/>
    <w:rsid w:val="00590D7A"/>
    <w:rsid w:val="005963F5"/>
    <w:rsid w:val="00596778"/>
    <w:rsid w:val="005A19FB"/>
    <w:rsid w:val="005A3670"/>
    <w:rsid w:val="005A5719"/>
    <w:rsid w:val="005A654D"/>
    <w:rsid w:val="005B2D8E"/>
    <w:rsid w:val="005B623A"/>
    <w:rsid w:val="005B6EFA"/>
    <w:rsid w:val="005C280C"/>
    <w:rsid w:val="005C4881"/>
    <w:rsid w:val="005C65DC"/>
    <w:rsid w:val="005C66B7"/>
    <w:rsid w:val="005D52BE"/>
    <w:rsid w:val="005D6325"/>
    <w:rsid w:val="005D7719"/>
    <w:rsid w:val="005F33AA"/>
    <w:rsid w:val="005F3860"/>
    <w:rsid w:val="005F55A4"/>
    <w:rsid w:val="005F79D1"/>
    <w:rsid w:val="0060232D"/>
    <w:rsid w:val="00603067"/>
    <w:rsid w:val="00607B6B"/>
    <w:rsid w:val="00610064"/>
    <w:rsid w:val="006104FC"/>
    <w:rsid w:val="00610D08"/>
    <w:rsid w:val="00620A75"/>
    <w:rsid w:val="00620C32"/>
    <w:rsid w:val="00626279"/>
    <w:rsid w:val="00627CB7"/>
    <w:rsid w:val="006318B6"/>
    <w:rsid w:val="00634DFB"/>
    <w:rsid w:val="0063537D"/>
    <w:rsid w:val="00636756"/>
    <w:rsid w:val="00641084"/>
    <w:rsid w:val="00645469"/>
    <w:rsid w:val="00650410"/>
    <w:rsid w:val="006518C6"/>
    <w:rsid w:val="00660E28"/>
    <w:rsid w:val="00662184"/>
    <w:rsid w:val="006649FF"/>
    <w:rsid w:val="00671545"/>
    <w:rsid w:val="0067184F"/>
    <w:rsid w:val="006755BE"/>
    <w:rsid w:val="00675C22"/>
    <w:rsid w:val="00682B96"/>
    <w:rsid w:val="0068502F"/>
    <w:rsid w:val="006963E0"/>
    <w:rsid w:val="006A18C1"/>
    <w:rsid w:val="006A28C3"/>
    <w:rsid w:val="006A293E"/>
    <w:rsid w:val="006A7347"/>
    <w:rsid w:val="006B013A"/>
    <w:rsid w:val="006B36E8"/>
    <w:rsid w:val="006B3E37"/>
    <w:rsid w:val="006B6138"/>
    <w:rsid w:val="006B74CB"/>
    <w:rsid w:val="006C0904"/>
    <w:rsid w:val="006C0CAF"/>
    <w:rsid w:val="006D300C"/>
    <w:rsid w:val="006D39F5"/>
    <w:rsid w:val="006D7774"/>
    <w:rsid w:val="006E04B6"/>
    <w:rsid w:val="006E7113"/>
    <w:rsid w:val="006E77AE"/>
    <w:rsid w:val="006F61C5"/>
    <w:rsid w:val="006F6C2B"/>
    <w:rsid w:val="00700F56"/>
    <w:rsid w:val="007040E4"/>
    <w:rsid w:val="0071152A"/>
    <w:rsid w:val="00713514"/>
    <w:rsid w:val="00715B30"/>
    <w:rsid w:val="007172DA"/>
    <w:rsid w:val="00720085"/>
    <w:rsid w:val="00721149"/>
    <w:rsid w:val="00722638"/>
    <w:rsid w:val="00726157"/>
    <w:rsid w:val="007264E3"/>
    <w:rsid w:val="0073054B"/>
    <w:rsid w:val="0074147F"/>
    <w:rsid w:val="00747189"/>
    <w:rsid w:val="00750C9E"/>
    <w:rsid w:val="00755ED1"/>
    <w:rsid w:val="00757DEB"/>
    <w:rsid w:val="007655AC"/>
    <w:rsid w:val="00770329"/>
    <w:rsid w:val="00771665"/>
    <w:rsid w:val="00771721"/>
    <w:rsid w:val="00775D3B"/>
    <w:rsid w:val="00781AAD"/>
    <w:rsid w:val="00786591"/>
    <w:rsid w:val="00793032"/>
    <w:rsid w:val="0079322E"/>
    <w:rsid w:val="00797108"/>
    <w:rsid w:val="007A03EA"/>
    <w:rsid w:val="007A2CAB"/>
    <w:rsid w:val="007A342D"/>
    <w:rsid w:val="007B185D"/>
    <w:rsid w:val="007B32D5"/>
    <w:rsid w:val="007B703C"/>
    <w:rsid w:val="007C0EE3"/>
    <w:rsid w:val="007D0CD2"/>
    <w:rsid w:val="007D6122"/>
    <w:rsid w:val="007E1D9A"/>
    <w:rsid w:val="007E7E02"/>
    <w:rsid w:val="00801A17"/>
    <w:rsid w:val="0080261B"/>
    <w:rsid w:val="00803265"/>
    <w:rsid w:val="0080351B"/>
    <w:rsid w:val="008066F5"/>
    <w:rsid w:val="00810EA2"/>
    <w:rsid w:val="00811F06"/>
    <w:rsid w:val="00817A9A"/>
    <w:rsid w:val="00827F06"/>
    <w:rsid w:val="00836795"/>
    <w:rsid w:val="00842943"/>
    <w:rsid w:val="00845629"/>
    <w:rsid w:val="00845D79"/>
    <w:rsid w:val="00846529"/>
    <w:rsid w:val="008473CF"/>
    <w:rsid w:val="00856DB0"/>
    <w:rsid w:val="0086365C"/>
    <w:rsid w:val="00870B75"/>
    <w:rsid w:val="008718C2"/>
    <w:rsid w:val="00876322"/>
    <w:rsid w:val="00876F96"/>
    <w:rsid w:val="00877BAE"/>
    <w:rsid w:val="008811F2"/>
    <w:rsid w:val="00884CAB"/>
    <w:rsid w:val="008907E6"/>
    <w:rsid w:val="008A4E8D"/>
    <w:rsid w:val="008A58BF"/>
    <w:rsid w:val="008A5EDA"/>
    <w:rsid w:val="008A71F0"/>
    <w:rsid w:val="008B4393"/>
    <w:rsid w:val="008B4568"/>
    <w:rsid w:val="008B5311"/>
    <w:rsid w:val="008C0570"/>
    <w:rsid w:val="008C1279"/>
    <w:rsid w:val="008C1B01"/>
    <w:rsid w:val="008C4171"/>
    <w:rsid w:val="008C4887"/>
    <w:rsid w:val="008C5946"/>
    <w:rsid w:val="008C7059"/>
    <w:rsid w:val="008D3924"/>
    <w:rsid w:val="008E0711"/>
    <w:rsid w:val="008E2B00"/>
    <w:rsid w:val="008E3FE2"/>
    <w:rsid w:val="008E5FB3"/>
    <w:rsid w:val="008F5465"/>
    <w:rsid w:val="0090352F"/>
    <w:rsid w:val="009122B6"/>
    <w:rsid w:val="0091487D"/>
    <w:rsid w:val="009157C8"/>
    <w:rsid w:val="009210A9"/>
    <w:rsid w:val="00922AE5"/>
    <w:rsid w:val="0094434E"/>
    <w:rsid w:val="00950FF3"/>
    <w:rsid w:val="00951A90"/>
    <w:rsid w:val="009523DB"/>
    <w:rsid w:val="00957FCD"/>
    <w:rsid w:val="0096367F"/>
    <w:rsid w:val="0096377C"/>
    <w:rsid w:val="00966C6E"/>
    <w:rsid w:val="00971957"/>
    <w:rsid w:val="0097507D"/>
    <w:rsid w:val="00976469"/>
    <w:rsid w:val="009765D2"/>
    <w:rsid w:val="0098122A"/>
    <w:rsid w:val="00983195"/>
    <w:rsid w:val="00985DA7"/>
    <w:rsid w:val="00987089"/>
    <w:rsid w:val="00990D09"/>
    <w:rsid w:val="00992ECA"/>
    <w:rsid w:val="00993D98"/>
    <w:rsid w:val="009A197B"/>
    <w:rsid w:val="009B684D"/>
    <w:rsid w:val="009C07E5"/>
    <w:rsid w:val="009C5087"/>
    <w:rsid w:val="009C6AD6"/>
    <w:rsid w:val="009C7894"/>
    <w:rsid w:val="009C7A55"/>
    <w:rsid w:val="009D497D"/>
    <w:rsid w:val="009D4C4D"/>
    <w:rsid w:val="009D605B"/>
    <w:rsid w:val="009E0118"/>
    <w:rsid w:val="009E353C"/>
    <w:rsid w:val="009E69AD"/>
    <w:rsid w:val="009F1990"/>
    <w:rsid w:val="00A10CC0"/>
    <w:rsid w:val="00A10E35"/>
    <w:rsid w:val="00A12EEA"/>
    <w:rsid w:val="00A15A6B"/>
    <w:rsid w:val="00A200F2"/>
    <w:rsid w:val="00A24D33"/>
    <w:rsid w:val="00A266CD"/>
    <w:rsid w:val="00A3255A"/>
    <w:rsid w:val="00A36845"/>
    <w:rsid w:val="00A42F57"/>
    <w:rsid w:val="00A5170E"/>
    <w:rsid w:val="00A53E7F"/>
    <w:rsid w:val="00A53FFB"/>
    <w:rsid w:val="00A60C01"/>
    <w:rsid w:val="00A62C27"/>
    <w:rsid w:val="00A71D94"/>
    <w:rsid w:val="00A72E83"/>
    <w:rsid w:val="00A778EE"/>
    <w:rsid w:val="00A95189"/>
    <w:rsid w:val="00A955AB"/>
    <w:rsid w:val="00AA63F0"/>
    <w:rsid w:val="00AB05E9"/>
    <w:rsid w:val="00AB4AD3"/>
    <w:rsid w:val="00AB5956"/>
    <w:rsid w:val="00AB62E1"/>
    <w:rsid w:val="00AB6DD5"/>
    <w:rsid w:val="00AC3AA6"/>
    <w:rsid w:val="00AC5908"/>
    <w:rsid w:val="00AD1B91"/>
    <w:rsid w:val="00AD513D"/>
    <w:rsid w:val="00AE2B05"/>
    <w:rsid w:val="00AE38C5"/>
    <w:rsid w:val="00AF3CB4"/>
    <w:rsid w:val="00B000C0"/>
    <w:rsid w:val="00B04486"/>
    <w:rsid w:val="00B04966"/>
    <w:rsid w:val="00B055D0"/>
    <w:rsid w:val="00B159CC"/>
    <w:rsid w:val="00B160E0"/>
    <w:rsid w:val="00B20629"/>
    <w:rsid w:val="00B220CD"/>
    <w:rsid w:val="00B224E0"/>
    <w:rsid w:val="00B3268F"/>
    <w:rsid w:val="00B34940"/>
    <w:rsid w:val="00B41F95"/>
    <w:rsid w:val="00B51E47"/>
    <w:rsid w:val="00B52F64"/>
    <w:rsid w:val="00B53D70"/>
    <w:rsid w:val="00B53EED"/>
    <w:rsid w:val="00B55702"/>
    <w:rsid w:val="00B64D43"/>
    <w:rsid w:val="00B67065"/>
    <w:rsid w:val="00B728E9"/>
    <w:rsid w:val="00B75A6B"/>
    <w:rsid w:val="00B822DB"/>
    <w:rsid w:val="00B866C8"/>
    <w:rsid w:val="00B90F54"/>
    <w:rsid w:val="00B94199"/>
    <w:rsid w:val="00B94D6C"/>
    <w:rsid w:val="00B95186"/>
    <w:rsid w:val="00B952F0"/>
    <w:rsid w:val="00BA1A5C"/>
    <w:rsid w:val="00BA42DC"/>
    <w:rsid w:val="00BB0A57"/>
    <w:rsid w:val="00BC2C51"/>
    <w:rsid w:val="00BC31BB"/>
    <w:rsid w:val="00BC5EB8"/>
    <w:rsid w:val="00BD5356"/>
    <w:rsid w:val="00BD58F0"/>
    <w:rsid w:val="00BE1845"/>
    <w:rsid w:val="00BE3AF2"/>
    <w:rsid w:val="00BE64B2"/>
    <w:rsid w:val="00BF0797"/>
    <w:rsid w:val="00BF226D"/>
    <w:rsid w:val="00BF29F4"/>
    <w:rsid w:val="00C00AD9"/>
    <w:rsid w:val="00C00AE9"/>
    <w:rsid w:val="00C00B5E"/>
    <w:rsid w:val="00C05A65"/>
    <w:rsid w:val="00C12637"/>
    <w:rsid w:val="00C13D5C"/>
    <w:rsid w:val="00C27628"/>
    <w:rsid w:val="00C30C48"/>
    <w:rsid w:val="00C30FBB"/>
    <w:rsid w:val="00C31336"/>
    <w:rsid w:val="00C40EE5"/>
    <w:rsid w:val="00C42547"/>
    <w:rsid w:val="00C42BD1"/>
    <w:rsid w:val="00C444BF"/>
    <w:rsid w:val="00C5317B"/>
    <w:rsid w:val="00C537CC"/>
    <w:rsid w:val="00C53E57"/>
    <w:rsid w:val="00C546A1"/>
    <w:rsid w:val="00C713A4"/>
    <w:rsid w:val="00C959CF"/>
    <w:rsid w:val="00CA0337"/>
    <w:rsid w:val="00CA6843"/>
    <w:rsid w:val="00CB075A"/>
    <w:rsid w:val="00CB17D1"/>
    <w:rsid w:val="00CB370E"/>
    <w:rsid w:val="00CB5D24"/>
    <w:rsid w:val="00CB6B82"/>
    <w:rsid w:val="00CC2EAD"/>
    <w:rsid w:val="00CC4B67"/>
    <w:rsid w:val="00CC577F"/>
    <w:rsid w:val="00CD0E71"/>
    <w:rsid w:val="00CD18AD"/>
    <w:rsid w:val="00CD2FA2"/>
    <w:rsid w:val="00CD377C"/>
    <w:rsid w:val="00CD7287"/>
    <w:rsid w:val="00CE06D3"/>
    <w:rsid w:val="00CE6BE4"/>
    <w:rsid w:val="00CE744B"/>
    <w:rsid w:val="00CF3ACA"/>
    <w:rsid w:val="00CF4C57"/>
    <w:rsid w:val="00CF6C9B"/>
    <w:rsid w:val="00D0723E"/>
    <w:rsid w:val="00D11B0F"/>
    <w:rsid w:val="00D13D91"/>
    <w:rsid w:val="00D146C0"/>
    <w:rsid w:val="00D15E8D"/>
    <w:rsid w:val="00D17DEA"/>
    <w:rsid w:val="00D215EF"/>
    <w:rsid w:val="00D21AAA"/>
    <w:rsid w:val="00D263BD"/>
    <w:rsid w:val="00D26CD9"/>
    <w:rsid w:val="00D27B48"/>
    <w:rsid w:val="00D317B4"/>
    <w:rsid w:val="00D33BA9"/>
    <w:rsid w:val="00D35266"/>
    <w:rsid w:val="00D37D3A"/>
    <w:rsid w:val="00D42AC2"/>
    <w:rsid w:val="00D42C39"/>
    <w:rsid w:val="00D42EAA"/>
    <w:rsid w:val="00D4326F"/>
    <w:rsid w:val="00D43D08"/>
    <w:rsid w:val="00D503F4"/>
    <w:rsid w:val="00D542C7"/>
    <w:rsid w:val="00D6160E"/>
    <w:rsid w:val="00D732B1"/>
    <w:rsid w:val="00D73E12"/>
    <w:rsid w:val="00D749F9"/>
    <w:rsid w:val="00D75A83"/>
    <w:rsid w:val="00D84FB9"/>
    <w:rsid w:val="00D91580"/>
    <w:rsid w:val="00D93CE4"/>
    <w:rsid w:val="00D95001"/>
    <w:rsid w:val="00DA46D4"/>
    <w:rsid w:val="00DA66DD"/>
    <w:rsid w:val="00DB4003"/>
    <w:rsid w:val="00DB7421"/>
    <w:rsid w:val="00DC1919"/>
    <w:rsid w:val="00DD7E42"/>
    <w:rsid w:val="00DE0019"/>
    <w:rsid w:val="00DE2359"/>
    <w:rsid w:val="00DE4596"/>
    <w:rsid w:val="00DF77CE"/>
    <w:rsid w:val="00E03485"/>
    <w:rsid w:val="00E06129"/>
    <w:rsid w:val="00E07FC3"/>
    <w:rsid w:val="00E12D8C"/>
    <w:rsid w:val="00E21675"/>
    <w:rsid w:val="00E2265F"/>
    <w:rsid w:val="00E267D3"/>
    <w:rsid w:val="00E2746D"/>
    <w:rsid w:val="00E30968"/>
    <w:rsid w:val="00E32509"/>
    <w:rsid w:val="00E37A6D"/>
    <w:rsid w:val="00E40649"/>
    <w:rsid w:val="00E4104C"/>
    <w:rsid w:val="00E42313"/>
    <w:rsid w:val="00E4574C"/>
    <w:rsid w:val="00E4610A"/>
    <w:rsid w:val="00E506A9"/>
    <w:rsid w:val="00E5407E"/>
    <w:rsid w:val="00E54906"/>
    <w:rsid w:val="00E55BBE"/>
    <w:rsid w:val="00E55EC7"/>
    <w:rsid w:val="00E62A34"/>
    <w:rsid w:val="00E64EA7"/>
    <w:rsid w:val="00E71ED2"/>
    <w:rsid w:val="00E73A15"/>
    <w:rsid w:val="00E87BF4"/>
    <w:rsid w:val="00E90C96"/>
    <w:rsid w:val="00E922AE"/>
    <w:rsid w:val="00E947B0"/>
    <w:rsid w:val="00EB01A1"/>
    <w:rsid w:val="00EB0E26"/>
    <w:rsid w:val="00EB3A02"/>
    <w:rsid w:val="00EB611D"/>
    <w:rsid w:val="00EB7144"/>
    <w:rsid w:val="00EC5C6A"/>
    <w:rsid w:val="00EC69AB"/>
    <w:rsid w:val="00ED1A72"/>
    <w:rsid w:val="00ED34B0"/>
    <w:rsid w:val="00ED4ABC"/>
    <w:rsid w:val="00ED501D"/>
    <w:rsid w:val="00EE0062"/>
    <w:rsid w:val="00EE23A8"/>
    <w:rsid w:val="00EF3C36"/>
    <w:rsid w:val="00EF7C95"/>
    <w:rsid w:val="00F02920"/>
    <w:rsid w:val="00F0574B"/>
    <w:rsid w:val="00F057B1"/>
    <w:rsid w:val="00F144B4"/>
    <w:rsid w:val="00F22DD6"/>
    <w:rsid w:val="00F2440B"/>
    <w:rsid w:val="00F31BC1"/>
    <w:rsid w:val="00F34025"/>
    <w:rsid w:val="00F3499C"/>
    <w:rsid w:val="00F36189"/>
    <w:rsid w:val="00F40911"/>
    <w:rsid w:val="00F44869"/>
    <w:rsid w:val="00F46558"/>
    <w:rsid w:val="00F539A6"/>
    <w:rsid w:val="00F6026B"/>
    <w:rsid w:val="00F72EC5"/>
    <w:rsid w:val="00F75A3B"/>
    <w:rsid w:val="00F7674E"/>
    <w:rsid w:val="00F81EDC"/>
    <w:rsid w:val="00F860B3"/>
    <w:rsid w:val="00F908EF"/>
    <w:rsid w:val="00F948B0"/>
    <w:rsid w:val="00FA1318"/>
    <w:rsid w:val="00FA54F6"/>
    <w:rsid w:val="00FA72FB"/>
    <w:rsid w:val="00FB149F"/>
    <w:rsid w:val="00FB611D"/>
    <w:rsid w:val="00FC1C51"/>
    <w:rsid w:val="00FC362C"/>
    <w:rsid w:val="00FD623F"/>
    <w:rsid w:val="00FE086A"/>
    <w:rsid w:val="00FE3457"/>
    <w:rsid w:val="00FE472F"/>
    <w:rsid w:val="00FE6361"/>
    <w:rsid w:val="00FF297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E633B74"/>
  <w15:docId w15:val="{50B7EC70-F48C-6A4D-99EF-E7F624B08B9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4"/>
        <w:szCs w:val="24"/>
        <w:lang w:val="en-GB"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A1AF2"/>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3A1AF2"/>
    <w:rPr>
      <w:color w:val="808080"/>
    </w:rPr>
  </w:style>
  <w:style w:type="paragraph" w:styleId="BalloonText">
    <w:name w:val="Balloon Text"/>
    <w:basedOn w:val="Normal"/>
    <w:link w:val="BalloonTextChar"/>
    <w:uiPriority w:val="99"/>
    <w:semiHidden/>
    <w:unhideWhenUsed/>
    <w:rsid w:val="003A1AF2"/>
    <w:rPr>
      <w:rFonts w:ascii="Times New Roman" w:hAnsi="Times New Roman" w:cs="Times New Roman"/>
      <w:sz w:val="18"/>
      <w:szCs w:val="18"/>
    </w:rPr>
  </w:style>
  <w:style w:type="character" w:customStyle="1" w:styleId="BalloonTextChar">
    <w:name w:val="Balloon Text Char"/>
    <w:basedOn w:val="DefaultParagraphFont"/>
    <w:link w:val="BalloonText"/>
    <w:uiPriority w:val="99"/>
    <w:semiHidden/>
    <w:rsid w:val="003A1AF2"/>
    <w:rPr>
      <w:rFonts w:ascii="Times New Roman" w:hAnsi="Times New Roman" w:cs="Times New Roman"/>
      <w:sz w:val="18"/>
      <w:szCs w:val="18"/>
    </w:rPr>
  </w:style>
  <w:style w:type="paragraph" w:styleId="Caption">
    <w:name w:val="caption"/>
    <w:basedOn w:val="Normal"/>
    <w:next w:val="Normal"/>
    <w:uiPriority w:val="35"/>
    <w:unhideWhenUsed/>
    <w:qFormat/>
    <w:rsid w:val="003A1AF2"/>
    <w:pPr>
      <w:spacing w:after="200"/>
    </w:pPr>
    <w:rPr>
      <w:i/>
      <w:iCs/>
      <w:color w:val="44546A" w:themeColor="text2"/>
      <w:sz w:val="18"/>
      <w:szCs w:val="18"/>
    </w:rPr>
  </w:style>
  <w:style w:type="paragraph" w:styleId="NormalWeb">
    <w:name w:val="Normal (Web)"/>
    <w:basedOn w:val="Normal"/>
    <w:uiPriority w:val="99"/>
    <w:semiHidden/>
    <w:unhideWhenUsed/>
    <w:rsid w:val="003A1AF2"/>
    <w:pPr>
      <w:spacing w:before="100" w:beforeAutospacing="1" w:after="100" w:afterAutospacing="1"/>
    </w:pPr>
    <w:rPr>
      <w:rFonts w:ascii="Times New Roman" w:eastAsia="Times New Roman" w:hAnsi="Times New Roman" w:cs="Times New Roman"/>
      <w:lang w:eastAsia="en-GB"/>
    </w:rPr>
  </w:style>
  <w:style w:type="table" w:styleId="TableGrid">
    <w:name w:val="Table Grid"/>
    <w:basedOn w:val="TableNormal"/>
    <w:uiPriority w:val="39"/>
    <w:rsid w:val="003A1AF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3A1AF2"/>
    <w:pPr>
      <w:ind w:left="720"/>
      <w:contextualSpacing/>
    </w:pPr>
  </w:style>
  <w:style w:type="paragraph" w:styleId="Footer">
    <w:name w:val="footer"/>
    <w:basedOn w:val="Normal"/>
    <w:link w:val="FooterChar"/>
    <w:uiPriority w:val="99"/>
    <w:unhideWhenUsed/>
    <w:rsid w:val="003A1AF2"/>
    <w:pPr>
      <w:tabs>
        <w:tab w:val="center" w:pos="4680"/>
        <w:tab w:val="right" w:pos="9360"/>
      </w:tabs>
    </w:pPr>
  </w:style>
  <w:style w:type="character" w:customStyle="1" w:styleId="FooterChar">
    <w:name w:val="Footer Char"/>
    <w:basedOn w:val="DefaultParagraphFont"/>
    <w:link w:val="Footer"/>
    <w:uiPriority w:val="99"/>
    <w:rsid w:val="003A1AF2"/>
  </w:style>
  <w:style w:type="character" w:styleId="PageNumber">
    <w:name w:val="page number"/>
    <w:basedOn w:val="DefaultParagraphFont"/>
    <w:uiPriority w:val="99"/>
    <w:semiHidden/>
    <w:unhideWhenUsed/>
    <w:rsid w:val="003A1AF2"/>
  </w:style>
  <w:style w:type="character" w:styleId="CommentReference">
    <w:name w:val="annotation reference"/>
    <w:basedOn w:val="DefaultParagraphFont"/>
    <w:uiPriority w:val="99"/>
    <w:semiHidden/>
    <w:unhideWhenUsed/>
    <w:rsid w:val="003A1AF2"/>
    <w:rPr>
      <w:sz w:val="16"/>
      <w:szCs w:val="16"/>
    </w:rPr>
  </w:style>
  <w:style w:type="paragraph" w:styleId="CommentText">
    <w:name w:val="annotation text"/>
    <w:basedOn w:val="Normal"/>
    <w:link w:val="CommentTextChar"/>
    <w:uiPriority w:val="99"/>
    <w:semiHidden/>
    <w:unhideWhenUsed/>
    <w:rsid w:val="003A1AF2"/>
    <w:rPr>
      <w:sz w:val="20"/>
      <w:szCs w:val="20"/>
    </w:rPr>
  </w:style>
  <w:style w:type="character" w:customStyle="1" w:styleId="CommentTextChar">
    <w:name w:val="Comment Text Char"/>
    <w:basedOn w:val="DefaultParagraphFont"/>
    <w:link w:val="CommentText"/>
    <w:uiPriority w:val="99"/>
    <w:semiHidden/>
    <w:rsid w:val="003A1AF2"/>
    <w:rPr>
      <w:sz w:val="20"/>
      <w:szCs w:val="20"/>
    </w:rPr>
  </w:style>
  <w:style w:type="paragraph" w:styleId="CommentSubject">
    <w:name w:val="annotation subject"/>
    <w:basedOn w:val="CommentText"/>
    <w:next w:val="CommentText"/>
    <w:link w:val="CommentSubjectChar"/>
    <w:uiPriority w:val="99"/>
    <w:semiHidden/>
    <w:unhideWhenUsed/>
    <w:rsid w:val="003A1AF2"/>
    <w:rPr>
      <w:b/>
      <w:bCs/>
    </w:rPr>
  </w:style>
  <w:style w:type="character" w:customStyle="1" w:styleId="CommentSubjectChar">
    <w:name w:val="Comment Subject Char"/>
    <w:basedOn w:val="CommentTextChar"/>
    <w:link w:val="CommentSubject"/>
    <w:uiPriority w:val="99"/>
    <w:semiHidden/>
    <w:rsid w:val="003A1AF2"/>
    <w:rPr>
      <w:b/>
      <w:bCs/>
      <w:sz w:val="20"/>
      <w:szCs w:val="20"/>
    </w:rPr>
  </w:style>
  <w:style w:type="character" w:styleId="Strong">
    <w:name w:val="Strong"/>
    <w:basedOn w:val="DefaultParagraphFont"/>
    <w:uiPriority w:val="22"/>
    <w:qFormat/>
    <w:rsid w:val="00C13D5C"/>
    <w:rPr>
      <w:rFonts w:cs="Times New Roman"/>
      <w:b/>
      <w:bCs/>
    </w:rPr>
  </w:style>
  <w:style w:type="character" w:styleId="Hyperlink">
    <w:name w:val="Hyperlink"/>
    <w:basedOn w:val="DefaultParagraphFont"/>
    <w:uiPriority w:val="99"/>
    <w:unhideWhenUsed/>
    <w:rsid w:val="00F36189"/>
    <w:rPr>
      <w:color w:val="0563C1" w:themeColor="hyperlink"/>
      <w:u w:val="single"/>
    </w:rPr>
  </w:style>
  <w:style w:type="character" w:customStyle="1" w:styleId="UnresolvedMention1">
    <w:name w:val="Unresolved Mention1"/>
    <w:basedOn w:val="DefaultParagraphFont"/>
    <w:uiPriority w:val="99"/>
    <w:semiHidden/>
    <w:unhideWhenUsed/>
    <w:rsid w:val="00F36189"/>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2005468685">
      <w:bodyDiv w:val="1"/>
      <w:marLeft w:val="0"/>
      <w:marRight w:val="0"/>
      <w:marTop w:val="0"/>
      <w:marBottom w:val="0"/>
      <w:divBdr>
        <w:top w:val="none" w:sz="0" w:space="0" w:color="auto"/>
        <w:left w:val="none" w:sz="0" w:space="0" w:color="auto"/>
        <w:bottom w:val="none" w:sz="0" w:space="0" w:color="auto"/>
        <w:right w:val="none" w:sz="0" w:space="0" w:color="auto"/>
      </w:divBdr>
      <w:divsChild>
        <w:div w:id="1476072009">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7479921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pbd2@cam.ac.uk" TargetMode="External"/><Relationship Id="rId13" Type="http://schemas.openxmlformats.org/officeDocument/2006/relationships/image" Target="media/image4.png"/><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3.png"/><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png"/><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image" Target="media/image1.png"/><Relationship Id="rId4" Type="http://schemas.openxmlformats.org/officeDocument/2006/relationships/settings" Target="settings.xml"/><Relationship Id="rId9" Type="http://schemas.openxmlformats.org/officeDocument/2006/relationships/hyperlink" Target="mailto:jsg1001@cam.ac.uk" TargetMode="External"/><Relationship Id="rId14" Type="http://schemas.openxmlformats.org/officeDocument/2006/relationships/image" Target="media/image5.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C38994C-0A95-44F5-9333-1A8BBAC4CC3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9</TotalTime>
  <Pages>19</Pages>
  <Words>23612</Words>
  <Characters>130812</Characters>
  <Application>Microsoft Office Word</Application>
  <DocSecurity>0</DocSecurity>
  <Lines>2043</Lines>
  <Paragraphs>323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154101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Alexander Fellows</dc:creator>
  <cp:lastModifiedBy>Alexander Fellows</cp:lastModifiedBy>
  <cp:revision>3</cp:revision>
  <cp:lastPrinted>2020-03-05T15:24:00Z</cp:lastPrinted>
  <dcterms:created xsi:type="dcterms:W3CDTF">2020-08-13T07:31:00Z</dcterms:created>
  <dcterms:modified xsi:type="dcterms:W3CDTF">2020-10-04T16:35:00Z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Recent Style Id 0_1">
    <vt:lpwstr>http://www.zotero.org/styles/acs-nano</vt:lpwstr>
  </property>
  <property fmtid="{D5CDD505-2E9C-101B-9397-08002B2CF9AE}" pid="3" name="Mendeley Recent Style Name 0_1">
    <vt:lpwstr>ACS Nano</vt:lpwstr>
  </property>
  <property fmtid="{D5CDD505-2E9C-101B-9397-08002B2CF9AE}" pid="4" name="Mendeley Recent Style Id 1_1">
    <vt:lpwstr>http://www.zotero.org/styles/applied-spectroscopy</vt:lpwstr>
  </property>
  <property fmtid="{D5CDD505-2E9C-101B-9397-08002B2CF9AE}" pid="5" name="Mendeley Recent Style Name 1_1">
    <vt:lpwstr>Applied Spectroscopy</vt:lpwstr>
  </property>
  <property fmtid="{D5CDD505-2E9C-101B-9397-08002B2CF9AE}" pid="6" name="Mendeley Recent Style Id 2_1">
    <vt:lpwstr>http://www.zotero.org/styles/chicago-author-date</vt:lpwstr>
  </property>
  <property fmtid="{D5CDD505-2E9C-101B-9397-08002B2CF9AE}" pid="7" name="Mendeley Recent Style Name 2_1">
    <vt:lpwstr>Chicago Manual of Style 17th edition (author-date)</vt:lpwstr>
  </property>
  <property fmtid="{D5CDD505-2E9C-101B-9397-08002B2CF9AE}" pid="8" name="Mendeley Recent Style Id 3_1">
    <vt:lpwstr>http://www.zotero.org/styles/harvard-cite-them-right</vt:lpwstr>
  </property>
  <property fmtid="{D5CDD505-2E9C-101B-9397-08002B2CF9AE}" pid="9" name="Mendeley Recent Style Name 3_1">
    <vt:lpwstr>Cite Them Right 10th edition - Harvard</vt:lpwstr>
  </property>
  <property fmtid="{D5CDD505-2E9C-101B-9397-08002B2CF9AE}" pid="10" name="Mendeley Recent Style Id 4_1">
    <vt:lpwstr>http://www.zotero.org/styles/ieee</vt:lpwstr>
  </property>
  <property fmtid="{D5CDD505-2E9C-101B-9397-08002B2CF9AE}" pid="11" name="Mendeley Recent Style Name 4_1">
    <vt:lpwstr>IEEE</vt:lpwstr>
  </property>
  <property fmtid="{D5CDD505-2E9C-101B-9397-08002B2CF9AE}" pid="12" name="Mendeley Recent Style Id 5_1">
    <vt:lpwstr>http://www.zotero.org/styles/langmuir</vt:lpwstr>
  </property>
  <property fmtid="{D5CDD505-2E9C-101B-9397-08002B2CF9AE}" pid="13" name="Mendeley Recent Style Name 5_1">
    <vt:lpwstr>Langmuir</vt:lpwstr>
  </property>
  <property fmtid="{D5CDD505-2E9C-101B-9397-08002B2CF9AE}" pid="14" name="Mendeley Recent Style Id 6_1">
    <vt:lpwstr>http://www.zotero.org/styles/modern-humanities-research-association</vt:lpwstr>
  </property>
  <property fmtid="{D5CDD505-2E9C-101B-9397-08002B2CF9AE}" pid="15" name="Mendeley Recent Style Name 6_1">
    <vt:lpwstr>Modern Humanities Research Association 3rd edition (note with bibliography)</vt:lpwstr>
  </property>
  <property fmtid="{D5CDD505-2E9C-101B-9397-08002B2CF9AE}" pid="16" name="Mendeley Recent Style Id 7_1">
    <vt:lpwstr>http://www.zotero.org/styles/modern-language-association</vt:lpwstr>
  </property>
  <property fmtid="{D5CDD505-2E9C-101B-9397-08002B2CF9AE}" pid="17" name="Mendeley Recent Style Name 7_1">
    <vt:lpwstr>Modern Language Association 8th edition</vt:lpwstr>
  </property>
  <property fmtid="{D5CDD505-2E9C-101B-9397-08002B2CF9AE}" pid="18" name="Mendeley Recent Style Id 8_1">
    <vt:lpwstr>http://www.zotero.org/styles/nature</vt:lpwstr>
  </property>
  <property fmtid="{D5CDD505-2E9C-101B-9397-08002B2CF9AE}" pid="19" name="Mendeley Recent Style Name 8_1">
    <vt:lpwstr>Nature</vt:lpwstr>
  </property>
  <property fmtid="{D5CDD505-2E9C-101B-9397-08002B2CF9AE}" pid="20" name="Mendeley Recent Style Id 9_1">
    <vt:lpwstr>http://www.zotero.org/styles/physical-chemistry-chemical-physics</vt:lpwstr>
  </property>
  <property fmtid="{D5CDD505-2E9C-101B-9397-08002B2CF9AE}" pid="21" name="Mendeley Recent Style Name 9_1">
    <vt:lpwstr>Physical Chemistry Chemical Physics</vt:lpwstr>
  </property>
  <property fmtid="{D5CDD505-2E9C-101B-9397-08002B2CF9AE}" pid="22" name="Mendeley Citation Style_1">
    <vt:lpwstr>http://www.zotero.org/styles/nature</vt:lpwstr>
  </property>
  <property fmtid="{D5CDD505-2E9C-101B-9397-08002B2CF9AE}" pid="23" name="Mendeley Document_1">
    <vt:lpwstr>True</vt:lpwstr>
  </property>
  <property fmtid="{D5CDD505-2E9C-101B-9397-08002B2CF9AE}" pid="24" name="Mendeley Unique User Id_1">
    <vt:lpwstr>ad2c7cf0-6217-31cf-a5cd-c75ac9ee9964</vt:lpwstr>
  </property>
</Properties>
</file>