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B2B0B5" w14:textId="77777777" w:rsidR="00CE5381" w:rsidRPr="00CE5381" w:rsidRDefault="00CE5381" w:rsidP="00CE5381">
      <w:pPr>
        <w:pStyle w:val="NoSpacing"/>
        <w:rPr>
          <w:rFonts w:cs="Times New Roman"/>
          <w:sz w:val="36"/>
          <w:szCs w:val="36"/>
          <w:lang w:val="en-GB"/>
        </w:rPr>
      </w:pPr>
      <w:bookmarkStart w:id="0" w:name="_Hlk46235288"/>
      <w:bookmarkStart w:id="1" w:name="_Hlk25960003"/>
      <w:bookmarkStart w:id="2" w:name="_Hlk46924463"/>
      <w:r w:rsidRPr="00CE5381">
        <w:rPr>
          <w:rFonts w:cs="Times New Roman"/>
          <w:sz w:val="36"/>
          <w:szCs w:val="36"/>
          <w:lang w:val="en-GB"/>
        </w:rPr>
        <w:t>Coming of Age in the Netherlands: an osteological assessment of puberty in a rural Dutch post-Medieval community</w:t>
      </w:r>
    </w:p>
    <w:p w14:paraId="3931F715" w14:textId="77777777" w:rsidR="00CE5381" w:rsidRPr="00CE5381" w:rsidRDefault="00CE5381" w:rsidP="00CE5381">
      <w:pPr>
        <w:pStyle w:val="NoSpacing"/>
        <w:rPr>
          <w:rFonts w:cs="Times New Roman"/>
          <w:lang w:val="en-GB"/>
        </w:rPr>
      </w:pPr>
    </w:p>
    <w:p w14:paraId="4CE0A69D" w14:textId="77777777" w:rsidR="00CE5381" w:rsidRPr="00CE5381" w:rsidRDefault="00CE5381" w:rsidP="00CE5381">
      <w:pPr>
        <w:pStyle w:val="NoSpacing"/>
        <w:rPr>
          <w:rFonts w:cs="Times New Roman"/>
          <w:sz w:val="26"/>
          <w:szCs w:val="26"/>
          <w:lang w:val="en-GB"/>
        </w:rPr>
      </w:pPr>
      <w:r w:rsidRPr="00CE5381">
        <w:rPr>
          <w:rFonts w:cs="Times New Roman"/>
          <w:i/>
          <w:iCs/>
          <w:sz w:val="26"/>
          <w:szCs w:val="26"/>
          <w:lang w:val="en-GB"/>
        </w:rPr>
        <w:t xml:space="preserve">Short running title: </w:t>
      </w:r>
      <w:r w:rsidRPr="00CE5381">
        <w:rPr>
          <w:rFonts w:cs="Times New Roman"/>
          <w:sz w:val="26"/>
          <w:szCs w:val="26"/>
          <w:lang w:val="en-GB"/>
        </w:rPr>
        <w:t>Puberty in post-Medieval the Netherlands</w:t>
      </w:r>
    </w:p>
    <w:p w14:paraId="6164A189" w14:textId="77777777" w:rsidR="00CE5381" w:rsidRPr="00CE5381" w:rsidRDefault="00CE5381" w:rsidP="00CE5381">
      <w:pPr>
        <w:pStyle w:val="NoSpacing"/>
        <w:rPr>
          <w:rFonts w:cs="Times New Roman"/>
          <w:sz w:val="26"/>
          <w:szCs w:val="26"/>
          <w:lang w:val="en-GB"/>
        </w:rPr>
      </w:pPr>
    </w:p>
    <w:p w14:paraId="6C95F010" w14:textId="77777777" w:rsidR="00CE5381" w:rsidRPr="00CE5381" w:rsidRDefault="00CE5381" w:rsidP="00CE5381">
      <w:pPr>
        <w:pStyle w:val="NoSpacing"/>
        <w:rPr>
          <w:rFonts w:cs="Times New Roman"/>
          <w:sz w:val="26"/>
          <w:szCs w:val="26"/>
          <w:lang w:val="en-US"/>
        </w:rPr>
      </w:pPr>
      <w:r w:rsidRPr="00CE5381">
        <w:rPr>
          <w:rFonts w:cs="Times New Roman"/>
          <w:sz w:val="26"/>
          <w:szCs w:val="26"/>
          <w:lang w:val="en-US"/>
        </w:rPr>
        <w:t>Alette Anne Blom</w:t>
      </w:r>
      <w:r w:rsidRPr="00CE5381">
        <w:rPr>
          <w:rFonts w:cs="Times New Roman"/>
          <w:sz w:val="26"/>
          <w:szCs w:val="26"/>
          <w:vertAlign w:val="superscript"/>
          <w:lang w:val="en-US"/>
        </w:rPr>
        <w:t>1,2</w:t>
      </w:r>
      <w:r w:rsidRPr="00CE5381">
        <w:rPr>
          <w:rFonts w:cs="Times New Roman"/>
          <w:sz w:val="26"/>
          <w:szCs w:val="26"/>
          <w:lang w:val="en-US"/>
        </w:rPr>
        <w:t>, Rachel Schats</w:t>
      </w:r>
      <w:r w:rsidRPr="00CE5381">
        <w:rPr>
          <w:rFonts w:cs="Times New Roman"/>
          <w:sz w:val="26"/>
          <w:szCs w:val="26"/>
          <w:vertAlign w:val="superscript"/>
          <w:lang w:val="en-US"/>
        </w:rPr>
        <w:t>2</w:t>
      </w:r>
      <w:r w:rsidRPr="00CE5381">
        <w:rPr>
          <w:rFonts w:cs="Times New Roman"/>
          <w:sz w:val="26"/>
          <w:szCs w:val="26"/>
          <w:lang w:val="en-US"/>
        </w:rPr>
        <w:t>, Menno L.P. Hoogland</w:t>
      </w:r>
      <w:r w:rsidRPr="00CE5381">
        <w:rPr>
          <w:rFonts w:cs="Times New Roman"/>
          <w:sz w:val="26"/>
          <w:szCs w:val="26"/>
          <w:vertAlign w:val="superscript"/>
          <w:lang w:val="en-US"/>
        </w:rPr>
        <w:t xml:space="preserve">2,3 </w:t>
      </w:r>
      <w:r w:rsidRPr="00CE5381">
        <w:rPr>
          <w:rFonts w:cs="Times New Roman"/>
          <w:sz w:val="26"/>
          <w:szCs w:val="26"/>
          <w:lang w:val="en-US"/>
        </w:rPr>
        <w:t>and Andrea Lynn Waters-Rist</w:t>
      </w:r>
      <w:r w:rsidRPr="00CE5381">
        <w:rPr>
          <w:rFonts w:cs="Times New Roman"/>
          <w:sz w:val="26"/>
          <w:szCs w:val="26"/>
          <w:vertAlign w:val="superscript"/>
          <w:lang w:val="en-US"/>
        </w:rPr>
        <w:t>2,4</w:t>
      </w:r>
    </w:p>
    <w:p w14:paraId="4F279A36" w14:textId="77777777" w:rsidR="00CE5381" w:rsidRPr="00CE5381" w:rsidRDefault="00CE5381" w:rsidP="00CE5381">
      <w:pPr>
        <w:pStyle w:val="NoSpacing"/>
        <w:rPr>
          <w:rFonts w:cs="Times New Roman"/>
          <w:vertAlign w:val="superscript"/>
          <w:lang w:val="en-US"/>
        </w:rPr>
      </w:pPr>
    </w:p>
    <w:p w14:paraId="3D53E1F5" w14:textId="77777777" w:rsidR="00CE5381" w:rsidRPr="00CE5381" w:rsidRDefault="00CE5381" w:rsidP="00CE5381">
      <w:pPr>
        <w:pStyle w:val="NoSpacing"/>
        <w:rPr>
          <w:rFonts w:cs="Times New Roman"/>
          <w:lang w:val="en-US"/>
        </w:rPr>
      </w:pPr>
      <w:r w:rsidRPr="00CE5381">
        <w:rPr>
          <w:rFonts w:cs="Times New Roman"/>
          <w:vertAlign w:val="superscript"/>
          <w:lang w:val="en-US"/>
        </w:rPr>
        <w:t>1</w:t>
      </w:r>
      <w:r w:rsidRPr="00CE5381">
        <w:rPr>
          <w:rFonts w:cs="Times New Roman"/>
          <w:lang w:val="en-US"/>
        </w:rPr>
        <w:t>Department of Archaeology, University of Cambridge</w:t>
      </w:r>
    </w:p>
    <w:p w14:paraId="561053C3" w14:textId="77777777" w:rsidR="00CE5381" w:rsidRPr="00CE5381" w:rsidRDefault="00CE5381" w:rsidP="00CE5381">
      <w:pPr>
        <w:pStyle w:val="NoSpacing"/>
        <w:rPr>
          <w:rFonts w:cs="Times New Roman"/>
          <w:lang w:val="en-GB"/>
        </w:rPr>
      </w:pPr>
      <w:r w:rsidRPr="00CE5381">
        <w:rPr>
          <w:rFonts w:cs="Times New Roman"/>
          <w:vertAlign w:val="superscript"/>
          <w:lang w:val="en-GB"/>
        </w:rPr>
        <w:t>2</w:t>
      </w:r>
      <w:r w:rsidRPr="00CE5381">
        <w:rPr>
          <w:rFonts w:cs="Times New Roman"/>
          <w:lang w:val="en-GB"/>
        </w:rPr>
        <w:t>Laboratory for Human Osteoarchaeology, Faculty of Archaeology, Leiden University</w:t>
      </w:r>
    </w:p>
    <w:p w14:paraId="4B6A3EEC" w14:textId="77777777" w:rsidR="00CE5381" w:rsidRPr="00CE5381" w:rsidRDefault="00CE5381" w:rsidP="00CE5381">
      <w:pPr>
        <w:pStyle w:val="NoSpacing"/>
        <w:rPr>
          <w:rFonts w:cs="Times New Roman"/>
          <w:lang w:val="en-GB"/>
        </w:rPr>
      </w:pPr>
      <w:r w:rsidRPr="00CE5381">
        <w:rPr>
          <w:rFonts w:cs="Times New Roman"/>
          <w:vertAlign w:val="superscript"/>
          <w:lang w:val="en-GB"/>
        </w:rPr>
        <w:t>3</w:t>
      </w:r>
      <w:r w:rsidRPr="00CE5381">
        <w:rPr>
          <w:rFonts w:cs="Times New Roman"/>
          <w:lang w:val="en-GB"/>
        </w:rPr>
        <w:t>Royal Netherlands Institute of Southeast Asian and Caribbean studies</w:t>
      </w:r>
    </w:p>
    <w:p w14:paraId="45FCD0D4" w14:textId="77777777" w:rsidR="00CE5381" w:rsidRPr="00CE5381" w:rsidRDefault="00CE5381" w:rsidP="00CE5381">
      <w:pPr>
        <w:pStyle w:val="NoSpacing"/>
        <w:rPr>
          <w:rFonts w:cs="Times New Roman"/>
          <w:lang w:val="en-GB"/>
        </w:rPr>
      </w:pPr>
      <w:r w:rsidRPr="00CE5381">
        <w:rPr>
          <w:rFonts w:cs="Times New Roman"/>
          <w:vertAlign w:val="superscript"/>
          <w:lang w:val="en-GB"/>
        </w:rPr>
        <w:t>4</w:t>
      </w:r>
      <w:r w:rsidRPr="00CE5381">
        <w:rPr>
          <w:rFonts w:cs="Times New Roman"/>
          <w:lang w:val="en-GB"/>
        </w:rPr>
        <w:t>Department of Anthropology, Western University, Ontario</w:t>
      </w:r>
    </w:p>
    <w:p w14:paraId="0EE440D7" w14:textId="77777777" w:rsidR="00CE5381" w:rsidRPr="00CE5381" w:rsidRDefault="00CE5381" w:rsidP="00CE5381">
      <w:pPr>
        <w:pStyle w:val="NoSpacing"/>
        <w:rPr>
          <w:rFonts w:cs="Times New Roman"/>
          <w:lang w:val="en-GB"/>
        </w:rPr>
      </w:pPr>
    </w:p>
    <w:p w14:paraId="65983A31" w14:textId="77777777" w:rsidR="00CE5381" w:rsidRPr="00CE5381" w:rsidRDefault="00CE5381" w:rsidP="00CE5381">
      <w:pPr>
        <w:pStyle w:val="NoSpacing"/>
        <w:rPr>
          <w:rFonts w:cs="Times New Roman"/>
          <w:lang w:val="en-GB"/>
        </w:rPr>
      </w:pPr>
      <w:r w:rsidRPr="00CE5381">
        <w:rPr>
          <w:rFonts w:cs="Times New Roman"/>
          <w:lang w:val="en-GB"/>
        </w:rPr>
        <w:t>Correspondence: Alette A</w:t>
      </w:r>
      <w:bookmarkStart w:id="3" w:name="_Hlk46940422"/>
      <w:r w:rsidRPr="00CE5381">
        <w:rPr>
          <w:rFonts w:cs="Times New Roman"/>
          <w:lang w:val="en-GB"/>
        </w:rPr>
        <w:t xml:space="preserve">. Blom, PhD student in Archaeology, Department of Archaeology, University of Cambridge, Downing Street, CB2 3DZ, Cambridge, the United Kingdom. Email: </w:t>
      </w:r>
      <w:hyperlink r:id="rId8" w:history="1">
        <w:r w:rsidRPr="00CE5381">
          <w:rPr>
            <w:rStyle w:val="Hyperlink"/>
            <w:rFonts w:cs="Times New Roman"/>
            <w:color w:val="auto"/>
            <w:lang w:val="en-GB"/>
          </w:rPr>
          <w:t>aab78@cam.ac.uk</w:t>
        </w:r>
      </w:hyperlink>
      <w:r w:rsidRPr="00CE5381">
        <w:rPr>
          <w:rFonts w:cs="Times New Roman"/>
          <w:lang w:val="en-GB"/>
        </w:rPr>
        <w:t>.</w:t>
      </w:r>
    </w:p>
    <w:bookmarkEnd w:id="3"/>
    <w:p w14:paraId="1BFD4B96" w14:textId="77777777" w:rsidR="00CE5381" w:rsidRPr="00CE5381" w:rsidRDefault="00CE5381" w:rsidP="00CE5381">
      <w:pPr>
        <w:pStyle w:val="NoSpacing"/>
        <w:rPr>
          <w:rFonts w:cs="Times New Roman"/>
          <w:lang w:val="en-GB"/>
        </w:rPr>
      </w:pPr>
    </w:p>
    <w:p w14:paraId="5F496E8A" w14:textId="77777777" w:rsidR="00CE5381" w:rsidRPr="00CE5381" w:rsidRDefault="00CE5381" w:rsidP="00CE5381">
      <w:pPr>
        <w:pStyle w:val="NoSpacing"/>
        <w:rPr>
          <w:rFonts w:cs="Times New Roman"/>
          <w:lang w:val="en-GB"/>
        </w:rPr>
      </w:pPr>
      <w:r w:rsidRPr="00CE5381">
        <w:rPr>
          <w:rFonts w:cs="Times New Roman"/>
          <w:lang w:val="en-GB"/>
        </w:rPr>
        <w:t>Data availability statement: The data that support the findings of this study cannot be made available Open Access due to privacy or ethical restrictions: the archives contain personal data from individuals with living relatives. The data can be made available on request to the Laboratory for Human Osteoarchaeology, Leiden University, The Netherlands.</w:t>
      </w:r>
    </w:p>
    <w:p w14:paraId="1F22950D" w14:textId="77777777" w:rsidR="00CE5381" w:rsidRPr="00CE5381" w:rsidRDefault="00CE5381" w:rsidP="00CE5381">
      <w:pPr>
        <w:pStyle w:val="NoSpacing"/>
        <w:rPr>
          <w:rFonts w:cs="Times New Roman"/>
          <w:lang w:val="en-GB"/>
        </w:rPr>
      </w:pPr>
    </w:p>
    <w:p w14:paraId="0CBCE34D" w14:textId="77777777" w:rsidR="00CE5381" w:rsidRPr="00CE5381" w:rsidRDefault="00CE5381" w:rsidP="00CE5381">
      <w:pPr>
        <w:pStyle w:val="NoSpacing"/>
        <w:rPr>
          <w:rFonts w:cs="Times New Roman"/>
          <w:lang w:val="en-GB"/>
        </w:rPr>
      </w:pPr>
      <w:r w:rsidRPr="00CE5381">
        <w:rPr>
          <w:rFonts w:cs="Times New Roman"/>
          <w:lang w:val="en-GB"/>
        </w:rPr>
        <w:t>Conflict of interest statement: The authors of this publication declare that there is no financial or non-financial conflict of interest.</w:t>
      </w:r>
    </w:p>
    <w:p w14:paraId="4568B0B4" w14:textId="77777777" w:rsidR="00CE5381" w:rsidRPr="00CE5381" w:rsidRDefault="00CE5381" w:rsidP="00CE5381">
      <w:pPr>
        <w:pStyle w:val="NoSpacing"/>
        <w:rPr>
          <w:rFonts w:cs="Times New Roman"/>
          <w:lang w:val="en-GB"/>
        </w:rPr>
      </w:pPr>
    </w:p>
    <w:p w14:paraId="5C4FB7EA" w14:textId="77777777" w:rsidR="00CE5381" w:rsidRPr="00CE5381" w:rsidRDefault="00CE5381" w:rsidP="00CE5381">
      <w:pPr>
        <w:pStyle w:val="NoSpacing"/>
        <w:rPr>
          <w:rFonts w:cs="Times New Roman"/>
          <w:lang w:val="en-GB"/>
        </w:rPr>
      </w:pPr>
      <w:r w:rsidRPr="00CE5381">
        <w:rPr>
          <w:rFonts w:cs="Times New Roman"/>
          <w:lang w:val="en-GB"/>
        </w:rPr>
        <w:t>OBJECTIVES</w:t>
      </w:r>
    </w:p>
    <w:p w14:paraId="794F73A1" w14:textId="77777777" w:rsidR="00CE5381" w:rsidRPr="00CE5381" w:rsidRDefault="00CE5381" w:rsidP="00CE5381">
      <w:pPr>
        <w:pStyle w:val="NoSpacing"/>
        <w:rPr>
          <w:rFonts w:cs="Times New Roman"/>
          <w:bCs/>
          <w:lang w:val="en-GB"/>
        </w:rPr>
      </w:pPr>
      <w:r w:rsidRPr="00CE5381">
        <w:rPr>
          <w:rFonts w:cs="Times New Roman"/>
          <w:bCs/>
          <w:lang w:val="en-GB"/>
        </w:rPr>
        <w:t>The objective of this study is to apply pubertal stage estimation methods to a sample from a rural community: the post-medieval Dutch skeletal collection from Middenbeemster. Puberty is a key developmental period involving transition to physical adulthood with broad societal relevance through its impact on fertility, morbidity, and mortality.</w:t>
      </w:r>
    </w:p>
    <w:p w14:paraId="7813EFB4" w14:textId="77777777" w:rsidR="00CE5381" w:rsidRPr="00CE5381" w:rsidRDefault="00CE5381" w:rsidP="00CE5381">
      <w:pPr>
        <w:pStyle w:val="NoSpacing"/>
        <w:rPr>
          <w:rFonts w:cs="Times New Roman"/>
          <w:lang w:val="en-GB"/>
        </w:rPr>
      </w:pPr>
      <w:r w:rsidRPr="00CE5381">
        <w:rPr>
          <w:rFonts w:cs="Times New Roman"/>
          <w:lang w:val="en-GB"/>
        </w:rPr>
        <w:t>MATERIALS &amp; METHODS</w:t>
      </w:r>
    </w:p>
    <w:p w14:paraId="2FDFD549" w14:textId="77777777" w:rsidR="00CE5381" w:rsidRPr="00CE5381" w:rsidRDefault="00CE5381" w:rsidP="00CE5381">
      <w:pPr>
        <w:pStyle w:val="NoSpacing"/>
        <w:rPr>
          <w:rFonts w:cs="Times New Roman"/>
          <w:bCs/>
          <w:lang w:val="en-GB"/>
        </w:rPr>
      </w:pPr>
      <w:r w:rsidRPr="00CE5381">
        <w:rPr>
          <w:rFonts w:cs="Times New Roman"/>
          <w:bCs/>
          <w:lang w:val="en-GB"/>
        </w:rPr>
        <w:t>Individuals (</w:t>
      </w:r>
      <w:r w:rsidRPr="00CE5381">
        <w:rPr>
          <w:rFonts w:cs="Times New Roman"/>
          <w:bCs/>
          <w:i/>
          <w:lang w:val="en-GB"/>
        </w:rPr>
        <w:t>n</w:t>
      </w:r>
      <w:r w:rsidRPr="00CE5381">
        <w:rPr>
          <w:rFonts w:cs="Times New Roman"/>
          <w:bCs/>
          <w:lang w:val="en-GB"/>
        </w:rPr>
        <w:t xml:space="preserve">=55), including 27 of known sex and age-at-death, between the ages of 8 and 25 years were assessed for six skeletal markers indicative of pubertal growth spurt. Recent novel osteoarchaeological methods from Shapland and Lewis are used to reconstruct the timing and duration of pubertal stages. </w:t>
      </w:r>
    </w:p>
    <w:p w14:paraId="390625F7" w14:textId="77777777" w:rsidR="00CE5381" w:rsidRPr="00CE5381" w:rsidRDefault="00CE5381" w:rsidP="00CE5381">
      <w:pPr>
        <w:pStyle w:val="NoSpacing"/>
        <w:rPr>
          <w:rFonts w:cs="Times New Roman"/>
          <w:lang w:val="en-GB"/>
        </w:rPr>
      </w:pPr>
      <w:r w:rsidRPr="00CE5381">
        <w:rPr>
          <w:rFonts w:cs="Times New Roman"/>
          <w:lang w:val="en-GB"/>
        </w:rPr>
        <w:t>RESULTS</w:t>
      </w:r>
    </w:p>
    <w:p w14:paraId="3BEB4368" w14:textId="77777777" w:rsidR="00CE5381" w:rsidRPr="00CE5381" w:rsidRDefault="00CE5381" w:rsidP="00CE5381">
      <w:pPr>
        <w:pStyle w:val="NoSpacing"/>
        <w:rPr>
          <w:rFonts w:cs="Times New Roman"/>
          <w:bCs/>
          <w:lang w:val="en-GB"/>
        </w:rPr>
      </w:pPr>
      <w:r w:rsidRPr="00CE5381">
        <w:rPr>
          <w:rFonts w:cs="Times New Roman"/>
          <w:bCs/>
          <w:lang w:val="en-GB"/>
        </w:rPr>
        <w:lastRenderedPageBreak/>
        <w:t xml:space="preserve">Pubertal acceleration occurred earlier in females (10.38 years, </w:t>
      </w:r>
      <w:r w:rsidRPr="00CE5381">
        <w:rPr>
          <w:rFonts w:cs="Times New Roman"/>
          <w:bCs/>
          <w:i/>
          <w:lang w:val="en-GB"/>
        </w:rPr>
        <w:t>n</w:t>
      </w:r>
      <w:r w:rsidRPr="00CE5381">
        <w:rPr>
          <w:rFonts w:cs="Times New Roman"/>
          <w:bCs/>
          <w:lang w:val="en-GB"/>
        </w:rPr>
        <w:t xml:space="preserve">=8) than males (13.30 years, </w:t>
      </w:r>
      <w:r w:rsidRPr="00CE5381">
        <w:rPr>
          <w:rFonts w:cs="Times New Roman"/>
          <w:bCs/>
          <w:i/>
          <w:lang w:val="en-GB"/>
        </w:rPr>
        <w:t>n</w:t>
      </w:r>
      <w:r w:rsidRPr="00CE5381">
        <w:rPr>
          <w:rFonts w:cs="Times New Roman"/>
          <w:bCs/>
          <w:lang w:val="en-GB"/>
        </w:rPr>
        <w:t xml:space="preserve">=6), whereas maturation occurred later in males (21.36 years, </w:t>
      </w:r>
      <w:r w:rsidRPr="00CE5381">
        <w:rPr>
          <w:rFonts w:cs="Times New Roman"/>
          <w:bCs/>
          <w:i/>
          <w:lang w:val="en-GB"/>
        </w:rPr>
        <w:t>n</w:t>
      </w:r>
      <w:r w:rsidRPr="00CE5381">
        <w:rPr>
          <w:rFonts w:cs="Times New Roman"/>
          <w:bCs/>
          <w:lang w:val="en-GB"/>
        </w:rPr>
        <w:t xml:space="preserve">=11) than females (19.30 years, </w:t>
      </w:r>
      <w:r w:rsidRPr="00CE5381">
        <w:rPr>
          <w:rFonts w:cs="Times New Roman"/>
          <w:bCs/>
          <w:i/>
          <w:lang w:val="en-GB"/>
        </w:rPr>
        <w:t>n</w:t>
      </w:r>
      <w:r w:rsidRPr="00CE5381">
        <w:rPr>
          <w:rFonts w:cs="Times New Roman"/>
          <w:bCs/>
          <w:lang w:val="en-GB"/>
        </w:rPr>
        <w:t>=5). Onset appears earlier and completion later compared to other archaeological skeletal samples with osteoarchaeological evidence of puberty. Age shortly after menarche was reconstructed at 20.45 years, substantially later than historic records and bioarchaeological research reports suggest.</w:t>
      </w:r>
    </w:p>
    <w:p w14:paraId="4B85BBFB" w14:textId="77777777" w:rsidR="00CE5381" w:rsidRPr="00CE5381" w:rsidRDefault="00CE5381" w:rsidP="00CE5381">
      <w:pPr>
        <w:pStyle w:val="NoSpacing"/>
        <w:rPr>
          <w:rFonts w:cs="Times New Roman"/>
          <w:lang w:val="en-GB"/>
        </w:rPr>
      </w:pPr>
      <w:r w:rsidRPr="00CE5381">
        <w:rPr>
          <w:rFonts w:cs="Times New Roman"/>
          <w:lang w:val="en-GB"/>
        </w:rPr>
        <w:t>CONCLUSION</w:t>
      </w:r>
    </w:p>
    <w:p w14:paraId="648965CC" w14:textId="77777777" w:rsidR="00CE5381" w:rsidRPr="00CE5381" w:rsidRDefault="00CE5381" w:rsidP="00CE5381">
      <w:pPr>
        <w:pStyle w:val="NoSpacing"/>
        <w:rPr>
          <w:rFonts w:cs="Times New Roman"/>
          <w:bCs/>
          <w:lang w:val="en-GB"/>
        </w:rPr>
      </w:pPr>
      <w:r w:rsidRPr="00CE5381">
        <w:rPr>
          <w:rFonts w:cs="Times New Roman"/>
          <w:bCs/>
          <w:lang w:val="en-GB"/>
        </w:rPr>
        <w:t>This early onset and late completion caused a ‘stretch’ of the overall duration of puberty compared to other collections, especially of the last three stages. This prolonged development is reflected in historically known social expectations for the Netherlands, for example, that marriage and children should not occur before about 22-23 years of age. Increasing the range of past peoples with puberty stage reconstruction will permit more insightful interpretations of the biological and cultural patterns of this important life stage.</w:t>
      </w:r>
    </w:p>
    <w:p w14:paraId="0613263E" w14:textId="77777777" w:rsidR="00CE5381" w:rsidRPr="00CE5381" w:rsidRDefault="00CE5381" w:rsidP="00CE5381">
      <w:pPr>
        <w:pStyle w:val="NoSpacing"/>
        <w:rPr>
          <w:rFonts w:cs="Times New Roman"/>
          <w:sz w:val="26"/>
          <w:szCs w:val="26"/>
          <w:lang w:val="en-GB"/>
        </w:rPr>
      </w:pPr>
    </w:p>
    <w:p w14:paraId="27AED7EA" w14:textId="77777777" w:rsidR="00CE5381" w:rsidRPr="00CE5381" w:rsidRDefault="00CE5381" w:rsidP="00CE5381">
      <w:pPr>
        <w:pStyle w:val="NoSpacing"/>
        <w:rPr>
          <w:rFonts w:cs="Times New Roman"/>
          <w:lang w:val="en-GB"/>
        </w:rPr>
      </w:pPr>
      <w:r w:rsidRPr="00CE5381">
        <w:rPr>
          <w:rFonts w:cs="Times New Roman"/>
          <w:lang w:val="en-GB"/>
        </w:rPr>
        <w:t>Key words: adolescence, puberty, osteoarchaeology, the Netherlands, Post-medieval</w:t>
      </w:r>
    </w:p>
    <w:p w14:paraId="799DF91B" w14:textId="77777777" w:rsidR="00CE5381" w:rsidRPr="00CE5381" w:rsidRDefault="00CE5381" w:rsidP="00CE5381">
      <w:pPr>
        <w:pStyle w:val="NoSpacing"/>
        <w:rPr>
          <w:rFonts w:cs="Times New Roman"/>
          <w:lang w:val="en-GB"/>
        </w:rPr>
      </w:pPr>
    </w:p>
    <w:p w14:paraId="3C6A7D7D" w14:textId="77777777" w:rsidR="00CE5381" w:rsidRPr="00CE5381" w:rsidRDefault="00CE5381" w:rsidP="00CE5381">
      <w:pPr>
        <w:pStyle w:val="NoSpacing"/>
        <w:numPr>
          <w:ilvl w:val="0"/>
          <w:numId w:val="37"/>
        </w:numPr>
        <w:rPr>
          <w:rFonts w:cs="Times New Roman"/>
          <w:lang w:val="en-GB"/>
        </w:rPr>
      </w:pPr>
      <w:bookmarkStart w:id="4" w:name="_Hlk39503924"/>
      <w:r w:rsidRPr="00CE5381">
        <w:rPr>
          <w:rFonts w:cs="Times New Roman"/>
          <w:lang w:val="en-GB"/>
        </w:rPr>
        <w:t>INTRODUCTION</w:t>
      </w:r>
    </w:p>
    <w:p w14:paraId="5C5D07D7" w14:textId="77777777" w:rsidR="00CE5381" w:rsidRPr="00CE5381" w:rsidRDefault="00CE5381" w:rsidP="00CE5381">
      <w:pPr>
        <w:pStyle w:val="NoSpacing"/>
        <w:rPr>
          <w:rFonts w:eastAsia="Times New Roman" w:cs="Times New Roman"/>
          <w:lang w:val="en-GB" w:eastAsia="nl-NL"/>
        </w:rPr>
      </w:pPr>
      <w:r w:rsidRPr="00CE5381">
        <w:rPr>
          <w:rFonts w:cs="Times New Roman"/>
          <w:lang w:val="en-GB"/>
        </w:rPr>
        <w:t>Adolescence, which is responsible for the physical and psychological changes leading to adulthood, is among the most important developmental stages a human goes through in life. According to the World Health Organization (1993), it occurs</w:t>
      </w:r>
      <w:r w:rsidRPr="00CE5381">
        <w:rPr>
          <w:rFonts w:eastAsia="Times New Roman" w:cs="Times New Roman"/>
          <w:lang w:val="en-GB" w:eastAsia="nl-NL"/>
        </w:rPr>
        <w:t xml:space="preserve"> between the ages of 10 to 24 years</w:t>
      </w:r>
      <w:r w:rsidRPr="00CE5381">
        <w:rPr>
          <w:rFonts w:cs="Times New Roman"/>
          <w:lang w:val="en-GB"/>
        </w:rPr>
        <w:t xml:space="preserve">. Puberty, an essential phase within adolescence, </w:t>
      </w:r>
      <w:r w:rsidRPr="00CE5381">
        <w:rPr>
          <w:rFonts w:eastAsia="Times New Roman" w:cs="Times New Roman"/>
          <w:lang w:val="en-GB" w:eastAsia="nl-NL"/>
        </w:rPr>
        <w:t>produces sexual maturation, and is a key factor in population fertility (</w:t>
      </w:r>
      <w:r w:rsidRPr="00CE5381">
        <w:rPr>
          <w:rFonts w:cs="Times New Roman"/>
          <w:lang w:val="en-GB"/>
        </w:rPr>
        <w:t>Lewis, Shapland and Watts, 2016a,b)</w:t>
      </w:r>
      <w:r w:rsidRPr="00CE5381">
        <w:rPr>
          <w:rFonts w:eastAsia="Times New Roman" w:cs="Times New Roman"/>
          <w:lang w:val="en-GB" w:eastAsia="nl-NL"/>
        </w:rPr>
        <w:t xml:space="preserve">. </w:t>
      </w:r>
      <w:bookmarkStart w:id="5" w:name="_Hlk45707443"/>
      <w:r w:rsidRPr="00CE5381">
        <w:rPr>
          <w:rFonts w:eastAsia="Times New Roman" w:cs="Times New Roman"/>
          <w:lang w:val="en-GB" w:eastAsia="nl-NL"/>
        </w:rPr>
        <w:t xml:space="preserve">In addition, </w:t>
      </w:r>
      <w:r w:rsidRPr="00CE5381">
        <w:rPr>
          <w:rFonts w:cs="Times New Roman"/>
          <w:kern w:val="36"/>
          <w:lang w:val="en-GB" w:eastAsia="nl-NL"/>
        </w:rPr>
        <w:t xml:space="preserve">adolescence is typically associated with pronounced cultural changes in identity, partially attributable to the development of secondary sexual traits during puberty. </w:t>
      </w:r>
      <w:bookmarkEnd w:id="5"/>
      <w:r w:rsidRPr="00CE5381">
        <w:rPr>
          <w:rFonts w:cs="Times New Roman"/>
          <w:kern w:val="36"/>
          <w:lang w:val="en-GB" w:eastAsia="nl-NL"/>
        </w:rPr>
        <w:t xml:space="preserve">Much of our understanding of the biological and cultural facets of adolescence in past populations comes from literary sources that focus on the cultural conceptualizations of different life stages. These conceptualizations may differ among populations in many ways including the recognition, number, timing, and duration of different life stages and the culturally-defined roles and behaviours associated with each (Thewissen, 2004; Van Poppel, 1992). With recent osteological methods to estimate pubertal timing </w:t>
      </w:r>
      <w:r w:rsidRPr="00CE5381">
        <w:rPr>
          <w:rFonts w:eastAsia="Times New Roman" w:cs="Times New Roman"/>
          <w:lang w:val="en-GB" w:eastAsia="nl-NL"/>
        </w:rPr>
        <w:t xml:space="preserve">(Shapland and Lewis, 2013; 2014), </w:t>
      </w:r>
      <w:r w:rsidRPr="00CE5381">
        <w:rPr>
          <w:rFonts w:cs="Times New Roman"/>
          <w:kern w:val="36"/>
          <w:lang w:val="en-GB" w:eastAsia="nl-NL"/>
        </w:rPr>
        <w:t>we can explore this important life stage in past peoples without written records. With such records we can compare the osteological and literary results to gain better understanding of the myriad of biological and cultural changes that occur during adolescence, and their variation within and between past populations.</w:t>
      </w:r>
    </w:p>
    <w:p w14:paraId="78029E5D" w14:textId="77777777" w:rsidR="00CE5381" w:rsidRPr="00CE5381" w:rsidRDefault="00CE5381" w:rsidP="00CE5381">
      <w:pPr>
        <w:pStyle w:val="NoSpacing"/>
        <w:ind w:firstLine="708"/>
        <w:rPr>
          <w:rFonts w:eastAsia="Times New Roman" w:cs="Times New Roman"/>
          <w:lang w:val="en-GB" w:eastAsia="nl-NL"/>
        </w:rPr>
      </w:pPr>
      <w:r w:rsidRPr="00CE5381">
        <w:rPr>
          <w:rFonts w:eastAsia="Times New Roman" w:cs="Times New Roman"/>
          <w:lang w:val="en-GB" w:eastAsia="nl-NL"/>
        </w:rPr>
        <w:t xml:space="preserve">Since these puberty estimation methods have been introduced to osteoarchaeology, several studies have been published. These focus on Roman and medieval England (Arthur, Gowland and Redfern, 2016; Lewis </w:t>
      </w:r>
      <w:r w:rsidRPr="00CE5381">
        <w:rPr>
          <w:rFonts w:eastAsia="Times New Roman" w:cs="Times New Roman"/>
          <w:i/>
          <w:lang w:val="en-GB" w:eastAsia="nl-NL"/>
        </w:rPr>
        <w:t xml:space="preserve">et al., </w:t>
      </w:r>
      <w:r w:rsidRPr="00CE5381">
        <w:rPr>
          <w:rFonts w:eastAsia="Times New Roman" w:cs="Times New Roman"/>
          <w:lang w:val="en-GB" w:eastAsia="nl-NL"/>
        </w:rPr>
        <w:t xml:space="preserve">2016a,b; Shapland, Lewis and Watts, 2015), early modern Portugal (Henderson and Padez, 2017) and a Muslim osteological sample from Spain (Doe, Pérez, Cambra-Moo, Martín and González Martín 2019). Most of these communities lived in urban settlements and showed frequent pubertal delay compared to historic ranges and modern standards (Arthur </w:t>
      </w:r>
      <w:r w:rsidRPr="00CE5381">
        <w:rPr>
          <w:rFonts w:eastAsia="Times New Roman" w:cs="Times New Roman"/>
          <w:i/>
          <w:iCs/>
          <w:lang w:val="en-GB" w:eastAsia="nl-NL"/>
        </w:rPr>
        <w:t>et al.</w:t>
      </w:r>
      <w:r w:rsidRPr="00CE5381">
        <w:rPr>
          <w:rFonts w:eastAsia="Times New Roman" w:cs="Times New Roman"/>
          <w:lang w:val="en-GB" w:eastAsia="nl-NL"/>
        </w:rPr>
        <w:t xml:space="preserve">, 2016; Doe et </w:t>
      </w:r>
      <w:r w:rsidRPr="00CE5381">
        <w:rPr>
          <w:rFonts w:eastAsia="Times New Roman" w:cs="Times New Roman"/>
          <w:lang w:val="en-GB" w:eastAsia="nl-NL"/>
        </w:rPr>
        <w:lastRenderedPageBreak/>
        <w:t xml:space="preserve">al., 2019; Henderson and Padez, 2017; Lewis </w:t>
      </w:r>
      <w:r w:rsidRPr="00CE5381">
        <w:rPr>
          <w:rFonts w:eastAsia="Times New Roman" w:cs="Times New Roman"/>
          <w:i/>
          <w:lang w:val="en-GB" w:eastAsia="nl-NL"/>
        </w:rPr>
        <w:t xml:space="preserve">et al., </w:t>
      </w:r>
      <w:r w:rsidRPr="00CE5381">
        <w:rPr>
          <w:rFonts w:eastAsia="Times New Roman" w:cs="Times New Roman"/>
          <w:lang w:val="en-GB" w:eastAsia="nl-NL"/>
        </w:rPr>
        <w:t xml:space="preserve">2016a,b; Shapland et al., 2015). Factors explaining such a delay in urban environments include pollution, strenuous physical work, and population density aiding the spread of chronic disease (tuberculosis and other lung diseases specifically; Lewis </w:t>
      </w:r>
      <w:r w:rsidRPr="00CE5381">
        <w:rPr>
          <w:rFonts w:eastAsia="Times New Roman" w:cs="Times New Roman"/>
          <w:i/>
          <w:lang w:val="en-GB" w:eastAsia="nl-NL"/>
        </w:rPr>
        <w:t xml:space="preserve">et al., </w:t>
      </w:r>
      <w:r w:rsidRPr="00CE5381">
        <w:rPr>
          <w:rFonts w:eastAsia="Times New Roman" w:cs="Times New Roman"/>
          <w:lang w:val="en-GB" w:eastAsia="nl-NL"/>
        </w:rPr>
        <w:t xml:space="preserve">2016a,b; Shapland and Lewis, 2013; Shapland </w:t>
      </w:r>
      <w:r w:rsidRPr="00CE5381">
        <w:rPr>
          <w:rFonts w:eastAsia="Times New Roman" w:cs="Times New Roman"/>
          <w:i/>
          <w:lang w:val="en-GB" w:eastAsia="nl-NL"/>
        </w:rPr>
        <w:t xml:space="preserve">et al., </w:t>
      </w:r>
      <w:r w:rsidRPr="00CE5381">
        <w:rPr>
          <w:rFonts w:eastAsia="Times New Roman" w:cs="Times New Roman"/>
          <w:lang w:val="en-GB" w:eastAsia="nl-NL"/>
        </w:rPr>
        <w:t xml:space="preserve">2015). These findings are congruent with the well-established understanding, based on modern populations, that poor health can cause delayed puberty and sexual maturation (Berk, 2003; Lewis, 2007). Yet, rural and urban communities typically experience a different pattern of health stressors, which may influence pubertal timing and thus growth and development during adolescence. </w:t>
      </w:r>
    </w:p>
    <w:p w14:paraId="17825F22" w14:textId="77777777" w:rsidR="00CE5381" w:rsidRPr="00CE5381" w:rsidRDefault="00CE5381" w:rsidP="00CE5381">
      <w:pPr>
        <w:pStyle w:val="NoSpacing"/>
        <w:rPr>
          <w:rFonts w:eastAsia="Times New Roman" w:cs="Times New Roman"/>
          <w:lang w:val="en-GB" w:eastAsia="nl-NL"/>
        </w:rPr>
      </w:pPr>
      <w:r w:rsidRPr="00CE5381">
        <w:rPr>
          <w:rFonts w:cs="Times New Roman"/>
          <w:lang w:val="en-GB"/>
        </w:rPr>
        <w:tab/>
      </w:r>
      <w:bookmarkStart w:id="6" w:name="_Hlk46243982"/>
      <w:bookmarkStart w:id="7" w:name="_Hlk46240928"/>
      <w:r w:rsidRPr="00CE5381">
        <w:rPr>
          <w:rFonts w:cs="Times New Roman"/>
          <w:lang w:val="en-GB"/>
        </w:rPr>
        <w:t xml:space="preserve">To contribute to the growing body of osteoarchaeological puberty research, this study applies pubertal stage estimation methods </w:t>
      </w:r>
      <w:r w:rsidRPr="00CE5381">
        <w:rPr>
          <w:rFonts w:eastAsia="Times New Roman" w:cs="Times New Roman"/>
          <w:lang w:val="en-GB" w:eastAsia="nl-NL"/>
        </w:rPr>
        <w:t>to a sample from a large, rural, predominately 19</w:t>
      </w:r>
      <w:r w:rsidRPr="00CE5381">
        <w:rPr>
          <w:rFonts w:eastAsia="Times New Roman" w:cs="Times New Roman"/>
          <w:vertAlign w:val="superscript"/>
          <w:lang w:val="en-GB" w:eastAsia="nl-NL"/>
        </w:rPr>
        <w:t>th</w:t>
      </w:r>
      <w:r w:rsidRPr="00CE5381">
        <w:rPr>
          <w:rFonts w:eastAsia="Times New Roman" w:cs="Times New Roman"/>
          <w:lang w:val="en-GB" w:eastAsia="nl-NL"/>
        </w:rPr>
        <w:t>-century Dutch skeletal collection from the village of Middenbeemster (</w:t>
      </w:r>
      <w:r w:rsidRPr="00CE5381">
        <w:rPr>
          <w:rFonts w:eastAsia="Times New Roman" w:cs="Times New Roman"/>
          <w:bCs/>
          <w:lang w:val="en-GB" w:eastAsia="nl-NL"/>
        </w:rPr>
        <w:t>Figure 1</w:t>
      </w:r>
      <w:r w:rsidRPr="00CE5381">
        <w:rPr>
          <w:rFonts w:eastAsia="Times New Roman" w:cs="Times New Roman"/>
          <w:lang w:val="en-GB" w:eastAsia="nl-NL"/>
        </w:rPr>
        <w:t xml:space="preserve">) with archival records. We analyse individuals between 8-25 years in order to capture both early and late maturation changes and to accommodate </w:t>
      </w:r>
      <w:r w:rsidRPr="00CE5381">
        <w:rPr>
          <w:rFonts w:cs="Times New Roman"/>
          <w:lang w:val="en-GB" w:eastAsia="nl-NL"/>
        </w:rPr>
        <w:t xml:space="preserve">osteologically estimated age ranges. </w:t>
      </w:r>
      <w:r w:rsidRPr="00CE5381">
        <w:rPr>
          <w:rFonts w:eastAsia="Times New Roman" w:cs="Times New Roman"/>
          <w:lang w:val="en-GB" w:eastAsia="nl-NL"/>
        </w:rPr>
        <w:t>As a rural community has not yet been assessed using puberty estimation methods, and scant puberty data exist for Dutch skeletal collections, this study will provide important new insights about pubertal development and delay in the recent past.</w:t>
      </w:r>
      <w:bookmarkEnd w:id="6"/>
    </w:p>
    <w:bookmarkEnd w:id="7"/>
    <w:p w14:paraId="7F884CE0" w14:textId="77777777" w:rsidR="00CE5381" w:rsidRPr="00CE5381" w:rsidRDefault="00CE5381" w:rsidP="00CE5381">
      <w:pPr>
        <w:pStyle w:val="NoSpacing"/>
        <w:rPr>
          <w:rFonts w:eastAsia="Times New Roman" w:cs="Times New Roman"/>
          <w:lang w:val="en-GB" w:eastAsia="nl-NL"/>
        </w:rPr>
      </w:pPr>
    </w:p>
    <w:p w14:paraId="2AFA300D" w14:textId="77777777" w:rsidR="00CE5381" w:rsidRPr="00CE5381" w:rsidRDefault="00CE5381" w:rsidP="00CE5381">
      <w:pPr>
        <w:pStyle w:val="NoSpacing"/>
        <w:numPr>
          <w:ilvl w:val="0"/>
          <w:numId w:val="37"/>
        </w:numPr>
        <w:rPr>
          <w:rFonts w:cs="Times New Roman"/>
          <w:lang w:val="en-GB"/>
        </w:rPr>
      </w:pPr>
      <w:r w:rsidRPr="00CE5381">
        <w:rPr>
          <w:rFonts w:cs="Times New Roman"/>
          <w:lang w:val="en-GB"/>
        </w:rPr>
        <w:t>MATERIALS</w:t>
      </w:r>
    </w:p>
    <w:p w14:paraId="5B12342B" w14:textId="77777777" w:rsidR="00CE5381" w:rsidRPr="00CE5381" w:rsidRDefault="00CE5381" w:rsidP="00CE5381">
      <w:pPr>
        <w:pStyle w:val="NoSpacing"/>
        <w:rPr>
          <w:rFonts w:cs="Times New Roman"/>
          <w:lang w:val="en-GB"/>
        </w:rPr>
      </w:pPr>
      <w:r w:rsidRPr="00CE5381">
        <w:rPr>
          <w:rFonts w:cs="Times New Roman"/>
          <w:lang w:val="en-GB"/>
        </w:rPr>
        <w:t xml:space="preserve">Over 450 individual interments were discovered at the Middenbeemster cemetery (Hakvoort, 2013; Lemmers, Schats, Hoogland and Waters-Rist, 2013), mostly dating between AD1829 to 1866 (Griffioen, 2011; Griffioen, Lemmers, Schats, Waters-Rist and Hoogland, 2012). </w:t>
      </w:r>
      <w:bookmarkStart w:id="8" w:name="_Hlk529106842"/>
      <w:bookmarkEnd w:id="8"/>
      <w:r w:rsidRPr="00CE5381">
        <w:rPr>
          <w:rFonts w:cs="Times New Roman"/>
          <w:lang w:val="en-GB"/>
        </w:rPr>
        <w:t xml:space="preserve">The collection is very well-preserved and most skeletons are complete. Of 75 individuals between the ages of 8 and 25 years, </w:t>
      </w:r>
      <w:r w:rsidRPr="00CE5381">
        <w:rPr>
          <w:rFonts w:cs="Times New Roman"/>
          <w:lang w:val="en-GB" w:eastAsia="nl-NL"/>
        </w:rPr>
        <w:t>55 could be assessed for three or more pubertal stage estimation markers and were included in this study</w:t>
      </w:r>
      <w:r w:rsidRPr="00CE5381">
        <w:rPr>
          <w:rFonts w:cs="Times New Roman"/>
          <w:lang w:val="en-GB"/>
        </w:rPr>
        <w:t>. Two types of archival records are available for the Middenbeemster cemetery: 1) a cemetery ledger containing names, ages-at-death, lineages, marriages and occupations for a large portion of the collection; and 2) a post-medieval military archive detailing height, disease and abnormalities for most males (Waters-Rist and Hoogland, 2013).</w:t>
      </w:r>
      <w:r w:rsidRPr="00CE5381">
        <w:rPr>
          <w:rFonts w:eastAsia="Times New Roman" w:cs="Times New Roman"/>
          <w:lang w:val="en-GB" w:eastAsia="nl-NL"/>
        </w:rPr>
        <w:t xml:space="preserve"> </w:t>
      </w:r>
      <w:r w:rsidRPr="00CE5381">
        <w:rPr>
          <w:rFonts w:cs="Times New Roman"/>
          <w:lang w:val="en-GB" w:eastAsia="nl-NL"/>
        </w:rPr>
        <w:t xml:space="preserve">Archival records stating age-at-death and sex were available for 27 of the 55 individuals (49.1%) and were only used </w:t>
      </w:r>
      <w:r w:rsidRPr="00CE5381">
        <w:rPr>
          <w:rFonts w:cs="Times New Roman"/>
          <w:iCs/>
          <w:lang w:val="en-GB" w:eastAsia="nl-NL"/>
        </w:rPr>
        <w:t xml:space="preserve">after all </w:t>
      </w:r>
      <w:r w:rsidRPr="00CE5381">
        <w:rPr>
          <w:rFonts w:cs="Times New Roman"/>
          <w:lang w:val="en-GB" w:eastAsia="nl-NL"/>
        </w:rPr>
        <w:t xml:space="preserve">data were collected. These records showed that one individual died at 26 years of age. This individual was kept in the study due to notable pubertal delay. </w:t>
      </w:r>
      <w:r w:rsidRPr="00CE5381">
        <w:rPr>
          <w:rFonts w:eastAsia="Times New Roman" w:cs="Times New Roman"/>
          <w:lang w:val="en-GB" w:eastAsia="nl-NL"/>
        </w:rPr>
        <w:t>The collection is currently housed at the Laboratory for Human Osteoarchaeology, Faculty of Archaeology, Leiden University, The Netherlands.</w:t>
      </w:r>
    </w:p>
    <w:p w14:paraId="64684078" w14:textId="77777777" w:rsidR="00CE5381" w:rsidRPr="00CE5381" w:rsidRDefault="00CE5381" w:rsidP="00CE5381">
      <w:pPr>
        <w:pStyle w:val="NoSpacing"/>
        <w:ind w:firstLine="708"/>
        <w:rPr>
          <w:rFonts w:eastAsia="Times New Roman" w:cs="Times New Roman"/>
          <w:lang w:val="en-GB" w:eastAsia="nl-NL"/>
        </w:rPr>
      </w:pPr>
      <w:r w:rsidRPr="00CE5381">
        <w:rPr>
          <w:rFonts w:eastAsia="Times New Roman" w:cs="Times New Roman"/>
          <w:lang w:val="en-GB" w:eastAsia="nl-NL"/>
        </w:rPr>
        <w:t xml:space="preserve">Post-Medieval Dutch rural villages had fewer inhabitants (&lt;2000 individuals) spread out over a wider area compared to towns and cities. The Beemster polder (low-lying land reclaimed from the sea) has a surface area over 7,000 hectares and a population of 2,681 inhabitants in 1828 and 3,770 in 1870 (Archiefgroep Historisch Genootschap Beemster and Hoogland, 2017), the majority of whom were involved in dairy farming. Compared to residents of more urbanized areas, Beemster citizens likely suffered less from communicable infectious diseases (especially respiratory conditions) and ill health due to air, ground, and water pollution from factories (Schats, 2016; Walter, 2017). Parasitic infection </w:t>
      </w:r>
      <w:r w:rsidRPr="00CE5381">
        <w:rPr>
          <w:rFonts w:eastAsia="Times New Roman" w:cs="Times New Roman"/>
          <w:lang w:val="en-GB" w:eastAsia="nl-NL"/>
        </w:rPr>
        <w:lastRenderedPageBreak/>
        <w:t xml:space="preserve">due to inadequate sanitation and unhygienic conditions, more common in large, densely-populated cities, was probably also less prevalent (Mitchell, 2015). Yet, while the Netherlands was a highly urbanized country by 1800 (Bairoch and Goertz, 1985) city sizes were generally smaller than in other western European countries (e.g. U.K, France; de Vries, 1984). Thus, urban-rural differences in health may not have been as pronounced as in countries with large cities (Schats 2016). Finally, occupations and thus common types of physical activity varied between city and country; osteoarchaeological research has found markers of high levels of manual labour in men and women in the Middenbbemster collection (Chilcote, 2018; Palmer, Hoogland and Waters-Rist, 2016; Saers </w:t>
      </w:r>
      <w:r w:rsidRPr="00CE5381">
        <w:rPr>
          <w:rFonts w:eastAsia="Times New Roman" w:cs="Times New Roman"/>
          <w:i/>
          <w:iCs/>
          <w:lang w:val="en-GB" w:eastAsia="nl-NL"/>
        </w:rPr>
        <w:t>et al.,</w:t>
      </w:r>
      <w:r w:rsidRPr="00CE5381">
        <w:rPr>
          <w:rFonts w:eastAsia="Times New Roman" w:cs="Times New Roman"/>
          <w:lang w:val="en-GB" w:eastAsia="nl-NL"/>
        </w:rPr>
        <w:t xml:space="preserve"> 2017).</w:t>
      </w:r>
    </w:p>
    <w:p w14:paraId="0E7E162F" w14:textId="77777777" w:rsidR="00CE5381" w:rsidRPr="00CE5381" w:rsidRDefault="00CE5381" w:rsidP="00CE5381">
      <w:pPr>
        <w:pStyle w:val="NoSpacing"/>
        <w:ind w:firstLine="360"/>
        <w:rPr>
          <w:rFonts w:cs="Times New Roman"/>
          <w:lang w:val="en-GB" w:eastAsia="nl-NL"/>
        </w:rPr>
      </w:pPr>
    </w:p>
    <w:p w14:paraId="1625D3B5" w14:textId="77777777" w:rsidR="00CE5381" w:rsidRPr="00CE5381" w:rsidRDefault="00CE5381" w:rsidP="00CE5381">
      <w:pPr>
        <w:pStyle w:val="NoSpacing"/>
        <w:numPr>
          <w:ilvl w:val="1"/>
          <w:numId w:val="37"/>
        </w:numPr>
        <w:rPr>
          <w:rFonts w:cs="Times New Roman"/>
          <w:i/>
          <w:iCs/>
          <w:lang w:val="en-GB" w:eastAsia="nl-NL"/>
        </w:rPr>
      </w:pPr>
      <w:r w:rsidRPr="00CE5381">
        <w:rPr>
          <w:rFonts w:cs="Times New Roman"/>
          <w:i/>
          <w:iCs/>
          <w:lang w:val="en-GB" w:eastAsia="nl-NL"/>
        </w:rPr>
        <w:t>HISTORIC BACKGROUND</w:t>
      </w:r>
    </w:p>
    <w:p w14:paraId="443776EF" w14:textId="77777777" w:rsidR="00CE5381" w:rsidRPr="00CE5381" w:rsidRDefault="00CE5381" w:rsidP="00CE5381">
      <w:pPr>
        <w:pStyle w:val="NoSpacing"/>
        <w:rPr>
          <w:rFonts w:eastAsia="Times New Roman" w:cs="Times New Roman"/>
          <w:lang w:val="en-GB" w:eastAsia="nl-NL"/>
        </w:rPr>
      </w:pPr>
      <w:r w:rsidRPr="00CE5381">
        <w:rPr>
          <w:rFonts w:eastAsia="Times New Roman" w:cs="Times New Roman"/>
          <w:lang w:val="en-GB" w:eastAsia="nl-NL"/>
        </w:rPr>
        <w:t>It is necessary to establish the norms and variability of pubertal development for a population, and a sociohistorical context of its implications, to assess if an individual had delayed onset or completion, and if that had social implications. Archival and medical sources from the late 19</w:t>
      </w:r>
      <w:r w:rsidRPr="00CE5381">
        <w:rPr>
          <w:rFonts w:eastAsia="Times New Roman" w:cs="Times New Roman"/>
          <w:vertAlign w:val="superscript"/>
          <w:lang w:val="en-GB" w:eastAsia="nl-NL"/>
        </w:rPr>
        <w:t>th</w:t>
      </w:r>
      <w:r w:rsidRPr="00CE5381">
        <w:rPr>
          <w:rFonts w:eastAsia="Times New Roman" w:cs="Times New Roman"/>
          <w:lang w:val="en-GB" w:eastAsia="nl-NL"/>
        </w:rPr>
        <w:t xml:space="preserve"> -early 20</w:t>
      </w:r>
      <w:r w:rsidRPr="00CE5381">
        <w:rPr>
          <w:rFonts w:eastAsia="Times New Roman" w:cs="Times New Roman"/>
          <w:vertAlign w:val="superscript"/>
          <w:lang w:val="en-GB" w:eastAsia="nl-NL"/>
        </w:rPr>
        <w:t>th</w:t>
      </w:r>
      <w:r w:rsidRPr="00CE5381">
        <w:rPr>
          <w:rFonts w:eastAsia="Times New Roman" w:cs="Times New Roman"/>
          <w:lang w:val="en-GB" w:eastAsia="nl-NL"/>
        </w:rPr>
        <w:t xml:space="preserve"> centuries suggest an age-at-menarche of 14-16 years, with puberty beginning around 12-14 years for girls (Braun, 1864; D’Espine 1835 in Ploss and Bartels, 1918; </w:t>
      </w:r>
      <w:r w:rsidRPr="00CE5381">
        <w:rPr>
          <w:rFonts w:cs="Times New Roman"/>
          <w:lang w:val="en-GB" w:eastAsia="nl-NL"/>
        </w:rPr>
        <w:t xml:space="preserve">Bolk, 1923; </w:t>
      </w:r>
      <w:r w:rsidRPr="00CE5381">
        <w:rPr>
          <w:rFonts w:eastAsia="Times New Roman" w:cs="Times New Roman"/>
          <w:lang w:val="en-GB" w:eastAsia="nl-NL"/>
        </w:rPr>
        <w:t>Kellermann-Slotemaker, 1924; Tilt, 1862; Touw, 1926; Van Rhyn, 1925; Van Ussel, 1982; Zeeman, 1869). For boys, such sources suggest the entire pubertal phase falls between 14-19 years with the height of physical and psychological changes – ‘the transitional phase’ – occurring around 15 years of age (Blommaert, 1843; Faust, 1792; Gunning, 1918; Schreber, 1862; Van den Eerenbeemt, 1935; Van Ussel, 1982). This anecdotal information cannot, unfortunately, be directly linked to modern medical terms such as peak height velocity (PHV). Nonetheless, it suggests</w:t>
      </w:r>
      <w:r w:rsidRPr="00CE5381" w:rsidDel="004D349F">
        <w:rPr>
          <w:rFonts w:eastAsia="Times New Roman" w:cs="Times New Roman"/>
          <w:lang w:val="en-GB" w:eastAsia="nl-NL"/>
        </w:rPr>
        <w:t xml:space="preserve"> </w:t>
      </w:r>
      <w:r w:rsidRPr="00CE5381">
        <w:rPr>
          <w:rFonts w:eastAsia="Times New Roman" w:cs="Times New Roman"/>
          <w:lang w:val="en-GB" w:eastAsia="nl-NL"/>
        </w:rPr>
        <w:t xml:space="preserve">when visual and behavioural changes were likely to arise (12-14 years for girls and 14-19 years for boys), when menarche was expected to happen (14-16 years), and possibly when boys entered PHV (15 years). Based on these data, we can set an expectation that peak physical changes (represented by pubertal stage 3 for boys; and menarche for girls) occurred in both females and males around 15 years of age. </w:t>
      </w:r>
    </w:p>
    <w:p w14:paraId="1EDA80CC" w14:textId="77777777" w:rsidR="00CE5381" w:rsidRPr="00CE5381" w:rsidRDefault="00CE5381" w:rsidP="00CE5381">
      <w:pPr>
        <w:pStyle w:val="NoSpacing"/>
        <w:ind w:firstLine="709"/>
        <w:rPr>
          <w:rFonts w:cs="Times New Roman"/>
          <w:lang w:val="en-GB"/>
        </w:rPr>
      </w:pPr>
      <w:r w:rsidRPr="00CE5381">
        <w:rPr>
          <w:rFonts w:eastAsia="Times New Roman" w:cs="Times New Roman"/>
          <w:lang w:val="en-GB" w:eastAsia="nl-NL"/>
        </w:rPr>
        <w:t xml:space="preserve">Social adulthood can hint towards ‘physical readiness’ for certain adult roles. </w:t>
      </w:r>
      <w:r w:rsidRPr="00CE5381">
        <w:rPr>
          <w:rFonts w:cs="Times New Roman"/>
          <w:lang w:val="en-GB" w:eastAsia="nl-NL"/>
        </w:rPr>
        <w:t>Historical archival data from Middenbeemster specifically allow us to determine that the average marital age was 27.5 years for males (</w:t>
      </w:r>
      <w:r w:rsidRPr="00CE5381">
        <w:rPr>
          <w:rFonts w:cs="Times New Roman"/>
          <w:i/>
          <w:lang w:val="en-GB" w:eastAsia="nl-NL"/>
        </w:rPr>
        <w:t>n</w:t>
      </w:r>
      <w:r w:rsidRPr="00CE5381">
        <w:rPr>
          <w:rFonts w:cs="Times New Roman"/>
          <w:lang w:val="en-GB" w:eastAsia="nl-NL"/>
        </w:rPr>
        <w:t>=168) and 25.8 years for females (</w:t>
      </w:r>
      <w:r w:rsidRPr="00CE5381">
        <w:rPr>
          <w:rFonts w:cs="Times New Roman"/>
          <w:i/>
          <w:lang w:val="en-GB" w:eastAsia="nl-NL"/>
        </w:rPr>
        <w:t>n</w:t>
      </w:r>
      <w:r w:rsidRPr="00CE5381">
        <w:rPr>
          <w:rFonts w:cs="Times New Roman"/>
          <w:lang w:val="en-GB" w:eastAsia="nl-NL"/>
        </w:rPr>
        <w:t>=168), with two males from this historic sample marrying at 19 years or younger (~1.2%), compared to 10 females (~6%; based on DTB-boeken</w:t>
      </w:r>
      <w:r w:rsidRPr="00CE5381">
        <w:rPr>
          <w:rFonts w:cs="Times New Roman"/>
          <w:lang w:val="en-GB"/>
        </w:rPr>
        <w:t xml:space="preserve"> Beemster, 1829 tot 1866</w:t>
      </w:r>
      <w:r w:rsidRPr="00CE5381">
        <w:rPr>
          <w:rFonts w:cs="Times New Roman"/>
          <w:lang w:val="en-US"/>
        </w:rPr>
        <w:t xml:space="preserve">, </w:t>
      </w:r>
      <w:r w:rsidRPr="00CE5381">
        <w:rPr>
          <w:rFonts w:cs="Times New Roman"/>
          <w:bCs/>
          <w:shd w:val="clear" w:color="auto" w:fill="FFFFFF"/>
          <w:lang w:val="en-US"/>
        </w:rPr>
        <w:t xml:space="preserve">WA-GB, NL-PmWA). Although laws allowed marriage at the age of 18 years for men and 15 years for women </w:t>
      </w:r>
      <w:r w:rsidRPr="00CE5381">
        <w:rPr>
          <w:rFonts w:cs="Times New Roman"/>
          <w:bCs/>
          <w:i/>
          <w:shd w:val="clear" w:color="auto" w:fill="FFFFFF"/>
          <w:lang w:val="en-US"/>
        </w:rPr>
        <w:t>if</w:t>
      </w:r>
      <w:r w:rsidRPr="00CE5381">
        <w:rPr>
          <w:rFonts w:cs="Times New Roman"/>
          <w:bCs/>
          <w:shd w:val="clear" w:color="auto" w:fill="FFFFFF"/>
          <w:lang w:val="en-US"/>
        </w:rPr>
        <w:t xml:space="preserve"> the parents provided permission (</w:t>
      </w:r>
      <w:r w:rsidRPr="00CE5381">
        <w:rPr>
          <w:rFonts w:cs="Times New Roman"/>
          <w:lang w:val="en-GB"/>
        </w:rPr>
        <w:t xml:space="preserve">Van Poppel, 1992), social rules and medical beliefs implied </w:t>
      </w:r>
      <w:r w:rsidRPr="00CE5381">
        <w:rPr>
          <w:rFonts w:cs="Times New Roman"/>
          <w:bCs/>
          <w:shd w:val="clear" w:color="auto" w:fill="FFFFFF"/>
          <w:lang w:val="en-US"/>
        </w:rPr>
        <w:t xml:space="preserve">marriage should occur only in one’s mid- to late twenties </w:t>
      </w:r>
      <w:r w:rsidRPr="00CE5381">
        <w:rPr>
          <w:rFonts w:cs="Times New Roman"/>
          <w:lang w:val="en-GB" w:eastAsia="nl-NL"/>
        </w:rPr>
        <w:t>(</w:t>
      </w:r>
      <w:r w:rsidRPr="00CE5381">
        <w:rPr>
          <w:rFonts w:eastAsia="Times New Roman" w:cs="Times New Roman"/>
          <w:lang w:val="en-GB" w:eastAsia="nl-NL"/>
        </w:rPr>
        <w:t>Conférence du Code Civil, 1805</w:t>
      </w:r>
      <w:r w:rsidRPr="00CE5381">
        <w:rPr>
          <w:rFonts w:cs="Times New Roman"/>
          <w:lang w:val="en-GB"/>
        </w:rPr>
        <w:t>;</w:t>
      </w:r>
      <w:r w:rsidRPr="00CE5381">
        <w:rPr>
          <w:rFonts w:cs="Times New Roman"/>
          <w:lang w:val="en-GB" w:eastAsia="nl-NL"/>
        </w:rPr>
        <w:t xml:space="preserve"> Hofstee, 1981; </w:t>
      </w:r>
      <w:r w:rsidRPr="00CE5381">
        <w:rPr>
          <w:rFonts w:eastAsia="Times New Roman" w:cs="Times New Roman"/>
          <w:lang w:val="en-GB" w:eastAsia="nl-NL"/>
        </w:rPr>
        <w:t>Van Poppel, 1992;</w:t>
      </w:r>
      <w:r w:rsidRPr="00CE5381">
        <w:rPr>
          <w:rFonts w:cs="Times New Roman"/>
          <w:lang w:val="en-GB"/>
        </w:rPr>
        <w:t xml:space="preserve"> Verwijs, 1878</w:t>
      </w:r>
      <w:r w:rsidRPr="00CE5381">
        <w:rPr>
          <w:rFonts w:cs="Times New Roman"/>
          <w:lang w:val="en-GB" w:eastAsia="nl-NL"/>
        </w:rPr>
        <w:t>)</w:t>
      </w:r>
      <w:r w:rsidRPr="00CE5381">
        <w:rPr>
          <w:rFonts w:cs="Times New Roman"/>
          <w:bCs/>
          <w:shd w:val="clear" w:color="auto" w:fill="FFFFFF"/>
          <w:lang w:val="en-US"/>
        </w:rPr>
        <w:t>.</w:t>
      </w:r>
      <w:r w:rsidRPr="00CE5381">
        <w:rPr>
          <w:rFonts w:cs="Times New Roman"/>
          <w:lang w:val="en-GB"/>
        </w:rPr>
        <w:t xml:space="preserve"> Additionally, </w:t>
      </w:r>
      <w:r w:rsidRPr="00CE5381">
        <w:rPr>
          <w:rFonts w:cs="Times New Roman"/>
          <w:lang w:val="en-GB" w:eastAsia="nl-NL"/>
        </w:rPr>
        <w:t>the average age of first-child for women in late 19</w:t>
      </w:r>
      <w:r w:rsidRPr="00CE5381">
        <w:rPr>
          <w:rFonts w:cs="Times New Roman"/>
          <w:vertAlign w:val="superscript"/>
          <w:lang w:val="en-GB" w:eastAsia="nl-NL"/>
        </w:rPr>
        <w:t>th</w:t>
      </w:r>
      <w:r w:rsidRPr="00CE5381">
        <w:rPr>
          <w:rFonts w:cs="Times New Roman"/>
          <w:lang w:val="en-GB" w:eastAsia="nl-NL"/>
        </w:rPr>
        <w:t xml:space="preserve">-century Netherlands, hinting to sexual maturation, was between 25.5 and 26 years (Van Gaalen and Van Poppel, 2007). </w:t>
      </w:r>
      <w:r w:rsidRPr="00CE5381">
        <w:rPr>
          <w:rFonts w:cs="Times New Roman"/>
          <w:lang w:val="en-GB"/>
        </w:rPr>
        <w:t xml:space="preserve">Moreover, </w:t>
      </w:r>
      <w:r w:rsidRPr="00CE5381">
        <w:rPr>
          <w:rFonts w:cs="Times New Roman"/>
          <w:lang w:val="en-GB" w:eastAsia="nl-NL"/>
        </w:rPr>
        <w:t>the marital contracts of Middenbeemster refer to 22-year-olds as minors, and 23-year-olds as adults (</w:t>
      </w:r>
      <w:r w:rsidRPr="00CE5381">
        <w:rPr>
          <w:rFonts w:cs="Times New Roman"/>
          <w:bCs/>
          <w:shd w:val="clear" w:color="auto" w:fill="FFFFFF"/>
          <w:lang w:val="en-US"/>
        </w:rPr>
        <w:t>WA-GB, NL-PmWA</w:t>
      </w:r>
      <w:r w:rsidRPr="00CE5381">
        <w:rPr>
          <w:rFonts w:cs="Times New Roman"/>
          <w:lang w:val="en-GB" w:eastAsia="nl-NL"/>
        </w:rPr>
        <w:t xml:space="preserve">). </w:t>
      </w:r>
      <w:r w:rsidRPr="00CE5381">
        <w:rPr>
          <w:rFonts w:cs="Times New Roman"/>
          <w:lang w:val="en-GB"/>
        </w:rPr>
        <w:t xml:space="preserve">This suggests there is a biological/natural argument behind the ‘appropriate’ age of marriage. </w:t>
      </w:r>
    </w:p>
    <w:p w14:paraId="3F8BE102" w14:textId="77777777" w:rsidR="00CE5381" w:rsidRPr="00CE5381" w:rsidRDefault="00CE5381" w:rsidP="00CE5381">
      <w:pPr>
        <w:pStyle w:val="NoSpacing"/>
        <w:rPr>
          <w:rFonts w:eastAsia="Times New Roman" w:cs="Times New Roman"/>
          <w:lang w:val="en-GB" w:eastAsia="nl-NL"/>
        </w:rPr>
      </w:pPr>
      <w:r w:rsidRPr="00CE5381">
        <w:rPr>
          <w:rFonts w:cs="Times New Roman"/>
          <w:lang w:val="en-GB"/>
        </w:rPr>
        <w:lastRenderedPageBreak/>
        <w:tab/>
      </w:r>
      <w:r w:rsidRPr="00CE5381">
        <w:rPr>
          <w:rFonts w:eastAsia="Times New Roman" w:cs="Times New Roman"/>
          <w:lang w:val="en-GB" w:eastAsia="nl-NL"/>
        </w:rPr>
        <w:t>Delay in the development of secondary sexual traits and menarche was often explained through ‘poor blood preparation’ (Braun, 1864; Ootmar, 1923). The most commonly listed conditions for women are excessive vaginal secretion, chronic uterine infection, hydremia, the underdevelopment or lack of uterus and/or ovaria, obstruction of the uterine cavity or the cervix, stenosis of the vagina, and work-related chemicals (Clarys, 1894). For men - for whom first ejaculation, behavioural changes, pubic hair and increase in muscularity were key in recognizing puberty - strenuous physical work, poor nutrition, hygiene and country-life are mentioned (Daignan 1786 in Van Ussel, 1982). Historic records for Beemster show that 56.3% of men worked on farms and 6.7% worked as labourers (</w:t>
      </w:r>
      <w:r w:rsidRPr="00CE5381">
        <w:rPr>
          <w:rFonts w:cs="Times New Roman"/>
          <w:bCs/>
          <w:shd w:val="clear" w:color="auto" w:fill="FFFFFF"/>
          <w:lang w:val="en-US"/>
        </w:rPr>
        <w:t xml:space="preserve">WA-GB, NL-PmWA). </w:t>
      </w:r>
      <w:r w:rsidRPr="00CE5381">
        <w:rPr>
          <w:rFonts w:eastAsia="Times New Roman" w:cs="Times New Roman"/>
          <w:lang w:val="en-GB" w:eastAsia="nl-NL"/>
        </w:rPr>
        <w:t xml:space="preserve">Conditions that could affect both sexes include chlorosis (‘green sickness’), rickets, tuberculosis/scrofula (‘King’s Evil’), cancer, colds, mood disorders, stomach-, lung- and nosebleeds, and acute diseases (Braun, 1864; </w:t>
      </w:r>
      <w:bookmarkStart w:id="9" w:name="_Hlk40090724"/>
      <w:r w:rsidRPr="00CE5381">
        <w:rPr>
          <w:rFonts w:eastAsia="Times New Roman" w:cs="Times New Roman"/>
          <w:lang w:val="en-GB" w:eastAsia="nl-NL"/>
        </w:rPr>
        <w:t xml:space="preserve">Daignan 1786 in Van Ussel, 1982; </w:t>
      </w:r>
      <w:bookmarkEnd w:id="9"/>
      <w:r w:rsidRPr="00CE5381">
        <w:rPr>
          <w:rFonts w:eastAsia="Times New Roman" w:cs="Times New Roman"/>
          <w:lang w:val="en-GB" w:eastAsia="nl-NL"/>
        </w:rPr>
        <w:t xml:space="preserve">Frisch 1983; Ootmar, 1923). </w:t>
      </w:r>
    </w:p>
    <w:p w14:paraId="7443EDD4" w14:textId="77777777" w:rsidR="00CE5381" w:rsidRPr="00CE5381" w:rsidRDefault="00CE5381" w:rsidP="00CE5381">
      <w:pPr>
        <w:pStyle w:val="NoSpacing"/>
        <w:ind w:firstLine="708"/>
        <w:rPr>
          <w:rFonts w:eastAsia="Times New Roman" w:cs="Times New Roman"/>
          <w:lang w:val="en-GB" w:eastAsia="nl-NL"/>
        </w:rPr>
      </w:pPr>
      <w:r w:rsidRPr="00CE5381">
        <w:rPr>
          <w:rFonts w:eastAsia="Times New Roman" w:cs="Times New Roman"/>
          <w:lang w:val="en-GB" w:eastAsia="nl-NL"/>
        </w:rPr>
        <w:t>More direct historic records mention c</w:t>
      </w:r>
      <w:r w:rsidRPr="00CE5381">
        <w:rPr>
          <w:rFonts w:eastAsia="Calibri" w:cs="Times New Roman"/>
          <w:lang w:val="en-GB"/>
        </w:rPr>
        <w:t xml:space="preserve">holera epidemics in Beemster in 1832, 1849, 1854 and 1866 </w:t>
      </w:r>
      <w:r w:rsidRPr="00CE5381">
        <w:rPr>
          <w:rFonts w:cs="Times New Roman"/>
          <w:lang w:val="en-GB" w:eastAsia="nl-NL"/>
        </w:rPr>
        <w:t>(Kurpershoek, 2012)</w:t>
      </w:r>
      <w:r w:rsidRPr="00CE5381">
        <w:rPr>
          <w:rFonts w:eastAsia="Calibri" w:cs="Times New Roman"/>
          <w:lang w:val="en-GB"/>
        </w:rPr>
        <w:t>; and although not recorded for Beemster specifically, across the country typhus, measles, Scarlett fever, diphteria, whooping cough and croup caused 12% to 60% of deaths between 1866 and 1879 (Hofstee, 1981). None of these diseases are, however, visible in skeletal remains. Diseases that can be found in the skeleton and are known from historic records and analyses of the Middenbeemster collection, including</w:t>
      </w:r>
      <w:r w:rsidRPr="00CE5381">
        <w:rPr>
          <w:rFonts w:cs="Times New Roman"/>
          <w:lang w:val="en-GB" w:eastAsia="nl-NL"/>
        </w:rPr>
        <w:t xml:space="preserve"> </w:t>
      </w:r>
      <w:r w:rsidRPr="00CE5381">
        <w:rPr>
          <w:rFonts w:eastAsia="Calibri" w:cs="Times New Roman"/>
          <w:lang w:val="en-GB"/>
        </w:rPr>
        <w:t>rickets, scurvy, tuberculosis, syphilis and scoliosis. Additionally, various skeletal markers can hint towards general physiological stress from disease or malnutrition, including stunted growth and non-specific stress markers (including cribra orbitalia, cribra femora and enamel hypoplasia), or hard physical labour (including osteoarthritis, Schmorls’ nodes and degenerative disc disease at a young age). Finally, different regions of the Netherlands, Beemster included, experienced various crop and livestock failures over the course of the 19</w:t>
      </w:r>
      <w:r w:rsidRPr="00CE5381">
        <w:rPr>
          <w:rFonts w:eastAsia="Calibri" w:cs="Times New Roman"/>
          <w:vertAlign w:val="superscript"/>
          <w:lang w:val="en-GB"/>
        </w:rPr>
        <w:t>th</w:t>
      </w:r>
      <w:r w:rsidRPr="00CE5381">
        <w:rPr>
          <w:rFonts w:eastAsia="Calibri" w:cs="Times New Roman"/>
          <w:lang w:val="en-GB"/>
        </w:rPr>
        <w:t xml:space="preserve"> century, with 1846 to 1847 being particularly hard due to the potato blight and wheat and rye failures </w:t>
      </w:r>
      <w:r w:rsidRPr="00CE5381">
        <w:rPr>
          <w:rFonts w:cs="Times New Roman"/>
          <w:lang w:val="en-GB" w:eastAsia="nl-NL"/>
        </w:rPr>
        <w:t>(Hofstee, 1981). Food shortages, of varying severity and duration, would have been a common cause of malnutrition and physiological stress for all but the wealthy.</w:t>
      </w:r>
    </w:p>
    <w:p w14:paraId="6D07D1A1" w14:textId="77777777" w:rsidR="00CE5381" w:rsidRPr="00CE5381" w:rsidRDefault="00CE5381" w:rsidP="00CE5381">
      <w:pPr>
        <w:pStyle w:val="NoSpacing"/>
        <w:rPr>
          <w:rFonts w:cs="Times New Roman"/>
          <w:lang w:val="en-GB" w:eastAsia="nl-NL"/>
        </w:rPr>
      </w:pPr>
    </w:p>
    <w:p w14:paraId="6001F1D1" w14:textId="77777777" w:rsidR="00CE5381" w:rsidRPr="00CE5381" w:rsidRDefault="00CE5381" w:rsidP="00CE5381">
      <w:pPr>
        <w:pStyle w:val="NoSpacing"/>
        <w:numPr>
          <w:ilvl w:val="0"/>
          <w:numId w:val="37"/>
        </w:numPr>
        <w:rPr>
          <w:rFonts w:cs="Times New Roman"/>
          <w:bCs/>
          <w:lang w:val="en-GB" w:eastAsia="nl-NL"/>
        </w:rPr>
      </w:pPr>
      <w:r w:rsidRPr="00CE5381">
        <w:rPr>
          <w:rFonts w:cs="Times New Roman"/>
          <w:bCs/>
          <w:lang w:val="en-GB" w:eastAsia="nl-NL"/>
        </w:rPr>
        <w:t>METHODS</w:t>
      </w:r>
    </w:p>
    <w:p w14:paraId="45A6C128" w14:textId="77777777" w:rsidR="00CE5381" w:rsidRPr="00CE5381" w:rsidRDefault="00CE5381" w:rsidP="00CE5381">
      <w:pPr>
        <w:pStyle w:val="NoSpacing"/>
        <w:rPr>
          <w:rFonts w:cs="Times New Roman"/>
          <w:lang w:val="en-GB" w:eastAsia="nl-NL"/>
        </w:rPr>
      </w:pPr>
      <w:r w:rsidRPr="00CE5381">
        <w:rPr>
          <w:rFonts w:cs="Times New Roman"/>
          <w:lang w:val="en-GB" w:eastAsia="nl-NL"/>
        </w:rPr>
        <w:t xml:space="preserve">Age-at-death estimation for individuals &lt;18 years-old was based mainly on dental formation and eruption (Ubelaker, 1987; Moorrees, Fanning and Hunt, 1963) and complemented by epiphyseal fusion methods of the vertebrae, sacral segments, humerus, radius, ulna, os coxa and occipital bone for 3-12-year-olds, plus clavicle, scapula, femur, tibia, fibula, calcaneus, and spheno-occipital synchondrosis for 13-17-years-olds (Schaefer, Black and Scheuer, 2009). </w:t>
      </w:r>
      <w:bookmarkStart w:id="10" w:name="_Hlk45715076"/>
      <w:r w:rsidRPr="00CE5381">
        <w:rPr>
          <w:rFonts w:cs="Times New Roman"/>
          <w:lang w:val="en-GB" w:eastAsia="nl-NL"/>
        </w:rPr>
        <w:t xml:space="preserve">Age-at-death estimation for 18-26 year-old was based on dental formation of the M3 specifically (Ubelaker, 1987; Moorrees </w:t>
      </w:r>
      <w:r w:rsidRPr="00CE5381">
        <w:rPr>
          <w:rFonts w:cs="Times New Roman"/>
          <w:i/>
          <w:lang w:val="en-GB" w:eastAsia="nl-NL"/>
        </w:rPr>
        <w:t xml:space="preserve">et al., </w:t>
      </w:r>
      <w:r w:rsidRPr="00CE5381">
        <w:rPr>
          <w:rFonts w:cs="Times New Roman"/>
          <w:lang w:val="en-GB" w:eastAsia="nl-NL"/>
        </w:rPr>
        <w:t xml:space="preserve">1963; M3 eruption is not evaluated due to its large range of variation; e.g. Hillson, 1996), several late fusing epiphyses (spheno-occipital synchondrosis, medial clavicle, first and second sacral vertebrae, ischium, and sternal segments; Schaefer </w:t>
      </w:r>
      <w:r w:rsidRPr="00CE5381">
        <w:rPr>
          <w:rFonts w:cs="Times New Roman"/>
          <w:i/>
          <w:lang w:val="en-GB" w:eastAsia="nl-NL"/>
        </w:rPr>
        <w:t xml:space="preserve">et al., </w:t>
      </w:r>
      <w:r w:rsidRPr="00CE5381">
        <w:rPr>
          <w:rFonts w:cs="Times New Roman"/>
          <w:lang w:val="en-GB" w:eastAsia="nl-NL"/>
        </w:rPr>
        <w:t xml:space="preserve">2009), pubic symphysis morphology (Brooks and Suchey, 1990), sternal rib end morphology (İşcan, Loth and Wright, 1984; 1987; İşcan and Loth 1986; Yoder, Ubelaker and </w:t>
      </w:r>
      <w:r w:rsidRPr="00CE5381">
        <w:rPr>
          <w:rFonts w:cs="Times New Roman"/>
          <w:lang w:val="en-GB" w:eastAsia="nl-NL"/>
        </w:rPr>
        <w:lastRenderedPageBreak/>
        <w:t>Powell, 2001), dental wear (Maat, 2001), and cranial suture closure (Meindl and Lovejoy, 1985).</w:t>
      </w:r>
      <w:bookmarkEnd w:id="10"/>
      <w:r w:rsidRPr="00CE5381">
        <w:rPr>
          <w:rFonts w:cs="Times New Roman"/>
          <w:lang w:val="en-GB" w:eastAsia="nl-NL"/>
        </w:rPr>
        <w:t xml:space="preserve"> These late adolescent ageing methods are in order of most to least accurate and reliable. Heavier reliance was put upon methods that are most accurate and reliable. No individuals in this study were aged based only on the less reliable methods such as sternal rib morphology, dental wear or cranial suture closure.</w:t>
      </w:r>
    </w:p>
    <w:p w14:paraId="294CFA64" w14:textId="77777777" w:rsidR="00CE5381" w:rsidRPr="00CE5381" w:rsidRDefault="00CE5381" w:rsidP="00CE5381">
      <w:pPr>
        <w:pStyle w:val="NoSpacing"/>
        <w:ind w:firstLine="708"/>
        <w:rPr>
          <w:rFonts w:cs="Times New Roman"/>
          <w:lang w:val="en-GB" w:eastAsia="nl-NL"/>
        </w:rPr>
      </w:pPr>
      <w:r w:rsidRPr="00CE5381">
        <w:rPr>
          <w:rFonts w:cs="Times New Roman"/>
          <w:lang w:val="en-GB" w:eastAsia="nl-NL"/>
        </w:rPr>
        <w:t>Despite debate about the reliability of sexing methods on non-adults (Sutter, 2003), such analysis is necessary for an accurate understanding of puberty results. The use of 27 known-sex individuals in this sample, and the application of previously tested - and considered accurate (between 72% to 85%; Bergmans, 2018; Brinkman, 2014; Falys, Schutkowski and Weston, 2005; Sutter, 2003) – methods for the estimation of sex, should limit the extent and impact of inaccurate estimates. Sex is only estimated in individuals over 10 years of age (</w:t>
      </w:r>
      <w:bookmarkStart w:id="11" w:name="_Hlk39616028"/>
      <w:r w:rsidRPr="00CE5381">
        <w:rPr>
          <w:rFonts w:cs="Times New Roman"/>
          <w:lang w:val="en-GB" w:eastAsia="nl-NL"/>
        </w:rPr>
        <w:t>following procedures set out by Shapland and Lewis, 2013; 2014</w:t>
      </w:r>
      <w:bookmarkEnd w:id="11"/>
      <w:r w:rsidRPr="00CE5381">
        <w:rPr>
          <w:rFonts w:cs="Times New Roman"/>
          <w:lang w:val="en-GB" w:eastAsia="nl-NL"/>
        </w:rPr>
        <w:t xml:space="preserve">; see </w:t>
      </w:r>
      <w:r w:rsidRPr="00CE5381">
        <w:rPr>
          <w:rFonts w:cs="Times New Roman"/>
          <w:bCs/>
          <w:lang w:val="en-GB" w:eastAsia="nl-NL"/>
        </w:rPr>
        <w:t>Table 1</w:t>
      </w:r>
      <w:r w:rsidRPr="00CE5381">
        <w:rPr>
          <w:rFonts w:cs="Times New Roman"/>
          <w:lang w:val="en-GB" w:eastAsia="nl-NL"/>
        </w:rPr>
        <w:t xml:space="preserve"> for a list of the methods). Sex estimation accuracy will be calculated by comparing osteological and archival sex.</w:t>
      </w:r>
    </w:p>
    <w:p w14:paraId="092EA686" w14:textId="77777777" w:rsidR="00CE5381" w:rsidRPr="00CE5381" w:rsidRDefault="00CE5381" w:rsidP="00CE5381">
      <w:pPr>
        <w:pStyle w:val="NoSpacing"/>
        <w:ind w:firstLine="708"/>
        <w:rPr>
          <w:rFonts w:eastAsia="Times New Roman" w:cs="Times New Roman"/>
          <w:lang w:val="en-GB" w:eastAsia="nl-NL"/>
        </w:rPr>
      </w:pPr>
      <w:r w:rsidRPr="00CE5381">
        <w:rPr>
          <w:rFonts w:eastAsiaTheme="minorEastAsia" w:cs="Times New Roman"/>
          <w:lang w:val="en-GB" w:eastAsia="zh-CN"/>
        </w:rPr>
        <w:t>Pubertal stage estimation methods are based on research by Shapland and Lewis (2013; 2014</w:t>
      </w:r>
      <w:r w:rsidRPr="00CE5381">
        <w:rPr>
          <w:rFonts w:cs="Times New Roman"/>
          <w:lang w:val="en-GB" w:eastAsia="nl-NL"/>
        </w:rPr>
        <w:t xml:space="preserve">) and include ossification of the hamate hook, development of the mandibular canine root, fusion of the distal radial epiphysis, ossification and fusion of the iliac crest, fusion of the epiphyses of the hand phalanges, and the development of the cervical vertebrae (CVM). </w:t>
      </w:r>
      <w:r w:rsidRPr="00CE5381">
        <w:rPr>
          <w:rFonts w:eastAsia="Times New Roman" w:cs="Times New Roman"/>
          <w:lang w:val="en-GB" w:eastAsia="nl-NL"/>
        </w:rPr>
        <w:t xml:space="preserve">Results will be compared to (1) estimations of pubertal stages from Dutch historic medical literature, (2) pubertal stage timing of the largest adolescent cohort currently published (i.e., Lewis </w:t>
      </w:r>
      <w:r w:rsidRPr="00CE5381">
        <w:rPr>
          <w:rFonts w:eastAsia="Times New Roman" w:cs="Times New Roman"/>
          <w:i/>
          <w:lang w:val="en-GB" w:eastAsia="nl-NL"/>
        </w:rPr>
        <w:t xml:space="preserve">et al., </w:t>
      </w:r>
      <w:r w:rsidRPr="00CE5381">
        <w:rPr>
          <w:rFonts w:eastAsia="Times New Roman" w:cs="Times New Roman"/>
          <w:lang w:val="en-GB" w:eastAsia="nl-NL"/>
        </w:rPr>
        <w:t xml:space="preserve">2016a,b); (3) other smaller and urban osteoarchaeology collections (i.e., Arthur </w:t>
      </w:r>
      <w:r w:rsidRPr="00CE5381">
        <w:rPr>
          <w:rFonts w:eastAsia="Times New Roman" w:cs="Times New Roman"/>
          <w:i/>
          <w:iCs/>
          <w:lang w:val="en-GB" w:eastAsia="nl-NL"/>
        </w:rPr>
        <w:t>et al.</w:t>
      </w:r>
      <w:r w:rsidRPr="00CE5381">
        <w:rPr>
          <w:rFonts w:eastAsia="Times New Roman" w:cs="Times New Roman"/>
          <w:lang w:val="en-GB" w:eastAsia="nl-NL"/>
        </w:rPr>
        <w:t>, 2016; Doe et al., 2019; Henderson and Padez, 2017); and (4) modern Dutch adolescent growth spurt timing.</w:t>
      </w:r>
    </w:p>
    <w:p w14:paraId="5DB70E23" w14:textId="77777777" w:rsidR="00CE5381" w:rsidRPr="00CE5381" w:rsidRDefault="00CE5381" w:rsidP="00CE5381">
      <w:pPr>
        <w:pStyle w:val="NoSpacing"/>
        <w:ind w:firstLine="708"/>
        <w:rPr>
          <w:rFonts w:cs="Times New Roman"/>
          <w:lang w:val="en-GB" w:eastAsia="nl-NL"/>
        </w:rPr>
      </w:pPr>
      <w:r w:rsidRPr="00CE5381">
        <w:rPr>
          <w:rFonts w:eastAsia="Times New Roman" w:cs="Times New Roman"/>
          <w:lang w:val="en-GB" w:eastAsia="nl-NL"/>
        </w:rPr>
        <w:t xml:space="preserve">The small sample size for several puberty stages precludes us from estimating ‘normal age ranges’ for the Middenbeemster sample. As a result, we use the age ranges of puberty stages produced by the large Medieval English sample analysed by Lewis </w:t>
      </w:r>
      <w:r w:rsidRPr="00CE5381">
        <w:rPr>
          <w:rFonts w:eastAsia="Times New Roman" w:cs="Times New Roman"/>
          <w:i/>
          <w:iCs/>
          <w:lang w:val="en-GB" w:eastAsia="nl-NL"/>
        </w:rPr>
        <w:t>et al.</w:t>
      </w:r>
      <w:r w:rsidRPr="00CE5381">
        <w:rPr>
          <w:rFonts w:eastAsia="Times New Roman" w:cs="Times New Roman"/>
          <w:lang w:val="en-GB" w:eastAsia="nl-NL"/>
        </w:rPr>
        <w:t xml:space="preserve"> (2016a,b) for comparison, and will term this the ‘expected range’ in the remainder of the paper. This range is shown in </w:t>
      </w:r>
      <w:r w:rsidRPr="00CE5381">
        <w:rPr>
          <w:rFonts w:eastAsia="Times New Roman" w:cs="Times New Roman"/>
          <w:bCs/>
          <w:lang w:val="en-GB" w:eastAsia="nl-NL"/>
        </w:rPr>
        <w:t>Table 2</w:t>
      </w:r>
      <w:r w:rsidRPr="00CE5381">
        <w:rPr>
          <w:rFonts w:eastAsia="Times New Roman" w:cs="Times New Roman"/>
          <w:lang w:val="en-GB" w:eastAsia="nl-NL"/>
        </w:rPr>
        <w:t>. An age that falls outside of this expected range by one year or more is indicative of early or late development (following</w:t>
      </w:r>
      <w:r w:rsidRPr="00CE5381">
        <w:rPr>
          <w:rFonts w:cs="Times New Roman"/>
          <w:lang w:val="en-GB" w:eastAsia="nl-NL"/>
        </w:rPr>
        <w:t xml:space="preserve"> protocols by Lewis </w:t>
      </w:r>
      <w:r w:rsidRPr="00CE5381">
        <w:rPr>
          <w:rFonts w:cs="Times New Roman"/>
          <w:i/>
          <w:lang w:val="en-GB" w:eastAsia="nl-NL"/>
        </w:rPr>
        <w:t xml:space="preserve">et al., </w:t>
      </w:r>
      <w:r w:rsidRPr="00CE5381">
        <w:rPr>
          <w:rFonts w:cs="Times New Roman"/>
          <w:lang w:val="en-GB" w:eastAsia="nl-NL"/>
        </w:rPr>
        <w:t xml:space="preserve">2016b). </w:t>
      </w:r>
      <w:r w:rsidRPr="00CE5381">
        <w:rPr>
          <w:rFonts w:cs="Times New Roman"/>
          <w:lang w:val="en-GB"/>
        </w:rPr>
        <w:t xml:space="preserve">Categorizing an individual as having early or late development is intended to imply the direction of variation in the average age of pubertal stages in Middenbeemster relative to the expected range (Lewis </w:t>
      </w:r>
      <w:r w:rsidRPr="00CE5381">
        <w:rPr>
          <w:rFonts w:cs="Times New Roman"/>
          <w:i/>
          <w:iCs/>
          <w:lang w:val="en-GB"/>
        </w:rPr>
        <w:t>et al.</w:t>
      </w:r>
      <w:r w:rsidRPr="00CE5381">
        <w:rPr>
          <w:rFonts w:cs="Times New Roman"/>
          <w:lang w:val="en-GB"/>
        </w:rPr>
        <w:t xml:space="preserve">, 2016a,b). </w:t>
      </w:r>
      <w:r w:rsidRPr="00CE5381">
        <w:rPr>
          <w:rFonts w:cs="Times New Roman"/>
          <w:lang w:val="en-GB" w:eastAsia="nl-NL"/>
        </w:rPr>
        <w:t>We do calculate the average age associated with puberty stages for the Middenbeemster sample, but treat the results tentatively in cases where the value is based on only a few individuals (see section 4.3.).</w:t>
      </w:r>
    </w:p>
    <w:p w14:paraId="52A63C0A" w14:textId="77777777" w:rsidR="00CE5381" w:rsidRPr="00CE5381" w:rsidRDefault="00CE5381" w:rsidP="00CE5381">
      <w:pPr>
        <w:pStyle w:val="NoSpacing"/>
        <w:ind w:firstLine="708"/>
        <w:rPr>
          <w:rFonts w:cs="Times New Roman"/>
          <w:lang w:val="en-GB" w:eastAsia="nl-NL"/>
        </w:rPr>
      </w:pPr>
      <w:r w:rsidRPr="00CE5381">
        <w:rPr>
          <w:rFonts w:eastAsia="Calibri" w:cs="Times New Roman"/>
          <w:lang w:val="en-GB"/>
        </w:rPr>
        <w:t xml:space="preserve">It is important to determine if individuals suffered from diseases or conditions that could have stunted or delayed growth to such an extent that pubertal timing could be affected. </w:t>
      </w:r>
      <w:r w:rsidRPr="00CE5381">
        <w:rPr>
          <w:rFonts w:cs="Times New Roman"/>
          <w:lang w:val="en-GB" w:eastAsia="nl-NL"/>
        </w:rPr>
        <w:t xml:space="preserve">Pathological conditions are assessed macroscopically and with low (10x) magnification. </w:t>
      </w:r>
      <w:r w:rsidRPr="00CE5381">
        <w:rPr>
          <w:rFonts w:cs="Times New Roman"/>
          <w:lang w:val="en-GB"/>
        </w:rPr>
        <w:t xml:space="preserve"> An overview of the skeletal changes per pathology used for diagnosis can be found in supplementary Table 1.</w:t>
      </w:r>
      <w:r w:rsidRPr="00CE5381">
        <w:rPr>
          <w:rFonts w:cs="Times New Roman"/>
          <w:lang w:val="en-GB" w:eastAsia="nl-NL"/>
        </w:rPr>
        <w:t xml:space="preserve"> </w:t>
      </w:r>
    </w:p>
    <w:p w14:paraId="4E5A37FB" w14:textId="77777777" w:rsidR="00CE5381" w:rsidRPr="00CE5381" w:rsidRDefault="00CE5381" w:rsidP="00CE5381">
      <w:pPr>
        <w:pStyle w:val="NoSpacing"/>
        <w:ind w:firstLine="708"/>
        <w:rPr>
          <w:rFonts w:cs="Times New Roman"/>
          <w:lang w:val="en-GB"/>
        </w:rPr>
      </w:pPr>
      <w:r w:rsidRPr="00CE5381">
        <w:rPr>
          <w:rFonts w:eastAsia="Times New Roman" w:cs="Times New Roman"/>
          <w:lang w:val="en-GB" w:eastAsia="nl-NL"/>
        </w:rPr>
        <w:t xml:space="preserve">An intraobserver agreement analysis of 12 individuals is performed using Pearson’s correlation and Cohen’s Kappa. Any age- or sex-related differences will be statistically assessed using Chi-square analyses and paired t-tests. </w:t>
      </w:r>
      <w:r w:rsidRPr="00CE5381">
        <w:rPr>
          <w:rFonts w:cs="Times New Roman"/>
          <w:lang w:val="en-GB"/>
        </w:rPr>
        <w:t xml:space="preserve">Pubertal stage scoring will be presented using descriptive statistics and the </w:t>
      </w:r>
      <w:r w:rsidRPr="00CE5381">
        <w:rPr>
          <w:rFonts w:cs="Times New Roman"/>
          <w:lang w:val="en-GB"/>
        </w:rPr>
        <w:lastRenderedPageBreak/>
        <w:t>coefficient of determination (</w:t>
      </w:r>
      <w:r w:rsidRPr="00CE5381">
        <w:rPr>
          <w:rFonts w:cs="Times New Roman"/>
          <w:i/>
          <w:lang w:val="en-GB"/>
        </w:rPr>
        <w:t>R</w:t>
      </w:r>
      <w:r w:rsidRPr="00CE5381">
        <w:rPr>
          <w:rFonts w:cs="Times New Roman"/>
          <w:i/>
          <w:vertAlign w:val="superscript"/>
          <w:lang w:val="en-GB"/>
        </w:rPr>
        <w:t>2</w:t>
      </w:r>
      <w:r w:rsidRPr="00CE5381">
        <w:rPr>
          <w:rFonts w:cs="Times New Roman"/>
          <w:lang w:val="en-GB"/>
        </w:rPr>
        <w:t>). Glass’s delta and Hedges’ G quantify whether sex can be considered a determining factor in average age per pubertal stage. Both analyses are adaptations to Cohen’s D, the former correcting for statistically different standard deviations between groups; and the latter for small sample sizes (n&lt;20). Groups consisting of one individual cannot be used in these analyses because the calculation makes use of the standard error of the mean (SEM) within a group. The results reflect by how many standard deviations the average of one group deviates from another (Ellis, 2010).</w:t>
      </w:r>
    </w:p>
    <w:p w14:paraId="762264AF" w14:textId="77777777" w:rsidR="00CE5381" w:rsidRPr="00CE5381" w:rsidRDefault="00CE5381" w:rsidP="00CE5381">
      <w:pPr>
        <w:pStyle w:val="NoSpacing"/>
        <w:rPr>
          <w:rFonts w:cs="Times New Roman"/>
          <w:lang w:val="en-GB"/>
        </w:rPr>
      </w:pPr>
    </w:p>
    <w:p w14:paraId="207D78E0" w14:textId="77777777" w:rsidR="00CE5381" w:rsidRPr="00CE5381" w:rsidRDefault="00CE5381" w:rsidP="00CE5381">
      <w:pPr>
        <w:pStyle w:val="NoSpacing"/>
        <w:numPr>
          <w:ilvl w:val="0"/>
          <w:numId w:val="37"/>
        </w:numPr>
        <w:rPr>
          <w:rFonts w:cs="Times New Roman"/>
          <w:lang w:val="en-GB"/>
        </w:rPr>
      </w:pPr>
      <w:r w:rsidRPr="00CE5381">
        <w:rPr>
          <w:rFonts w:cs="Times New Roman"/>
          <w:lang w:val="en-GB"/>
        </w:rPr>
        <w:t>RESULTS</w:t>
      </w:r>
    </w:p>
    <w:p w14:paraId="0892E10D" w14:textId="77777777" w:rsidR="00CE5381" w:rsidRPr="00CE5381" w:rsidRDefault="00CE5381" w:rsidP="00CE5381">
      <w:pPr>
        <w:pStyle w:val="NoSpacing"/>
        <w:numPr>
          <w:ilvl w:val="1"/>
          <w:numId w:val="37"/>
        </w:numPr>
        <w:rPr>
          <w:rFonts w:cs="Times New Roman"/>
          <w:i/>
          <w:lang w:val="en-GB"/>
        </w:rPr>
      </w:pPr>
      <w:r w:rsidRPr="00CE5381">
        <w:rPr>
          <w:rFonts w:cs="Times New Roman"/>
          <w:i/>
          <w:lang w:val="en-GB"/>
        </w:rPr>
        <w:t>APPLICABILITY AND REPEATABILITY</w:t>
      </w:r>
    </w:p>
    <w:p w14:paraId="05D061A1" w14:textId="77777777" w:rsidR="00CE5381" w:rsidRPr="00CE5381" w:rsidRDefault="00CE5381" w:rsidP="00CE5381">
      <w:pPr>
        <w:pStyle w:val="NoSpacing"/>
        <w:rPr>
          <w:rFonts w:cs="Times New Roman"/>
          <w:lang w:val="en-GB"/>
        </w:rPr>
      </w:pPr>
      <w:r w:rsidRPr="00CE5381">
        <w:rPr>
          <w:rFonts w:cs="Times New Roman"/>
          <w:lang w:val="en-GB"/>
        </w:rPr>
        <w:t>Twelve (~22% of the sample) randomly selected individuals were re-assessed for pubertal stage estimation two weeks after initial data collection. The high values for the Pearson’s R and Cohen’s Kappa tests indicate that the majority of the markers were scored consistently (</w:t>
      </w:r>
      <w:r w:rsidRPr="00CE5381">
        <w:rPr>
          <w:rFonts w:cs="Times New Roman"/>
          <w:bCs/>
          <w:lang w:val="en-GB"/>
        </w:rPr>
        <w:t>see</w:t>
      </w:r>
      <w:r w:rsidRPr="00CE5381">
        <w:rPr>
          <w:rFonts w:cs="Times New Roman"/>
          <w:lang w:val="en-GB"/>
        </w:rPr>
        <w:t xml:space="preserve"> Table 3).</w:t>
      </w:r>
    </w:p>
    <w:p w14:paraId="263E0FEB" w14:textId="77777777" w:rsidR="00CE5381" w:rsidRPr="00CE5381" w:rsidRDefault="00CE5381" w:rsidP="00CE5381">
      <w:pPr>
        <w:pStyle w:val="NoSpacing"/>
        <w:rPr>
          <w:rFonts w:cs="Times New Roman"/>
          <w:lang w:val="en-GB"/>
        </w:rPr>
      </w:pPr>
      <w:bookmarkStart w:id="12" w:name="_Hlk46936450"/>
    </w:p>
    <w:p w14:paraId="35F56737" w14:textId="77777777" w:rsidR="00CE5381" w:rsidRPr="00CE5381" w:rsidRDefault="00CE5381" w:rsidP="00CE5381">
      <w:pPr>
        <w:pStyle w:val="NoSpacing"/>
        <w:numPr>
          <w:ilvl w:val="1"/>
          <w:numId w:val="37"/>
        </w:numPr>
        <w:rPr>
          <w:rFonts w:eastAsia="Calibri" w:cs="Times New Roman"/>
          <w:i/>
          <w:lang w:val="en-GB"/>
        </w:rPr>
      </w:pPr>
      <w:r w:rsidRPr="00CE5381">
        <w:rPr>
          <w:rFonts w:eastAsia="Calibri" w:cs="Times New Roman"/>
          <w:i/>
          <w:lang w:val="en-GB"/>
        </w:rPr>
        <w:t>DEMOGRAPHY</w:t>
      </w:r>
    </w:p>
    <w:p w14:paraId="22856F57" w14:textId="77777777" w:rsidR="00CE5381" w:rsidRPr="00CE5381" w:rsidRDefault="00CE5381" w:rsidP="00CE5381">
      <w:pPr>
        <w:pStyle w:val="NoSpacing"/>
        <w:rPr>
          <w:rFonts w:cs="Times New Roman"/>
          <w:lang w:val="en-GB" w:eastAsia="nl-NL"/>
        </w:rPr>
      </w:pPr>
      <w:bookmarkStart w:id="13" w:name="_Hlk46939414"/>
      <w:r w:rsidRPr="00CE5381">
        <w:rPr>
          <w:rFonts w:eastAsia="Calibri" w:cs="Times New Roman"/>
          <w:lang w:val="en-GB"/>
        </w:rPr>
        <w:t>Of the 55 individuals included in the study, 47 could be assigned an osteologically estimated sex. Final sex for a total of 28 individuals (~51%) is dependent on only osteological estimates, and 27 (including three individuals aged below 10 years) could be assigned a sex through archival records</w:t>
      </w:r>
      <w:bookmarkEnd w:id="13"/>
      <w:r w:rsidRPr="00CE5381">
        <w:rPr>
          <w:rFonts w:eastAsia="Calibri" w:cs="Times New Roman"/>
          <w:lang w:val="en-GB"/>
        </w:rPr>
        <w:t xml:space="preserve">. </w:t>
      </w:r>
      <w:bookmarkStart w:id="14" w:name="_Hlk46939469"/>
      <w:r w:rsidRPr="00CE5381">
        <w:rPr>
          <w:rFonts w:eastAsia="Calibri" w:cs="Times New Roman"/>
          <w:lang w:val="en-GB"/>
        </w:rPr>
        <w:t>The archival records include fifteen females and twelve males. Combined with osteological sex data, this results in 24 females, 24 males, 2 indeterminates, and 5 unassessed individuals (aged &lt;10 years and lacking archival records).</w:t>
      </w:r>
      <w:bookmarkEnd w:id="14"/>
      <w:r w:rsidRPr="00CE5381">
        <w:rPr>
          <w:lang w:val="en-GB"/>
        </w:rPr>
        <w:t xml:space="preserve"> </w:t>
      </w:r>
      <w:r w:rsidRPr="00CE5381">
        <w:rPr>
          <w:rFonts w:cs="Times New Roman"/>
          <w:lang w:val="en-GB" w:eastAsia="nl-NL"/>
        </w:rPr>
        <w:t>For eight individuals aged 10-15 years-old, osteological sex and archival sex could be compared. Only 50% (</w:t>
      </w:r>
      <w:r w:rsidRPr="00CE5381">
        <w:rPr>
          <w:rFonts w:cs="Times New Roman"/>
          <w:i/>
          <w:iCs/>
          <w:lang w:val="en-GB" w:eastAsia="nl-NL"/>
        </w:rPr>
        <w:t>n</w:t>
      </w:r>
      <w:r w:rsidRPr="00CE5381">
        <w:rPr>
          <w:rFonts w:cs="Times New Roman"/>
          <w:lang w:val="en-GB" w:eastAsia="nl-NL"/>
        </w:rPr>
        <w:t>=4) had congruent results, the other four representing two females and two males that were incorrectly sexed. Given the small sample size, we will not put undue confidence on this low accuracy result but will keep the potential of incorrect sex estimates in mind when interpreting results.</w:t>
      </w:r>
      <w:r w:rsidRPr="00CE5381">
        <w:rPr>
          <w:rFonts w:cs="Times New Roman"/>
          <w:lang w:val="en-GB"/>
        </w:rPr>
        <w:t xml:space="preserve"> Sex estimation is more accurate in older individuals, with only two out of 19 individuals (10.5%) aged </w:t>
      </w:r>
      <w:r w:rsidRPr="00CE5381">
        <w:rPr>
          <w:rFonts w:cs="Times New Roman"/>
          <w:u w:val="single"/>
          <w:lang w:val="en-GB"/>
        </w:rPr>
        <w:t>&gt;</w:t>
      </w:r>
      <w:r w:rsidRPr="00CE5381">
        <w:rPr>
          <w:rFonts w:cs="Times New Roman"/>
          <w:lang w:val="en-GB"/>
        </w:rPr>
        <w:t>16 years being sexed incorrectly.</w:t>
      </w:r>
      <w:r w:rsidRPr="00CE5381">
        <w:rPr>
          <w:rFonts w:cs="Times New Roman"/>
          <w:lang w:val="en-GB" w:eastAsia="nl-NL"/>
        </w:rPr>
        <w:t xml:space="preserve"> For the combined group of 10-26 year-olds, 77.8% (21/27) had congruent archival and osteological sex results.  </w:t>
      </w:r>
    </w:p>
    <w:p w14:paraId="740D2595" w14:textId="77777777" w:rsidR="00CE5381" w:rsidRPr="00CE5381" w:rsidRDefault="00CE5381" w:rsidP="00CE5381">
      <w:pPr>
        <w:pStyle w:val="NoSpacing"/>
        <w:ind w:firstLine="360"/>
        <w:rPr>
          <w:rFonts w:eastAsia="Calibri" w:cs="Times New Roman"/>
          <w:lang w:val="en-GB"/>
        </w:rPr>
      </w:pPr>
      <w:r w:rsidRPr="00CE5381">
        <w:rPr>
          <w:rFonts w:eastAsia="Calibri" w:cs="Times New Roman"/>
          <w:lang w:val="en-GB"/>
        </w:rPr>
        <w:t>While the sexes are equally represented in the sample, the distribution of the sexes among the age categories is uneven at a statistically significant level (χ</w:t>
      </w:r>
      <w:r w:rsidRPr="00CE5381">
        <w:rPr>
          <w:rFonts w:eastAsia="Calibri" w:cs="Times New Roman"/>
          <w:vertAlign w:val="superscript"/>
          <w:lang w:val="en-GB"/>
        </w:rPr>
        <w:t>2</w:t>
      </w:r>
      <w:r w:rsidRPr="00CE5381">
        <w:rPr>
          <w:rFonts w:eastAsia="Calibri" w:cs="Times New Roman"/>
          <w:lang w:val="en-GB"/>
        </w:rPr>
        <w:t xml:space="preserve">=8.140, df=2, </w:t>
      </w:r>
      <w:r w:rsidRPr="00CE5381">
        <w:rPr>
          <w:rFonts w:eastAsia="Calibri" w:cs="Times New Roman"/>
          <w:i/>
          <w:lang w:val="en-GB"/>
        </w:rPr>
        <w:t>n</w:t>
      </w:r>
      <w:r w:rsidRPr="00CE5381">
        <w:rPr>
          <w:rFonts w:eastAsia="Calibri" w:cs="Times New Roman"/>
          <w:lang w:val="en-GB"/>
        </w:rPr>
        <w:t xml:space="preserve">=48, </w:t>
      </w:r>
      <w:r w:rsidRPr="00CE5381">
        <w:rPr>
          <w:rFonts w:eastAsia="Calibri" w:cs="Times New Roman"/>
          <w:i/>
          <w:lang w:val="en-GB"/>
        </w:rPr>
        <w:t>p</w:t>
      </w:r>
      <w:r w:rsidRPr="00CE5381">
        <w:rPr>
          <w:rFonts w:eastAsia="Calibri" w:cs="Times New Roman"/>
          <w:lang w:val="en-GB"/>
        </w:rPr>
        <w:t>=0.017).</w:t>
      </w:r>
      <w:r w:rsidRPr="00CE5381">
        <w:rPr>
          <w:rStyle w:val="FootnoteReference"/>
          <w:rFonts w:eastAsia="Calibri" w:cs="Times New Roman"/>
          <w:lang w:val="en-GB"/>
        </w:rPr>
        <w:footnoteReference w:id="1"/>
      </w:r>
      <w:r w:rsidRPr="00CE5381">
        <w:rPr>
          <w:rFonts w:eastAsia="Calibri" w:cs="Times New Roman"/>
          <w:lang w:val="en-GB"/>
        </w:rPr>
        <w:t xml:space="preserve"> Fifty-three individuals could be assigned a dental age-at-death, the remaining two a skeletal age. For 27 individuals, osteological age estimates could be replaced with archival information. For a summary of the demographic results, see Table 4.</w:t>
      </w:r>
    </w:p>
    <w:p w14:paraId="3767C22F" w14:textId="77777777" w:rsidR="00CE5381" w:rsidRPr="00CE5381" w:rsidRDefault="00CE5381" w:rsidP="00CE5381">
      <w:pPr>
        <w:pStyle w:val="NoSpacing"/>
        <w:rPr>
          <w:rFonts w:eastAsia="Calibri" w:cs="Times New Roman"/>
          <w:lang w:val="en-GB"/>
        </w:rPr>
      </w:pPr>
    </w:p>
    <w:p w14:paraId="2291650F" w14:textId="77777777" w:rsidR="00CE5381" w:rsidRPr="00CE5381" w:rsidRDefault="00CE5381" w:rsidP="00CE5381">
      <w:pPr>
        <w:pStyle w:val="NoSpacing"/>
        <w:numPr>
          <w:ilvl w:val="1"/>
          <w:numId w:val="37"/>
        </w:numPr>
        <w:rPr>
          <w:rFonts w:eastAsia="Calibri" w:cs="Times New Roman"/>
          <w:i/>
          <w:lang w:val="en-GB"/>
        </w:rPr>
      </w:pPr>
      <w:r w:rsidRPr="00CE5381">
        <w:rPr>
          <w:rFonts w:eastAsia="Calibri" w:cs="Times New Roman"/>
          <w:i/>
          <w:lang w:val="en-GB"/>
        </w:rPr>
        <w:t>PUBERTAL STAGE</w:t>
      </w:r>
    </w:p>
    <w:p w14:paraId="3EDEBE13" w14:textId="77777777" w:rsidR="00CE5381" w:rsidRPr="00CE5381" w:rsidDel="001C1C90" w:rsidRDefault="00CE5381" w:rsidP="00CE5381">
      <w:pPr>
        <w:pStyle w:val="NoSpacing"/>
        <w:rPr>
          <w:rFonts w:cs="Times New Roman"/>
          <w:bCs/>
          <w:lang w:val="en-GB"/>
        </w:rPr>
      </w:pPr>
      <w:r w:rsidRPr="00CE5381">
        <w:rPr>
          <w:rFonts w:cs="Times New Roman"/>
          <w:lang w:val="en-GB"/>
        </w:rPr>
        <w:lastRenderedPageBreak/>
        <w:t xml:space="preserve">All 55 individuals could be assigned a pubertal stage. For the number of individuals per marker, see </w:t>
      </w:r>
      <w:r w:rsidRPr="00CE5381">
        <w:rPr>
          <w:rFonts w:cs="Times New Roman"/>
          <w:bCs/>
          <w:lang w:val="en-GB"/>
        </w:rPr>
        <w:t>Table 4</w:t>
      </w:r>
      <w:r w:rsidRPr="00CE5381">
        <w:rPr>
          <w:rFonts w:cs="Times New Roman"/>
          <w:lang w:val="en-GB"/>
        </w:rPr>
        <w:t xml:space="preserve">. </w:t>
      </w:r>
      <w:r w:rsidRPr="00CE5381">
        <w:rPr>
          <w:rFonts w:eastAsia="Calibri" w:cs="Times New Roman"/>
          <w:lang w:val="en-GB"/>
        </w:rPr>
        <w:t xml:space="preserve">Figure 2 shows the distribution of these pubertal stages per age group and sex and </w:t>
      </w:r>
      <w:r w:rsidRPr="00CE5381">
        <w:rPr>
          <w:rFonts w:eastAsia="Calibri" w:cs="Times New Roman"/>
          <w:bCs/>
          <w:lang w:val="en-GB"/>
        </w:rPr>
        <w:t xml:space="preserve">Figure 3 </w:t>
      </w:r>
      <w:r w:rsidRPr="00CE5381">
        <w:rPr>
          <w:rFonts w:eastAsia="Calibri" w:cs="Times New Roman"/>
          <w:lang w:val="en-GB"/>
        </w:rPr>
        <w:t xml:space="preserve">for the pubertal stages per single-value age. </w:t>
      </w:r>
      <w:r w:rsidRPr="00CE5381">
        <w:rPr>
          <w:rFonts w:cs="Times New Roman"/>
          <w:lang w:val="en-GB"/>
        </w:rPr>
        <w:t xml:space="preserve">The reconstruction of average ages of the different pubertal stages in Middenbeemster can be seen in </w:t>
      </w:r>
      <w:r w:rsidRPr="00CE5381">
        <w:rPr>
          <w:rFonts w:cs="Times New Roman"/>
          <w:bCs/>
          <w:lang w:val="en-GB"/>
        </w:rPr>
        <w:t xml:space="preserve">Table 5.  </w:t>
      </w:r>
      <w:r w:rsidRPr="00CE5381">
        <w:rPr>
          <w:rFonts w:cs="Times New Roman"/>
          <w:lang w:val="en-GB" w:eastAsia="nl-NL"/>
        </w:rPr>
        <w:t xml:space="preserve">Menarche is associated with fusion of the distal phalangeal epiphyses of the second finger specifically (other fingers are also indicative) and iliac crest ossification (Lewis </w:t>
      </w:r>
      <w:r w:rsidRPr="00CE5381">
        <w:rPr>
          <w:rFonts w:cs="Times New Roman"/>
          <w:i/>
          <w:lang w:val="en-GB" w:eastAsia="nl-NL"/>
        </w:rPr>
        <w:t>et al</w:t>
      </w:r>
      <w:r w:rsidRPr="00CE5381">
        <w:rPr>
          <w:rFonts w:cs="Times New Roman"/>
          <w:lang w:val="en-GB" w:eastAsia="nl-NL"/>
        </w:rPr>
        <w:t xml:space="preserve">., 2016a,b; Shapland and Lewis, 2014). This sample lacks females with these criteria preventing the exact estimation of age-at-menarche. However, 11 females had </w:t>
      </w:r>
      <w:r w:rsidRPr="00CE5381">
        <w:rPr>
          <w:rFonts w:cs="Times New Roman"/>
          <w:lang w:val="en-GB"/>
        </w:rPr>
        <w:t xml:space="preserve">complete or partial iliac crest fusion with fully fused phalangeal epiphyses upon which we can estimate the average age closely after menarche. These individuals range from 16 to 26 years with a mean of 20.45 years. </w:t>
      </w:r>
    </w:p>
    <w:p w14:paraId="022EBFA4" w14:textId="77777777" w:rsidR="00CE5381" w:rsidRPr="00CE5381" w:rsidRDefault="00CE5381" w:rsidP="00CE5381">
      <w:pPr>
        <w:pStyle w:val="NoSpacing"/>
        <w:ind w:firstLine="708"/>
        <w:rPr>
          <w:rFonts w:cs="Times New Roman"/>
          <w:bCs/>
          <w:lang w:val="en-GB"/>
        </w:rPr>
      </w:pPr>
    </w:p>
    <w:p w14:paraId="567A96CC" w14:textId="77777777" w:rsidR="00CE5381" w:rsidRPr="00CE5381" w:rsidRDefault="00CE5381" w:rsidP="00CE5381">
      <w:pPr>
        <w:pStyle w:val="NoSpacing"/>
        <w:numPr>
          <w:ilvl w:val="1"/>
          <w:numId w:val="37"/>
        </w:numPr>
        <w:rPr>
          <w:rFonts w:eastAsia="Calibri" w:cs="Times New Roman"/>
          <w:i/>
          <w:lang w:val="en-GB"/>
        </w:rPr>
      </w:pPr>
      <w:r w:rsidRPr="00CE5381">
        <w:rPr>
          <w:rFonts w:eastAsia="Calibri" w:cs="Times New Roman"/>
          <w:i/>
          <w:lang w:val="en-GB"/>
        </w:rPr>
        <w:t>DEVELOPMENTAL TIMING</w:t>
      </w:r>
    </w:p>
    <w:p w14:paraId="37F7EDFF" w14:textId="77777777" w:rsidR="00CE5381" w:rsidRPr="00CE5381" w:rsidRDefault="00CE5381" w:rsidP="00CE5381">
      <w:pPr>
        <w:pStyle w:val="NoSpacing"/>
        <w:rPr>
          <w:rFonts w:eastAsia="Calibri" w:cs="Times New Roman"/>
          <w:lang w:val="en-GB"/>
        </w:rPr>
      </w:pPr>
      <w:r w:rsidRPr="00CE5381">
        <w:rPr>
          <w:rFonts w:eastAsia="Calibri" w:cs="Times New Roman"/>
          <w:lang w:val="en-GB"/>
        </w:rPr>
        <w:t xml:space="preserve">Using our approach of suggesting the presence of early, normal, or late development (see section 3) seven individuals (~12.7%) are considered to be early, 22 (40.0%) show late pubertal timing, and 26 (~47.3%) are believed to have experienced development in line with the expected norm. The distribution of pubertal stages among the age categories shows that early development is most frequent in the younger individuals (six out of seven ≤13 years) and late development in the older individuals (18 out of 22 ≥18 years). Moreover, the onset of pubertal development is either early or normal, while its completion is normal or late (see </w:t>
      </w:r>
      <w:r w:rsidRPr="00CE5381">
        <w:rPr>
          <w:rFonts w:eastAsia="Calibri" w:cs="Times New Roman"/>
          <w:bCs/>
          <w:lang w:val="en-GB"/>
        </w:rPr>
        <w:t>Figure 4a</w:t>
      </w:r>
      <w:r w:rsidRPr="00CE5381">
        <w:rPr>
          <w:rFonts w:eastAsia="Calibri" w:cs="Times New Roman"/>
          <w:lang w:val="en-GB"/>
        </w:rPr>
        <w:t xml:space="preserve">). </w:t>
      </w:r>
      <w:bookmarkStart w:id="15" w:name="_Hlk19522230"/>
    </w:p>
    <w:bookmarkEnd w:id="15"/>
    <w:p w14:paraId="3D7230F8" w14:textId="77777777" w:rsidR="00CE5381" w:rsidRPr="00CE5381" w:rsidRDefault="00CE5381" w:rsidP="00CE5381">
      <w:pPr>
        <w:pStyle w:val="NoSpacing"/>
        <w:ind w:firstLine="708"/>
        <w:rPr>
          <w:rFonts w:eastAsia="Calibri" w:cs="Times New Roman"/>
          <w:lang w:val="en-GB"/>
        </w:rPr>
      </w:pPr>
      <w:r w:rsidRPr="00CE5381">
        <w:rPr>
          <w:rFonts w:eastAsia="Calibri" w:cs="Times New Roman"/>
          <w:lang w:val="en-GB"/>
        </w:rPr>
        <w:t>Assessing the relationship between pubertal stages and sex reveals that more males (</w:t>
      </w:r>
      <w:r w:rsidRPr="00CE5381">
        <w:rPr>
          <w:rFonts w:eastAsia="Calibri" w:cs="Times New Roman"/>
          <w:i/>
          <w:iCs/>
          <w:lang w:val="en-GB"/>
        </w:rPr>
        <w:t>n</w:t>
      </w:r>
      <w:r w:rsidRPr="00CE5381">
        <w:rPr>
          <w:rFonts w:eastAsia="Calibri" w:cs="Times New Roman"/>
          <w:lang w:val="en-GB"/>
        </w:rPr>
        <w:t>=13; ~54%) than females (</w:t>
      </w:r>
      <w:r w:rsidRPr="00CE5381">
        <w:rPr>
          <w:rFonts w:eastAsia="Calibri" w:cs="Times New Roman"/>
          <w:i/>
          <w:lang w:val="en-GB"/>
        </w:rPr>
        <w:t>n</w:t>
      </w:r>
      <w:r w:rsidRPr="00CE5381">
        <w:rPr>
          <w:rFonts w:eastAsia="Calibri" w:cs="Times New Roman"/>
          <w:lang w:val="en-GB"/>
        </w:rPr>
        <w:t>=7; ~29%) show late development, while more females (</w:t>
      </w:r>
      <w:r w:rsidRPr="00CE5381">
        <w:rPr>
          <w:rFonts w:eastAsia="Calibri" w:cs="Times New Roman"/>
          <w:i/>
          <w:iCs/>
          <w:lang w:val="en-GB"/>
        </w:rPr>
        <w:t>n</w:t>
      </w:r>
      <w:r w:rsidRPr="00CE5381">
        <w:rPr>
          <w:rFonts w:eastAsia="Calibri" w:cs="Times New Roman"/>
          <w:lang w:val="en-GB"/>
        </w:rPr>
        <w:t>=3; 12.5%) than males (</w:t>
      </w:r>
      <w:r w:rsidRPr="00CE5381">
        <w:rPr>
          <w:rFonts w:eastAsia="Calibri" w:cs="Times New Roman"/>
          <w:i/>
          <w:iCs/>
          <w:lang w:val="en-GB"/>
        </w:rPr>
        <w:t>n</w:t>
      </w:r>
      <w:r w:rsidRPr="00CE5381">
        <w:rPr>
          <w:rFonts w:eastAsia="Calibri" w:cs="Times New Roman"/>
          <w:lang w:val="en-GB"/>
        </w:rPr>
        <w:t>=1; ~4.1%) show early development (</w:t>
      </w:r>
      <w:r w:rsidRPr="00CE5381">
        <w:rPr>
          <w:rFonts w:eastAsia="Calibri" w:cs="Times New Roman"/>
          <w:bCs/>
          <w:lang w:val="en-GB"/>
        </w:rPr>
        <w:t>Figure 4b</w:t>
      </w:r>
      <w:r w:rsidRPr="00CE5381">
        <w:rPr>
          <w:rFonts w:eastAsia="Calibri" w:cs="Times New Roman"/>
          <w:lang w:val="en-GB"/>
        </w:rPr>
        <w:t>). This unequal distribution of early, normal and late development among the sexes is statistically significant (χ</w:t>
      </w:r>
      <w:r w:rsidRPr="00CE5381">
        <w:rPr>
          <w:rFonts w:eastAsia="Calibri" w:cs="Times New Roman"/>
          <w:vertAlign w:val="superscript"/>
          <w:lang w:val="en-GB"/>
        </w:rPr>
        <w:t>2</w:t>
      </w:r>
      <w:r w:rsidRPr="00CE5381">
        <w:rPr>
          <w:rFonts w:eastAsia="Calibri" w:cs="Times New Roman"/>
          <w:lang w:val="en-GB"/>
        </w:rPr>
        <w:t>=</w:t>
      </w:r>
      <w:r w:rsidRPr="00CE5381">
        <w:rPr>
          <w:rFonts w:cs="Times New Roman"/>
          <w:lang w:val="en-GB"/>
        </w:rPr>
        <w:t xml:space="preserve">5.882; df=2; </w:t>
      </w:r>
      <w:r w:rsidRPr="00CE5381">
        <w:rPr>
          <w:rFonts w:cs="Times New Roman"/>
          <w:i/>
          <w:iCs/>
          <w:lang w:val="en-GB"/>
        </w:rPr>
        <w:t>p</w:t>
      </w:r>
      <w:r w:rsidRPr="00CE5381">
        <w:rPr>
          <w:rFonts w:cs="Times New Roman"/>
          <w:lang w:val="en-GB"/>
        </w:rPr>
        <w:t xml:space="preserve">=0.053, </w:t>
      </w:r>
      <w:r w:rsidRPr="00CE5381">
        <w:rPr>
          <w:rFonts w:cs="Times New Roman"/>
          <w:i/>
          <w:lang w:val="en-GB"/>
        </w:rPr>
        <w:t>n</w:t>
      </w:r>
      <w:r w:rsidRPr="00CE5381">
        <w:rPr>
          <w:rFonts w:cs="Times New Roman"/>
          <w:lang w:val="en-GB"/>
        </w:rPr>
        <w:t>=51)</w:t>
      </w:r>
      <w:r w:rsidRPr="00CE5381">
        <w:rPr>
          <w:rFonts w:eastAsia="Calibri" w:cs="Times New Roman"/>
          <w:lang w:val="en-GB"/>
        </w:rPr>
        <w:t>. Additionally, the correlation between age-at-death and maturation stage per sex shows that there is a slightly stronger correlation between the age-at-death and pubertal stage for females (</w:t>
      </w:r>
      <w:r w:rsidRPr="00CE5381">
        <w:rPr>
          <w:rFonts w:eastAsia="Calibri" w:cs="Times New Roman"/>
          <w:i/>
          <w:lang w:val="en-GB"/>
        </w:rPr>
        <w:t>R</w:t>
      </w:r>
      <w:r w:rsidRPr="00CE5381">
        <w:rPr>
          <w:rFonts w:eastAsia="Calibri" w:cs="Times New Roman"/>
          <w:i/>
          <w:vertAlign w:val="superscript"/>
          <w:lang w:val="en-GB"/>
        </w:rPr>
        <w:t>2</w:t>
      </w:r>
      <w:r w:rsidRPr="00CE5381">
        <w:rPr>
          <w:rFonts w:eastAsia="Calibri" w:cs="Times New Roman"/>
          <w:lang w:val="en-GB"/>
        </w:rPr>
        <w:t>=0.7212) than for males (</w:t>
      </w:r>
      <w:r w:rsidRPr="00CE5381">
        <w:rPr>
          <w:rFonts w:eastAsia="Calibri" w:cs="Times New Roman"/>
          <w:i/>
          <w:lang w:val="en-GB"/>
        </w:rPr>
        <w:t>R</w:t>
      </w:r>
      <w:r w:rsidRPr="00CE5381">
        <w:rPr>
          <w:rFonts w:eastAsia="Calibri" w:cs="Times New Roman"/>
          <w:i/>
          <w:vertAlign w:val="superscript"/>
          <w:lang w:val="en-GB"/>
        </w:rPr>
        <w:t>2</w:t>
      </w:r>
      <w:r w:rsidRPr="00CE5381">
        <w:rPr>
          <w:rFonts w:eastAsia="Calibri" w:cs="Times New Roman"/>
          <w:lang w:val="en-GB"/>
        </w:rPr>
        <w:t xml:space="preserve">=0.6523). This correlation also shows a larger scatter for males indicating a wider range of ages per pubertal stage and </w:t>
      </w:r>
      <w:r w:rsidRPr="00CE5381">
        <w:rPr>
          <w:rFonts w:eastAsia="Calibri" w:cs="Times New Roman"/>
          <w:i/>
          <w:lang w:val="en-GB"/>
        </w:rPr>
        <w:t>vice versa.</w:t>
      </w:r>
      <w:r w:rsidRPr="00CE5381">
        <w:rPr>
          <w:rFonts w:eastAsia="Calibri" w:cs="Times New Roman"/>
          <w:lang w:val="en-GB"/>
        </w:rPr>
        <w:t xml:space="preserve"> Glass’s delta and Hedge’s g (</w:t>
      </w:r>
      <w:r w:rsidRPr="00CE5381">
        <w:rPr>
          <w:rFonts w:cs="Times New Roman"/>
          <w:bCs/>
          <w:lang w:val="en-GB"/>
        </w:rPr>
        <w:t>Table 5</w:t>
      </w:r>
      <w:r w:rsidRPr="00CE5381">
        <w:rPr>
          <w:rFonts w:cs="Times New Roman"/>
          <w:lang w:val="en-GB"/>
        </w:rPr>
        <w:t xml:space="preserve">) results </w:t>
      </w:r>
      <w:bookmarkEnd w:id="12"/>
      <w:r w:rsidRPr="00CE5381">
        <w:rPr>
          <w:rFonts w:cs="Times New Roman"/>
          <w:lang w:val="en-GB"/>
        </w:rPr>
        <w:t>show that there is a medium to large effect of sex on average age per stage.</w:t>
      </w:r>
    </w:p>
    <w:p w14:paraId="60CD720F" w14:textId="77777777" w:rsidR="00CE5381" w:rsidRPr="00CE5381" w:rsidRDefault="00CE5381" w:rsidP="00CE5381">
      <w:pPr>
        <w:pStyle w:val="NoSpacing"/>
        <w:ind w:firstLine="567"/>
        <w:rPr>
          <w:rFonts w:cs="Times New Roman"/>
          <w:lang w:val="en-GB"/>
        </w:rPr>
      </w:pPr>
      <w:r w:rsidRPr="00CE5381">
        <w:rPr>
          <w:rFonts w:cs="Times New Roman"/>
          <w:bCs/>
          <w:lang w:val="en-GB"/>
        </w:rPr>
        <w:t>Table 6</w:t>
      </w:r>
      <w:r w:rsidRPr="00CE5381">
        <w:rPr>
          <w:rFonts w:cs="Times New Roman"/>
          <w:lang w:val="en-GB"/>
        </w:rPr>
        <w:t xml:space="preserve"> shows the average age of pubertal stages for Middenbeemster compared to the ‘expected norm’ (</w:t>
      </w:r>
      <w:r w:rsidRPr="00CE5381">
        <w:rPr>
          <w:rFonts w:eastAsia="Calibri" w:cs="Times New Roman"/>
          <w:lang w:val="en-GB"/>
        </w:rPr>
        <w:t xml:space="preserve">Lewis </w:t>
      </w:r>
      <w:r w:rsidRPr="00CE5381">
        <w:rPr>
          <w:rFonts w:eastAsia="Calibri" w:cs="Times New Roman"/>
          <w:i/>
          <w:lang w:val="en-GB"/>
        </w:rPr>
        <w:t xml:space="preserve">et al., </w:t>
      </w:r>
      <w:r w:rsidRPr="00CE5381">
        <w:rPr>
          <w:rFonts w:eastAsia="Calibri" w:cs="Times New Roman"/>
          <w:lang w:val="en-GB"/>
        </w:rPr>
        <w:t>2016a,b</w:t>
      </w:r>
      <w:r w:rsidRPr="00CE5381">
        <w:rPr>
          <w:rFonts w:cs="Times New Roman"/>
          <w:lang w:val="en-GB" w:eastAsia="nl-NL"/>
        </w:rPr>
        <w:t>).</w:t>
      </w:r>
      <w:r w:rsidRPr="00CE5381">
        <w:rPr>
          <w:rFonts w:cs="Times New Roman"/>
          <w:lang w:val="en-GB"/>
        </w:rPr>
        <w:t xml:space="preserve"> </w:t>
      </w:r>
      <w:r w:rsidRPr="00CE5381">
        <w:rPr>
          <w:rFonts w:eastAsia="Times New Roman" w:cs="Times New Roman"/>
          <w:lang w:val="en-GB" w:eastAsia="nl-NL"/>
        </w:rPr>
        <w:t>Based on the sexes combined, paired</w:t>
      </w:r>
      <w:r w:rsidRPr="00CE5381">
        <w:rPr>
          <w:rFonts w:cs="Times New Roman"/>
          <w:lang w:val="en-GB"/>
        </w:rPr>
        <w:t xml:space="preserve">-sample t-tests reveal the latter three pubertal stages at Middenbeemster occur at a later age than the in the English sample (see </w:t>
      </w:r>
      <w:r w:rsidRPr="00CE5381">
        <w:rPr>
          <w:rFonts w:cs="Times New Roman"/>
          <w:bCs/>
          <w:lang w:val="en-GB"/>
        </w:rPr>
        <w:t>Table 6</w:t>
      </w:r>
      <w:r w:rsidRPr="00CE5381">
        <w:rPr>
          <w:rFonts w:cs="Times New Roman"/>
          <w:lang w:val="en-GB"/>
        </w:rPr>
        <w:t xml:space="preserve"> for statistics). Moreover, the average Middenbeenster male age of sexual maturity, represented by PHV, is 18 years which is 3 years later than suggested by historic sources although not statistically significant due a large age-scatter for males (t=1.964; df=2; </w:t>
      </w:r>
      <w:r w:rsidRPr="00CE5381">
        <w:rPr>
          <w:rFonts w:cs="Times New Roman"/>
          <w:i/>
          <w:iCs/>
          <w:lang w:val="en-GB"/>
        </w:rPr>
        <w:t>p</w:t>
      </w:r>
      <w:r w:rsidRPr="00CE5381">
        <w:rPr>
          <w:rFonts w:cs="Times New Roman"/>
          <w:lang w:val="en-GB"/>
        </w:rPr>
        <w:t xml:space="preserve">=0.188), and girls show the first evidence for the post-menarche period approximately 5.5 years later than indicated by historic sources (t=5.957; df=10; </w:t>
      </w:r>
      <w:r w:rsidRPr="00CE5381">
        <w:rPr>
          <w:rFonts w:cs="Times New Roman"/>
          <w:i/>
          <w:iCs/>
          <w:lang w:val="en-GB"/>
        </w:rPr>
        <w:t>p</w:t>
      </w:r>
      <w:r w:rsidRPr="00CE5381">
        <w:rPr>
          <w:rFonts w:cs="Times New Roman"/>
          <w:lang w:val="en-GB"/>
        </w:rPr>
        <w:t xml:space="preserve">=0.00014). Despite the small sample size of some stages, these results show that Middenbeemster had unique pubertal timing.  </w:t>
      </w:r>
    </w:p>
    <w:p w14:paraId="449D8CBB" w14:textId="77777777" w:rsidR="00CE5381" w:rsidRPr="00CE5381" w:rsidRDefault="00CE5381" w:rsidP="00CE5381">
      <w:pPr>
        <w:pStyle w:val="NoSpacing"/>
        <w:rPr>
          <w:rFonts w:eastAsia="Calibri" w:cs="Times New Roman"/>
          <w:lang w:val="en-US"/>
        </w:rPr>
      </w:pPr>
    </w:p>
    <w:p w14:paraId="6B2CAF42" w14:textId="77777777" w:rsidR="00CE5381" w:rsidRPr="00CE5381" w:rsidRDefault="00CE5381" w:rsidP="00CE5381">
      <w:pPr>
        <w:pStyle w:val="NoSpacing"/>
        <w:numPr>
          <w:ilvl w:val="1"/>
          <w:numId w:val="37"/>
        </w:numPr>
        <w:rPr>
          <w:rFonts w:eastAsia="Calibri" w:cs="Times New Roman"/>
          <w:i/>
          <w:iCs/>
          <w:lang w:val="en-GB"/>
        </w:rPr>
      </w:pPr>
      <w:r w:rsidRPr="00CE5381">
        <w:rPr>
          <w:rFonts w:eastAsia="Calibri" w:cs="Times New Roman"/>
          <w:i/>
          <w:iCs/>
          <w:lang w:val="en-GB"/>
        </w:rPr>
        <w:lastRenderedPageBreak/>
        <w:t>PATHOLOGY</w:t>
      </w:r>
    </w:p>
    <w:p w14:paraId="2C4C6233" w14:textId="77777777" w:rsidR="00CE5381" w:rsidRPr="00CE5381" w:rsidRDefault="00CE5381" w:rsidP="00CE5381">
      <w:pPr>
        <w:pStyle w:val="NoSpacing"/>
        <w:rPr>
          <w:rFonts w:eastAsia="Calibri" w:cs="Times New Roman"/>
          <w:lang w:val="en-GB"/>
        </w:rPr>
      </w:pPr>
      <w:r w:rsidRPr="00CE5381">
        <w:rPr>
          <w:rFonts w:eastAsia="Calibri" w:cs="Times New Roman"/>
          <w:lang w:val="en-GB"/>
        </w:rPr>
        <w:t>Of the 55 individuals, 37 (~67.3%) have pathological lesions associated with either specific diseases (</w:t>
      </w:r>
      <w:r w:rsidRPr="00CE5381">
        <w:rPr>
          <w:rFonts w:eastAsia="Calibri" w:cs="Times New Roman"/>
          <w:i/>
          <w:iCs/>
          <w:lang w:val="en-GB"/>
        </w:rPr>
        <w:t>n</w:t>
      </w:r>
      <w:r w:rsidRPr="00CE5381">
        <w:rPr>
          <w:rFonts w:eastAsia="Calibri" w:cs="Times New Roman"/>
          <w:lang w:val="en-GB"/>
        </w:rPr>
        <w:t>=4, ~7.3%), non-specific stress episodes (</w:t>
      </w:r>
      <w:r w:rsidRPr="00CE5381">
        <w:rPr>
          <w:rFonts w:eastAsia="Calibri" w:cs="Times New Roman"/>
          <w:i/>
          <w:iCs/>
          <w:lang w:val="en-GB"/>
        </w:rPr>
        <w:t>n</w:t>
      </w:r>
      <w:r w:rsidRPr="00CE5381">
        <w:rPr>
          <w:rFonts w:eastAsia="Calibri" w:cs="Times New Roman"/>
          <w:lang w:val="en-GB"/>
        </w:rPr>
        <w:t>=22, 40.0%), or both (</w:t>
      </w:r>
      <w:r w:rsidRPr="00CE5381">
        <w:rPr>
          <w:rFonts w:eastAsia="Calibri" w:cs="Times New Roman"/>
          <w:i/>
          <w:iCs/>
          <w:lang w:val="en-GB"/>
        </w:rPr>
        <w:t>n</w:t>
      </w:r>
      <w:r w:rsidRPr="00CE5381">
        <w:rPr>
          <w:rFonts w:eastAsia="Calibri" w:cs="Times New Roman"/>
          <w:lang w:val="en-GB"/>
        </w:rPr>
        <w:t>=11, 20.0%), that could have potentially affected growth. The thirty-three individuals with non-specific stress markers have the following: enamel hypoplasia (</w:t>
      </w:r>
      <w:r w:rsidRPr="00CE5381">
        <w:rPr>
          <w:rFonts w:eastAsia="Calibri" w:cs="Times New Roman"/>
          <w:i/>
          <w:iCs/>
          <w:lang w:val="en-GB"/>
        </w:rPr>
        <w:t>n</w:t>
      </w:r>
      <w:r w:rsidRPr="00CE5381">
        <w:rPr>
          <w:rFonts w:eastAsia="Calibri" w:cs="Times New Roman"/>
          <w:lang w:val="en-GB"/>
        </w:rPr>
        <w:t>=19/55), cribra orbitalia (</w:t>
      </w:r>
      <w:r w:rsidRPr="00CE5381">
        <w:rPr>
          <w:rFonts w:eastAsia="Calibri" w:cs="Times New Roman"/>
          <w:i/>
          <w:iCs/>
          <w:lang w:val="en-GB"/>
        </w:rPr>
        <w:t>n</w:t>
      </w:r>
      <w:r w:rsidRPr="00CE5381">
        <w:rPr>
          <w:rFonts w:eastAsia="Calibri" w:cs="Times New Roman"/>
          <w:lang w:val="en-GB"/>
        </w:rPr>
        <w:t>=14/55), and/or cribra femora (</w:t>
      </w:r>
      <w:r w:rsidRPr="00CE5381">
        <w:rPr>
          <w:rFonts w:eastAsia="Calibri" w:cs="Times New Roman"/>
          <w:i/>
          <w:iCs/>
          <w:lang w:val="en-GB"/>
        </w:rPr>
        <w:t>n</w:t>
      </w:r>
      <w:r w:rsidRPr="00CE5381">
        <w:rPr>
          <w:rFonts w:eastAsia="Calibri" w:cs="Times New Roman"/>
          <w:lang w:val="en-GB"/>
        </w:rPr>
        <w:t>=13/55).</w:t>
      </w:r>
      <w:r w:rsidRPr="00CE5381">
        <w:rPr>
          <w:rFonts w:cs="Times New Roman"/>
          <w:bCs/>
          <w:lang w:val="en-GB"/>
        </w:rPr>
        <w:t xml:space="preserve"> </w:t>
      </w:r>
      <w:r w:rsidRPr="00CE5381">
        <w:rPr>
          <w:rFonts w:eastAsia="Calibri" w:cs="Times New Roman"/>
          <w:bCs/>
          <w:lang w:val="en-GB"/>
        </w:rPr>
        <w:t>Table 7</w:t>
      </w:r>
      <w:r w:rsidRPr="00CE5381">
        <w:rPr>
          <w:rFonts w:eastAsia="Calibri" w:cs="Times New Roman"/>
          <w:lang w:val="en-GB"/>
        </w:rPr>
        <w:t xml:space="preserve"> provides prevalence rates and compares the pubertal stage timing of those with (termed ‘affected’) and without (termed ‘unaffected’) these diseases and stress markers against the expected norm’ (Lewis </w:t>
      </w:r>
      <w:r w:rsidRPr="00CE5381">
        <w:rPr>
          <w:rFonts w:eastAsia="Calibri" w:cs="Times New Roman"/>
          <w:i/>
          <w:iCs/>
          <w:lang w:val="en-GB"/>
        </w:rPr>
        <w:t xml:space="preserve">et al., </w:t>
      </w:r>
      <w:r w:rsidRPr="00CE5381">
        <w:rPr>
          <w:rFonts w:eastAsia="Calibri" w:cs="Times New Roman"/>
          <w:lang w:val="en-GB"/>
        </w:rPr>
        <w:t>2016a,b), and the average values with one standard deviation from Middenbeemster.</w:t>
      </w:r>
    </w:p>
    <w:p w14:paraId="096015AC" w14:textId="77777777" w:rsidR="00CE5381" w:rsidRPr="00CE5381" w:rsidRDefault="00CE5381" w:rsidP="00CE5381">
      <w:pPr>
        <w:pStyle w:val="NoSpacing"/>
        <w:rPr>
          <w:rFonts w:eastAsia="Calibri" w:cs="Times New Roman"/>
          <w:lang w:val="en-GB"/>
        </w:rPr>
      </w:pPr>
      <w:r w:rsidRPr="00CE5381">
        <w:rPr>
          <w:rFonts w:eastAsia="Calibri" w:cs="Times New Roman"/>
          <w:lang w:val="en-GB"/>
        </w:rPr>
        <w:tab/>
        <w:t>The third to sixth pubertal stages contain at least one ‘affected’ individual with some level of late development. Sixteen of the ‘affected’ individuals (~29.1%) are identified as late, 10 of which (~18.2%) have an age greater than three years beyond the expected range (</w:t>
      </w:r>
      <w:r w:rsidRPr="00CE5381">
        <w:rPr>
          <w:rFonts w:eastAsia="Calibri" w:cs="Times New Roman"/>
          <w:bCs/>
          <w:lang w:val="en-GB"/>
        </w:rPr>
        <w:t>Table 7</w:t>
      </w:r>
      <w:r w:rsidRPr="00CE5381">
        <w:rPr>
          <w:rFonts w:eastAsia="Calibri" w:cs="Times New Roman"/>
          <w:lang w:val="en-GB"/>
        </w:rPr>
        <w:t>). The group of ‘unaffected’ individuals (</w:t>
      </w:r>
      <w:r w:rsidRPr="00CE5381">
        <w:rPr>
          <w:rFonts w:eastAsia="Calibri" w:cs="Times New Roman"/>
          <w:i/>
          <w:iCs/>
          <w:lang w:val="en-GB"/>
        </w:rPr>
        <w:t>n</w:t>
      </w:r>
      <w:r w:rsidRPr="00CE5381">
        <w:rPr>
          <w:rFonts w:eastAsia="Calibri" w:cs="Times New Roman"/>
          <w:lang w:val="en-GB"/>
        </w:rPr>
        <w:t>=8) contains six cases of pubertal lateness, four of which have an age that falls greater than three years outside of the expected range. This results in 22 (40.0%) ’late’ individuals, 14 (~25.5%) of which are late by more than three years.</w:t>
      </w:r>
    </w:p>
    <w:p w14:paraId="462C247A" w14:textId="77777777" w:rsidR="00CE5381" w:rsidRPr="00CE5381" w:rsidRDefault="00CE5381" w:rsidP="00CE5381">
      <w:pPr>
        <w:pStyle w:val="NoSpacing"/>
        <w:rPr>
          <w:rFonts w:eastAsia="Calibri" w:cs="Times New Roman"/>
          <w:lang w:val="en-GB"/>
        </w:rPr>
      </w:pPr>
      <w:r w:rsidRPr="00CE5381">
        <w:rPr>
          <w:rFonts w:eastAsia="Calibri" w:cs="Times New Roman"/>
          <w:lang w:val="en-GB"/>
        </w:rPr>
        <w:tab/>
        <w:t xml:space="preserve">Hard physical labour could have impacted growth and development. This category is not treated as a pathology or stress marker but is shown in </w:t>
      </w:r>
      <w:r w:rsidRPr="00CE5381">
        <w:rPr>
          <w:rFonts w:eastAsia="Calibri" w:cs="Times New Roman"/>
          <w:bCs/>
          <w:lang w:val="en-GB"/>
        </w:rPr>
        <w:t>Table 7</w:t>
      </w:r>
      <w:r w:rsidRPr="00CE5381">
        <w:rPr>
          <w:rFonts w:eastAsia="Calibri" w:cs="Times New Roman"/>
          <w:lang w:val="en-GB"/>
        </w:rPr>
        <w:t xml:space="preserve"> to assess if it is associated with pubertal delay. Of the sixteen individuals (~29.1%) with these signs, seven are late, five of which show a lateness of three years of more. Contrarily, one shows early development. </w:t>
      </w:r>
    </w:p>
    <w:p w14:paraId="2680309E" w14:textId="77777777" w:rsidR="00CE5381" w:rsidRPr="00CE5381" w:rsidRDefault="00CE5381" w:rsidP="00CE5381">
      <w:pPr>
        <w:pStyle w:val="NoSpacing"/>
        <w:rPr>
          <w:rFonts w:eastAsia="Calibri" w:cs="Times New Roman"/>
          <w:lang w:val="en-US"/>
        </w:rPr>
      </w:pPr>
    </w:p>
    <w:p w14:paraId="1ED5DE24" w14:textId="77777777" w:rsidR="00CE5381" w:rsidRPr="00CE5381" w:rsidRDefault="00CE5381" w:rsidP="00CE5381">
      <w:pPr>
        <w:pStyle w:val="NoSpacing"/>
        <w:numPr>
          <w:ilvl w:val="0"/>
          <w:numId w:val="37"/>
        </w:numPr>
        <w:rPr>
          <w:rFonts w:eastAsia="Calibri" w:cs="Times New Roman"/>
          <w:lang w:val="en-GB"/>
        </w:rPr>
      </w:pPr>
      <w:r w:rsidRPr="00CE5381">
        <w:rPr>
          <w:rFonts w:eastAsia="Calibri" w:cs="Times New Roman"/>
          <w:lang w:val="en-GB"/>
        </w:rPr>
        <w:t>DISCUSSION</w:t>
      </w:r>
    </w:p>
    <w:p w14:paraId="0DB7BC29" w14:textId="77777777" w:rsidR="00CE5381" w:rsidRPr="00CE5381" w:rsidRDefault="00CE5381" w:rsidP="00CE5381">
      <w:pPr>
        <w:pStyle w:val="NoSpacing"/>
        <w:rPr>
          <w:rFonts w:cs="Times New Roman"/>
          <w:lang w:val="en-GB"/>
        </w:rPr>
      </w:pPr>
      <w:bookmarkStart w:id="16" w:name="_Hlk39604271"/>
      <w:r w:rsidRPr="00CE5381">
        <w:rPr>
          <w:rFonts w:cs="Times New Roman"/>
          <w:lang w:val="en-GB"/>
        </w:rPr>
        <w:t xml:space="preserve">This research provides the first application of pubertal stage estimation methods to a Dutch rural skeletal collection and is one of few studies with access to archival records on age-at-death, sex, profession and marital contracts. </w:t>
      </w:r>
    </w:p>
    <w:p w14:paraId="5CBA2365" w14:textId="77777777" w:rsidR="00CE5381" w:rsidRPr="00CE5381" w:rsidRDefault="00CE5381" w:rsidP="00CE5381">
      <w:pPr>
        <w:pStyle w:val="NoSpacing"/>
        <w:rPr>
          <w:rFonts w:cs="Times New Roman"/>
          <w:vertAlign w:val="subscript"/>
          <w:lang w:val="en-GB"/>
        </w:rPr>
      </w:pPr>
      <w:r w:rsidRPr="00CE5381">
        <w:rPr>
          <w:rFonts w:cs="Times New Roman"/>
          <w:lang w:val="en-GB"/>
        </w:rPr>
        <w:t xml:space="preserve">  </w:t>
      </w:r>
    </w:p>
    <w:p w14:paraId="6BECC3DD" w14:textId="77777777" w:rsidR="00CE5381" w:rsidRPr="00CE5381" w:rsidRDefault="00CE5381" w:rsidP="00CE5381">
      <w:pPr>
        <w:pStyle w:val="NoSpacing"/>
        <w:numPr>
          <w:ilvl w:val="1"/>
          <w:numId w:val="37"/>
        </w:numPr>
        <w:rPr>
          <w:rFonts w:cs="Times New Roman"/>
          <w:i/>
          <w:lang w:val="en-GB"/>
        </w:rPr>
      </w:pPr>
      <w:r w:rsidRPr="00CE5381">
        <w:rPr>
          <w:rFonts w:cs="Times New Roman"/>
          <w:i/>
          <w:lang w:val="en-GB"/>
        </w:rPr>
        <w:t>Reliability</w:t>
      </w:r>
    </w:p>
    <w:p w14:paraId="7522DDE2" w14:textId="77777777" w:rsidR="00CE5381" w:rsidRPr="00CE5381" w:rsidRDefault="00CE5381" w:rsidP="00CE5381">
      <w:pPr>
        <w:pStyle w:val="NoSpacing"/>
        <w:rPr>
          <w:lang w:val="en-GB"/>
        </w:rPr>
      </w:pPr>
      <w:r w:rsidRPr="00CE5381">
        <w:rPr>
          <w:rFonts w:cs="Times New Roman"/>
          <w:lang w:val="en-GB"/>
        </w:rPr>
        <w:t>The correlation (R</w:t>
      </w:r>
      <w:r w:rsidRPr="00CE5381">
        <w:rPr>
          <w:rFonts w:cs="Times New Roman"/>
          <w:vertAlign w:val="superscript"/>
          <w:lang w:val="en-GB"/>
        </w:rPr>
        <w:t>2</w:t>
      </w:r>
      <w:r w:rsidRPr="00CE5381">
        <w:rPr>
          <w:rFonts w:cs="Times New Roman"/>
          <w:lang w:val="en-GB"/>
        </w:rPr>
        <w:t>) between pubertal stage and age offers insight into the potential reliability of pubertal markers</w:t>
      </w:r>
      <w:r w:rsidRPr="00CE5381">
        <w:rPr>
          <w:rFonts w:eastAsia="Calibri" w:cs="Times New Roman"/>
          <w:lang w:val="en-GB"/>
        </w:rPr>
        <w:t xml:space="preserve">. Cohen’s Kappa and Pearson R are used here to assess the consistency in scores between multiple tests by one observer. Results of all three comparisons are listed in </w:t>
      </w:r>
      <w:r w:rsidRPr="00CE5381">
        <w:rPr>
          <w:rFonts w:eastAsia="Calibri" w:cs="Times New Roman"/>
          <w:bCs/>
          <w:lang w:val="en-GB"/>
        </w:rPr>
        <w:t>Table 3</w:t>
      </w:r>
      <w:r w:rsidRPr="00CE5381">
        <w:rPr>
          <w:rFonts w:eastAsia="Calibri" w:cs="Times New Roman"/>
          <w:lang w:val="en-GB"/>
        </w:rPr>
        <w:t xml:space="preserve">. </w:t>
      </w:r>
      <w:r w:rsidRPr="00CE5381">
        <w:rPr>
          <w:lang w:val="en-GB"/>
        </w:rPr>
        <w:t>The hamate has the lowest repeatability score of all maturation markers and a low correlation with age. Possibly, this reflects that the hamate is the least represented maturation marker (</w:t>
      </w:r>
      <w:r w:rsidRPr="00CE5381">
        <w:rPr>
          <w:i/>
          <w:iCs/>
          <w:lang w:val="en-GB"/>
        </w:rPr>
        <w:t>n</w:t>
      </w:r>
      <w:r w:rsidRPr="00CE5381">
        <w:rPr>
          <w:lang w:val="en-GB"/>
        </w:rPr>
        <w:t>=37), or that Middenbeemster shows a different developmental sequence for the hamate. More research, including larger scale intra- and interobserver error tests, is needed to understand the impact of this effect on pubertal stage estimation for Middenbeemster, and possibly other skeletal collections.</w:t>
      </w:r>
    </w:p>
    <w:p w14:paraId="55A716D2" w14:textId="77777777" w:rsidR="00CE5381" w:rsidRPr="00CE5381" w:rsidRDefault="00CE5381" w:rsidP="00CE5381">
      <w:pPr>
        <w:pStyle w:val="NoSpacing"/>
        <w:rPr>
          <w:rFonts w:cs="Times New Roman"/>
          <w:lang w:val="en-GB"/>
        </w:rPr>
      </w:pPr>
    </w:p>
    <w:p w14:paraId="0623498A" w14:textId="77777777" w:rsidR="00CE5381" w:rsidRPr="00CE5381" w:rsidRDefault="00CE5381" w:rsidP="00CE5381">
      <w:pPr>
        <w:pStyle w:val="NoSpacing"/>
        <w:ind w:firstLine="284"/>
        <w:rPr>
          <w:rFonts w:cs="Times New Roman"/>
          <w:i/>
          <w:iCs/>
          <w:lang w:val="en-GB"/>
        </w:rPr>
      </w:pPr>
      <w:r w:rsidRPr="00CE5381">
        <w:rPr>
          <w:rFonts w:cs="Times New Roman"/>
          <w:i/>
          <w:iCs/>
          <w:lang w:val="en-GB"/>
        </w:rPr>
        <w:t>5.2. Representativeness of sample</w:t>
      </w:r>
    </w:p>
    <w:p w14:paraId="12C8DF0B" w14:textId="77777777" w:rsidR="00CE5381" w:rsidRPr="00CE5381" w:rsidRDefault="00CE5381" w:rsidP="00CE5381">
      <w:pPr>
        <w:pStyle w:val="NoSpacing"/>
        <w:rPr>
          <w:rFonts w:cs="Times New Roman"/>
          <w:lang w:val="en-GB"/>
        </w:rPr>
      </w:pPr>
      <w:r w:rsidRPr="00CE5381">
        <w:rPr>
          <w:rFonts w:cs="Times New Roman"/>
          <w:lang w:val="en-GB"/>
        </w:rPr>
        <w:t xml:space="preserve">A noteworthy problem in this study is selective mortality and hidden heterogeneity </w:t>
      </w:r>
      <w:r w:rsidRPr="00CE5381">
        <w:rPr>
          <w:rFonts w:eastAsia="Times New Roman" w:cs="Times New Roman"/>
          <w:lang w:val="en-GB" w:eastAsia="nl-NL"/>
        </w:rPr>
        <w:t>(Wood, Milner, Harpending and Weiss,</w:t>
      </w:r>
      <w:r w:rsidRPr="00CE5381">
        <w:rPr>
          <w:rFonts w:eastAsia="Times New Roman" w:cs="Times New Roman"/>
          <w:i/>
          <w:lang w:val="en-GB" w:eastAsia="nl-NL"/>
        </w:rPr>
        <w:t xml:space="preserve"> </w:t>
      </w:r>
      <w:r w:rsidRPr="00CE5381">
        <w:rPr>
          <w:rFonts w:eastAsia="Times New Roman" w:cs="Times New Roman"/>
          <w:lang w:val="en-GB" w:eastAsia="nl-NL"/>
        </w:rPr>
        <w:t>1992)</w:t>
      </w:r>
      <w:r w:rsidRPr="00CE5381">
        <w:rPr>
          <w:rFonts w:cs="Times New Roman"/>
          <w:lang w:val="en-GB"/>
        </w:rPr>
        <w:t xml:space="preserve">. As archaeology reconstructs health based on the skeletal remains of </w:t>
      </w:r>
      <w:r w:rsidRPr="00CE5381">
        <w:rPr>
          <w:rFonts w:cs="Times New Roman"/>
          <w:lang w:val="en-GB"/>
        </w:rPr>
        <w:lastRenderedPageBreak/>
        <w:t xml:space="preserve">individuals who died, caution must be taken when interpreting the results and comparing it to data from living populations. As this study works with the largest possible subsample of adolescents in the Middenbeemster collection (~73% of all individuals aged 8-25 years) and has complemented osteological demographic data with archival records and palaeopathological data with historic research, the impact of hidden heterogeneity is attempted to be minimised. Moreover, some of these early-death individuals will represent cases of sudden death, which are not influenced by selective mortality (Doe </w:t>
      </w:r>
      <w:r w:rsidRPr="00CE5381">
        <w:rPr>
          <w:rFonts w:cs="Times New Roman"/>
          <w:i/>
          <w:iCs/>
          <w:lang w:val="en-GB"/>
        </w:rPr>
        <w:t>et al</w:t>
      </w:r>
      <w:r w:rsidRPr="00CE5381">
        <w:rPr>
          <w:rFonts w:cs="Times New Roman"/>
          <w:lang w:val="en-GB"/>
        </w:rPr>
        <w:t>., 2019). Thus, despite small sample size possibly influencing results, this collection is considered as representative of the 8-25-year-old cohort of Middenbeemster as could be achieved and is argued to roughly approximate true developmental data.</w:t>
      </w:r>
    </w:p>
    <w:p w14:paraId="3F216D68" w14:textId="77777777" w:rsidR="00CE5381" w:rsidRPr="00CE5381" w:rsidRDefault="00CE5381" w:rsidP="00CE5381">
      <w:pPr>
        <w:pStyle w:val="NoSpacing"/>
        <w:rPr>
          <w:rFonts w:cs="Times New Roman"/>
          <w:lang w:val="en-GB"/>
        </w:rPr>
      </w:pPr>
    </w:p>
    <w:p w14:paraId="006F0268" w14:textId="77777777" w:rsidR="00CE5381" w:rsidRPr="00CE5381" w:rsidRDefault="00CE5381" w:rsidP="00CE5381">
      <w:pPr>
        <w:pStyle w:val="NoSpacing"/>
        <w:numPr>
          <w:ilvl w:val="1"/>
          <w:numId w:val="42"/>
        </w:numPr>
        <w:ind w:hanging="76"/>
        <w:rPr>
          <w:rFonts w:cs="Times New Roman"/>
          <w:i/>
          <w:lang w:val="en-GB"/>
        </w:rPr>
      </w:pPr>
      <w:r w:rsidRPr="00CE5381">
        <w:rPr>
          <w:rFonts w:cs="Times New Roman"/>
          <w:i/>
          <w:lang w:val="en-GB"/>
        </w:rPr>
        <w:t>Pubertal development</w:t>
      </w:r>
    </w:p>
    <w:p w14:paraId="3DBBF82B" w14:textId="77777777" w:rsidR="00CE5381" w:rsidRPr="00CE5381" w:rsidRDefault="00CE5381" w:rsidP="00CE5381">
      <w:pPr>
        <w:pStyle w:val="NoSpacing"/>
        <w:rPr>
          <w:rFonts w:cs="Times New Roman"/>
          <w:lang w:val="en-GB"/>
        </w:rPr>
      </w:pPr>
      <w:r w:rsidRPr="00CE5381">
        <w:rPr>
          <w:rFonts w:cs="Times New Roman"/>
          <w:lang w:val="en-GB"/>
        </w:rPr>
        <w:t xml:space="preserve">Figure 5 (designed by Doe </w:t>
      </w:r>
      <w:r w:rsidRPr="00CE5381">
        <w:rPr>
          <w:rFonts w:cs="Times New Roman"/>
          <w:i/>
          <w:iCs/>
          <w:lang w:val="en-GB"/>
        </w:rPr>
        <w:t xml:space="preserve">et al. </w:t>
      </w:r>
      <w:r w:rsidRPr="00CE5381">
        <w:rPr>
          <w:rFonts w:cs="Times New Roman"/>
          <w:lang w:val="en-GB"/>
        </w:rPr>
        <w:t xml:space="preserve">2019) shows a comparison of Middenbeemster average ages for each stage to those of previously published skeletal samples. </w:t>
      </w:r>
      <w:r w:rsidRPr="00CE5381">
        <w:rPr>
          <w:rFonts w:cs="Times New Roman"/>
          <w:bCs/>
          <w:lang w:val="en-GB"/>
        </w:rPr>
        <w:t>Table 5</w:t>
      </w:r>
      <w:r w:rsidRPr="00CE5381">
        <w:rPr>
          <w:rFonts w:cs="Times New Roman"/>
          <w:lang w:val="en-GB"/>
        </w:rPr>
        <w:t xml:space="preserve"> further shows the average ages per pubertal stage for Middenbeemster. Pubertal onset of ~9.25 years in Middenbeemster falls within the lower range of the age-of-onset in other geographical and temporal samples, ranging from 9-12 years (Arthur </w:t>
      </w:r>
      <w:r w:rsidRPr="00CE5381">
        <w:rPr>
          <w:rFonts w:cs="Times New Roman"/>
          <w:i/>
          <w:iCs/>
          <w:lang w:val="en-GB"/>
        </w:rPr>
        <w:t xml:space="preserve">et al., </w:t>
      </w:r>
      <w:r w:rsidRPr="00CE5381">
        <w:rPr>
          <w:rFonts w:cs="Times New Roman"/>
          <w:lang w:val="en-GB"/>
        </w:rPr>
        <w:t xml:space="preserve">2016; Doe </w:t>
      </w:r>
      <w:r w:rsidRPr="00CE5381">
        <w:rPr>
          <w:rFonts w:cs="Times New Roman"/>
          <w:i/>
          <w:iCs/>
          <w:lang w:val="en-GB"/>
        </w:rPr>
        <w:t xml:space="preserve">et al., </w:t>
      </w:r>
      <w:r w:rsidRPr="00CE5381">
        <w:rPr>
          <w:rFonts w:cs="Times New Roman"/>
          <w:lang w:val="en-GB"/>
        </w:rPr>
        <w:t xml:space="preserve">2019; Henderson and Padez, 2017; Lewis </w:t>
      </w:r>
      <w:r w:rsidRPr="00CE5381">
        <w:rPr>
          <w:rFonts w:cs="Times New Roman"/>
          <w:i/>
          <w:iCs/>
          <w:lang w:val="en-GB"/>
        </w:rPr>
        <w:t xml:space="preserve">et al., </w:t>
      </w:r>
      <w:r w:rsidRPr="00CE5381">
        <w:rPr>
          <w:rFonts w:cs="Times New Roman"/>
          <w:lang w:val="en-GB"/>
        </w:rPr>
        <w:t>2016a,b).</w:t>
      </w:r>
    </w:p>
    <w:p w14:paraId="6F2C5FCA" w14:textId="77777777" w:rsidR="00CE5381" w:rsidRPr="00CE5381" w:rsidRDefault="00CE5381" w:rsidP="00CE5381">
      <w:pPr>
        <w:pStyle w:val="NoSpacing"/>
        <w:ind w:firstLine="708"/>
        <w:rPr>
          <w:rFonts w:cs="Times New Roman"/>
          <w:lang w:val="en-GB"/>
        </w:rPr>
      </w:pPr>
      <w:r w:rsidRPr="00CE5381">
        <w:rPr>
          <w:rFonts w:cs="Times New Roman"/>
          <w:lang w:val="en-GB"/>
        </w:rPr>
        <w:t xml:space="preserve">Acceleration also reflects a similar average age as was found in most previous studies (Doe </w:t>
      </w:r>
      <w:r w:rsidRPr="00CE5381">
        <w:rPr>
          <w:rFonts w:cs="Times New Roman"/>
          <w:i/>
          <w:iCs/>
          <w:lang w:val="en-GB"/>
        </w:rPr>
        <w:t xml:space="preserve">et al., </w:t>
      </w:r>
      <w:r w:rsidRPr="00CE5381">
        <w:rPr>
          <w:rFonts w:cs="Times New Roman"/>
          <w:lang w:val="en-GB"/>
        </w:rPr>
        <w:t xml:space="preserve">2019; Henderson and Padez, 2017; Lewis </w:t>
      </w:r>
      <w:r w:rsidRPr="00CE5381">
        <w:rPr>
          <w:rFonts w:cs="Times New Roman"/>
          <w:i/>
          <w:iCs/>
          <w:lang w:val="en-GB"/>
        </w:rPr>
        <w:t xml:space="preserve">et al., </w:t>
      </w:r>
      <w:r w:rsidRPr="00CE5381">
        <w:rPr>
          <w:rFonts w:cs="Times New Roman"/>
          <w:lang w:val="en-GB"/>
        </w:rPr>
        <w:t xml:space="preserve">2016a,b), although Roman Britain shows a much wider range of 9-18 years (Arthur </w:t>
      </w:r>
      <w:r w:rsidRPr="00CE5381">
        <w:rPr>
          <w:rFonts w:cs="Times New Roman"/>
          <w:i/>
          <w:iCs/>
          <w:lang w:val="en-GB"/>
        </w:rPr>
        <w:t xml:space="preserve">et al., </w:t>
      </w:r>
      <w:r w:rsidRPr="00CE5381">
        <w:rPr>
          <w:rFonts w:cs="Times New Roman"/>
          <w:lang w:val="en-GB"/>
        </w:rPr>
        <w:t xml:space="preserve">2016). Five of the individuals from this stage are 9 years of age, and as such show pubertal acceleration earlier than has been identified in some previous studies (Henderson and Padez, 2017; Lewis </w:t>
      </w:r>
      <w:r w:rsidRPr="00CE5381">
        <w:rPr>
          <w:rFonts w:cs="Times New Roman"/>
          <w:i/>
          <w:lang w:val="en-GB"/>
        </w:rPr>
        <w:t xml:space="preserve">et al., </w:t>
      </w:r>
      <w:r w:rsidRPr="00CE5381">
        <w:rPr>
          <w:rFonts w:cs="Times New Roman"/>
          <w:lang w:val="en-GB"/>
        </w:rPr>
        <w:t>2016a,b; Shapland and Lewis,</w:t>
      </w:r>
      <w:r w:rsidRPr="00CE5381">
        <w:rPr>
          <w:rFonts w:cs="Times New Roman"/>
          <w:i/>
          <w:lang w:val="en-GB"/>
        </w:rPr>
        <w:t xml:space="preserve"> </w:t>
      </w:r>
      <w:r w:rsidRPr="00CE5381">
        <w:rPr>
          <w:rFonts w:cs="Times New Roman"/>
          <w:lang w:val="en-GB"/>
        </w:rPr>
        <w:t xml:space="preserve">2013; 2014; Shapland </w:t>
      </w:r>
      <w:r w:rsidRPr="00CE5381">
        <w:rPr>
          <w:rFonts w:cs="Times New Roman"/>
          <w:i/>
          <w:lang w:val="en-GB"/>
        </w:rPr>
        <w:t xml:space="preserve">et al., </w:t>
      </w:r>
      <w:r w:rsidRPr="00CE5381">
        <w:rPr>
          <w:rFonts w:cs="Times New Roman"/>
          <w:lang w:val="en-GB"/>
        </w:rPr>
        <w:t>2015)</w:t>
      </w:r>
      <w:bookmarkStart w:id="17" w:name="_Hlk21089349"/>
      <w:r w:rsidRPr="00CE5381">
        <w:rPr>
          <w:rFonts w:cs="Times New Roman"/>
          <w:lang w:val="en-GB"/>
        </w:rPr>
        <w:t xml:space="preserve">. Whether Middenbeemster shows a significantly earlier onset of puberty than other samples cannot be properly assessed because most studies only assess individuals from the age of 10 years (Lewis </w:t>
      </w:r>
      <w:r w:rsidRPr="00CE5381">
        <w:rPr>
          <w:rFonts w:cs="Times New Roman"/>
          <w:i/>
          <w:lang w:val="en-GB"/>
        </w:rPr>
        <w:t xml:space="preserve">et al., </w:t>
      </w:r>
      <w:r w:rsidRPr="00CE5381">
        <w:rPr>
          <w:rFonts w:cs="Times New Roman"/>
          <w:lang w:val="en-GB"/>
        </w:rPr>
        <w:t xml:space="preserve">2016a; 2016b; Shapland and Lewis, 2013; 2014). Although Doe </w:t>
      </w:r>
      <w:r w:rsidRPr="00CE5381">
        <w:rPr>
          <w:rFonts w:cs="Times New Roman"/>
          <w:i/>
          <w:iCs/>
          <w:lang w:val="en-GB"/>
        </w:rPr>
        <w:t>et al.</w:t>
      </w:r>
      <w:r w:rsidRPr="00CE5381">
        <w:rPr>
          <w:rFonts w:cs="Times New Roman"/>
          <w:lang w:val="en-GB"/>
        </w:rPr>
        <w:t xml:space="preserve"> (2019, 544) do include 9-year-olds, the majority of the individuals of this age were classified as pre-pubescent and thus show a different pattern from Middenbeemster. </w:t>
      </w:r>
    </w:p>
    <w:p w14:paraId="1463A958" w14:textId="77777777" w:rsidR="00CE5381" w:rsidRPr="00CE5381" w:rsidRDefault="00CE5381" w:rsidP="00CE5381">
      <w:pPr>
        <w:pStyle w:val="NoSpacing"/>
        <w:ind w:firstLine="708"/>
        <w:rPr>
          <w:rFonts w:cs="Times New Roman"/>
          <w:lang w:val="en-GB"/>
        </w:rPr>
      </w:pPr>
      <w:r w:rsidRPr="00CE5381">
        <w:rPr>
          <w:rFonts w:cs="Times New Roman"/>
          <w:lang w:val="en-GB"/>
        </w:rPr>
        <w:t>The timing of PHV has shown quite some variation in previous studies, ranging from 14-15 years on average (</w:t>
      </w:r>
      <w:r w:rsidRPr="00CE5381">
        <w:rPr>
          <w:rFonts w:eastAsia="Times New Roman" w:cs="Times New Roman"/>
          <w:lang w:val="en-GB" w:eastAsia="nl-NL"/>
        </w:rPr>
        <w:t xml:space="preserve">Arthur </w:t>
      </w:r>
      <w:r w:rsidRPr="00CE5381">
        <w:rPr>
          <w:rFonts w:eastAsia="Times New Roman" w:cs="Times New Roman"/>
          <w:i/>
          <w:iCs/>
          <w:lang w:val="en-GB" w:eastAsia="nl-NL"/>
        </w:rPr>
        <w:t xml:space="preserve">et al., </w:t>
      </w:r>
      <w:r w:rsidRPr="00CE5381">
        <w:rPr>
          <w:rFonts w:eastAsia="Times New Roman" w:cs="Times New Roman"/>
          <w:lang w:val="en-GB" w:eastAsia="nl-NL"/>
        </w:rPr>
        <w:t xml:space="preserve">2016; </w:t>
      </w:r>
      <w:r w:rsidRPr="00CE5381">
        <w:rPr>
          <w:rFonts w:cs="Times New Roman"/>
          <w:lang w:val="en-GB"/>
        </w:rPr>
        <w:t xml:space="preserve">Doe </w:t>
      </w:r>
      <w:r w:rsidRPr="00CE5381">
        <w:rPr>
          <w:rFonts w:cs="Times New Roman"/>
          <w:i/>
          <w:iCs/>
          <w:lang w:val="en-GB"/>
        </w:rPr>
        <w:t xml:space="preserve">et al., </w:t>
      </w:r>
      <w:r w:rsidRPr="00CE5381">
        <w:rPr>
          <w:rFonts w:cs="Times New Roman"/>
          <w:lang w:val="en-GB"/>
        </w:rPr>
        <w:t xml:space="preserve">2019; Henderson and Padez, 2017), to between 12-18 years (Lewis </w:t>
      </w:r>
      <w:r w:rsidRPr="00CE5381">
        <w:rPr>
          <w:rFonts w:cs="Times New Roman"/>
          <w:i/>
          <w:lang w:val="en-GB"/>
        </w:rPr>
        <w:t xml:space="preserve">et al., </w:t>
      </w:r>
      <w:r w:rsidRPr="00CE5381">
        <w:rPr>
          <w:rFonts w:cs="Times New Roman"/>
          <w:lang w:val="en-GB"/>
        </w:rPr>
        <w:t xml:space="preserve">2016a,b). This stage is represented by four individuals in Middenbeemster, aged 12, 15, 19 and 20 years, reflecting a similarly wide range of ages as found in other collections </w:t>
      </w:r>
      <w:r w:rsidRPr="00CE5381">
        <w:rPr>
          <w:rFonts w:eastAsia="Times New Roman" w:cs="Times New Roman"/>
          <w:lang w:val="en-GB" w:eastAsia="nl-NL"/>
        </w:rPr>
        <w:t xml:space="preserve">(Arthur </w:t>
      </w:r>
      <w:r w:rsidRPr="00CE5381">
        <w:rPr>
          <w:rFonts w:eastAsia="Times New Roman" w:cs="Times New Roman"/>
          <w:i/>
          <w:iCs/>
          <w:lang w:val="en-GB" w:eastAsia="nl-NL"/>
        </w:rPr>
        <w:t xml:space="preserve">et al., </w:t>
      </w:r>
      <w:r w:rsidRPr="00CE5381">
        <w:rPr>
          <w:rFonts w:eastAsia="Times New Roman" w:cs="Times New Roman"/>
          <w:lang w:val="en-GB" w:eastAsia="nl-NL"/>
        </w:rPr>
        <w:t>2016;</w:t>
      </w:r>
      <w:r w:rsidRPr="00CE5381">
        <w:rPr>
          <w:rFonts w:cs="Times New Roman"/>
          <w:lang w:val="en-GB"/>
        </w:rPr>
        <w:t xml:space="preserve"> Doe </w:t>
      </w:r>
      <w:r w:rsidRPr="00CE5381">
        <w:rPr>
          <w:rFonts w:cs="Times New Roman"/>
          <w:i/>
          <w:iCs/>
          <w:lang w:val="en-GB"/>
        </w:rPr>
        <w:t xml:space="preserve">et al., </w:t>
      </w:r>
      <w:r w:rsidRPr="00CE5381">
        <w:rPr>
          <w:rFonts w:cs="Times New Roman"/>
          <w:lang w:val="en-GB"/>
        </w:rPr>
        <w:t xml:space="preserve">2019). </w:t>
      </w:r>
      <w:bookmarkEnd w:id="17"/>
      <w:r w:rsidRPr="00CE5381">
        <w:rPr>
          <w:rFonts w:cs="Times New Roman"/>
          <w:lang w:val="en-GB"/>
        </w:rPr>
        <w:t xml:space="preserve">Moreover, Lewis </w:t>
      </w:r>
      <w:r w:rsidRPr="00CE5381">
        <w:rPr>
          <w:rFonts w:cs="Times New Roman"/>
          <w:i/>
          <w:iCs/>
          <w:lang w:val="en-GB"/>
        </w:rPr>
        <w:t>et al.</w:t>
      </w:r>
      <w:r w:rsidRPr="00CE5381">
        <w:rPr>
          <w:rFonts w:cs="Times New Roman"/>
          <w:lang w:val="en-GB"/>
        </w:rPr>
        <w:t xml:space="preserve"> (2016b) showed that the pathology-affected group lagged behind in PHV compared to their non-affected peers. Possibly, this pattern of a wide age range thus reflects that PHV is a stage easily disturbed by physiological stress. PHV for males specifically, when they are believed to have experienced spermarche, occurred on average at 18.0 years. This number is only based on three individuals, however, and thus may not reflect the true average age for all Middenbeemster inhabitants.</w:t>
      </w:r>
    </w:p>
    <w:p w14:paraId="4E644A3E" w14:textId="77777777" w:rsidR="00CE5381" w:rsidRPr="00CE5381" w:rsidRDefault="00CE5381" w:rsidP="00CE5381">
      <w:pPr>
        <w:pStyle w:val="NoSpacing"/>
        <w:ind w:firstLine="708"/>
        <w:rPr>
          <w:rFonts w:cs="Times New Roman"/>
          <w:lang w:val="en-GB"/>
        </w:rPr>
      </w:pPr>
      <w:bookmarkStart w:id="18" w:name="_Hlk516601700"/>
      <w:r w:rsidRPr="00CE5381">
        <w:rPr>
          <w:rFonts w:cs="Times New Roman"/>
          <w:lang w:val="en-GB"/>
        </w:rPr>
        <w:lastRenderedPageBreak/>
        <w:t xml:space="preserve">The latter three pubertal stages all occur at a relatively late age compared to the ‘expected norm’, although a prolonged duration of completion was also found in a large English cohort (see </w:t>
      </w:r>
      <w:r w:rsidRPr="00CE5381">
        <w:rPr>
          <w:rFonts w:cs="Times New Roman"/>
          <w:bCs/>
          <w:lang w:val="en-GB"/>
        </w:rPr>
        <w:t>Table 5</w:t>
      </w:r>
      <w:r w:rsidRPr="00CE5381">
        <w:rPr>
          <w:rFonts w:cs="Times New Roman"/>
          <w:lang w:val="en-GB"/>
        </w:rPr>
        <w:t xml:space="preserve"> and Figure 5; Lewis </w:t>
      </w:r>
      <w:r w:rsidRPr="00CE5381">
        <w:rPr>
          <w:rFonts w:cs="Times New Roman"/>
          <w:i/>
          <w:iCs/>
          <w:lang w:val="en-GB"/>
        </w:rPr>
        <w:t xml:space="preserve">et al., </w:t>
      </w:r>
      <w:r w:rsidRPr="00CE5381">
        <w:rPr>
          <w:rFonts w:cs="Times New Roman"/>
          <w:lang w:val="en-GB"/>
        </w:rPr>
        <w:t xml:space="preserve">2016b). Nonetheless, Medieval English deceleration/maturation (stages 4 and 5) occurred between 15 and 17 years, whereas 80% (20/25) of individuals in these stages in Middenbeemster range from 19-26 years (overall range: 15-26 years equalling a span of 11 years). Moreover, deceleration/maturation shows a ‘tighter’ age distribution, spanning 2 to 6 years, in Roman Britain (Arthur </w:t>
      </w:r>
      <w:r w:rsidRPr="00CE5381">
        <w:rPr>
          <w:rFonts w:cs="Times New Roman"/>
          <w:i/>
          <w:iCs/>
          <w:lang w:val="en-GB"/>
        </w:rPr>
        <w:t xml:space="preserve">et al., </w:t>
      </w:r>
      <w:r w:rsidRPr="00CE5381">
        <w:rPr>
          <w:rFonts w:cs="Times New Roman"/>
          <w:lang w:val="en-GB"/>
        </w:rPr>
        <w:t>2016), 20</w:t>
      </w:r>
      <w:r w:rsidRPr="00CE5381">
        <w:rPr>
          <w:rFonts w:cs="Times New Roman"/>
          <w:vertAlign w:val="superscript"/>
          <w:lang w:val="en-GB"/>
        </w:rPr>
        <w:t>th</w:t>
      </w:r>
      <w:r w:rsidRPr="00CE5381">
        <w:rPr>
          <w:rFonts w:cs="Times New Roman"/>
          <w:lang w:val="en-GB"/>
        </w:rPr>
        <w:t>-century Portugal (Henderson and Padez, 2017) and early medieval Spain (Doe</w:t>
      </w:r>
      <w:r w:rsidRPr="00CE5381">
        <w:rPr>
          <w:rFonts w:cs="Times New Roman"/>
          <w:i/>
          <w:iCs/>
          <w:lang w:val="en-GB"/>
        </w:rPr>
        <w:t xml:space="preserve"> et al., </w:t>
      </w:r>
      <w:r w:rsidRPr="00CE5381">
        <w:rPr>
          <w:rFonts w:cs="Times New Roman"/>
          <w:lang w:val="en-GB"/>
        </w:rPr>
        <w:t>2019).</w:t>
      </w:r>
    </w:p>
    <w:bookmarkEnd w:id="18"/>
    <w:p w14:paraId="78810BFB" w14:textId="77777777" w:rsidR="00CE5381" w:rsidRPr="00CE5381" w:rsidRDefault="00CE5381" w:rsidP="00CE5381">
      <w:pPr>
        <w:pStyle w:val="NoSpacing"/>
        <w:ind w:firstLine="708"/>
        <w:rPr>
          <w:rFonts w:cs="Times New Roman"/>
          <w:lang w:val="en-GB"/>
        </w:rPr>
      </w:pPr>
      <w:r w:rsidRPr="00CE5381">
        <w:rPr>
          <w:rFonts w:cs="Times New Roman"/>
          <w:lang w:val="en-GB"/>
        </w:rPr>
        <w:t>Overall, it appears that in Middenbeemster the earliest three stages occur slightly earlier while the latter three stages occur much later. Nonetheless, the age range of each stage show a similar spread of ages, albeit less pronounced, as found in previous studies, indicating that a ‘stretch’ of pubertal development, independent of the stage, was common in the past. It must be noted here that when the late individuals are excluded, the average age per stage drops notably (</w:t>
      </w:r>
      <w:r w:rsidRPr="00CE5381">
        <w:rPr>
          <w:rFonts w:cs="Times New Roman"/>
          <w:bCs/>
          <w:lang w:val="en-GB"/>
        </w:rPr>
        <w:t>Table 5</w:t>
      </w:r>
      <w:r w:rsidRPr="00CE5381">
        <w:rPr>
          <w:rFonts w:cs="Times New Roman"/>
          <w:lang w:val="en-GB"/>
        </w:rPr>
        <w:t>), although the stages still have higher average ages than other studies.</w:t>
      </w:r>
    </w:p>
    <w:p w14:paraId="09B585C3" w14:textId="77777777" w:rsidR="00CE5381" w:rsidRPr="00CE5381" w:rsidRDefault="00CE5381" w:rsidP="00CE5381">
      <w:pPr>
        <w:pStyle w:val="NoSpacing"/>
        <w:ind w:firstLine="708"/>
        <w:rPr>
          <w:rFonts w:cs="Times New Roman"/>
          <w:lang w:val="en-GB"/>
        </w:rPr>
      </w:pPr>
      <w:r w:rsidRPr="00CE5381">
        <w:rPr>
          <w:rFonts w:cs="Times New Roman"/>
          <w:lang w:val="en-GB" w:eastAsia="nl-NL"/>
        </w:rPr>
        <w:t xml:space="preserve">This slower physical development for Middenbeemster is alluded to in historical records, which imply a late age of cultural maturation – marking social adulthood and thus the right </w:t>
      </w:r>
      <w:r w:rsidRPr="00CE5381">
        <w:rPr>
          <w:rFonts w:cs="Times New Roman"/>
          <w:lang w:val="en-GB"/>
        </w:rPr>
        <w:t>to marry, start a household, a family, etc. (</w:t>
      </w:r>
      <w:r w:rsidRPr="00CE5381">
        <w:rPr>
          <w:rFonts w:cs="Times New Roman"/>
          <w:lang w:val="en-GB" w:eastAsia="nl-NL"/>
        </w:rPr>
        <w:t xml:space="preserve">Hofstee, 1981; </w:t>
      </w:r>
      <w:r w:rsidRPr="00CE5381">
        <w:rPr>
          <w:rFonts w:eastAsia="Times New Roman" w:cs="Times New Roman"/>
          <w:lang w:val="en-GB" w:eastAsia="nl-NL"/>
        </w:rPr>
        <w:t>Van Poppel, 1992;</w:t>
      </w:r>
      <w:r w:rsidRPr="00CE5381">
        <w:rPr>
          <w:rFonts w:cs="Times New Roman"/>
          <w:lang w:val="en-GB"/>
        </w:rPr>
        <w:t xml:space="preserve"> Verwijs, 1878</w:t>
      </w:r>
      <w:r w:rsidRPr="00CE5381">
        <w:rPr>
          <w:rFonts w:cs="Times New Roman"/>
          <w:bCs/>
          <w:shd w:val="clear" w:color="auto" w:fill="FFFFFF"/>
          <w:lang w:val="en-GB"/>
        </w:rPr>
        <w:t>; WA-GB, NL-PmWA</w:t>
      </w:r>
      <w:r w:rsidRPr="00CE5381">
        <w:rPr>
          <w:rFonts w:eastAsia="Times New Roman" w:cs="Times New Roman"/>
          <w:lang w:val="en-GB" w:eastAsia="nl-NL"/>
        </w:rPr>
        <w:t xml:space="preserve">). This ‘age-at-adulthood’ of 22-23 years is similar to the osteological age of sexual maturation for Middenbeemster (19.9 years, sexes combined). Thus, although historical records suggest menarche occurred around 15 years of age </w:t>
      </w:r>
      <w:r w:rsidRPr="00CE5381">
        <w:rPr>
          <w:lang w:val="en-GB"/>
        </w:rPr>
        <w:t>–</w:t>
      </w:r>
      <w:r w:rsidRPr="00CE5381">
        <w:rPr>
          <w:rFonts w:eastAsia="Times New Roman" w:cs="Times New Roman"/>
          <w:lang w:val="en-GB" w:eastAsia="nl-NL"/>
        </w:rPr>
        <w:t xml:space="preserve"> placing fertility a year later (Zhang </w:t>
      </w:r>
      <w:r w:rsidRPr="00CE5381">
        <w:rPr>
          <w:rFonts w:eastAsia="Times New Roman" w:cs="Times New Roman"/>
          <w:i/>
          <w:lang w:val="en-GB" w:eastAsia="nl-NL"/>
        </w:rPr>
        <w:t>et al</w:t>
      </w:r>
      <w:r w:rsidRPr="00CE5381">
        <w:rPr>
          <w:rFonts w:eastAsia="Times New Roman" w:cs="Times New Roman"/>
          <w:lang w:val="en-GB" w:eastAsia="nl-NL"/>
        </w:rPr>
        <w:t xml:space="preserve">., 2008) </w:t>
      </w:r>
      <w:r w:rsidRPr="00CE5381">
        <w:rPr>
          <w:lang w:val="en-GB"/>
        </w:rPr>
        <w:t>–</w:t>
      </w:r>
      <w:r w:rsidRPr="00CE5381" w:rsidDel="00972CDC">
        <w:rPr>
          <w:rFonts w:eastAsia="Times New Roman" w:cs="Times New Roman"/>
          <w:lang w:val="en-GB" w:eastAsia="nl-NL"/>
        </w:rPr>
        <w:t xml:space="preserve"> </w:t>
      </w:r>
      <w:r w:rsidRPr="00CE5381">
        <w:rPr>
          <w:rFonts w:cs="Times New Roman"/>
          <w:lang w:val="en-GB"/>
        </w:rPr>
        <w:t>full-scale, social adulthood is not reached until</w:t>
      </w:r>
      <w:r w:rsidRPr="00CE5381">
        <w:rPr>
          <w:rFonts w:eastAsia="Times New Roman" w:cs="Times New Roman"/>
          <w:lang w:val="en-GB" w:eastAsia="nl-NL"/>
        </w:rPr>
        <w:t xml:space="preserve"> 22-23 years of age. The extensive allotted time period for sexual maturation and complete adulthood in historical records (~7 years) implies that</w:t>
      </w:r>
      <w:r w:rsidRPr="00CE5381">
        <w:rPr>
          <w:rFonts w:cs="Times New Roman"/>
          <w:lang w:val="en-GB"/>
        </w:rPr>
        <w:t xml:space="preserve"> ‘stretched’ pubertal development may have been frequent and ‘normal’ enough for it to play a role in the cultural age-of-adulthood in Middenbeemster, and possibly the Netherlands as a whole. Similar cultural patterns have been found in English collections (Lewis </w:t>
      </w:r>
      <w:r w:rsidRPr="00CE5381">
        <w:rPr>
          <w:rFonts w:cs="Times New Roman"/>
          <w:i/>
          <w:iCs/>
          <w:lang w:val="en-GB"/>
        </w:rPr>
        <w:t xml:space="preserve">et al., </w:t>
      </w:r>
      <w:r w:rsidRPr="00CE5381">
        <w:rPr>
          <w:rFonts w:cs="Times New Roman"/>
          <w:lang w:val="en-GB"/>
        </w:rPr>
        <w:t xml:space="preserve">2016a). </w:t>
      </w:r>
    </w:p>
    <w:p w14:paraId="13D93AC5" w14:textId="77777777" w:rsidR="00CE5381" w:rsidRPr="00CE5381" w:rsidRDefault="00CE5381" w:rsidP="00CE5381">
      <w:pPr>
        <w:pStyle w:val="NoSpacing"/>
        <w:ind w:firstLine="708"/>
        <w:rPr>
          <w:rFonts w:cs="Times New Roman"/>
          <w:lang w:val="en-US"/>
        </w:rPr>
      </w:pPr>
      <w:r w:rsidRPr="00CE5381">
        <w:rPr>
          <w:rFonts w:cs="Times New Roman"/>
          <w:lang w:val="en-GB"/>
        </w:rPr>
        <w:t xml:space="preserve">The fact that this ‘prolonged’ adolescence was found in the majority of the previous studies (e.g. Arthur </w:t>
      </w:r>
      <w:r w:rsidRPr="00CE5381">
        <w:rPr>
          <w:rFonts w:cs="Times New Roman"/>
          <w:i/>
          <w:iCs/>
          <w:lang w:val="en-GB"/>
        </w:rPr>
        <w:t xml:space="preserve">et al., </w:t>
      </w:r>
      <w:r w:rsidRPr="00CE5381">
        <w:rPr>
          <w:rFonts w:cs="Times New Roman"/>
          <w:lang w:val="en-GB"/>
        </w:rPr>
        <w:t xml:space="preserve">2016; Doe </w:t>
      </w:r>
      <w:r w:rsidRPr="00CE5381">
        <w:rPr>
          <w:rFonts w:cs="Times New Roman"/>
          <w:i/>
          <w:iCs/>
          <w:lang w:val="en-GB"/>
        </w:rPr>
        <w:t xml:space="preserve">et al., </w:t>
      </w:r>
      <w:r w:rsidRPr="00CE5381">
        <w:rPr>
          <w:rFonts w:cs="Times New Roman"/>
          <w:lang w:val="en-GB"/>
        </w:rPr>
        <w:t xml:space="preserve">2019, Henderson and Padez, 2017; Lewis </w:t>
      </w:r>
      <w:r w:rsidRPr="00CE5381">
        <w:rPr>
          <w:rFonts w:cs="Times New Roman"/>
          <w:i/>
          <w:iCs/>
          <w:lang w:val="en-GB"/>
        </w:rPr>
        <w:t xml:space="preserve">et al., </w:t>
      </w:r>
      <w:r w:rsidRPr="00CE5381">
        <w:rPr>
          <w:rFonts w:cs="Times New Roman"/>
          <w:lang w:val="en-GB"/>
        </w:rPr>
        <w:t xml:space="preserve">2016b), whereas it is not as common, or as extreme, in modern societies (Abreu and Kaiser, 2016), does imply that physiological stress in the past may have influenced development. For example, modern </w:t>
      </w:r>
      <w:r w:rsidRPr="00CE5381">
        <w:rPr>
          <w:rFonts w:cs="Times New Roman"/>
          <w:lang w:val="en-US"/>
        </w:rPr>
        <w:t>clinical literature suggests that pubertal initiation to completion (sexual maturity) takes</w:t>
      </w:r>
      <w:r w:rsidRPr="00CE5381">
        <w:rPr>
          <w:rFonts w:cs="Times New Roman"/>
          <w:lang w:val="en-GB"/>
        </w:rPr>
        <w:t xml:space="preserve"> 3-4 years on average (</w:t>
      </w:r>
      <w:r w:rsidRPr="00CE5381">
        <w:rPr>
          <w:rFonts w:cs="Times New Roman"/>
          <w:lang w:val="en-US"/>
        </w:rPr>
        <w:t>Abreu and Kaiser, 2016)</w:t>
      </w:r>
      <w:r w:rsidRPr="00CE5381">
        <w:rPr>
          <w:rFonts w:cs="Times New Roman"/>
          <w:lang w:val="en-GB"/>
        </w:rPr>
        <w:t xml:space="preserve">. </w:t>
      </w:r>
      <w:bookmarkStart w:id="19" w:name="_Hlk46232648"/>
      <w:r w:rsidRPr="00CE5381">
        <w:rPr>
          <w:rFonts w:cs="Times New Roman"/>
          <w:lang w:val="en-US"/>
        </w:rPr>
        <w:t>In Middenbeemster, the duration for girls from initiation (</w:t>
      </w:r>
      <w:r w:rsidRPr="00CE5381">
        <w:rPr>
          <w:rFonts w:cs="Times New Roman"/>
          <w:i/>
          <w:iCs/>
          <w:lang w:val="en-US"/>
        </w:rPr>
        <w:t>n</w:t>
      </w:r>
      <w:r w:rsidRPr="00CE5381">
        <w:rPr>
          <w:rFonts w:cs="Times New Roman"/>
          <w:lang w:val="en-US"/>
        </w:rPr>
        <w:t xml:space="preserve">=1) to sexual maturity (early post-menarche; </w:t>
      </w:r>
      <w:r w:rsidRPr="00CE5381">
        <w:rPr>
          <w:rFonts w:cs="Times New Roman"/>
          <w:i/>
          <w:iCs/>
          <w:lang w:val="en-US"/>
        </w:rPr>
        <w:t>n</w:t>
      </w:r>
      <w:r w:rsidRPr="00CE5381">
        <w:rPr>
          <w:rFonts w:cs="Times New Roman"/>
          <w:lang w:val="en-US"/>
        </w:rPr>
        <w:t>=11) is 9.45 years, and for boys from acceleration (</w:t>
      </w:r>
      <w:r w:rsidRPr="00CE5381">
        <w:rPr>
          <w:rFonts w:cs="Times New Roman"/>
          <w:i/>
          <w:iCs/>
          <w:lang w:val="en-US"/>
        </w:rPr>
        <w:t>n</w:t>
      </w:r>
      <w:r w:rsidRPr="00CE5381">
        <w:rPr>
          <w:rFonts w:cs="Times New Roman"/>
          <w:lang w:val="en-US"/>
        </w:rPr>
        <w:t>=6; no males in onset/initiation stage) to PHV (</w:t>
      </w:r>
      <w:r w:rsidRPr="00CE5381">
        <w:rPr>
          <w:rFonts w:cs="Times New Roman"/>
          <w:i/>
          <w:iCs/>
          <w:lang w:val="en-US"/>
        </w:rPr>
        <w:t>n</w:t>
      </w:r>
      <w:r w:rsidRPr="00CE5381">
        <w:rPr>
          <w:rFonts w:cs="Times New Roman"/>
          <w:lang w:val="en-US"/>
        </w:rPr>
        <w:t xml:space="preserve">=3) is 4.67 years (sex differences are discussed in section 5.4.). </w:t>
      </w:r>
      <w:bookmarkEnd w:id="19"/>
    </w:p>
    <w:p w14:paraId="0FB0627F" w14:textId="77777777" w:rsidR="00CE5381" w:rsidRPr="00CE5381" w:rsidRDefault="00CE5381" w:rsidP="00CE5381">
      <w:pPr>
        <w:pStyle w:val="NoSpacing"/>
        <w:ind w:firstLine="708"/>
        <w:rPr>
          <w:rFonts w:eastAsia="Times New Roman" w:cs="Times New Roman"/>
          <w:lang w:val="en-GB" w:eastAsia="nl-NL"/>
        </w:rPr>
      </w:pPr>
      <w:r w:rsidRPr="00CE5381">
        <w:rPr>
          <w:rFonts w:cs="Times New Roman"/>
          <w:lang w:val="en-GB"/>
        </w:rPr>
        <w:t xml:space="preserve">The post-menarchael age reconstructed for Middenbeemster (20.45 years on average, range: 16-26 years) suggests menarche occurred much later than would be expected from historic and bioarchaeological data. </w:t>
      </w:r>
      <w:r w:rsidRPr="00CE5381">
        <w:rPr>
          <w:rFonts w:eastAsia="Times New Roman" w:cs="Times New Roman"/>
          <w:lang w:val="en-GB" w:eastAsia="nl-NL"/>
        </w:rPr>
        <w:t xml:space="preserve">Previous studies report menarche at 15-18 years (Arthur </w:t>
      </w:r>
      <w:r w:rsidRPr="00CE5381">
        <w:rPr>
          <w:rFonts w:eastAsia="Times New Roman" w:cs="Times New Roman"/>
          <w:i/>
          <w:iCs/>
          <w:lang w:val="en-GB" w:eastAsia="nl-NL"/>
        </w:rPr>
        <w:t xml:space="preserve">et al., </w:t>
      </w:r>
      <w:r w:rsidRPr="00CE5381">
        <w:rPr>
          <w:rFonts w:eastAsia="Times New Roman" w:cs="Times New Roman"/>
          <w:lang w:val="en-GB" w:eastAsia="nl-NL"/>
        </w:rPr>
        <w:t xml:space="preserve">2016; Doe </w:t>
      </w:r>
      <w:r w:rsidRPr="00CE5381">
        <w:rPr>
          <w:rFonts w:eastAsia="Times New Roman" w:cs="Times New Roman"/>
          <w:i/>
          <w:iCs/>
          <w:lang w:val="en-GB" w:eastAsia="nl-NL"/>
        </w:rPr>
        <w:t>et al</w:t>
      </w:r>
      <w:r w:rsidRPr="00CE5381">
        <w:rPr>
          <w:rFonts w:eastAsia="Times New Roman" w:cs="Times New Roman"/>
          <w:lang w:val="en-GB" w:eastAsia="nl-NL"/>
        </w:rPr>
        <w:t xml:space="preserve">., 2019; Henderson and Padez, 2017; Lewis </w:t>
      </w:r>
      <w:r w:rsidRPr="00CE5381">
        <w:rPr>
          <w:rFonts w:eastAsia="Times New Roman" w:cs="Times New Roman"/>
          <w:i/>
          <w:iCs/>
          <w:lang w:val="en-GB" w:eastAsia="nl-NL"/>
        </w:rPr>
        <w:t xml:space="preserve">et al., </w:t>
      </w:r>
      <w:r w:rsidRPr="00CE5381">
        <w:rPr>
          <w:rFonts w:eastAsia="Times New Roman" w:cs="Times New Roman"/>
          <w:lang w:val="en-GB" w:eastAsia="nl-NL"/>
        </w:rPr>
        <w:t xml:space="preserve">2016b). Middenbeemster’s late menarcheal age more </w:t>
      </w:r>
      <w:r w:rsidRPr="00CE5381">
        <w:rPr>
          <w:rFonts w:eastAsia="Times New Roman" w:cs="Times New Roman"/>
          <w:lang w:val="en-GB" w:eastAsia="nl-NL"/>
        </w:rPr>
        <w:lastRenderedPageBreak/>
        <w:t xml:space="preserve">closely resembles that which is reported for professional athletes, of up to 19-20 years (Frisch, 1985; Frisch 2013; Frisch, Wyshak and Vincent 1980; Maline 1983). This late development is attributed to intense physical exercise, reduced body weight, lower fat percentage and psychological stress (Calthorpe, Brage and Ong, 2019; Dušek 2001; Frish, 1985; Frisch </w:t>
      </w:r>
      <w:r w:rsidRPr="00CE5381">
        <w:rPr>
          <w:rFonts w:eastAsia="Times New Roman" w:cs="Times New Roman"/>
          <w:i/>
          <w:lang w:val="en-GB" w:eastAsia="nl-NL"/>
        </w:rPr>
        <w:t xml:space="preserve">et al., </w:t>
      </w:r>
      <w:r w:rsidRPr="00CE5381">
        <w:rPr>
          <w:rFonts w:eastAsia="Times New Roman" w:cs="Times New Roman"/>
          <w:lang w:val="en-GB" w:eastAsia="nl-NL"/>
        </w:rPr>
        <w:t xml:space="preserve">1980; Torstveit and Sundgot-Borgen, 2004). Moreover, for rural populations in developing countries, age-at-menarche of up to 18.5 years has been reported (Zegeye, Magabiaw and Mulu 2009), largely attributed to low socioeconomic class, poor nutrition and hygiene, and vigorous physical activity (Dambhare, Wagh and Dudhe 2012; Zegeye </w:t>
      </w:r>
      <w:r w:rsidRPr="00CE5381">
        <w:rPr>
          <w:rFonts w:eastAsia="Times New Roman" w:cs="Times New Roman"/>
          <w:i/>
          <w:lang w:val="en-GB" w:eastAsia="nl-NL"/>
        </w:rPr>
        <w:t xml:space="preserve">et al. </w:t>
      </w:r>
      <w:r w:rsidRPr="00CE5381">
        <w:rPr>
          <w:rFonts w:eastAsia="Times New Roman" w:cs="Times New Roman"/>
          <w:lang w:val="en-GB" w:eastAsia="nl-NL"/>
        </w:rPr>
        <w:t xml:space="preserve">2009), especially compared to urban peers (Dambhare, Wagh and Dudhe 2012; Ikaraoaha et al., 2005; Lin et al., 1992; Zegeye </w:t>
      </w:r>
      <w:r w:rsidRPr="00CE5381">
        <w:rPr>
          <w:rFonts w:eastAsia="Times New Roman" w:cs="Times New Roman"/>
          <w:i/>
          <w:lang w:val="en-GB" w:eastAsia="nl-NL"/>
        </w:rPr>
        <w:t xml:space="preserve">et al. </w:t>
      </w:r>
      <w:r w:rsidRPr="00CE5381">
        <w:rPr>
          <w:rFonts w:eastAsia="Times New Roman" w:cs="Times New Roman"/>
          <w:lang w:val="en-GB" w:eastAsia="nl-NL"/>
        </w:rPr>
        <w:t>2009). This reflects the strong influence of physical strain and healthy BMI on normal pubertal development. For Middenbeemster, this pattern of late development may thus be an effect of food shortages and hard physical work in the countryside.</w:t>
      </w:r>
    </w:p>
    <w:p w14:paraId="7CBF6E30" w14:textId="77777777" w:rsidR="00CE5381" w:rsidRPr="00CE5381" w:rsidRDefault="00CE5381" w:rsidP="00CE5381">
      <w:pPr>
        <w:pStyle w:val="NoSpacing"/>
        <w:ind w:firstLine="708"/>
        <w:rPr>
          <w:rFonts w:cs="Times New Roman"/>
          <w:lang w:val="en-GB"/>
        </w:rPr>
      </w:pPr>
      <w:r w:rsidRPr="00CE5381">
        <w:rPr>
          <w:rFonts w:cs="Times New Roman"/>
          <w:lang w:val="en-GB"/>
        </w:rPr>
        <w:t xml:space="preserve">Moreover, a study from 1923 reports an </w:t>
      </w:r>
      <w:r w:rsidRPr="00CE5381">
        <w:rPr>
          <w:rFonts w:cs="Times New Roman"/>
          <w:lang w:val="en-GB" w:eastAsia="nl-NL"/>
        </w:rPr>
        <w:t xml:space="preserve">average menarcheal age of 15.25 years for women born </w:t>
      </w:r>
      <w:r w:rsidRPr="00CE5381">
        <w:rPr>
          <w:rFonts w:cs="Times New Roman"/>
          <w:i/>
          <w:lang w:val="en-GB" w:eastAsia="nl-NL"/>
        </w:rPr>
        <w:t>before</w:t>
      </w:r>
      <w:r w:rsidRPr="00CE5381">
        <w:rPr>
          <w:rFonts w:cs="Times New Roman"/>
          <w:lang w:val="en-GB" w:eastAsia="nl-NL"/>
        </w:rPr>
        <w:t xml:space="preserve"> 1880, with ~28% obtaining menarche at </w:t>
      </w:r>
      <w:r w:rsidRPr="00CE5381">
        <w:rPr>
          <w:rFonts w:cs="Times New Roman"/>
          <w:u w:val="single"/>
          <w:lang w:val="en-GB" w:eastAsia="nl-NL"/>
        </w:rPr>
        <w:t>&gt;</w:t>
      </w:r>
      <w:r w:rsidRPr="00CE5381">
        <w:rPr>
          <w:rFonts w:cs="Times New Roman"/>
          <w:lang w:val="en-GB" w:eastAsia="nl-NL"/>
        </w:rPr>
        <w:t xml:space="preserve">17 years, and all ages ranging from 10-23 years. In women born between 1897 and 1906, menarche occurred at 13.75 years, with ~2% obtaining menarche at </w:t>
      </w:r>
      <w:r w:rsidRPr="00CE5381">
        <w:rPr>
          <w:rFonts w:cs="Times New Roman"/>
          <w:u w:val="single"/>
          <w:lang w:val="en-GB" w:eastAsia="nl-NL"/>
        </w:rPr>
        <w:t>&gt;</w:t>
      </w:r>
      <w:r w:rsidRPr="00CE5381">
        <w:rPr>
          <w:rFonts w:cs="Times New Roman"/>
          <w:lang w:val="en-GB" w:eastAsia="nl-NL"/>
        </w:rPr>
        <w:t>17 years, with ages ranging from 9-18 years (Bolk, 1923). Midenbeemster’s menarcheal age thus shows considerable similarity to Dutch women born before 1880, substantiating that it is not uncommon for the Netherlands to show stretched development in the past.</w:t>
      </w:r>
    </w:p>
    <w:p w14:paraId="56F30F49" w14:textId="77777777" w:rsidR="00CE5381" w:rsidRPr="00CE5381" w:rsidRDefault="00CE5381" w:rsidP="00CE5381">
      <w:pPr>
        <w:pStyle w:val="NoSpacing"/>
        <w:rPr>
          <w:rFonts w:cs="Times New Roman"/>
          <w:lang w:val="en-GB"/>
        </w:rPr>
      </w:pPr>
    </w:p>
    <w:p w14:paraId="459E5A6E" w14:textId="77777777" w:rsidR="00CE5381" w:rsidRPr="00CE5381" w:rsidRDefault="00CE5381" w:rsidP="00CE5381">
      <w:pPr>
        <w:pStyle w:val="NoSpacing"/>
        <w:numPr>
          <w:ilvl w:val="1"/>
          <w:numId w:val="42"/>
        </w:numPr>
        <w:ind w:hanging="76"/>
        <w:rPr>
          <w:rFonts w:cs="Times New Roman"/>
          <w:i/>
          <w:lang w:val="en-GB"/>
        </w:rPr>
      </w:pPr>
      <w:r w:rsidRPr="00CE5381">
        <w:rPr>
          <w:rFonts w:cs="Times New Roman"/>
          <w:i/>
          <w:lang w:val="en-GB"/>
        </w:rPr>
        <w:t>Sex-dependent differences</w:t>
      </w:r>
    </w:p>
    <w:bookmarkEnd w:id="16"/>
    <w:p w14:paraId="670011EA" w14:textId="77777777" w:rsidR="00CE5381" w:rsidRPr="00CE5381" w:rsidRDefault="00CE5381" w:rsidP="00CE5381">
      <w:pPr>
        <w:pStyle w:val="NoSpacing"/>
        <w:rPr>
          <w:rFonts w:cs="Times New Roman"/>
          <w:lang w:val="en-GB"/>
        </w:rPr>
      </w:pPr>
      <w:r w:rsidRPr="00CE5381">
        <w:rPr>
          <w:rFonts w:cs="Times New Roman"/>
          <w:lang w:val="en-GB" w:eastAsia="nl-NL"/>
        </w:rPr>
        <w:t xml:space="preserve">The majority of late individuals are male – as was found in Lewis </w:t>
      </w:r>
      <w:r w:rsidRPr="00CE5381">
        <w:rPr>
          <w:rFonts w:cs="Times New Roman"/>
          <w:i/>
          <w:iCs/>
          <w:lang w:val="en-GB" w:eastAsia="nl-NL"/>
        </w:rPr>
        <w:t xml:space="preserve">et al., </w:t>
      </w:r>
      <w:r w:rsidRPr="00CE5381">
        <w:rPr>
          <w:rFonts w:cs="Times New Roman"/>
          <w:lang w:val="en-GB" w:eastAsia="nl-NL"/>
        </w:rPr>
        <w:t>2016b - whereas a larger portion of early developers are female</w:t>
      </w:r>
      <w:r w:rsidRPr="00CE5381">
        <w:rPr>
          <w:rFonts w:cs="Times New Roman"/>
          <w:lang w:val="en-GB"/>
        </w:rPr>
        <w:t xml:space="preserve">. Effect size statistics showed medium to large effects of sex on average age per stage. Moreover, the female adolescent period takes almost five years longer than that of males. The possible low accuracy (i.e. 50%) of sex estimation in the 10-15 year-olds may be affecting these data, but this is less likely for the older, ≥16 year-old, individuals for whom sex estimation appears much more accurate (i.e. 89.5%). Thus, sex-based data for the latter pubertal stages are likely reliable. Sex-dependent differences have also been found in many previous osteoarchaeological studies (Arthur </w:t>
      </w:r>
      <w:r w:rsidRPr="00CE5381">
        <w:rPr>
          <w:rFonts w:cs="Times New Roman"/>
          <w:i/>
          <w:iCs/>
          <w:lang w:val="en-GB"/>
        </w:rPr>
        <w:t xml:space="preserve">et al., </w:t>
      </w:r>
      <w:r w:rsidRPr="00CE5381">
        <w:rPr>
          <w:rFonts w:cs="Times New Roman"/>
          <w:lang w:val="en-GB"/>
        </w:rPr>
        <w:t xml:space="preserve">2016; Doe </w:t>
      </w:r>
      <w:r w:rsidRPr="00CE5381">
        <w:rPr>
          <w:rFonts w:cs="Times New Roman"/>
          <w:i/>
          <w:iCs/>
          <w:lang w:val="en-GB"/>
        </w:rPr>
        <w:t xml:space="preserve">et al., </w:t>
      </w:r>
      <w:r w:rsidRPr="00CE5381">
        <w:rPr>
          <w:rFonts w:cs="Times New Roman"/>
          <w:lang w:val="en-GB"/>
        </w:rPr>
        <w:t xml:space="preserve">2019; Henderson and Padez, 2017; Shapland and Lewis, 2013). Girls preceding boys in their development is congruent with historical and modern biological knowledge. Currently, no standard average ranges for the sexes are available (as they are for some ageing methods, e.g.: </w:t>
      </w:r>
      <w:r w:rsidRPr="00CE5381">
        <w:rPr>
          <w:rFonts w:cs="Times New Roman"/>
          <w:lang w:val="en-GB" w:eastAsia="nl-NL"/>
        </w:rPr>
        <w:t>Brooks and Suchey, 1990)</w:t>
      </w:r>
      <w:r w:rsidRPr="00CE5381">
        <w:rPr>
          <w:rFonts w:cs="Times New Roman"/>
          <w:lang w:val="en-GB"/>
        </w:rPr>
        <w:t xml:space="preserve">, and comparisons between different sites has occurred largely based on sex-combined ages (e.g. Doe </w:t>
      </w:r>
      <w:r w:rsidRPr="00CE5381">
        <w:rPr>
          <w:rFonts w:cs="Times New Roman"/>
          <w:i/>
          <w:iCs/>
          <w:lang w:val="en-GB"/>
        </w:rPr>
        <w:t xml:space="preserve">et al., </w:t>
      </w:r>
      <w:r w:rsidRPr="00CE5381">
        <w:rPr>
          <w:rFonts w:cs="Times New Roman"/>
          <w:lang w:val="en-GB"/>
        </w:rPr>
        <w:t>2019). Possibly, future research can focus on developing such standards based on the accumulating amount of developmental data for different collections.</w:t>
      </w:r>
      <w:r w:rsidRPr="00CE5381" w:rsidDel="002A73C9">
        <w:rPr>
          <w:rFonts w:cs="Times New Roman"/>
          <w:lang w:val="en-GB"/>
        </w:rPr>
        <w:t xml:space="preserve"> </w:t>
      </w:r>
    </w:p>
    <w:p w14:paraId="08BC23B0" w14:textId="77777777" w:rsidR="00CE5381" w:rsidRPr="00CE5381" w:rsidRDefault="00CE5381" w:rsidP="00CE5381">
      <w:pPr>
        <w:pStyle w:val="NoSpacing"/>
        <w:ind w:firstLine="709"/>
        <w:rPr>
          <w:rFonts w:cs="Times New Roman"/>
          <w:lang w:val="en-US"/>
        </w:rPr>
      </w:pPr>
      <w:r w:rsidRPr="00CE5381">
        <w:rPr>
          <w:rFonts w:cs="Times New Roman"/>
          <w:lang w:val="en-US"/>
        </w:rPr>
        <w:t xml:space="preserve">Several other causes for variable development can be recognized. Modern biomedical research has shown that many factors interplay with pubertal development, including genetic predisposition, epigenetics, idiosyncratic differences, psychology, physiology, and health and disease (Hochberg and Belsky, 2013; Louis </w:t>
      </w:r>
      <w:r w:rsidRPr="00CE5381">
        <w:rPr>
          <w:rFonts w:cs="Times New Roman"/>
          <w:i/>
          <w:lang w:val="en-US"/>
        </w:rPr>
        <w:t xml:space="preserve">et al., </w:t>
      </w:r>
      <w:r w:rsidRPr="00CE5381">
        <w:rPr>
          <w:rFonts w:cs="Times New Roman"/>
          <w:lang w:val="en-US"/>
        </w:rPr>
        <w:t xml:space="preserve">2008; Sypek, Benson, Spanner and Williams, 2016). This could explain why the correlation between health and development does not appear to be stronger when gleaned from </w:t>
      </w:r>
      <w:r w:rsidRPr="00CE5381">
        <w:rPr>
          <w:rFonts w:cs="Times New Roman"/>
          <w:lang w:val="en-US"/>
        </w:rPr>
        <w:lastRenderedPageBreak/>
        <w:t xml:space="preserve">osteological analyses. Moreover, there is a lack of knowledge about male development, with existing studies focusing mostly on non-European populations (e.g. </w:t>
      </w:r>
      <w:bookmarkStart w:id="20" w:name="_Hlk40279958"/>
      <w:r w:rsidRPr="00CE5381">
        <w:rPr>
          <w:rFonts w:cs="Times New Roman"/>
          <w:lang w:val="en-US"/>
        </w:rPr>
        <w:t xml:space="preserve">Lee, Pabayo, and Kawachi, 2016; </w:t>
      </w:r>
      <w:bookmarkEnd w:id="20"/>
      <w:r w:rsidRPr="00CE5381">
        <w:rPr>
          <w:rFonts w:cs="Times New Roman"/>
          <w:lang w:val="en-US"/>
        </w:rPr>
        <w:t>Song, Ma, Wang, Lau, and Agardh, 2015) or overweight children (e.g</w:t>
      </w:r>
      <w:bookmarkStart w:id="21" w:name="_Hlk40279966"/>
      <w:r w:rsidRPr="00CE5381">
        <w:rPr>
          <w:rFonts w:cs="Times New Roman"/>
          <w:lang w:val="en-US"/>
        </w:rPr>
        <w:t xml:space="preserve">. De Leonibus </w:t>
      </w:r>
      <w:r w:rsidRPr="00CE5381">
        <w:rPr>
          <w:rFonts w:cs="Times New Roman"/>
          <w:i/>
          <w:iCs/>
          <w:lang w:val="en-US"/>
        </w:rPr>
        <w:t>et al</w:t>
      </w:r>
      <w:r w:rsidRPr="00CE5381">
        <w:rPr>
          <w:rFonts w:cs="Times New Roman"/>
          <w:lang w:val="en-US"/>
        </w:rPr>
        <w:t>. 2013</w:t>
      </w:r>
      <w:bookmarkEnd w:id="21"/>
      <w:r w:rsidRPr="00CE5381">
        <w:rPr>
          <w:rFonts w:cs="Times New Roman"/>
          <w:i/>
          <w:iCs/>
          <w:lang w:val="en-US"/>
        </w:rPr>
        <w:t>)</w:t>
      </w:r>
      <w:r w:rsidRPr="00CE5381">
        <w:rPr>
          <w:rFonts w:cs="Times New Roman"/>
          <w:lang w:val="en-US"/>
        </w:rPr>
        <w:t xml:space="preserve">. Additionally, biological and medical literature has shown that puberty, especially in girls, can be expedited due to psychological stress, and to a lesser extent due to physical stress (Hochberg and Belsky, 2013; Louis </w:t>
      </w:r>
      <w:r w:rsidRPr="00CE5381">
        <w:rPr>
          <w:rFonts w:cs="Times New Roman"/>
          <w:i/>
          <w:lang w:val="en-US"/>
        </w:rPr>
        <w:t xml:space="preserve">et al., </w:t>
      </w:r>
      <w:r w:rsidRPr="00CE5381">
        <w:rPr>
          <w:rFonts w:cs="Times New Roman"/>
          <w:lang w:val="en-US"/>
        </w:rPr>
        <w:t xml:space="preserve">2008; Proos and Gustafsson, 2012). If puberty can be both delayed and expedited due to physiological stress, caution must be taken when interpreting the results (Hochberg and Belsky, 2013; Louis </w:t>
      </w:r>
      <w:r w:rsidRPr="00CE5381">
        <w:rPr>
          <w:rFonts w:cs="Times New Roman"/>
          <w:i/>
          <w:lang w:val="en-US"/>
        </w:rPr>
        <w:t xml:space="preserve">et al., </w:t>
      </w:r>
      <w:r w:rsidRPr="00CE5381">
        <w:rPr>
          <w:rFonts w:cs="Times New Roman"/>
          <w:lang w:val="en-US"/>
        </w:rPr>
        <w:t xml:space="preserve">2008; Proos and Gustafsson, 2012). </w:t>
      </w:r>
    </w:p>
    <w:p w14:paraId="34B1DD12" w14:textId="77777777" w:rsidR="00CE5381" w:rsidRPr="00CE5381" w:rsidRDefault="00CE5381" w:rsidP="00CE5381">
      <w:pPr>
        <w:pStyle w:val="NoSpacing"/>
        <w:rPr>
          <w:rFonts w:cs="Times New Roman"/>
          <w:lang w:val="en-US"/>
        </w:rPr>
      </w:pPr>
    </w:p>
    <w:p w14:paraId="267AD5FB" w14:textId="77777777" w:rsidR="00CE5381" w:rsidRPr="00CE5381" w:rsidRDefault="00CE5381" w:rsidP="00CE5381">
      <w:pPr>
        <w:pStyle w:val="NoSpacing"/>
        <w:numPr>
          <w:ilvl w:val="1"/>
          <w:numId w:val="42"/>
        </w:numPr>
        <w:ind w:hanging="76"/>
        <w:rPr>
          <w:rFonts w:cs="Times New Roman"/>
          <w:i/>
          <w:iCs/>
          <w:lang w:val="en-GB"/>
        </w:rPr>
      </w:pPr>
      <w:r w:rsidRPr="00CE5381">
        <w:rPr>
          <w:rFonts w:cs="Times New Roman"/>
          <w:i/>
          <w:iCs/>
          <w:lang w:val="en-GB"/>
        </w:rPr>
        <w:t xml:space="preserve"> Effect of disease/non-specific stress</w:t>
      </w:r>
    </w:p>
    <w:p w14:paraId="516FBAE0" w14:textId="77777777" w:rsidR="00CE5381" w:rsidRPr="00CE5381" w:rsidRDefault="00CE5381" w:rsidP="00CE5381">
      <w:pPr>
        <w:pStyle w:val="NoSpacing"/>
        <w:rPr>
          <w:rFonts w:cs="Times New Roman"/>
          <w:lang w:val="en-GB"/>
        </w:rPr>
      </w:pPr>
      <w:bookmarkStart w:id="22" w:name="_Hlk47532148"/>
      <w:r w:rsidRPr="00CE5381">
        <w:rPr>
          <w:rFonts w:cs="Times New Roman"/>
          <w:bCs/>
          <w:lang w:val="en-GB"/>
        </w:rPr>
        <w:t>Table 7</w:t>
      </w:r>
      <w:r w:rsidRPr="00CE5381">
        <w:rPr>
          <w:rFonts w:cs="Times New Roman"/>
          <w:lang w:val="en-GB"/>
        </w:rPr>
        <w:t xml:space="preserve"> shows that the effect of disease, non-specific stress, and hard physical labour on pubertal timing is largest in the latter three stages of development. There does not appear to be a clear link between early, normal or delayed development and any specific pathological condition, but rather, common among all individuals. However, the high number of pathologically ‘affected’ individuals </w:t>
      </w:r>
      <w:r w:rsidRPr="00CE5381">
        <w:rPr>
          <w:rFonts w:eastAsia="Calibri" w:cs="Times New Roman"/>
          <w:i/>
          <w:iCs/>
          <w:lang w:val="en-GB"/>
        </w:rPr>
        <w:t xml:space="preserve">and </w:t>
      </w:r>
      <w:r w:rsidRPr="00CE5381">
        <w:rPr>
          <w:rFonts w:eastAsia="Calibri" w:cs="Times New Roman"/>
          <w:lang w:val="en-GB"/>
        </w:rPr>
        <w:t xml:space="preserve">high number of seemingly ‘unaffected’ individuals </w:t>
      </w:r>
      <w:r w:rsidRPr="00CE5381">
        <w:rPr>
          <w:rFonts w:cs="Times New Roman"/>
          <w:lang w:val="en-GB"/>
        </w:rPr>
        <w:t>with an</w:t>
      </w:r>
      <w:r w:rsidRPr="00CE5381">
        <w:rPr>
          <w:rFonts w:eastAsia="Calibri" w:cs="Times New Roman"/>
          <w:lang w:val="en-GB"/>
        </w:rPr>
        <w:t xml:space="preserve"> age that falls more than three years beyond the ‘expected range’, suggests that the extent of delay is not strongly linked to pathological lesions visible in the skeleton, possibly reflecting hidden heterogeneity. This conclusion might be impacted by small sample size. PHV and completion were previously found to be substantially impacted by pathology (Lewis </w:t>
      </w:r>
      <w:r w:rsidRPr="00CE5381">
        <w:rPr>
          <w:rFonts w:eastAsia="Calibri" w:cs="Times New Roman"/>
          <w:i/>
          <w:iCs/>
          <w:lang w:val="en-GB"/>
        </w:rPr>
        <w:t>et al.,</w:t>
      </w:r>
      <w:r w:rsidRPr="00CE5381">
        <w:rPr>
          <w:rFonts w:eastAsia="Calibri" w:cs="Times New Roman"/>
          <w:lang w:val="en-GB"/>
        </w:rPr>
        <w:t xml:space="preserve"> 2016b, 8). In the current study, PHV (</w:t>
      </w:r>
      <w:r w:rsidRPr="00CE5381">
        <w:rPr>
          <w:rFonts w:eastAsia="Calibri" w:cs="Times New Roman"/>
          <w:i/>
          <w:lang w:val="en-GB"/>
        </w:rPr>
        <w:t>n</w:t>
      </w:r>
      <w:r w:rsidRPr="00CE5381">
        <w:rPr>
          <w:rFonts w:eastAsia="Calibri" w:cs="Times New Roman"/>
          <w:lang w:val="en-GB"/>
        </w:rPr>
        <w:t>=4) contains one late developer; and completion (</w:t>
      </w:r>
      <w:r w:rsidRPr="00CE5381">
        <w:rPr>
          <w:rFonts w:eastAsia="Calibri" w:cs="Times New Roman"/>
          <w:i/>
          <w:lang w:val="en-GB"/>
        </w:rPr>
        <w:t>n</w:t>
      </w:r>
      <w:r w:rsidRPr="00CE5381">
        <w:rPr>
          <w:rFonts w:eastAsia="Calibri" w:cs="Times New Roman"/>
          <w:lang w:val="en-GB"/>
        </w:rPr>
        <w:t>=4) three late developers.</w:t>
      </w:r>
      <w:r w:rsidRPr="00CE5381">
        <w:rPr>
          <w:rFonts w:cs="Times New Roman"/>
          <w:lang w:val="en-GB"/>
        </w:rPr>
        <w:t xml:space="preserve"> The uneven distribution of individuals among pathological conditions and the high number of ‘affected’ individuals, make an analysis of these results difficult. However, the commonality of such conditions might indicate that 1) specific and non-specific physiological stress was prevalent in Middenbeemster; 2) hard physical labour during adolescence was common in this rural community; and/or 3) these late average ages reflect the general pattern of Middenbeemster, or the Netherlands as a whole, ‘normally’ having stretched pubertal development. Based on historic data, the latter two appear likely.</w:t>
      </w:r>
    </w:p>
    <w:p w14:paraId="46610229" w14:textId="77777777" w:rsidR="00CE5381" w:rsidRPr="00CE5381" w:rsidRDefault="00CE5381" w:rsidP="00CE5381">
      <w:pPr>
        <w:pStyle w:val="NoSpacing"/>
        <w:ind w:firstLine="567"/>
        <w:rPr>
          <w:rFonts w:cs="Times New Roman"/>
          <w:lang w:val="en-GB"/>
        </w:rPr>
      </w:pPr>
      <w:r w:rsidRPr="00CE5381">
        <w:rPr>
          <w:rFonts w:cs="Times New Roman"/>
          <w:lang w:val="en-GB"/>
        </w:rPr>
        <w:t xml:space="preserve">In addition, six out of ten ‘unaffected’ individuals show pubertal delay and 29 out of 45 ‘affected’ individuals do not show pubertal delay. This lack of a relationship between pathology and pubertal delay, while late pubertal completion is common and pathological conditions are frequent, might support the notion that physical stress was more common in the past than it is today. It might even be argued that pubertal developmental timing based on past peoples should not </w:t>
      </w:r>
      <w:r w:rsidRPr="00CE5381">
        <w:rPr>
          <w:rFonts w:cs="Times New Roman"/>
          <w:i/>
          <w:iCs/>
          <w:lang w:val="en-GB"/>
        </w:rPr>
        <w:t>exclude</w:t>
      </w:r>
      <w:r w:rsidRPr="00CE5381">
        <w:rPr>
          <w:rFonts w:cs="Times New Roman"/>
          <w:lang w:val="en-GB"/>
        </w:rPr>
        <w:t xml:space="preserve"> ‘affected’ individuals, as their late development may be ‘normal’, or common. A pattern of stretched pubertal developmental timing could additionally hint towards signs of physical stress otherwise not recognizable; thus functioning as a non-specific sign of physiological stress. If all individuals were to be excluded prior to further analysis, such patterns might remain unnoticed. Moreover, all results should be considered within the framework of selective mortality and hidden heterogeneity and because puberty is highly sensitive </w:t>
      </w:r>
      <w:r w:rsidRPr="00CE5381">
        <w:rPr>
          <w:rFonts w:cs="Times New Roman"/>
          <w:lang w:val="en-GB"/>
        </w:rPr>
        <w:lastRenderedPageBreak/>
        <w:t xml:space="preserve">to physiological stress, a difference between the living (represented in historic and modern medical records) and the dead (the archaeological sample) can be expected. </w:t>
      </w:r>
    </w:p>
    <w:bookmarkEnd w:id="22"/>
    <w:p w14:paraId="129CB01F" w14:textId="77777777" w:rsidR="00CE5381" w:rsidRPr="00CE5381" w:rsidRDefault="00CE5381" w:rsidP="00CE5381">
      <w:pPr>
        <w:pStyle w:val="NoSpacing"/>
        <w:rPr>
          <w:rFonts w:cs="Times New Roman"/>
          <w:lang w:val="en-GB"/>
        </w:rPr>
      </w:pPr>
      <w:r w:rsidRPr="00CE5381">
        <w:rPr>
          <w:rFonts w:cs="Times New Roman"/>
          <w:lang w:val="en-GB"/>
        </w:rPr>
        <w:tab/>
      </w:r>
      <w:r w:rsidRPr="00CE5381">
        <w:rPr>
          <w:rFonts w:cs="Times New Roman"/>
          <w:lang w:val="en-GB"/>
        </w:rPr>
        <w:tab/>
      </w:r>
    </w:p>
    <w:p w14:paraId="201D44D8" w14:textId="77777777" w:rsidR="00CE5381" w:rsidRPr="00CE5381" w:rsidRDefault="00CE5381" w:rsidP="00CE5381">
      <w:pPr>
        <w:pStyle w:val="NoSpacing"/>
        <w:numPr>
          <w:ilvl w:val="0"/>
          <w:numId w:val="42"/>
        </w:numPr>
        <w:rPr>
          <w:rFonts w:cs="Times New Roman"/>
          <w:lang w:val="en-GB"/>
        </w:rPr>
      </w:pPr>
      <w:r w:rsidRPr="00CE5381">
        <w:rPr>
          <w:rFonts w:cs="Times New Roman"/>
          <w:lang w:val="en-GB"/>
        </w:rPr>
        <w:t>CONCLUSION</w:t>
      </w:r>
    </w:p>
    <w:p w14:paraId="1DE6D30F" w14:textId="77777777" w:rsidR="00CE5381" w:rsidRPr="00CE5381" w:rsidRDefault="00CE5381" w:rsidP="00CE5381">
      <w:pPr>
        <w:pStyle w:val="NoSpacing"/>
        <w:rPr>
          <w:rFonts w:cs="Times New Roman"/>
          <w:lang w:val="en-GB"/>
        </w:rPr>
      </w:pPr>
      <w:r w:rsidRPr="00CE5381">
        <w:rPr>
          <w:rFonts w:cs="Times New Roman"/>
          <w:lang w:val="en-GB"/>
        </w:rPr>
        <w:t>The study of pubertal development in osteoarchaeological remains is important because of its potential to provide insight into key biological, cultural and social changes. This study was the first to estimate pubertal development in a Dutch and a rural community from the post-medieval period. The results show that Middenbeemster females appear to have experienced pubertal onset at an earlier-than-average age, while its completion in males is later than expected compared to previous archaeological research from other regions, and medical data from modern-day the Netherlands. In both sexes, sexual maturation occurs late in comparison to published studies. This pattern is congruent with historic records, implying a fairly late marital and reproductive age, and thus late social ‘adulthood’. Historic medical descriptions support the idea that hard physical work or pathology in the countryside may delay pubertal onset and completion. Reconstructing past pubertal development and its deviations from normality, at an individual and populational level, improves our understanding of an important yet understudied phase of life that yields information about key biological and cultural phenomena.</w:t>
      </w:r>
    </w:p>
    <w:bookmarkEnd w:id="0"/>
    <w:bookmarkEnd w:id="4"/>
    <w:p w14:paraId="3B3BAFF4" w14:textId="77777777" w:rsidR="00CE5381" w:rsidRPr="00CE5381" w:rsidRDefault="00CE5381" w:rsidP="00CE5381">
      <w:pPr>
        <w:pStyle w:val="NoSpacing"/>
        <w:rPr>
          <w:rFonts w:cs="Times New Roman"/>
          <w:lang w:val="en-GB"/>
        </w:rPr>
      </w:pPr>
    </w:p>
    <w:p w14:paraId="7BDA04BF" w14:textId="77777777" w:rsidR="00CE5381" w:rsidRPr="00CE5381" w:rsidRDefault="00CE5381" w:rsidP="00CE5381">
      <w:pPr>
        <w:pStyle w:val="NoSpacing"/>
        <w:rPr>
          <w:rFonts w:cs="Times New Roman"/>
          <w:lang w:val="en-GB"/>
        </w:rPr>
      </w:pPr>
      <w:r w:rsidRPr="00CE5381">
        <w:rPr>
          <w:rFonts w:cs="Times New Roman"/>
          <w:lang w:val="en-GB"/>
        </w:rPr>
        <w:t>ACKNOWLEDGEMENTS</w:t>
      </w:r>
    </w:p>
    <w:p w14:paraId="75F4FCCF" w14:textId="77777777" w:rsidR="00CE5381" w:rsidRPr="00CE5381" w:rsidRDefault="00CE5381" w:rsidP="00CE5381">
      <w:pPr>
        <w:pStyle w:val="NoSpacing"/>
        <w:rPr>
          <w:rFonts w:cs="Times New Roman"/>
          <w:lang w:val="en-GB"/>
        </w:rPr>
      </w:pPr>
      <w:r w:rsidRPr="00CE5381">
        <w:rPr>
          <w:rFonts w:cs="Times New Roman"/>
          <w:lang w:val="en-GB"/>
        </w:rPr>
        <w:t>The authors are grateful to the people of Middenbeemster and the Historische Genootschap Beemster (Historic Society Beemster) for their help with the collection and archival information. Many thanks to Dr. Mary Lewis for her invaluable support and insight. Moreover, we would like to thank the anonymous reviewers for their constructive feedback.</w:t>
      </w:r>
    </w:p>
    <w:p w14:paraId="529380EB" w14:textId="77777777" w:rsidR="00CE5381" w:rsidRPr="00CE5381" w:rsidRDefault="00CE5381" w:rsidP="00CE5381">
      <w:pPr>
        <w:pStyle w:val="NoSpacing"/>
        <w:rPr>
          <w:rFonts w:cs="Times New Roman"/>
          <w:lang w:val="en-GB"/>
        </w:rPr>
      </w:pPr>
    </w:p>
    <w:p w14:paraId="7FC58A9D" w14:textId="77777777" w:rsidR="00CE5381" w:rsidRPr="00CE5381" w:rsidRDefault="00CE5381" w:rsidP="00CE5381">
      <w:pPr>
        <w:pStyle w:val="NoSpacing"/>
        <w:rPr>
          <w:rFonts w:cs="Times New Roman"/>
          <w:lang w:val="en-GB"/>
        </w:rPr>
      </w:pPr>
      <w:r w:rsidRPr="00CE5381">
        <w:rPr>
          <w:rFonts w:cs="Times New Roman"/>
          <w:lang w:val="en-GB"/>
        </w:rPr>
        <w:t>LITERATURE</w:t>
      </w:r>
    </w:p>
    <w:p w14:paraId="5863A1AB" w14:textId="77777777" w:rsidR="00CE5381" w:rsidRPr="00CE5381" w:rsidRDefault="00CE5381" w:rsidP="00CE5381">
      <w:pPr>
        <w:pStyle w:val="NoSpacing"/>
        <w:rPr>
          <w:rFonts w:cs="Times New Roman"/>
          <w:bCs/>
          <w:lang w:val="en-GB"/>
        </w:rPr>
      </w:pPr>
      <w:r w:rsidRPr="00CE5381">
        <w:rPr>
          <w:rFonts w:cs="Times New Roman"/>
          <w:bCs/>
          <w:lang w:val="en-GB"/>
        </w:rPr>
        <w:t xml:space="preserve">Abreu, A.P., &amp; Kaiser U.B. (2016). Pubertal development and regulation. </w:t>
      </w:r>
      <w:r w:rsidRPr="00CE5381">
        <w:rPr>
          <w:rFonts w:cs="Times New Roman"/>
          <w:bCs/>
          <w:i/>
          <w:iCs/>
          <w:lang w:val="en-GB"/>
        </w:rPr>
        <w:t xml:space="preserve">Lancet Diabetes endocrinology </w:t>
      </w:r>
      <w:r w:rsidRPr="00CE5381">
        <w:rPr>
          <w:rFonts w:cs="Times New Roman"/>
          <w:bCs/>
          <w:lang w:val="en-GB"/>
        </w:rPr>
        <w:t>4(3), 254-264.</w:t>
      </w:r>
    </w:p>
    <w:p w14:paraId="013E080C" w14:textId="77777777" w:rsidR="00CE5381" w:rsidRPr="00CE5381" w:rsidRDefault="00CE5381" w:rsidP="00CE5381">
      <w:pPr>
        <w:pStyle w:val="NoSpacing"/>
        <w:rPr>
          <w:rFonts w:cs="Times New Roman"/>
          <w:bCs/>
          <w:lang w:val="en-GB"/>
        </w:rPr>
      </w:pPr>
    </w:p>
    <w:p w14:paraId="43C76F8E" w14:textId="77777777" w:rsidR="00CE5381" w:rsidRPr="00CE5381" w:rsidRDefault="00CE5381" w:rsidP="00CE5381">
      <w:pPr>
        <w:pStyle w:val="NoSpacing"/>
        <w:rPr>
          <w:rFonts w:cs="Times New Roman"/>
          <w:bCs/>
        </w:rPr>
      </w:pPr>
      <w:r w:rsidRPr="00CE5381">
        <w:rPr>
          <w:rFonts w:cs="Times New Roman"/>
          <w:bCs/>
        </w:rPr>
        <w:t xml:space="preserve">Archiefgroep Historich Genootschap Beemster, &amp; Hoogland, M.L.P. (2017). Sarah Ruijter (1796-1863) uit de Beemster – Een bijzondere vrouw archeologisch gereconstrueerd en in de archieven teruggevonden. </w:t>
      </w:r>
      <w:r w:rsidRPr="00CE5381">
        <w:rPr>
          <w:rFonts w:cs="Times New Roman"/>
          <w:bCs/>
          <w:i/>
          <w:iCs/>
        </w:rPr>
        <w:t xml:space="preserve">De Nieuwe Shouwschuit – Tijdschrift van het Historisch Genootschap Beemster </w:t>
      </w:r>
      <w:r w:rsidRPr="00CE5381">
        <w:rPr>
          <w:rFonts w:cs="Times New Roman"/>
          <w:bCs/>
        </w:rPr>
        <w:t>15 (2017), 12-18.</w:t>
      </w:r>
    </w:p>
    <w:p w14:paraId="550F6118" w14:textId="77777777" w:rsidR="00CE5381" w:rsidRPr="00CE5381" w:rsidRDefault="00CE5381" w:rsidP="00CE5381">
      <w:pPr>
        <w:pStyle w:val="NoSpacing"/>
        <w:rPr>
          <w:rFonts w:cs="Times New Roman"/>
          <w:bCs/>
          <w:lang w:val="en-GB"/>
        </w:rPr>
      </w:pPr>
    </w:p>
    <w:p w14:paraId="4A0CB819" w14:textId="77777777" w:rsidR="00CE5381" w:rsidRPr="00CE5381" w:rsidRDefault="00CE5381" w:rsidP="00CE5381">
      <w:pPr>
        <w:pStyle w:val="NoSpacing"/>
        <w:rPr>
          <w:rFonts w:cs="Times New Roman"/>
          <w:bCs/>
          <w:lang w:val="en-GB"/>
        </w:rPr>
      </w:pPr>
      <w:r w:rsidRPr="00CE5381">
        <w:rPr>
          <w:rFonts w:cs="Times New Roman"/>
          <w:bCs/>
          <w:lang w:val="en-GB"/>
        </w:rPr>
        <w:t xml:space="preserve">Arthur, N.A., Gowland, R.L., &amp; Redfern, R.C. (2016). Coming of Age in Roman Britain: Osteological Evidence for Pubertal Timing. </w:t>
      </w:r>
      <w:r w:rsidRPr="00CE5381">
        <w:rPr>
          <w:rFonts w:cs="Times New Roman"/>
          <w:bCs/>
          <w:i/>
          <w:iCs/>
          <w:lang w:val="en-GB"/>
        </w:rPr>
        <w:t xml:space="preserve">American Journal of Physical Anthropology </w:t>
      </w:r>
      <w:r w:rsidRPr="00CE5381">
        <w:rPr>
          <w:rFonts w:cs="Times New Roman"/>
          <w:bCs/>
          <w:lang w:val="en-GB"/>
        </w:rPr>
        <w:t>159, 68-713.</w:t>
      </w:r>
    </w:p>
    <w:p w14:paraId="64FF83E0" w14:textId="77777777" w:rsidR="00CE5381" w:rsidRPr="00CE5381" w:rsidRDefault="00CE5381" w:rsidP="00CE5381">
      <w:pPr>
        <w:pStyle w:val="NoSpacing"/>
        <w:rPr>
          <w:rFonts w:cs="Times New Roman"/>
          <w:lang w:val="en-GB"/>
        </w:rPr>
      </w:pPr>
    </w:p>
    <w:p w14:paraId="39731EB0" w14:textId="77777777" w:rsidR="00CE5381" w:rsidRPr="00CE5381" w:rsidRDefault="00CE5381" w:rsidP="00CE5381">
      <w:pPr>
        <w:pStyle w:val="NoSpacing"/>
        <w:rPr>
          <w:rFonts w:cs="Times New Roman"/>
          <w:bCs/>
          <w:lang w:val="en-GB"/>
        </w:rPr>
      </w:pPr>
      <w:r w:rsidRPr="00CE5381">
        <w:rPr>
          <w:rFonts w:cs="Times New Roman"/>
          <w:bCs/>
          <w:lang w:val="en-GB"/>
        </w:rPr>
        <w:t xml:space="preserve">Bainbridge, D., &amp; Genovés-Tarazaga, S. (1956). A study of sex differences in the scapula. </w:t>
      </w:r>
      <w:r w:rsidRPr="00CE5381">
        <w:rPr>
          <w:rFonts w:cs="Times New Roman"/>
          <w:bCs/>
          <w:i/>
          <w:iCs/>
          <w:lang w:val="en-GB"/>
        </w:rPr>
        <w:t xml:space="preserve">The Journal of the Royal Anthropological Institute of Great Britain and Ireland </w:t>
      </w:r>
      <w:r w:rsidRPr="00CE5381">
        <w:rPr>
          <w:rFonts w:cs="Times New Roman"/>
          <w:bCs/>
          <w:lang w:val="en-GB"/>
        </w:rPr>
        <w:t>86, 109-134.</w:t>
      </w:r>
    </w:p>
    <w:p w14:paraId="106D1883" w14:textId="77777777" w:rsidR="00CE5381" w:rsidRPr="00CE5381" w:rsidRDefault="00CE5381" w:rsidP="00CE5381">
      <w:pPr>
        <w:pStyle w:val="NoSpacing"/>
        <w:rPr>
          <w:rFonts w:cs="Times New Roman"/>
          <w:lang w:val="en-GB"/>
        </w:rPr>
      </w:pPr>
    </w:p>
    <w:p w14:paraId="44521382" w14:textId="77777777" w:rsidR="00CE5381" w:rsidRPr="00CE5381" w:rsidRDefault="00CE5381" w:rsidP="00CE5381">
      <w:pPr>
        <w:pStyle w:val="NoSpacing"/>
        <w:rPr>
          <w:rFonts w:cs="Times New Roman"/>
          <w:bCs/>
          <w:lang w:val="en-GB"/>
        </w:rPr>
      </w:pPr>
      <w:r w:rsidRPr="00CE5381">
        <w:rPr>
          <w:rFonts w:cs="Times New Roman"/>
          <w:bCs/>
          <w:lang w:val="en-GB"/>
        </w:rPr>
        <w:t xml:space="preserve">Bairoch, P., &amp; Goertz, G. (1986). Factors of urbanisation in the nineteenth century developed countries: A descriptive and econometric analysis. </w:t>
      </w:r>
      <w:r w:rsidRPr="00CE5381">
        <w:rPr>
          <w:rFonts w:cs="Times New Roman"/>
          <w:bCs/>
          <w:i/>
          <w:iCs/>
          <w:lang w:val="en-GB"/>
        </w:rPr>
        <w:t>Urban Studies</w:t>
      </w:r>
      <w:r w:rsidRPr="00CE5381">
        <w:rPr>
          <w:rFonts w:cs="Times New Roman"/>
          <w:bCs/>
          <w:lang w:val="en-GB"/>
        </w:rPr>
        <w:t xml:space="preserve"> 23, 285-305.</w:t>
      </w:r>
    </w:p>
    <w:p w14:paraId="1BC34BBA" w14:textId="77777777" w:rsidR="00CE5381" w:rsidRPr="00CE5381" w:rsidRDefault="00CE5381" w:rsidP="00CE5381">
      <w:pPr>
        <w:pStyle w:val="NoSpacing"/>
        <w:rPr>
          <w:rFonts w:cs="Times New Roman"/>
          <w:lang w:val="en-GB"/>
        </w:rPr>
      </w:pPr>
    </w:p>
    <w:p w14:paraId="2E3CEED2" w14:textId="77777777" w:rsidR="00CE5381" w:rsidRPr="00CE5381" w:rsidRDefault="00CE5381" w:rsidP="00CE5381">
      <w:pPr>
        <w:pStyle w:val="NoSpacing"/>
        <w:rPr>
          <w:rFonts w:cs="Times New Roman"/>
          <w:bCs/>
          <w:lang w:val="en-GB"/>
        </w:rPr>
      </w:pPr>
      <w:r w:rsidRPr="00CE5381">
        <w:rPr>
          <w:rFonts w:cs="Times New Roman"/>
          <w:bCs/>
          <w:lang w:val="en-GB"/>
        </w:rPr>
        <w:t xml:space="preserve">Bergmans, D. (2018). </w:t>
      </w:r>
      <w:r w:rsidRPr="00CE5381">
        <w:rPr>
          <w:rFonts w:cs="Times New Roman"/>
          <w:bCs/>
          <w:i/>
          <w:iCs/>
          <w:lang w:val="en-US"/>
        </w:rPr>
        <w:t>Coming of age in late medieval and post-medieval Eindhoven – Studying the timing of puberty in skeletal remains of the 14</w:t>
      </w:r>
      <w:r w:rsidRPr="00CE5381">
        <w:rPr>
          <w:rFonts w:cs="Times New Roman"/>
          <w:bCs/>
          <w:i/>
          <w:iCs/>
          <w:vertAlign w:val="superscript"/>
          <w:lang w:val="en-US"/>
        </w:rPr>
        <w:t>th</w:t>
      </w:r>
      <w:r w:rsidRPr="00CE5381">
        <w:rPr>
          <w:rFonts w:cs="Times New Roman"/>
          <w:bCs/>
          <w:i/>
          <w:iCs/>
          <w:lang w:val="en-US"/>
        </w:rPr>
        <w:t>-19</w:t>
      </w:r>
      <w:r w:rsidRPr="00CE5381">
        <w:rPr>
          <w:rFonts w:cs="Times New Roman"/>
          <w:bCs/>
          <w:i/>
          <w:iCs/>
          <w:vertAlign w:val="superscript"/>
          <w:lang w:val="en-US"/>
        </w:rPr>
        <w:t>th</w:t>
      </w:r>
      <w:r w:rsidRPr="00CE5381">
        <w:rPr>
          <w:rFonts w:cs="Times New Roman"/>
          <w:bCs/>
          <w:i/>
          <w:iCs/>
          <w:lang w:val="en-US"/>
        </w:rPr>
        <w:t xml:space="preserve"> century A.D. St. Catharina church of Eindhoven. </w:t>
      </w:r>
      <w:r w:rsidRPr="00CE5381">
        <w:rPr>
          <w:rFonts w:cs="Times New Roman"/>
          <w:bCs/>
          <w:lang w:val="en-GB"/>
        </w:rPr>
        <w:t>Leiden (unpublished Master thesis). University of Leiden, NL.</w:t>
      </w:r>
    </w:p>
    <w:p w14:paraId="72A2B65E" w14:textId="77777777" w:rsidR="00CE5381" w:rsidRPr="00CE5381" w:rsidRDefault="00CE5381" w:rsidP="00CE5381">
      <w:pPr>
        <w:pStyle w:val="NoSpacing"/>
        <w:rPr>
          <w:rFonts w:cs="Times New Roman"/>
          <w:lang w:val="en-US"/>
        </w:rPr>
      </w:pPr>
    </w:p>
    <w:p w14:paraId="673B2A4F" w14:textId="77777777" w:rsidR="00CE5381" w:rsidRPr="00CE5381" w:rsidRDefault="00CE5381" w:rsidP="00CE5381">
      <w:pPr>
        <w:pStyle w:val="NoSpacing"/>
        <w:rPr>
          <w:rFonts w:cs="Times New Roman"/>
          <w:bCs/>
          <w:lang w:val="en-GB"/>
        </w:rPr>
      </w:pPr>
      <w:r w:rsidRPr="00CE5381">
        <w:rPr>
          <w:rFonts w:cs="Times New Roman"/>
          <w:bCs/>
          <w:lang w:val="en-GB"/>
        </w:rPr>
        <w:t xml:space="preserve">Berk, L.A. (2003). </w:t>
      </w:r>
      <w:r w:rsidRPr="00CE5381">
        <w:rPr>
          <w:rFonts w:cs="Times New Roman"/>
          <w:bCs/>
          <w:i/>
          <w:lang w:val="en-GB"/>
        </w:rPr>
        <w:t xml:space="preserve">Child Development. </w:t>
      </w:r>
      <w:r w:rsidRPr="00CE5381">
        <w:rPr>
          <w:rFonts w:cs="Times New Roman"/>
          <w:bCs/>
          <w:lang w:val="en-GB"/>
        </w:rPr>
        <w:t>New York (US-NY): Pearson Education Inc.</w:t>
      </w:r>
    </w:p>
    <w:p w14:paraId="63D303C5" w14:textId="77777777" w:rsidR="00CE5381" w:rsidRPr="00CE5381" w:rsidRDefault="00CE5381" w:rsidP="00CE5381">
      <w:pPr>
        <w:pStyle w:val="NoSpacing"/>
        <w:rPr>
          <w:rFonts w:cs="Times New Roman"/>
          <w:lang w:val="en-US"/>
        </w:rPr>
      </w:pPr>
    </w:p>
    <w:p w14:paraId="31448C10" w14:textId="77777777" w:rsidR="00CE5381" w:rsidRPr="00CE5381" w:rsidRDefault="00CE5381" w:rsidP="00CE5381">
      <w:pPr>
        <w:pStyle w:val="NoSpacing"/>
        <w:rPr>
          <w:rFonts w:cs="Times New Roman"/>
          <w:bCs/>
          <w:lang w:val="en-GB"/>
        </w:rPr>
      </w:pPr>
      <w:r w:rsidRPr="00CE5381">
        <w:rPr>
          <w:rFonts w:cs="Times New Roman"/>
          <w:bCs/>
        </w:rPr>
        <w:t xml:space="preserve">Blommaert, P. (1843). </w:t>
      </w:r>
      <w:r w:rsidRPr="00CE5381">
        <w:rPr>
          <w:rFonts w:cs="Times New Roman"/>
          <w:bCs/>
          <w:i/>
        </w:rPr>
        <w:t>Der Vrouwen Heimelykheid, dichtwerk der XIVe Eeuw</w:t>
      </w:r>
      <w:r w:rsidRPr="00CE5381">
        <w:rPr>
          <w:rFonts w:cs="Times New Roman"/>
          <w:bCs/>
        </w:rPr>
        <w:t xml:space="preserve">. </w:t>
      </w:r>
      <w:r w:rsidRPr="00CE5381">
        <w:rPr>
          <w:rFonts w:cs="Times New Roman"/>
          <w:bCs/>
          <w:lang w:val="en-GB"/>
        </w:rPr>
        <w:t>Gent (BE): C. Annoot-Braeckman (Maetschappy der Vlaemsche Bibliophilen, series 2(3)).</w:t>
      </w:r>
    </w:p>
    <w:p w14:paraId="2DBE0014" w14:textId="77777777" w:rsidR="00CE5381" w:rsidRPr="00CE5381" w:rsidRDefault="00CE5381" w:rsidP="00CE5381">
      <w:pPr>
        <w:pStyle w:val="NoSpacing"/>
        <w:rPr>
          <w:rFonts w:cs="Times New Roman"/>
          <w:bCs/>
          <w:lang w:val="en-GB"/>
        </w:rPr>
      </w:pPr>
    </w:p>
    <w:p w14:paraId="6D15D6EE" w14:textId="77777777" w:rsidR="00CE5381" w:rsidRPr="00CE5381" w:rsidRDefault="00CE5381" w:rsidP="00CE5381">
      <w:pPr>
        <w:pStyle w:val="NoSpacing"/>
        <w:rPr>
          <w:rFonts w:cs="Times New Roman"/>
          <w:bCs/>
        </w:rPr>
      </w:pPr>
      <w:r w:rsidRPr="00CE5381">
        <w:rPr>
          <w:rFonts w:cs="Times New Roman"/>
          <w:bCs/>
          <w:lang w:val="en-GB"/>
        </w:rPr>
        <w:t>Bolk, L. (1923). The menarche in Dutch women and its precipitated appearance in the youngest generation.</w:t>
      </w:r>
      <w:r w:rsidRPr="00CE5381">
        <w:rPr>
          <w:lang w:val="en-GB"/>
        </w:rPr>
        <w:t xml:space="preserve"> </w:t>
      </w:r>
      <w:r w:rsidRPr="00CE5381">
        <w:rPr>
          <w:rFonts w:cs="Times New Roman"/>
          <w:bCs/>
          <w:i/>
          <w:iCs/>
        </w:rPr>
        <w:t>Koninglijke akademie van wetenschappen te Amsterdam – Proceedigns of the Section of Sciences</w:t>
      </w:r>
      <w:r w:rsidRPr="00CE5381">
        <w:rPr>
          <w:rFonts w:cs="Times New Roman"/>
          <w:bCs/>
        </w:rPr>
        <w:t xml:space="preserve"> 26: 650-663.</w:t>
      </w:r>
    </w:p>
    <w:p w14:paraId="79E3563A" w14:textId="77777777" w:rsidR="00CE5381" w:rsidRPr="00CE5381" w:rsidRDefault="00CE5381" w:rsidP="00CE5381">
      <w:pPr>
        <w:pStyle w:val="NoSpacing"/>
        <w:rPr>
          <w:rFonts w:cs="Times New Roman"/>
          <w:bCs/>
        </w:rPr>
      </w:pPr>
    </w:p>
    <w:p w14:paraId="216FF352" w14:textId="77777777" w:rsidR="00CE5381" w:rsidRPr="00CE5381" w:rsidRDefault="00CE5381" w:rsidP="00CE5381">
      <w:pPr>
        <w:pStyle w:val="NoSpacing"/>
        <w:rPr>
          <w:rFonts w:cs="Times New Roman"/>
          <w:bCs/>
        </w:rPr>
      </w:pPr>
      <w:r w:rsidRPr="00CE5381">
        <w:rPr>
          <w:rFonts w:cs="Times New Roman"/>
          <w:bCs/>
        </w:rPr>
        <w:t xml:space="preserve">Braun, G.A. (1864). </w:t>
      </w:r>
      <w:r w:rsidRPr="00CE5381">
        <w:rPr>
          <w:rFonts w:cs="Times New Roman"/>
          <w:bCs/>
          <w:i/>
        </w:rPr>
        <w:t>Compendium voor vrouwenziekten</w:t>
      </w:r>
      <w:r w:rsidRPr="00CE5381">
        <w:rPr>
          <w:rFonts w:cs="Times New Roman"/>
          <w:bCs/>
        </w:rPr>
        <w:t xml:space="preserve">. </w:t>
      </w:r>
      <w:r w:rsidRPr="00CE5381">
        <w:rPr>
          <w:rFonts w:cs="Times New Roman"/>
          <w:bCs/>
          <w:lang w:val="en-GB"/>
        </w:rPr>
        <w:t>(translated by Dr. H. Beins)</w:t>
      </w:r>
      <w:r w:rsidRPr="00CE5381">
        <w:rPr>
          <w:rFonts w:cs="Times New Roman"/>
          <w:bCs/>
          <w:i/>
          <w:lang w:val="en-GB"/>
        </w:rPr>
        <w:t xml:space="preserve">. </w:t>
      </w:r>
      <w:r w:rsidRPr="00CE5381">
        <w:rPr>
          <w:rFonts w:cs="Times New Roman"/>
          <w:bCs/>
        </w:rPr>
        <w:t>Utrecht (NL): C. Van der Post Jr.</w:t>
      </w:r>
    </w:p>
    <w:p w14:paraId="5ED65B31" w14:textId="77777777" w:rsidR="00CE5381" w:rsidRPr="00CE5381" w:rsidRDefault="00CE5381" w:rsidP="00CE5381">
      <w:pPr>
        <w:pStyle w:val="NoSpacing"/>
        <w:rPr>
          <w:rFonts w:cs="Times New Roman"/>
          <w:bCs/>
          <w:lang w:val="en-GB"/>
        </w:rPr>
      </w:pPr>
    </w:p>
    <w:p w14:paraId="60754ECD" w14:textId="77777777" w:rsidR="00CE5381" w:rsidRPr="00CE5381" w:rsidRDefault="00CE5381" w:rsidP="00CE5381">
      <w:pPr>
        <w:pStyle w:val="NoSpacing"/>
        <w:rPr>
          <w:rFonts w:cs="Times New Roman"/>
          <w:bCs/>
          <w:lang w:val="en-GB"/>
        </w:rPr>
      </w:pPr>
      <w:r w:rsidRPr="00CE5381">
        <w:rPr>
          <w:rFonts w:cs="Times New Roman"/>
          <w:bCs/>
          <w:lang w:val="en-GB"/>
        </w:rPr>
        <w:t xml:space="preserve">Brickley, M. B. (2018). ‘Cribra orbitalia and porotic hyperostosis: A biological approach to diagnosis’, </w:t>
      </w:r>
      <w:r w:rsidRPr="00CE5381">
        <w:rPr>
          <w:rFonts w:cs="Times New Roman"/>
          <w:bCs/>
          <w:i/>
          <w:iCs/>
          <w:lang w:val="en-GB"/>
        </w:rPr>
        <w:t>American Journal of Physical Anthropology</w:t>
      </w:r>
      <w:r w:rsidRPr="00CE5381">
        <w:rPr>
          <w:rFonts w:cs="Times New Roman"/>
          <w:bCs/>
          <w:lang w:val="en-GB"/>
        </w:rPr>
        <w:t xml:space="preserve"> 167(4), 896–902. DOI: 10.1002/ajpa.23701.</w:t>
      </w:r>
    </w:p>
    <w:p w14:paraId="0F5CECD0" w14:textId="77777777" w:rsidR="00CE5381" w:rsidRPr="00CE5381" w:rsidRDefault="00CE5381" w:rsidP="00CE5381">
      <w:pPr>
        <w:pStyle w:val="NoSpacing"/>
        <w:rPr>
          <w:rFonts w:cs="Times New Roman"/>
          <w:lang w:val="en-GB"/>
        </w:rPr>
      </w:pPr>
    </w:p>
    <w:p w14:paraId="7AF58EF9" w14:textId="77777777" w:rsidR="00CE5381" w:rsidRPr="00CE5381" w:rsidRDefault="00CE5381" w:rsidP="00CE5381">
      <w:pPr>
        <w:pStyle w:val="NoSpacing"/>
        <w:rPr>
          <w:rFonts w:cs="Times New Roman"/>
          <w:bCs/>
          <w:lang w:val="en-GB"/>
        </w:rPr>
      </w:pPr>
      <w:r w:rsidRPr="00CE5381">
        <w:rPr>
          <w:rFonts w:cs="Times New Roman"/>
          <w:bCs/>
          <w:lang w:val="en-GB"/>
        </w:rPr>
        <w:t xml:space="preserve">Brickley, M., Mays, S. and Ives, R. (2005). Skeletal manifestations of vitamin D deficiency osteomalacia in documented historical collections. </w:t>
      </w:r>
      <w:r w:rsidRPr="00CE5381">
        <w:rPr>
          <w:rFonts w:cs="Times New Roman"/>
          <w:bCs/>
          <w:i/>
          <w:iCs/>
          <w:lang w:val="en-GB"/>
        </w:rPr>
        <w:t>International Journal of Osteoarchaeology</w:t>
      </w:r>
      <w:r w:rsidRPr="00CE5381">
        <w:rPr>
          <w:rFonts w:cs="Times New Roman"/>
          <w:bCs/>
          <w:lang w:val="en-GB"/>
        </w:rPr>
        <w:t>, 15, 389-403.</w:t>
      </w:r>
    </w:p>
    <w:p w14:paraId="397AD520" w14:textId="77777777" w:rsidR="00CE5381" w:rsidRPr="00CE5381" w:rsidRDefault="00CE5381" w:rsidP="00CE5381">
      <w:pPr>
        <w:pStyle w:val="NoSpacing"/>
        <w:rPr>
          <w:rFonts w:cs="Times New Roman"/>
          <w:bCs/>
          <w:lang w:val="en-GB"/>
        </w:rPr>
      </w:pPr>
    </w:p>
    <w:p w14:paraId="384F1168" w14:textId="77777777" w:rsidR="00CE5381" w:rsidRPr="00CE5381" w:rsidRDefault="00CE5381" w:rsidP="00CE5381">
      <w:pPr>
        <w:pStyle w:val="NoSpacing"/>
        <w:rPr>
          <w:rFonts w:cs="Times New Roman"/>
          <w:bCs/>
          <w:lang w:val="en-GB"/>
        </w:rPr>
      </w:pPr>
      <w:r w:rsidRPr="00CE5381">
        <w:rPr>
          <w:rFonts w:cs="Times New Roman"/>
          <w:bCs/>
          <w:lang w:val="en-GB"/>
        </w:rPr>
        <w:t xml:space="preserve">Brickley, M.B. and Mays, S. (2019). </w:t>
      </w:r>
      <w:r w:rsidRPr="00CE5381">
        <w:rPr>
          <w:rFonts w:cs="Times New Roman"/>
          <w:bCs/>
          <w:i/>
          <w:iCs/>
          <w:lang w:val="en-GB"/>
        </w:rPr>
        <w:t>Metabolic Disease</w:t>
      </w:r>
      <w:r w:rsidRPr="00CE5381">
        <w:rPr>
          <w:rFonts w:cs="Times New Roman"/>
          <w:bCs/>
          <w:lang w:val="en-GB"/>
        </w:rPr>
        <w:t xml:space="preserve">, Buikstra, J.E. (ed.), </w:t>
      </w:r>
      <w:r w:rsidRPr="00CE5381">
        <w:rPr>
          <w:rFonts w:cs="Times New Roman"/>
          <w:bCs/>
          <w:i/>
          <w:iCs/>
          <w:lang w:val="en-GB"/>
        </w:rPr>
        <w:t>Ortner's identification of pathological conditions in human skeletal remains.</w:t>
      </w:r>
      <w:r w:rsidRPr="00CE5381">
        <w:rPr>
          <w:rFonts w:cs="Times New Roman"/>
          <w:bCs/>
          <w:lang w:val="en-GB"/>
        </w:rPr>
        <w:t xml:space="preserve"> Elsevier Academic Press: London (UK), 531-566.</w:t>
      </w:r>
    </w:p>
    <w:p w14:paraId="4C5B8205" w14:textId="77777777" w:rsidR="00CE5381" w:rsidRPr="00CE5381" w:rsidRDefault="00CE5381" w:rsidP="00CE5381">
      <w:pPr>
        <w:pStyle w:val="NoSpacing"/>
        <w:rPr>
          <w:rFonts w:cs="Times New Roman"/>
        </w:rPr>
      </w:pPr>
    </w:p>
    <w:p w14:paraId="6D97DF57" w14:textId="77777777" w:rsidR="00CE5381" w:rsidRPr="00CE5381" w:rsidRDefault="00CE5381" w:rsidP="00CE5381">
      <w:pPr>
        <w:pStyle w:val="NoSpacing"/>
        <w:rPr>
          <w:rFonts w:cs="Times New Roman"/>
          <w:bCs/>
          <w:lang w:val="en-GB"/>
        </w:rPr>
      </w:pPr>
      <w:r w:rsidRPr="00CE5381">
        <w:rPr>
          <w:rFonts w:cs="Times New Roman"/>
          <w:bCs/>
        </w:rPr>
        <w:t xml:space="preserve">Brinkman, A.M. (2014). </w:t>
      </w:r>
      <w:r w:rsidRPr="00CE5381">
        <w:rPr>
          <w:rFonts w:cs="Times New Roman"/>
          <w:bCs/>
          <w:i/>
          <w:lang w:val="en-GB"/>
        </w:rPr>
        <w:t>Sex Determination from Metric Traits of Sub-Adult and Adult Skeletons – Discriminate Function Analyses in a nineteenth Century Dutch Research Sample</w:t>
      </w:r>
      <w:r w:rsidRPr="00CE5381">
        <w:rPr>
          <w:rFonts w:cs="Times New Roman"/>
          <w:bCs/>
          <w:lang w:val="en-GB"/>
        </w:rPr>
        <w:t>. Leiden (unpublished Master thesis University of Leiden (NL)).</w:t>
      </w:r>
    </w:p>
    <w:p w14:paraId="76601186" w14:textId="77777777" w:rsidR="00CE5381" w:rsidRPr="00CE5381" w:rsidRDefault="00CE5381" w:rsidP="00CE5381">
      <w:pPr>
        <w:pStyle w:val="NoSpacing"/>
        <w:rPr>
          <w:rFonts w:cs="Times New Roman"/>
          <w:bCs/>
          <w:lang w:val="en-GB"/>
        </w:rPr>
      </w:pPr>
    </w:p>
    <w:p w14:paraId="5E8D4ADF" w14:textId="77777777" w:rsidR="00CE5381" w:rsidRPr="00CE5381" w:rsidRDefault="00CE5381" w:rsidP="00CE5381">
      <w:pPr>
        <w:pStyle w:val="NoSpacing"/>
        <w:rPr>
          <w:rFonts w:cs="Times New Roman"/>
          <w:bCs/>
          <w:lang w:val="en-GB"/>
        </w:rPr>
      </w:pPr>
      <w:r w:rsidRPr="00CE5381">
        <w:rPr>
          <w:rFonts w:cs="Times New Roman"/>
          <w:bCs/>
          <w:lang w:val="en-GB"/>
        </w:rPr>
        <w:t xml:space="preserve">Brooks, S., &amp; Suchey, J.M. (1990). Skeletal age determination based on the os pubis: a comparison of the Ascadi-Nemeskeri and Suchey-Brooks methods. </w:t>
      </w:r>
      <w:r w:rsidRPr="00CE5381">
        <w:rPr>
          <w:rFonts w:cs="Times New Roman"/>
          <w:bCs/>
          <w:i/>
          <w:iCs/>
          <w:lang w:val="en-GB"/>
        </w:rPr>
        <w:t xml:space="preserve">Human Evolution </w:t>
      </w:r>
      <w:r w:rsidRPr="00CE5381">
        <w:rPr>
          <w:rFonts w:cs="Times New Roman"/>
          <w:bCs/>
          <w:lang w:val="en-GB"/>
        </w:rPr>
        <w:t>5, 277.</w:t>
      </w:r>
    </w:p>
    <w:p w14:paraId="6D7E3D54" w14:textId="77777777" w:rsidR="00CE5381" w:rsidRPr="00CE5381" w:rsidRDefault="00CE5381" w:rsidP="00CE5381">
      <w:pPr>
        <w:pStyle w:val="NoSpacing"/>
        <w:rPr>
          <w:rFonts w:cs="Times New Roman"/>
          <w:bCs/>
          <w:lang w:val="en-GB"/>
        </w:rPr>
      </w:pPr>
    </w:p>
    <w:p w14:paraId="1F03A412" w14:textId="77777777" w:rsidR="00CE5381" w:rsidRPr="00CE5381" w:rsidRDefault="00CE5381" w:rsidP="00CE5381">
      <w:pPr>
        <w:pStyle w:val="NoSpacing"/>
        <w:rPr>
          <w:rFonts w:cs="Times New Roman"/>
          <w:bCs/>
          <w:lang w:val="en-GB"/>
        </w:rPr>
      </w:pPr>
      <w:r w:rsidRPr="00CE5381">
        <w:rPr>
          <w:rFonts w:cs="Times New Roman"/>
          <w:bCs/>
          <w:lang w:val="en-GB"/>
        </w:rPr>
        <w:lastRenderedPageBreak/>
        <w:t xml:space="preserve">Buikstra, J.E. (2019). </w:t>
      </w:r>
      <w:r w:rsidRPr="00CE5381">
        <w:rPr>
          <w:rFonts w:cs="Times New Roman"/>
          <w:bCs/>
          <w:i/>
          <w:iCs/>
          <w:lang w:val="en-GB"/>
        </w:rPr>
        <w:t>Ortner’s Identification of Pathological Conditions in Human Skeletal Remains</w:t>
      </w:r>
      <w:r w:rsidRPr="00CE5381">
        <w:rPr>
          <w:rFonts w:cs="Times New Roman"/>
          <w:bCs/>
          <w:lang w:val="en-GB"/>
        </w:rPr>
        <w:t>. Cambridge (UK): Elsevier Academic Press.</w:t>
      </w:r>
    </w:p>
    <w:p w14:paraId="69BA1762" w14:textId="77777777" w:rsidR="00CE5381" w:rsidRPr="00CE5381" w:rsidRDefault="00CE5381" w:rsidP="00CE5381">
      <w:pPr>
        <w:pStyle w:val="NoSpacing"/>
        <w:rPr>
          <w:rFonts w:cs="Times New Roman"/>
          <w:bCs/>
          <w:lang w:val="en-GB"/>
        </w:rPr>
      </w:pPr>
    </w:p>
    <w:p w14:paraId="23200A6E" w14:textId="77777777" w:rsidR="00CE5381" w:rsidRPr="00CE5381" w:rsidRDefault="00CE5381" w:rsidP="00CE5381">
      <w:pPr>
        <w:pStyle w:val="NoSpacing"/>
        <w:rPr>
          <w:rFonts w:cs="Times New Roman"/>
          <w:lang w:val="en-US" w:eastAsia="nl-NL"/>
        </w:rPr>
      </w:pPr>
      <w:r w:rsidRPr="00CE5381">
        <w:rPr>
          <w:rFonts w:cs="Times New Roman"/>
          <w:lang w:val="en-US" w:eastAsia="nl-NL"/>
        </w:rPr>
        <w:t xml:space="preserve">Byers, N. (2008). </w:t>
      </w:r>
      <w:r w:rsidRPr="00CE5381">
        <w:rPr>
          <w:rFonts w:cs="Times New Roman"/>
          <w:i/>
          <w:lang w:val="en-US" w:eastAsia="nl-NL"/>
        </w:rPr>
        <w:t>Introduction into Forensic Anthropology</w:t>
      </w:r>
      <w:r w:rsidRPr="00CE5381">
        <w:rPr>
          <w:rFonts w:cs="Times New Roman"/>
          <w:lang w:val="en-US" w:eastAsia="nl-NL"/>
        </w:rPr>
        <w:t>. Bosten (USA): Pearson.</w:t>
      </w:r>
    </w:p>
    <w:p w14:paraId="1F3CF328" w14:textId="77777777" w:rsidR="00CE5381" w:rsidRPr="00CE5381" w:rsidRDefault="00CE5381" w:rsidP="00CE5381">
      <w:pPr>
        <w:pStyle w:val="NoSpacing"/>
        <w:rPr>
          <w:rFonts w:cs="Times New Roman"/>
          <w:lang w:val="en-US" w:eastAsia="nl-NL"/>
        </w:rPr>
      </w:pPr>
    </w:p>
    <w:p w14:paraId="00490D2B" w14:textId="77777777" w:rsidR="00CE5381" w:rsidRPr="00CE5381" w:rsidRDefault="00CE5381" w:rsidP="00CE5381">
      <w:pPr>
        <w:pStyle w:val="NoSpacing"/>
        <w:rPr>
          <w:rFonts w:cs="Times New Roman"/>
          <w:bCs/>
          <w:lang w:val="en-US" w:eastAsia="nl-NL"/>
        </w:rPr>
      </w:pPr>
      <w:r w:rsidRPr="00CE5381">
        <w:rPr>
          <w:rFonts w:cs="Times New Roman"/>
          <w:bCs/>
          <w:lang w:val="en-US" w:eastAsia="nl-NL"/>
        </w:rPr>
        <w:t xml:space="preserve">Calthorpe, L., Brage, S., &amp; Ong, K.K. (2019). Systematic review and meta-analysis of the association between childhood physical activity and age at menarche. </w:t>
      </w:r>
      <w:r w:rsidRPr="00CE5381">
        <w:rPr>
          <w:rFonts w:cs="Times New Roman"/>
          <w:bCs/>
          <w:i/>
          <w:iCs/>
          <w:lang w:val="en-US" w:eastAsia="nl-NL"/>
        </w:rPr>
        <w:t>Acta Paediatrica</w:t>
      </w:r>
      <w:r w:rsidRPr="00CE5381">
        <w:rPr>
          <w:rFonts w:cs="Times New Roman"/>
          <w:bCs/>
          <w:lang w:val="en-US" w:eastAsia="nl-NL"/>
        </w:rPr>
        <w:t xml:space="preserve"> 108, 1008-1015.</w:t>
      </w:r>
    </w:p>
    <w:p w14:paraId="0D8AD09D" w14:textId="77777777" w:rsidR="00CE5381" w:rsidRPr="00CE5381" w:rsidRDefault="00CE5381" w:rsidP="00CE5381">
      <w:pPr>
        <w:pStyle w:val="NoSpacing"/>
        <w:rPr>
          <w:rFonts w:cs="Times New Roman"/>
          <w:lang w:val="en-US" w:eastAsia="nl-NL"/>
        </w:rPr>
      </w:pPr>
    </w:p>
    <w:p w14:paraId="2171CE09" w14:textId="77777777" w:rsidR="00CE5381" w:rsidRPr="00CE5381" w:rsidRDefault="00CE5381" w:rsidP="00CE5381">
      <w:pPr>
        <w:pStyle w:val="NoSpacing"/>
        <w:rPr>
          <w:rFonts w:cs="Times New Roman"/>
          <w:lang w:val="en-US" w:eastAsia="nl-NL"/>
        </w:rPr>
      </w:pPr>
      <w:r w:rsidRPr="00CE5381">
        <w:rPr>
          <w:rFonts w:cs="Times New Roman"/>
          <w:lang w:val="en-US" w:eastAsia="nl-NL"/>
        </w:rPr>
        <w:t>Chertkow, S. (1980). Tooth mineralization as an indicator of the pubertal growth spurt. American Journal of Orthodontics and Dentofacial Orthopedics 77, 79–91.</w:t>
      </w:r>
    </w:p>
    <w:p w14:paraId="25F9FD8E" w14:textId="77777777" w:rsidR="00CE5381" w:rsidRPr="00CE5381" w:rsidRDefault="00CE5381" w:rsidP="00CE5381">
      <w:pPr>
        <w:pStyle w:val="NoSpacing"/>
        <w:rPr>
          <w:rFonts w:cs="Times New Roman"/>
          <w:lang w:val="en-US" w:eastAsia="nl-NL"/>
        </w:rPr>
      </w:pPr>
    </w:p>
    <w:p w14:paraId="0280E4D1" w14:textId="77777777" w:rsidR="00CE5381" w:rsidRPr="00CE5381" w:rsidRDefault="00CE5381" w:rsidP="00CE5381">
      <w:pPr>
        <w:pStyle w:val="NoSpacing"/>
        <w:rPr>
          <w:rFonts w:cs="Times New Roman"/>
          <w:lang w:val="en-GB" w:eastAsia="nl-NL"/>
        </w:rPr>
      </w:pPr>
      <w:r w:rsidRPr="00CE5381">
        <w:rPr>
          <w:rFonts w:cs="Times New Roman"/>
          <w:lang w:val="en-US" w:eastAsia="nl-NL"/>
        </w:rPr>
        <w:t xml:space="preserve">Chilcote, C. (2018). Social Identity Over the Lifecourse at Historic Middenbeemster: A Biocultural Approach. Unpublished </w:t>
      </w:r>
      <w:r w:rsidRPr="00CE5381">
        <w:rPr>
          <w:rFonts w:cs="Times New Roman"/>
          <w:lang w:val="en-GB" w:eastAsia="nl-NL"/>
        </w:rPr>
        <w:t>PhD Dissertation. University of California, Berkeley.</w:t>
      </w:r>
    </w:p>
    <w:p w14:paraId="25D6CA31" w14:textId="77777777" w:rsidR="00CE5381" w:rsidRPr="00CE5381" w:rsidRDefault="00CE5381" w:rsidP="00CE5381">
      <w:pPr>
        <w:pStyle w:val="NoSpacing"/>
        <w:rPr>
          <w:rFonts w:cs="Times New Roman"/>
          <w:lang w:val="en-GB" w:eastAsia="nl-NL"/>
        </w:rPr>
      </w:pPr>
    </w:p>
    <w:p w14:paraId="3C179059" w14:textId="77777777" w:rsidR="00CE5381" w:rsidRPr="00CE5381" w:rsidRDefault="00CE5381" w:rsidP="00CE5381">
      <w:pPr>
        <w:pStyle w:val="NoSpacing"/>
        <w:rPr>
          <w:rFonts w:cs="Times New Roman"/>
          <w:bCs/>
        </w:rPr>
      </w:pPr>
      <w:r w:rsidRPr="00CE5381">
        <w:rPr>
          <w:rFonts w:cs="Times New Roman"/>
          <w:bCs/>
          <w:lang w:val="en-GB"/>
        </w:rPr>
        <w:t xml:space="preserve">Clarys, E. (1894). Wettelijke bescherming der arbeidsters. </w:t>
      </w:r>
      <w:r w:rsidRPr="00CE5381">
        <w:rPr>
          <w:rFonts w:cs="Times New Roman"/>
          <w:bCs/>
          <w:i/>
        </w:rPr>
        <w:t xml:space="preserve">De Vrouw: Orgaan van den Hollandsch-Vlaamschen Vrouwenbond </w:t>
      </w:r>
      <w:r w:rsidRPr="00CE5381">
        <w:rPr>
          <w:rFonts w:cs="Times New Roman"/>
          <w:bCs/>
        </w:rPr>
        <w:t>1(15; 1 April 1894), 1-2.</w:t>
      </w:r>
    </w:p>
    <w:p w14:paraId="6F0968F1" w14:textId="77777777" w:rsidR="00CE5381" w:rsidRPr="00CE5381" w:rsidRDefault="00CE5381" w:rsidP="00CE5381">
      <w:pPr>
        <w:pStyle w:val="NoSpacing"/>
        <w:rPr>
          <w:rFonts w:cs="Times New Roman"/>
        </w:rPr>
      </w:pPr>
    </w:p>
    <w:p w14:paraId="570BD1BF" w14:textId="77777777" w:rsidR="00CE5381" w:rsidRPr="00CE5381" w:rsidRDefault="00CE5381" w:rsidP="00CE5381">
      <w:pPr>
        <w:pStyle w:val="NoSpacing"/>
        <w:rPr>
          <w:rFonts w:cs="Times New Roman"/>
          <w:lang w:val="en-GB" w:eastAsia="nl-NL"/>
        </w:rPr>
      </w:pPr>
      <w:r w:rsidRPr="00CE5381">
        <w:rPr>
          <w:rFonts w:cs="Times New Roman"/>
          <w:lang w:val="fr-FR" w:eastAsia="nl-NL"/>
        </w:rPr>
        <w:t xml:space="preserve">Conférence du Code Civil (1805). </w:t>
      </w:r>
      <w:r w:rsidRPr="00CE5381">
        <w:rPr>
          <w:rFonts w:cs="Times New Roman"/>
          <w:i/>
          <w:lang w:val="fr-FR" w:eastAsia="nl-NL"/>
        </w:rPr>
        <w:t xml:space="preserve">Conférence du Code Civil, avec la discussion particuliere du conseil d’état et du tribunat, avant la redaction definitive de chaque projet de loi – Tôme Deuxième. </w:t>
      </w:r>
      <w:r w:rsidRPr="00CE5381">
        <w:rPr>
          <w:rFonts w:cs="Times New Roman"/>
          <w:lang w:val="en-GB" w:eastAsia="nl-NL"/>
        </w:rPr>
        <w:t>Paris (FR): Firmin Didot.</w:t>
      </w:r>
    </w:p>
    <w:p w14:paraId="7B7A7150" w14:textId="77777777" w:rsidR="00CE5381" w:rsidRPr="00CE5381" w:rsidRDefault="00CE5381" w:rsidP="00CE5381">
      <w:pPr>
        <w:pStyle w:val="NoSpacing"/>
        <w:rPr>
          <w:rFonts w:cs="Times New Roman"/>
          <w:lang w:val="en-US"/>
        </w:rPr>
      </w:pPr>
    </w:p>
    <w:p w14:paraId="2359FD9B" w14:textId="77777777" w:rsidR="00CE5381" w:rsidRPr="00CE5381" w:rsidRDefault="00CE5381" w:rsidP="00CE5381">
      <w:pPr>
        <w:spacing w:after="0" w:line="360" w:lineRule="auto"/>
        <w:rPr>
          <w:rFonts w:ascii="Times New Roman" w:hAnsi="Times New Roman" w:cs="Times New Roman"/>
          <w:bCs/>
          <w:lang w:val="en-GB"/>
        </w:rPr>
      </w:pPr>
      <w:bookmarkStart w:id="23" w:name="_Hlk506120262"/>
      <w:r w:rsidRPr="00CE5381">
        <w:rPr>
          <w:rFonts w:ascii="Times New Roman" w:hAnsi="Times New Roman" w:cs="Times New Roman"/>
          <w:bCs/>
          <w:lang w:val="en-GB"/>
        </w:rPr>
        <w:t xml:space="preserve">Dambhare, D.G., Wagh, S.V. &amp; Dudhe, J.Y. (2012). Age at menarche and menstrual cycle pattern among school adolescent girls in Central India. </w:t>
      </w:r>
      <w:r w:rsidRPr="00CE5381">
        <w:rPr>
          <w:rFonts w:ascii="Times New Roman" w:hAnsi="Times New Roman" w:cs="Times New Roman"/>
          <w:bCs/>
          <w:i/>
          <w:iCs/>
          <w:lang w:val="en-GB"/>
        </w:rPr>
        <w:t>Glonal Journal of Health Science</w:t>
      </w:r>
      <w:r w:rsidRPr="00CE5381">
        <w:rPr>
          <w:rFonts w:ascii="Times New Roman" w:hAnsi="Times New Roman" w:cs="Times New Roman"/>
          <w:bCs/>
          <w:lang w:val="en-GB"/>
        </w:rPr>
        <w:t xml:space="preserve"> 4(1), 105-111.</w:t>
      </w:r>
    </w:p>
    <w:p w14:paraId="4E62DA61" w14:textId="77777777" w:rsidR="00CE5381" w:rsidRPr="00CE5381" w:rsidRDefault="00CE5381" w:rsidP="00CE5381">
      <w:pPr>
        <w:spacing w:after="0" w:line="360" w:lineRule="auto"/>
        <w:rPr>
          <w:rFonts w:ascii="Times New Roman" w:hAnsi="Times New Roman" w:cs="Times New Roman"/>
          <w:bCs/>
          <w:lang w:val="en-GB"/>
        </w:rPr>
      </w:pPr>
    </w:p>
    <w:p w14:paraId="4160A87C" w14:textId="77777777" w:rsidR="00CE5381" w:rsidRPr="00CE5381" w:rsidRDefault="00CE5381" w:rsidP="00CE5381">
      <w:pPr>
        <w:pStyle w:val="NoSpacing"/>
        <w:rPr>
          <w:rFonts w:cs="Times New Roman"/>
          <w:bCs/>
          <w:lang w:val="en-US" w:eastAsia="nl-NL"/>
        </w:rPr>
      </w:pPr>
      <w:r w:rsidRPr="00CE5381">
        <w:rPr>
          <w:rFonts w:cs="Times New Roman"/>
          <w:bCs/>
          <w:lang w:val="en-US" w:eastAsia="nl-NL"/>
        </w:rPr>
        <w:t xml:space="preserve">De Leonibus, C., Marcovecchio, M.L., Chiacaroli, V., de Giorgis, T., Chiarelli, F., &amp; Mohn, A. (2013). Timing of puberty and physical growth in obese children: a longitudinal study in boys and girls. </w:t>
      </w:r>
      <w:r w:rsidRPr="00CE5381">
        <w:rPr>
          <w:rFonts w:cs="Times New Roman"/>
          <w:bCs/>
          <w:i/>
          <w:iCs/>
          <w:lang w:val="en-US" w:eastAsia="nl-NL"/>
        </w:rPr>
        <w:t xml:space="preserve">Pediatric Obesity </w:t>
      </w:r>
      <w:r w:rsidRPr="00CE5381">
        <w:rPr>
          <w:rFonts w:cs="Times New Roman"/>
          <w:bCs/>
          <w:lang w:val="en-US" w:eastAsia="nl-NL"/>
        </w:rPr>
        <w:t>9(4), 292-299.</w:t>
      </w:r>
    </w:p>
    <w:p w14:paraId="342C7071" w14:textId="77777777" w:rsidR="00CE5381" w:rsidRPr="00CE5381" w:rsidRDefault="00CE5381" w:rsidP="00CE5381">
      <w:pPr>
        <w:pStyle w:val="NoSpacing"/>
        <w:rPr>
          <w:rFonts w:cs="Times New Roman"/>
          <w:lang w:val="en-GB"/>
        </w:rPr>
      </w:pPr>
    </w:p>
    <w:p w14:paraId="27E27F43" w14:textId="77777777" w:rsidR="00CE5381" w:rsidRPr="00CE5381" w:rsidRDefault="00CE5381" w:rsidP="00CE5381">
      <w:pPr>
        <w:pStyle w:val="NoSpacing"/>
        <w:rPr>
          <w:rFonts w:cs="Times New Roman"/>
          <w:bCs/>
          <w:lang w:val="en-GB"/>
        </w:rPr>
      </w:pPr>
      <w:r w:rsidRPr="00CE5381">
        <w:rPr>
          <w:rFonts w:cs="Times New Roman"/>
          <w:bCs/>
          <w:lang w:val="en-GB"/>
        </w:rPr>
        <w:t xml:space="preserve">De Vito, C., &amp; Saunders, S.R. (1990). A discriminant function analysis of deciduous teeth to determine sex. </w:t>
      </w:r>
      <w:r w:rsidRPr="00CE5381">
        <w:rPr>
          <w:rFonts w:cs="Times New Roman"/>
          <w:bCs/>
          <w:i/>
          <w:lang w:val="en-GB"/>
        </w:rPr>
        <w:t>Journal of Forensic Sciences</w:t>
      </w:r>
      <w:r w:rsidRPr="00CE5381">
        <w:rPr>
          <w:rFonts w:cs="Times New Roman"/>
          <w:bCs/>
          <w:lang w:val="en-GB"/>
        </w:rPr>
        <w:t xml:space="preserve"> 35(4), 845-858.</w:t>
      </w:r>
    </w:p>
    <w:p w14:paraId="3738E982" w14:textId="77777777" w:rsidR="00CE5381" w:rsidRPr="00CE5381" w:rsidRDefault="00CE5381" w:rsidP="00CE5381">
      <w:pPr>
        <w:pStyle w:val="NoSpacing"/>
        <w:rPr>
          <w:rFonts w:cs="Times New Roman"/>
          <w:bCs/>
          <w:lang w:val="en-GB"/>
        </w:rPr>
      </w:pPr>
    </w:p>
    <w:p w14:paraId="1D62F499" w14:textId="77777777" w:rsidR="00CE5381" w:rsidRPr="00CE5381" w:rsidRDefault="00CE5381" w:rsidP="00CE5381">
      <w:pPr>
        <w:pStyle w:val="NoSpacing"/>
        <w:rPr>
          <w:rFonts w:cs="Times New Roman"/>
          <w:bCs/>
          <w:lang w:val="es-ES"/>
        </w:rPr>
      </w:pPr>
      <w:r w:rsidRPr="00CE5381">
        <w:rPr>
          <w:rFonts w:cs="Times New Roman"/>
          <w:bCs/>
          <w:lang w:val="en-GB"/>
        </w:rPr>
        <w:t xml:space="preserve">de Vries, J. (1984). </w:t>
      </w:r>
      <w:r w:rsidRPr="00CE5381">
        <w:rPr>
          <w:rFonts w:cs="Times New Roman"/>
          <w:bCs/>
          <w:i/>
          <w:iCs/>
          <w:lang w:val="en-GB"/>
        </w:rPr>
        <w:t>European Urbanization 1500-1800</w:t>
      </w:r>
      <w:r w:rsidRPr="00CE5381">
        <w:rPr>
          <w:rFonts w:cs="Times New Roman"/>
          <w:bCs/>
          <w:lang w:val="en-GB"/>
        </w:rPr>
        <w:t xml:space="preserve">. Methuen and Co. </w:t>
      </w:r>
      <w:r w:rsidRPr="00CE5381">
        <w:rPr>
          <w:rFonts w:cs="Times New Roman"/>
          <w:bCs/>
          <w:lang w:val="es-ES"/>
        </w:rPr>
        <w:t>Ltd, London.</w:t>
      </w:r>
    </w:p>
    <w:p w14:paraId="784E5949" w14:textId="77777777" w:rsidR="00CE5381" w:rsidRPr="00CE5381" w:rsidRDefault="00CE5381" w:rsidP="00CE5381">
      <w:pPr>
        <w:pStyle w:val="NoSpacing"/>
        <w:rPr>
          <w:rFonts w:cs="Times New Roman"/>
          <w:i/>
          <w:lang w:val="es-ES"/>
        </w:rPr>
      </w:pPr>
    </w:p>
    <w:p w14:paraId="70C43F33" w14:textId="77777777" w:rsidR="00CE5381" w:rsidRPr="00CE5381" w:rsidRDefault="00CE5381" w:rsidP="00CE5381">
      <w:pPr>
        <w:pStyle w:val="NoSpacing"/>
        <w:rPr>
          <w:rFonts w:cs="Times New Roman"/>
          <w:bCs/>
          <w:iCs/>
          <w:lang w:val="en-GB"/>
        </w:rPr>
      </w:pPr>
      <w:r w:rsidRPr="00CE5381">
        <w:rPr>
          <w:rFonts w:cs="Times New Roman"/>
          <w:bCs/>
          <w:iCs/>
          <w:lang w:val="es-ES"/>
        </w:rPr>
        <w:t xml:space="preserve">Doe, D.M., Pérez, J. R., Cambra-Moo, O., Martín, M.C., &amp; González Martín, A. (2019). </w:t>
      </w:r>
      <w:r w:rsidRPr="00CE5381">
        <w:rPr>
          <w:rFonts w:cs="Times New Roman"/>
          <w:bCs/>
          <w:iCs/>
          <w:lang w:val="en-GB"/>
        </w:rPr>
        <w:t xml:space="preserve">Assessing pubertal stage in adolescent remains: an investigation of the San Nicolás Maqbara burial site (Murcia, Spain). </w:t>
      </w:r>
      <w:r w:rsidRPr="00CE5381">
        <w:rPr>
          <w:rFonts w:cs="Times New Roman"/>
          <w:bCs/>
          <w:i/>
          <w:lang w:val="en-GB"/>
        </w:rPr>
        <w:t xml:space="preserve">Archaeological and Anthropological Sciences </w:t>
      </w:r>
      <w:r w:rsidRPr="00CE5381">
        <w:rPr>
          <w:rFonts w:cs="Times New Roman"/>
          <w:bCs/>
          <w:iCs/>
          <w:lang w:val="en-GB"/>
        </w:rPr>
        <w:t>11, 541-554.</w:t>
      </w:r>
    </w:p>
    <w:p w14:paraId="33B98722" w14:textId="77777777" w:rsidR="00CE5381" w:rsidRPr="00CE5381" w:rsidRDefault="00CE5381" w:rsidP="00CE5381">
      <w:pPr>
        <w:pStyle w:val="NoSpacing"/>
        <w:rPr>
          <w:rFonts w:cs="Times New Roman"/>
          <w:iCs/>
          <w:lang w:val="en-GB"/>
        </w:rPr>
      </w:pPr>
    </w:p>
    <w:bookmarkEnd w:id="23"/>
    <w:p w14:paraId="6F81E3B6" w14:textId="77777777" w:rsidR="00CE5381" w:rsidRPr="00CE5381" w:rsidRDefault="00CE5381" w:rsidP="00CE5381">
      <w:pPr>
        <w:pStyle w:val="NoSpacing"/>
        <w:rPr>
          <w:rFonts w:cs="Times New Roman"/>
          <w:bCs/>
          <w:lang w:val="en-GB"/>
        </w:rPr>
      </w:pPr>
      <w:r w:rsidRPr="00CE5381">
        <w:rPr>
          <w:rFonts w:cs="Times New Roman"/>
          <w:bCs/>
          <w:lang w:val="en-GB"/>
        </w:rPr>
        <w:lastRenderedPageBreak/>
        <w:t xml:space="preserve">Dušek, T. (2001). Influence of high intensity training on menstrual cycle disorders in athletes. </w:t>
      </w:r>
      <w:r w:rsidRPr="00CE5381">
        <w:rPr>
          <w:rFonts w:cs="Times New Roman"/>
          <w:bCs/>
          <w:i/>
          <w:iCs/>
          <w:lang w:val="en-GB"/>
        </w:rPr>
        <w:t>Croatian Medical Journal</w:t>
      </w:r>
      <w:r w:rsidRPr="00CE5381">
        <w:rPr>
          <w:rFonts w:cs="Times New Roman"/>
          <w:bCs/>
          <w:lang w:val="en-GB"/>
        </w:rPr>
        <w:t xml:space="preserve"> 42(1), 79-82.</w:t>
      </w:r>
    </w:p>
    <w:p w14:paraId="6509BE71" w14:textId="77777777" w:rsidR="00CE5381" w:rsidRPr="00CE5381" w:rsidRDefault="00CE5381" w:rsidP="00CE5381">
      <w:pPr>
        <w:pStyle w:val="NoSpacing"/>
        <w:rPr>
          <w:rFonts w:cs="Times New Roman"/>
          <w:bCs/>
          <w:lang w:val="en-GB"/>
        </w:rPr>
      </w:pPr>
    </w:p>
    <w:p w14:paraId="41DBE2AC" w14:textId="77777777" w:rsidR="00CE5381" w:rsidRPr="00CE5381" w:rsidRDefault="00CE5381" w:rsidP="00CE5381">
      <w:pPr>
        <w:pStyle w:val="NoSpacing"/>
        <w:rPr>
          <w:rFonts w:cs="Times New Roman"/>
          <w:bCs/>
          <w:lang w:val="en-GB"/>
        </w:rPr>
      </w:pPr>
      <w:r w:rsidRPr="00CE5381">
        <w:rPr>
          <w:rFonts w:cs="Times New Roman"/>
          <w:bCs/>
          <w:lang w:val="en-GB"/>
        </w:rPr>
        <w:t xml:space="preserve">Ellis, P.D. (ed.) (2010). </w:t>
      </w:r>
      <w:r w:rsidRPr="00CE5381">
        <w:rPr>
          <w:rFonts w:cs="Times New Roman"/>
          <w:bCs/>
          <w:i/>
          <w:lang w:val="en-GB"/>
        </w:rPr>
        <w:t xml:space="preserve">The essential guide to effect size – Statistical power, meta-analysis, and the interpretation of research results. </w:t>
      </w:r>
      <w:r w:rsidRPr="00CE5381">
        <w:rPr>
          <w:rFonts w:cs="Times New Roman"/>
          <w:bCs/>
          <w:lang w:val="en-GB"/>
        </w:rPr>
        <w:t xml:space="preserve">Cambridge (UK): Cambridge University Press. </w:t>
      </w:r>
    </w:p>
    <w:p w14:paraId="2B93B05C" w14:textId="77777777" w:rsidR="00CE5381" w:rsidRPr="00CE5381" w:rsidRDefault="00CE5381" w:rsidP="00CE5381">
      <w:pPr>
        <w:pStyle w:val="NoSpacing"/>
        <w:rPr>
          <w:rFonts w:cs="Times New Roman"/>
          <w:bCs/>
          <w:lang w:val="en-GB"/>
        </w:rPr>
      </w:pPr>
    </w:p>
    <w:p w14:paraId="5BE18506" w14:textId="77777777" w:rsidR="00CE5381" w:rsidRPr="00CE5381" w:rsidRDefault="00CE5381" w:rsidP="00CE5381">
      <w:pPr>
        <w:autoSpaceDE w:val="0"/>
        <w:autoSpaceDN w:val="0"/>
        <w:adjustRightInd w:val="0"/>
        <w:spacing w:after="0" w:line="360" w:lineRule="auto"/>
        <w:rPr>
          <w:rFonts w:ascii="Segoe UI" w:eastAsiaTheme="minorEastAsia" w:hAnsi="Segoe UI" w:cs="Segoe UI"/>
          <w:sz w:val="21"/>
          <w:szCs w:val="21"/>
          <w:lang w:val="en-GB" w:eastAsia="zh-CN"/>
        </w:rPr>
      </w:pPr>
      <w:r w:rsidRPr="00CE5381">
        <w:rPr>
          <w:rFonts w:ascii="Times New Roman" w:hAnsi="Times New Roman" w:cs="Times New Roman"/>
          <w:szCs w:val="21"/>
          <w:lang w:val="en-GB"/>
        </w:rPr>
        <w:t xml:space="preserve">Erkelens, C. (2014).  </w:t>
      </w:r>
      <w:r w:rsidRPr="00CE5381">
        <w:rPr>
          <w:rFonts w:ascii="Times New Roman" w:hAnsi="Times New Roman" w:cs="Times New Roman"/>
          <w:i/>
          <w:iCs/>
          <w:szCs w:val="21"/>
          <w:lang w:val="en-GB"/>
        </w:rPr>
        <w:t>Baby Bones and Disappearing Bodies The Differential Preservation of Human Remains According to Age in a 17th to 19th Century Dutch Cemetery</w:t>
      </w:r>
      <w:r w:rsidRPr="00CE5381">
        <w:rPr>
          <w:rFonts w:ascii="Times New Roman" w:hAnsi="Times New Roman" w:cs="Times New Roman"/>
          <w:szCs w:val="21"/>
          <w:lang w:val="en-GB"/>
        </w:rPr>
        <w:t>. Unpublished Master Thesis. University of Leiden: Leiden (NL).</w:t>
      </w:r>
    </w:p>
    <w:p w14:paraId="75B91B95" w14:textId="77777777" w:rsidR="00CE5381" w:rsidRPr="00CE5381" w:rsidRDefault="00CE5381" w:rsidP="00CE5381">
      <w:pPr>
        <w:pStyle w:val="NoSpacing"/>
        <w:rPr>
          <w:rFonts w:cs="Times New Roman"/>
          <w:bCs/>
          <w:lang w:val="en-GB"/>
        </w:rPr>
      </w:pPr>
    </w:p>
    <w:p w14:paraId="59640C41" w14:textId="77777777" w:rsidR="00CE5381" w:rsidRPr="00CE5381" w:rsidRDefault="00CE5381" w:rsidP="00CE5381">
      <w:pPr>
        <w:pStyle w:val="NoSpacing"/>
        <w:rPr>
          <w:rFonts w:cs="Times New Roman"/>
          <w:bCs/>
        </w:rPr>
      </w:pPr>
      <w:r w:rsidRPr="00CE5381">
        <w:rPr>
          <w:rFonts w:cs="Times New Roman"/>
          <w:bCs/>
          <w:lang w:val="en-GB"/>
        </w:rPr>
        <w:t xml:space="preserve">Falys, C.G., Schutkowski, H., &amp; Weston, D.A. (2005). The distal humerus – a blind test of Roger’s sexing technique using a documented skeletal collection. </w:t>
      </w:r>
      <w:r w:rsidRPr="00CE5381">
        <w:rPr>
          <w:rFonts w:cs="Times New Roman"/>
          <w:bCs/>
          <w:i/>
        </w:rPr>
        <w:t xml:space="preserve">Journal of Forensic Sciences </w:t>
      </w:r>
      <w:r w:rsidRPr="00CE5381">
        <w:rPr>
          <w:rFonts w:cs="Times New Roman"/>
          <w:bCs/>
        </w:rPr>
        <w:t>50, 1289-1293.</w:t>
      </w:r>
    </w:p>
    <w:p w14:paraId="6E36ED75" w14:textId="77777777" w:rsidR="00CE5381" w:rsidRPr="00CE5381" w:rsidRDefault="00CE5381" w:rsidP="00CE5381">
      <w:pPr>
        <w:pStyle w:val="NoSpacing"/>
        <w:rPr>
          <w:rFonts w:eastAsia="Times New Roman" w:cs="Times New Roman"/>
          <w:lang w:eastAsia="nl-NL"/>
        </w:rPr>
      </w:pPr>
    </w:p>
    <w:p w14:paraId="4C408528" w14:textId="77777777" w:rsidR="00CE5381" w:rsidRPr="00CE5381" w:rsidRDefault="00CE5381" w:rsidP="00CE5381">
      <w:pPr>
        <w:pStyle w:val="NoSpacing"/>
        <w:rPr>
          <w:rFonts w:cs="Times New Roman"/>
          <w:bCs/>
        </w:rPr>
      </w:pPr>
      <w:r w:rsidRPr="00CE5381">
        <w:rPr>
          <w:rFonts w:eastAsia="Times New Roman" w:cs="Times New Roman"/>
          <w:bCs/>
          <w:lang w:eastAsia="nl-NL"/>
        </w:rPr>
        <w:t xml:space="preserve">Faust, B.C. (1792). </w:t>
      </w:r>
      <w:r w:rsidRPr="00CE5381">
        <w:rPr>
          <w:rFonts w:eastAsia="Times New Roman" w:cs="Times New Roman"/>
          <w:bCs/>
          <w:i/>
          <w:lang w:eastAsia="nl-NL"/>
        </w:rPr>
        <w:t xml:space="preserve">Verhandeling weegens eene noodzaaklyke verbeetering der kleeding, waar in betoogd word, dat de oorzaak der zedelyke en lighaamlyke verbastering des menschdoms in het draagen van broeken gezogd moet worden. </w:t>
      </w:r>
      <w:r w:rsidRPr="00CE5381">
        <w:rPr>
          <w:rFonts w:eastAsia="Times New Roman" w:cs="Times New Roman"/>
          <w:bCs/>
          <w:lang w:eastAsia="nl-NL"/>
        </w:rPr>
        <w:t>Amsterdam (NL): Borchers, ten Brink, v. Es, en v.d. Burg.</w:t>
      </w:r>
    </w:p>
    <w:p w14:paraId="62413FD9" w14:textId="77777777" w:rsidR="00CE5381" w:rsidRPr="00CE5381" w:rsidRDefault="00CE5381" w:rsidP="00CE5381">
      <w:pPr>
        <w:pStyle w:val="NoSpacing"/>
        <w:rPr>
          <w:rFonts w:cs="Times New Roman"/>
          <w:bCs/>
        </w:rPr>
      </w:pPr>
    </w:p>
    <w:p w14:paraId="7C3B4C62" w14:textId="77777777" w:rsidR="00CE5381" w:rsidRPr="00CE5381" w:rsidRDefault="00CE5381" w:rsidP="00CE5381">
      <w:pPr>
        <w:pStyle w:val="NoSpacing"/>
        <w:rPr>
          <w:rFonts w:cs="Times New Roman"/>
          <w:bCs/>
          <w:lang w:val="en-US"/>
        </w:rPr>
      </w:pPr>
      <w:r w:rsidRPr="00CE5381">
        <w:rPr>
          <w:rFonts w:cs="Times New Roman"/>
          <w:bCs/>
          <w:lang w:val="de-DE"/>
        </w:rPr>
        <w:t xml:space="preserve">Ferembach, D., Schwidetzky, I., &amp; Stloukal, M. (1980). </w:t>
      </w:r>
      <w:r w:rsidRPr="00CE5381">
        <w:rPr>
          <w:rFonts w:cs="Times New Roman"/>
          <w:bCs/>
          <w:lang w:val="en-GB"/>
        </w:rPr>
        <w:t>Recommendations for age and sex diagnoses of skeletons</w:t>
      </w:r>
      <w:r w:rsidRPr="00CE5381">
        <w:rPr>
          <w:rFonts w:cs="Times New Roman"/>
          <w:bCs/>
          <w:i/>
          <w:lang w:val="en-GB"/>
        </w:rPr>
        <w:t xml:space="preserve">. </w:t>
      </w:r>
      <w:r w:rsidRPr="00CE5381">
        <w:rPr>
          <w:rFonts w:cs="Times New Roman"/>
          <w:bCs/>
          <w:i/>
          <w:lang w:val="en-US"/>
        </w:rPr>
        <w:t>Journal of Human Evolution</w:t>
      </w:r>
      <w:r w:rsidRPr="00CE5381">
        <w:rPr>
          <w:rFonts w:cs="Times New Roman"/>
          <w:bCs/>
          <w:lang w:val="en-US"/>
        </w:rPr>
        <w:t xml:space="preserve"> 9, 517-149.</w:t>
      </w:r>
    </w:p>
    <w:p w14:paraId="09EE42AB" w14:textId="77777777" w:rsidR="00CE5381" w:rsidRPr="00CE5381" w:rsidRDefault="00CE5381" w:rsidP="00CE5381">
      <w:pPr>
        <w:pStyle w:val="NoSpacing"/>
        <w:rPr>
          <w:rFonts w:cs="Times New Roman"/>
          <w:lang w:val="en-US"/>
        </w:rPr>
      </w:pPr>
    </w:p>
    <w:p w14:paraId="14803F5D" w14:textId="77777777" w:rsidR="00CE5381" w:rsidRPr="00CE5381" w:rsidRDefault="00CE5381" w:rsidP="00CE5381">
      <w:pPr>
        <w:pStyle w:val="NoSpacing"/>
        <w:rPr>
          <w:rFonts w:cs="Times New Roman"/>
          <w:bCs/>
          <w:lang w:val="en-US"/>
        </w:rPr>
      </w:pPr>
      <w:r w:rsidRPr="00CE5381">
        <w:rPr>
          <w:rFonts w:cs="Times New Roman"/>
          <w:bCs/>
          <w:lang w:val="en-US"/>
        </w:rPr>
        <w:t xml:space="preserve">Frisch, R.E. (1983). Fatness, puberty, and fertility – The effects of nutrition and physical training on menarche and ovulation, in J. Brooks-Gunn &amp; A.C. Peterson (eds), </w:t>
      </w:r>
      <w:r w:rsidRPr="00CE5381">
        <w:rPr>
          <w:rFonts w:cs="Times New Roman"/>
          <w:bCs/>
          <w:i/>
          <w:iCs/>
          <w:lang w:val="en-US"/>
        </w:rPr>
        <w:t xml:space="preserve">Girls at puberty: Biological and psychological perspectives. </w:t>
      </w:r>
      <w:r w:rsidRPr="00CE5381">
        <w:rPr>
          <w:rFonts w:cs="Times New Roman"/>
          <w:bCs/>
          <w:lang w:val="en-US"/>
        </w:rPr>
        <w:t>Springer Science+Business Media: New York (USA).</w:t>
      </w:r>
    </w:p>
    <w:p w14:paraId="170B90D4" w14:textId="77777777" w:rsidR="00CE5381" w:rsidRPr="00CE5381" w:rsidRDefault="00CE5381" w:rsidP="00CE5381">
      <w:pPr>
        <w:pStyle w:val="NoSpacing"/>
        <w:rPr>
          <w:rFonts w:cs="Times New Roman"/>
          <w:bCs/>
          <w:lang w:val="en-US"/>
        </w:rPr>
      </w:pPr>
    </w:p>
    <w:p w14:paraId="31BFD7C7" w14:textId="77777777" w:rsidR="00CE5381" w:rsidRPr="00CE5381" w:rsidRDefault="00CE5381" w:rsidP="00CE5381">
      <w:pPr>
        <w:pStyle w:val="NoSpacing"/>
        <w:rPr>
          <w:rFonts w:cs="Times New Roman"/>
          <w:bCs/>
          <w:lang w:val="en-US"/>
        </w:rPr>
      </w:pPr>
      <w:r w:rsidRPr="00CE5381">
        <w:rPr>
          <w:rFonts w:cs="Times New Roman"/>
          <w:bCs/>
          <w:lang w:val="en-US"/>
        </w:rPr>
        <w:t xml:space="preserve">Frisch, R.E. (1985). Fatness, menarche, and female fertility. </w:t>
      </w:r>
      <w:r w:rsidRPr="00CE5381">
        <w:rPr>
          <w:rFonts w:cs="Times New Roman"/>
          <w:bCs/>
          <w:i/>
          <w:iCs/>
          <w:lang w:val="en-US"/>
        </w:rPr>
        <w:t xml:space="preserve">Perspectives in Biology and Medicine </w:t>
      </w:r>
      <w:r w:rsidRPr="00CE5381">
        <w:rPr>
          <w:rFonts w:cs="Times New Roman"/>
          <w:bCs/>
          <w:lang w:val="en-US"/>
        </w:rPr>
        <w:t>28(4), 611-633.</w:t>
      </w:r>
    </w:p>
    <w:p w14:paraId="27C5C111" w14:textId="77777777" w:rsidR="00CE5381" w:rsidRPr="00CE5381" w:rsidRDefault="00CE5381" w:rsidP="00CE5381">
      <w:pPr>
        <w:pStyle w:val="NoSpacing"/>
        <w:rPr>
          <w:rFonts w:cs="Times New Roman"/>
          <w:lang w:val="en-US"/>
        </w:rPr>
      </w:pPr>
    </w:p>
    <w:p w14:paraId="688C5F7F" w14:textId="77777777" w:rsidR="00CE5381" w:rsidRPr="00CE5381" w:rsidRDefault="00CE5381" w:rsidP="00CE5381">
      <w:pPr>
        <w:pStyle w:val="NoSpacing"/>
        <w:rPr>
          <w:rFonts w:cs="Times New Roman"/>
          <w:bCs/>
          <w:lang w:val="en-US"/>
        </w:rPr>
      </w:pPr>
      <w:r w:rsidRPr="00CE5381">
        <w:rPr>
          <w:rFonts w:cs="Times New Roman"/>
          <w:bCs/>
          <w:lang w:val="en-GB"/>
        </w:rPr>
        <w:t xml:space="preserve">Frisch, R.E., Wyshak, G., &amp; Vincent, L. (1980). </w:t>
      </w:r>
      <w:r w:rsidRPr="00CE5381">
        <w:rPr>
          <w:rFonts w:cs="Times New Roman"/>
          <w:bCs/>
          <w:lang w:val="en-US"/>
        </w:rPr>
        <w:t xml:space="preserve">Delayed menarche and amenorrhea in ballet dancers. </w:t>
      </w:r>
      <w:r w:rsidRPr="00CE5381">
        <w:rPr>
          <w:rFonts w:cs="Times New Roman"/>
          <w:bCs/>
          <w:i/>
          <w:iCs/>
          <w:lang w:val="en-US"/>
        </w:rPr>
        <w:t>New England Journal of Medicine</w:t>
      </w:r>
      <w:r w:rsidRPr="00CE5381">
        <w:rPr>
          <w:rFonts w:cs="Times New Roman"/>
          <w:bCs/>
          <w:lang w:val="en-US"/>
        </w:rPr>
        <w:t xml:space="preserve"> 303(1), 17-19.</w:t>
      </w:r>
    </w:p>
    <w:p w14:paraId="6C387F6C" w14:textId="77777777" w:rsidR="00CE5381" w:rsidRPr="00CE5381" w:rsidRDefault="00CE5381" w:rsidP="00CE5381">
      <w:pPr>
        <w:pStyle w:val="NoSpacing"/>
        <w:rPr>
          <w:rFonts w:cs="Times New Roman"/>
          <w:bCs/>
          <w:lang w:val="en-US"/>
        </w:rPr>
      </w:pPr>
    </w:p>
    <w:p w14:paraId="4E7D4ED7" w14:textId="77777777" w:rsidR="00CE5381" w:rsidRPr="00CE5381" w:rsidRDefault="00CE5381" w:rsidP="00CE5381">
      <w:pPr>
        <w:pStyle w:val="NoSpacing"/>
        <w:rPr>
          <w:rFonts w:cs="Times New Roman"/>
          <w:lang w:val="en-GB"/>
        </w:rPr>
      </w:pPr>
      <w:r w:rsidRPr="00CE5381">
        <w:rPr>
          <w:rFonts w:cs="Times New Roman"/>
          <w:lang w:val="en-US"/>
        </w:rPr>
        <w:t xml:space="preserve">Grave, K., &amp; Brown, T. (1976). </w:t>
      </w:r>
      <w:r w:rsidRPr="00CE5381">
        <w:rPr>
          <w:rFonts w:cs="Times New Roman"/>
          <w:lang w:val="en-GB"/>
        </w:rPr>
        <w:t xml:space="preserve">Skeletal ossification and the adolescent growth spurt. </w:t>
      </w:r>
      <w:r w:rsidRPr="00CE5381">
        <w:rPr>
          <w:rFonts w:cs="Times New Roman"/>
          <w:i/>
          <w:lang w:val="en-GB"/>
        </w:rPr>
        <w:t>American Journal of Orthodontics and Dentofacial Orthopedics</w:t>
      </w:r>
      <w:r w:rsidRPr="00CE5381">
        <w:rPr>
          <w:rFonts w:cs="Times New Roman"/>
          <w:lang w:val="en-GB"/>
        </w:rPr>
        <w:t xml:space="preserve"> 69, 611–619.</w:t>
      </w:r>
    </w:p>
    <w:p w14:paraId="38466AA5" w14:textId="77777777" w:rsidR="00CE5381" w:rsidRPr="00CE5381" w:rsidRDefault="00CE5381" w:rsidP="00CE5381">
      <w:pPr>
        <w:pStyle w:val="NoSpacing"/>
        <w:rPr>
          <w:rFonts w:cs="Times New Roman"/>
          <w:lang w:val="en-GB"/>
        </w:rPr>
      </w:pPr>
    </w:p>
    <w:p w14:paraId="0075FBEF" w14:textId="77777777" w:rsidR="00CE5381" w:rsidRPr="00CE5381" w:rsidRDefault="00CE5381" w:rsidP="00CE5381">
      <w:pPr>
        <w:pStyle w:val="NoSpacing"/>
        <w:rPr>
          <w:rFonts w:cs="Times New Roman"/>
          <w:bCs/>
          <w:lang w:val="en-GB"/>
        </w:rPr>
      </w:pPr>
      <w:r w:rsidRPr="00CE5381">
        <w:rPr>
          <w:rFonts w:cs="Times New Roman"/>
          <w:bCs/>
          <w:lang w:val="en-GB"/>
        </w:rPr>
        <w:t xml:space="preserve">Griffioen, A. (2011). </w:t>
      </w:r>
      <w:r w:rsidRPr="00CE5381">
        <w:rPr>
          <w:rFonts w:cs="Times New Roman"/>
          <w:bCs/>
          <w:i/>
          <w:lang w:val="en-GB"/>
        </w:rPr>
        <w:t xml:space="preserve">Inventariserend veldonderzoek te Middenbeemster, Middenweg 148. Hollandia reeks 346. </w:t>
      </w:r>
      <w:r w:rsidRPr="00CE5381">
        <w:rPr>
          <w:rFonts w:cs="Times New Roman"/>
          <w:bCs/>
          <w:lang w:val="en-GB"/>
        </w:rPr>
        <w:t>Zaandijk (NL): Hollandia Archeologen Zaandijk bv.</w:t>
      </w:r>
    </w:p>
    <w:p w14:paraId="494EB7F2" w14:textId="77777777" w:rsidR="00CE5381" w:rsidRPr="00CE5381" w:rsidRDefault="00CE5381" w:rsidP="00CE5381">
      <w:pPr>
        <w:pStyle w:val="NoSpacing"/>
        <w:rPr>
          <w:rFonts w:cs="Times New Roman"/>
          <w:lang w:val="en-GB"/>
        </w:rPr>
      </w:pPr>
    </w:p>
    <w:p w14:paraId="6BF39AA0" w14:textId="77777777" w:rsidR="00CE5381" w:rsidRPr="00CE5381" w:rsidRDefault="00CE5381" w:rsidP="00CE5381">
      <w:pPr>
        <w:autoSpaceDE w:val="0"/>
        <w:autoSpaceDN w:val="0"/>
        <w:adjustRightInd w:val="0"/>
        <w:spacing w:after="0" w:line="360" w:lineRule="auto"/>
        <w:jc w:val="both"/>
        <w:rPr>
          <w:rFonts w:ascii="Times New Roman" w:hAnsi="Times New Roman" w:cs="Times New Roman"/>
        </w:rPr>
      </w:pPr>
      <w:r w:rsidRPr="00CE5381">
        <w:rPr>
          <w:rFonts w:ascii="Times New Roman" w:hAnsi="Times New Roman" w:cs="Times New Roman"/>
        </w:rPr>
        <w:lastRenderedPageBreak/>
        <w:t xml:space="preserve">Griffioen, A., Lemmers, S., Schats, R. Waters-Rist, A.L., &amp; Hoogland, M.L.P. (2012). Middenbeemster|Middenweg 148, in TGV teksten &amp; presentatie Leiden (eds), </w:t>
      </w:r>
      <w:r w:rsidRPr="00CE5381">
        <w:rPr>
          <w:rFonts w:ascii="Times New Roman" w:hAnsi="Times New Roman" w:cs="Times New Roman"/>
          <w:i/>
          <w:iCs/>
        </w:rPr>
        <w:t>De archeologische kroniek van Noord-Holland 2011</w:t>
      </w:r>
      <w:r w:rsidRPr="00CE5381">
        <w:rPr>
          <w:rFonts w:ascii="Times New Roman" w:hAnsi="Times New Roman" w:cs="Times New Roman"/>
        </w:rPr>
        <w:t>. Haarlem (NL): Provincie Noord-Holland, 60-64.</w:t>
      </w:r>
    </w:p>
    <w:p w14:paraId="7B7FDE03" w14:textId="77777777" w:rsidR="00CE5381" w:rsidRPr="00CE5381" w:rsidRDefault="00CE5381" w:rsidP="00CE5381">
      <w:pPr>
        <w:pStyle w:val="NoSpacing"/>
        <w:rPr>
          <w:rFonts w:cs="Times New Roman"/>
        </w:rPr>
      </w:pPr>
    </w:p>
    <w:p w14:paraId="73751CE3" w14:textId="77777777" w:rsidR="00CE5381" w:rsidRPr="00CE5381" w:rsidRDefault="00CE5381" w:rsidP="00CE5381">
      <w:pPr>
        <w:pStyle w:val="NoSpacing"/>
        <w:rPr>
          <w:rFonts w:eastAsia="Times New Roman" w:cs="Times New Roman"/>
          <w:bCs/>
          <w:lang w:eastAsia="nl-NL"/>
        </w:rPr>
      </w:pPr>
      <w:r w:rsidRPr="00CE5381">
        <w:rPr>
          <w:rFonts w:eastAsia="Times New Roman" w:cs="Times New Roman"/>
          <w:bCs/>
          <w:lang w:eastAsia="nl-NL"/>
        </w:rPr>
        <w:t xml:space="preserve">Gunning, J.H. (1918). </w:t>
      </w:r>
      <w:r w:rsidRPr="00CE5381">
        <w:rPr>
          <w:rFonts w:eastAsia="Times New Roman" w:cs="Times New Roman"/>
          <w:bCs/>
          <w:i/>
          <w:lang w:eastAsia="nl-NL"/>
        </w:rPr>
        <w:t>De Psychologie van den Jongen van 13-17 Jaar</w:t>
      </w:r>
      <w:r w:rsidRPr="00CE5381">
        <w:rPr>
          <w:rFonts w:eastAsia="Times New Roman" w:cs="Times New Roman"/>
          <w:bCs/>
          <w:lang w:eastAsia="nl-NL"/>
        </w:rPr>
        <w:t>. Utrecht (NL): Vereeniging “De Nederlandsche Padvinders”.</w:t>
      </w:r>
    </w:p>
    <w:p w14:paraId="6EE21DC8" w14:textId="77777777" w:rsidR="00CE5381" w:rsidRPr="00CE5381" w:rsidRDefault="00CE5381" w:rsidP="00CE5381">
      <w:pPr>
        <w:pStyle w:val="NoSpacing"/>
        <w:rPr>
          <w:rFonts w:cs="Times New Roman"/>
        </w:rPr>
      </w:pPr>
    </w:p>
    <w:p w14:paraId="739D8275" w14:textId="77777777" w:rsidR="00CE5381" w:rsidRPr="00CE5381" w:rsidRDefault="00CE5381" w:rsidP="00CE5381">
      <w:pPr>
        <w:pStyle w:val="NoSpacing"/>
        <w:rPr>
          <w:rFonts w:cs="Times New Roman"/>
        </w:rPr>
      </w:pPr>
      <w:r w:rsidRPr="00CE5381">
        <w:rPr>
          <w:rFonts w:cs="Times New Roman"/>
        </w:rPr>
        <w:t xml:space="preserve">Hägg, U., &amp; Taranger, J. (1982). </w:t>
      </w:r>
      <w:r w:rsidRPr="00CE5381">
        <w:rPr>
          <w:rFonts w:cs="Times New Roman"/>
          <w:lang w:val="en-GB"/>
        </w:rPr>
        <w:t xml:space="preserve">Maturation indicators and the pubertal growth spurt. </w:t>
      </w:r>
      <w:r w:rsidRPr="00CE5381">
        <w:rPr>
          <w:rFonts w:cs="Times New Roman"/>
          <w:i/>
        </w:rPr>
        <w:t>American Journal of Orthodontics and Dentofacial Orthopedics</w:t>
      </w:r>
      <w:r w:rsidRPr="00CE5381">
        <w:rPr>
          <w:rFonts w:cs="Times New Roman"/>
        </w:rPr>
        <w:t xml:space="preserve"> 82, 299–309. </w:t>
      </w:r>
    </w:p>
    <w:p w14:paraId="7CA2A5A1" w14:textId="77777777" w:rsidR="00CE5381" w:rsidRPr="00CE5381" w:rsidRDefault="00CE5381" w:rsidP="00CE5381">
      <w:pPr>
        <w:pStyle w:val="NoSpacing"/>
        <w:rPr>
          <w:rFonts w:cs="Times New Roman"/>
        </w:rPr>
      </w:pPr>
    </w:p>
    <w:p w14:paraId="06B91DAF" w14:textId="77777777" w:rsidR="00CE5381" w:rsidRPr="00CE5381" w:rsidRDefault="00CE5381" w:rsidP="00CE5381">
      <w:pPr>
        <w:autoSpaceDE w:val="0"/>
        <w:autoSpaceDN w:val="0"/>
        <w:adjustRightInd w:val="0"/>
        <w:spacing w:after="0" w:line="360" w:lineRule="auto"/>
        <w:jc w:val="both"/>
        <w:rPr>
          <w:rFonts w:ascii="Times New Roman" w:hAnsi="Times New Roman" w:cs="Times New Roman"/>
          <w:i/>
        </w:rPr>
      </w:pPr>
      <w:r w:rsidRPr="00CE5381">
        <w:rPr>
          <w:rFonts w:ascii="Times New Roman" w:hAnsi="Times New Roman" w:cs="Times New Roman"/>
        </w:rPr>
        <w:t xml:space="preserve">Hakvoort, A. (2013). </w:t>
      </w:r>
      <w:r w:rsidRPr="00CE5381">
        <w:rPr>
          <w:rFonts w:ascii="Times New Roman" w:hAnsi="Times New Roman" w:cs="Times New Roman"/>
          <w:i/>
        </w:rPr>
        <w:t xml:space="preserve">De begravingen bij de Keyserkerk te Middenbeemster. Middenbeemster kerkhof AO. </w:t>
      </w:r>
      <w:r w:rsidRPr="00CE5381">
        <w:rPr>
          <w:rFonts w:ascii="Times New Roman" w:hAnsi="Times New Roman" w:cs="Times New Roman"/>
          <w:i/>
          <w:iCs/>
        </w:rPr>
        <w:t xml:space="preserve">Hollandia reeks 464. </w:t>
      </w:r>
      <w:r w:rsidRPr="00CE5381">
        <w:rPr>
          <w:rFonts w:ascii="Times New Roman" w:hAnsi="Times New Roman" w:cs="Times New Roman"/>
        </w:rPr>
        <w:t>Zaandijk (NL): Hollandia Archeologen Zaandijk bv.</w:t>
      </w:r>
    </w:p>
    <w:p w14:paraId="06B4705C" w14:textId="77777777" w:rsidR="00CE5381" w:rsidRPr="00CE5381" w:rsidRDefault="00CE5381" w:rsidP="00CE5381">
      <w:pPr>
        <w:pStyle w:val="NoSpacing"/>
        <w:rPr>
          <w:rFonts w:cs="Times New Roman"/>
          <w:lang w:eastAsia="nl-NL"/>
        </w:rPr>
      </w:pPr>
    </w:p>
    <w:p w14:paraId="53472C39" w14:textId="77777777" w:rsidR="00CE5381" w:rsidRPr="00CE5381" w:rsidRDefault="00CE5381" w:rsidP="00CE5381">
      <w:pPr>
        <w:pStyle w:val="NoSpacing"/>
        <w:rPr>
          <w:rFonts w:cs="Times New Roman"/>
          <w:bCs/>
          <w:lang w:val="en-GB"/>
        </w:rPr>
      </w:pPr>
      <w:r w:rsidRPr="00CE5381">
        <w:rPr>
          <w:rFonts w:cs="Times New Roman"/>
          <w:bCs/>
          <w:lang w:val="en-GB"/>
        </w:rPr>
        <w:t xml:space="preserve">Henderson, C.Y., &amp; Padez, C. (2017). Testing times: identifying puberty in an identified skeletal sample. </w:t>
      </w:r>
      <w:r w:rsidRPr="00CE5381">
        <w:rPr>
          <w:rFonts w:cs="Times New Roman"/>
          <w:bCs/>
          <w:i/>
          <w:lang w:val="en-GB"/>
        </w:rPr>
        <w:t xml:space="preserve">Annals of Human Biology </w:t>
      </w:r>
      <w:r w:rsidRPr="00CE5381">
        <w:rPr>
          <w:rFonts w:cs="Times New Roman"/>
          <w:bCs/>
          <w:lang w:val="en-GB"/>
        </w:rPr>
        <w:t>44(4), 332-337.</w:t>
      </w:r>
    </w:p>
    <w:p w14:paraId="6C786663" w14:textId="77777777" w:rsidR="00CE5381" w:rsidRPr="00CE5381" w:rsidRDefault="00CE5381" w:rsidP="00CE5381">
      <w:pPr>
        <w:pStyle w:val="NoSpacing"/>
        <w:rPr>
          <w:rFonts w:cs="Times New Roman"/>
          <w:lang w:val="en-GB" w:eastAsia="nl-NL"/>
        </w:rPr>
      </w:pPr>
    </w:p>
    <w:p w14:paraId="61FCE271" w14:textId="77777777" w:rsidR="00CE5381" w:rsidRPr="00CE5381" w:rsidRDefault="00CE5381" w:rsidP="00CE5381">
      <w:pPr>
        <w:pStyle w:val="NoSpacing"/>
        <w:rPr>
          <w:rFonts w:cs="Times New Roman"/>
          <w:bCs/>
          <w:lang w:val="en-GB" w:eastAsia="nl-NL"/>
        </w:rPr>
      </w:pPr>
      <w:r w:rsidRPr="00CE5381">
        <w:rPr>
          <w:rFonts w:cs="Times New Roman"/>
          <w:bCs/>
          <w:lang w:val="en-GB" w:eastAsia="nl-NL"/>
        </w:rPr>
        <w:t>Hewitt, D., &amp; Archeson, R. (1961). Some aspects of skeletal development through adolescence. II. The inter-relationship between skeletal maturation and growth at puberty. American Journal of Physical Anthropology 19(4), 333-344.</w:t>
      </w:r>
    </w:p>
    <w:p w14:paraId="3D87FA45" w14:textId="77777777" w:rsidR="00CE5381" w:rsidRPr="00CE5381" w:rsidRDefault="00CE5381" w:rsidP="00CE5381">
      <w:pPr>
        <w:pStyle w:val="NoSpacing"/>
        <w:rPr>
          <w:rFonts w:cs="Times New Roman"/>
          <w:lang w:val="en-GB" w:eastAsia="nl-NL"/>
        </w:rPr>
      </w:pPr>
    </w:p>
    <w:p w14:paraId="2498EE27" w14:textId="77777777" w:rsidR="00CE5381" w:rsidRPr="00CE5381" w:rsidRDefault="00CE5381" w:rsidP="00CE5381">
      <w:pPr>
        <w:autoSpaceDE w:val="0"/>
        <w:autoSpaceDN w:val="0"/>
        <w:adjustRightInd w:val="0"/>
        <w:spacing w:after="0" w:line="360" w:lineRule="auto"/>
        <w:jc w:val="both"/>
        <w:rPr>
          <w:rFonts w:ascii="Times New Roman" w:eastAsiaTheme="minorEastAsia" w:hAnsi="Times New Roman" w:cs="Times New Roman"/>
          <w:sz w:val="21"/>
          <w:szCs w:val="21"/>
          <w:lang w:val="en-GB" w:eastAsia="zh-CN"/>
        </w:rPr>
      </w:pPr>
      <w:r w:rsidRPr="00CE5381">
        <w:rPr>
          <w:rFonts w:ascii="Times New Roman" w:eastAsiaTheme="minorEastAsia" w:hAnsi="Times New Roman" w:cs="Times New Roman"/>
          <w:sz w:val="21"/>
          <w:szCs w:val="21"/>
          <w:lang w:val="en-GB" w:eastAsia="zh-CN"/>
        </w:rPr>
        <w:t xml:space="preserve">Hillson, S., (2008). Dental Pathology, in Katzenberg, M.A. &amp; Saunders, S.R. (eds.), </w:t>
      </w:r>
      <w:r w:rsidRPr="00CE5381">
        <w:rPr>
          <w:rFonts w:ascii="Times New Roman" w:eastAsiaTheme="minorEastAsia" w:hAnsi="Times New Roman" w:cs="Times New Roman"/>
          <w:i/>
          <w:iCs/>
          <w:sz w:val="21"/>
          <w:szCs w:val="21"/>
          <w:lang w:val="en-GB" w:eastAsia="zh-CN"/>
        </w:rPr>
        <w:t>Biological Anthropology of the Human Skeleton</w:t>
      </w:r>
      <w:r w:rsidRPr="00CE5381">
        <w:rPr>
          <w:rFonts w:ascii="Times New Roman" w:eastAsiaTheme="minorEastAsia" w:hAnsi="Times New Roman" w:cs="Times New Roman"/>
          <w:sz w:val="21"/>
          <w:szCs w:val="21"/>
          <w:lang w:val="en-GB" w:eastAsia="zh-CN"/>
        </w:rPr>
        <w:t>. John Wiley &amp; Sons, Inc.: Hoboken, New Jersey (USA). p. 301-340.</w:t>
      </w:r>
    </w:p>
    <w:p w14:paraId="19F513C7" w14:textId="77777777" w:rsidR="00CE5381" w:rsidRPr="00CE5381" w:rsidRDefault="00CE5381" w:rsidP="00CE5381">
      <w:pPr>
        <w:autoSpaceDE w:val="0"/>
        <w:autoSpaceDN w:val="0"/>
        <w:adjustRightInd w:val="0"/>
        <w:spacing w:after="0" w:line="360" w:lineRule="auto"/>
        <w:jc w:val="both"/>
        <w:rPr>
          <w:rFonts w:ascii="Times New Roman" w:eastAsiaTheme="minorEastAsia" w:hAnsi="Times New Roman" w:cs="Times New Roman"/>
          <w:sz w:val="21"/>
          <w:szCs w:val="21"/>
          <w:lang w:val="en-GB" w:eastAsia="zh-CN"/>
        </w:rPr>
      </w:pPr>
    </w:p>
    <w:p w14:paraId="6A048950" w14:textId="77777777" w:rsidR="00CE5381" w:rsidRPr="00CE5381" w:rsidRDefault="00CE5381" w:rsidP="00CE5381">
      <w:pPr>
        <w:autoSpaceDE w:val="0"/>
        <w:autoSpaceDN w:val="0"/>
        <w:adjustRightInd w:val="0"/>
        <w:spacing w:after="0" w:line="360" w:lineRule="auto"/>
        <w:jc w:val="both"/>
        <w:rPr>
          <w:rFonts w:ascii="Times New Roman" w:hAnsi="Times New Roman" w:cs="Times New Roman"/>
          <w:szCs w:val="21"/>
          <w:lang w:val="en-US"/>
        </w:rPr>
      </w:pPr>
      <w:r w:rsidRPr="00CE5381">
        <w:rPr>
          <w:rFonts w:ascii="Times New Roman" w:hAnsi="Times New Roman" w:cs="Times New Roman"/>
          <w:szCs w:val="21"/>
          <w:lang w:val="en-US"/>
        </w:rPr>
        <w:t xml:space="preserve">Hillson, S., Grigson, C. &amp; Bond, S. (1998). Dental defects of congenital syphilis. </w:t>
      </w:r>
      <w:r w:rsidRPr="00CE5381">
        <w:rPr>
          <w:rFonts w:ascii="Times New Roman" w:hAnsi="Times New Roman" w:cs="Times New Roman"/>
          <w:i/>
          <w:szCs w:val="21"/>
          <w:lang w:val="en-US"/>
        </w:rPr>
        <w:t>American Journal of Physical Anthropology</w:t>
      </w:r>
      <w:r w:rsidRPr="00CE5381">
        <w:rPr>
          <w:rFonts w:ascii="Times New Roman" w:hAnsi="Times New Roman" w:cs="Times New Roman"/>
          <w:iCs/>
          <w:szCs w:val="21"/>
          <w:lang w:val="en-US"/>
        </w:rPr>
        <w:t>,</w:t>
      </w:r>
      <w:r w:rsidRPr="00CE5381">
        <w:rPr>
          <w:rFonts w:ascii="Times New Roman" w:hAnsi="Times New Roman" w:cs="Times New Roman"/>
          <w:szCs w:val="21"/>
          <w:lang w:val="en-US"/>
        </w:rPr>
        <w:t xml:space="preserve"> 1998, 25–40.</w:t>
      </w:r>
    </w:p>
    <w:p w14:paraId="4B14C1F7" w14:textId="77777777" w:rsidR="00CE5381" w:rsidRPr="00CE5381" w:rsidRDefault="00CE5381" w:rsidP="00CE5381">
      <w:pPr>
        <w:pStyle w:val="NoSpacing"/>
        <w:rPr>
          <w:rFonts w:cs="Times New Roman"/>
          <w:lang w:val="en-US" w:eastAsia="nl-NL"/>
        </w:rPr>
      </w:pPr>
    </w:p>
    <w:p w14:paraId="7661FCE4" w14:textId="77777777" w:rsidR="00CE5381" w:rsidRPr="00CE5381" w:rsidRDefault="00CE5381" w:rsidP="00CE5381">
      <w:pPr>
        <w:pStyle w:val="NoSpacing"/>
        <w:rPr>
          <w:rFonts w:cs="Times New Roman"/>
          <w:bCs/>
          <w:lang w:val="en-GB" w:eastAsia="nl-NL"/>
        </w:rPr>
      </w:pPr>
      <w:r w:rsidRPr="00CE5381">
        <w:rPr>
          <w:rFonts w:cs="Times New Roman"/>
          <w:bCs/>
          <w:lang w:val="en-GB" w:eastAsia="nl-NL"/>
        </w:rPr>
        <w:t xml:space="preserve">Hillson, S. (1996). </w:t>
      </w:r>
      <w:r w:rsidRPr="00CE5381">
        <w:rPr>
          <w:rFonts w:cs="Times New Roman"/>
          <w:bCs/>
          <w:i/>
          <w:iCs/>
          <w:lang w:val="en-GB" w:eastAsia="nl-NL"/>
        </w:rPr>
        <w:t xml:space="preserve">Dental Anthropology. </w:t>
      </w:r>
      <w:r w:rsidRPr="00CE5381">
        <w:rPr>
          <w:rFonts w:cs="Times New Roman"/>
          <w:bCs/>
          <w:lang w:val="en-GB" w:eastAsia="nl-NL"/>
        </w:rPr>
        <w:t>Cambridge University Press: Cambridge.</w:t>
      </w:r>
    </w:p>
    <w:p w14:paraId="282FA0B4" w14:textId="77777777" w:rsidR="00CE5381" w:rsidRPr="00CE5381" w:rsidRDefault="00CE5381" w:rsidP="00CE5381">
      <w:pPr>
        <w:pStyle w:val="NoSpacing"/>
        <w:rPr>
          <w:rFonts w:cs="Times New Roman"/>
          <w:lang w:val="en-GB" w:eastAsia="nl-NL"/>
        </w:rPr>
      </w:pPr>
    </w:p>
    <w:p w14:paraId="4634E631" w14:textId="77777777" w:rsidR="00CE5381" w:rsidRPr="00CE5381" w:rsidRDefault="00CE5381" w:rsidP="00CE5381">
      <w:pPr>
        <w:pStyle w:val="NoSpacing"/>
        <w:rPr>
          <w:rFonts w:cs="Times New Roman"/>
          <w:bCs/>
        </w:rPr>
      </w:pPr>
      <w:r w:rsidRPr="00CE5381">
        <w:rPr>
          <w:rFonts w:cs="Times New Roman"/>
          <w:bCs/>
          <w:lang w:val="en-GB"/>
        </w:rPr>
        <w:t xml:space="preserve">Hochberg, Z., &amp; Belsky, J. (2013). Evo-devo of human adolescence: beyond disease models of early puberty. </w:t>
      </w:r>
      <w:r w:rsidRPr="00CE5381">
        <w:rPr>
          <w:rFonts w:cs="Times New Roman"/>
          <w:bCs/>
          <w:i/>
        </w:rPr>
        <w:t>BioMed Central Medical</w:t>
      </w:r>
      <w:r w:rsidRPr="00CE5381">
        <w:rPr>
          <w:rFonts w:cs="Times New Roman"/>
          <w:bCs/>
        </w:rPr>
        <w:t xml:space="preserve"> 11(113), 2-11.</w:t>
      </w:r>
    </w:p>
    <w:p w14:paraId="766FC69B" w14:textId="77777777" w:rsidR="00CE5381" w:rsidRPr="00CE5381" w:rsidRDefault="00CE5381" w:rsidP="00CE5381">
      <w:pPr>
        <w:pStyle w:val="NoSpacing"/>
        <w:rPr>
          <w:rFonts w:cs="Times New Roman"/>
        </w:rPr>
      </w:pPr>
    </w:p>
    <w:p w14:paraId="39231C39" w14:textId="77777777" w:rsidR="00CE5381" w:rsidRPr="00CE5381" w:rsidRDefault="00CE5381" w:rsidP="00CE5381">
      <w:pPr>
        <w:autoSpaceDE w:val="0"/>
        <w:autoSpaceDN w:val="0"/>
        <w:adjustRightInd w:val="0"/>
        <w:spacing w:after="0" w:line="360" w:lineRule="auto"/>
        <w:jc w:val="both"/>
        <w:rPr>
          <w:rFonts w:ascii="Times New Roman" w:hAnsi="Times New Roman" w:cs="Times New Roman"/>
        </w:rPr>
      </w:pPr>
      <w:r w:rsidRPr="00CE5381">
        <w:rPr>
          <w:rFonts w:ascii="Times New Roman" w:hAnsi="Times New Roman" w:cs="Times New Roman"/>
        </w:rPr>
        <w:t xml:space="preserve">Hofstee, E.W. (1981). </w:t>
      </w:r>
      <w:r w:rsidRPr="00CE5381">
        <w:rPr>
          <w:rFonts w:ascii="Times New Roman" w:hAnsi="Times New Roman" w:cs="Times New Roman"/>
          <w:i/>
        </w:rPr>
        <w:t>Korte Demografische Geschiedenis van Nederland van 1800 to Heden</w:t>
      </w:r>
      <w:r w:rsidRPr="00CE5381">
        <w:rPr>
          <w:rFonts w:ascii="Times New Roman" w:hAnsi="Times New Roman" w:cs="Times New Roman"/>
        </w:rPr>
        <w:t>. Bussum (NL): Unieboek B.V.</w:t>
      </w:r>
    </w:p>
    <w:p w14:paraId="12FE908D" w14:textId="77777777" w:rsidR="00CE5381" w:rsidRPr="00CE5381" w:rsidRDefault="00CE5381" w:rsidP="00CE5381">
      <w:pPr>
        <w:pStyle w:val="NoSpacing"/>
        <w:rPr>
          <w:rFonts w:cs="Times New Roman"/>
        </w:rPr>
      </w:pPr>
    </w:p>
    <w:p w14:paraId="4AFC1C88" w14:textId="77777777" w:rsidR="00CE5381" w:rsidRPr="00CE5381" w:rsidRDefault="00CE5381" w:rsidP="00CE5381">
      <w:pPr>
        <w:pStyle w:val="NoSpacing"/>
        <w:rPr>
          <w:rFonts w:cs="Times New Roman"/>
          <w:bCs/>
          <w:lang w:val="en-GB"/>
        </w:rPr>
      </w:pPr>
      <w:r w:rsidRPr="00CE5381">
        <w:rPr>
          <w:rFonts w:cs="Times New Roman"/>
          <w:bCs/>
        </w:rPr>
        <w:t xml:space="preserve">Ikaraoha, C.I., Mbadiwe, I.N.C., Igwe, C.U., Allagua, D.O., Mezie, O., Iwo, G.T.O., &amp; Ofori, P.I. (2005). </w:t>
      </w:r>
      <w:r w:rsidRPr="00CE5381">
        <w:rPr>
          <w:rFonts w:cs="Times New Roman"/>
          <w:bCs/>
          <w:lang w:val="en-GB"/>
        </w:rPr>
        <w:t xml:space="preserve">Menarchial age of secondary school girls in urban and rural areas of Rivers State, Nigeria. </w:t>
      </w:r>
      <w:r w:rsidRPr="00CE5381">
        <w:rPr>
          <w:rFonts w:cs="Times New Roman"/>
          <w:bCs/>
          <w:i/>
          <w:iCs/>
          <w:lang w:val="en-GB"/>
        </w:rPr>
        <w:t xml:space="preserve">Online Journal of Health and Allied Sciences </w:t>
      </w:r>
      <w:r w:rsidRPr="00CE5381">
        <w:rPr>
          <w:rFonts w:cs="Times New Roman"/>
          <w:bCs/>
          <w:lang w:val="en-GB"/>
        </w:rPr>
        <w:t>4(2).</w:t>
      </w:r>
    </w:p>
    <w:p w14:paraId="44DF66CC" w14:textId="77777777" w:rsidR="00CE5381" w:rsidRPr="00CE5381" w:rsidRDefault="00CE5381" w:rsidP="00CE5381">
      <w:pPr>
        <w:pStyle w:val="NoSpacing"/>
        <w:rPr>
          <w:rFonts w:cs="Times New Roman"/>
          <w:lang w:val="en-GB"/>
        </w:rPr>
      </w:pPr>
    </w:p>
    <w:p w14:paraId="49776E56" w14:textId="77777777" w:rsidR="00CE5381" w:rsidRPr="00CE5381" w:rsidRDefault="00CE5381" w:rsidP="00CE5381">
      <w:pPr>
        <w:pStyle w:val="NoSpacing"/>
        <w:rPr>
          <w:rFonts w:cs="Times New Roman"/>
          <w:bCs/>
          <w:lang w:val="en-GB"/>
        </w:rPr>
      </w:pPr>
      <w:r w:rsidRPr="00CE5381">
        <w:rPr>
          <w:rFonts w:cs="Times New Roman"/>
          <w:bCs/>
          <w:lang w:val="en-GB"/>
        </w:rPr>
        <w:t xml:space="preserve">İşcan, M.Y., Loth, S.R., &amp; Wright, R.K. (1984). Metamorphosis at the Sternal Rib End: A New Method to Estimate Age at Death in White Males. </w:t>
      </w:r>
      <w:r w:rsidRPr="00CE5381">
        <w:rPr>
          <w:rFonts w:cs="Times New Roman"/>
          <w:bCs/>
          <w:i/>
          <w:lang w:val="en-GB"/>
        </w:rPr>
        <w:t xml:space="preserve">American Journal of Physical Anthropology </w:t>
      </w:r>
      <w:r w:rsidRPr="00CE5381">
        <w:rPr>
          <w:rFonts w:cs="Times New Roman"/>
          <w:bCs/>
          <w:lang w:val="en-GB"/>
        </w:rPr>
        <w:t>65(2), 147-156.</w:t>
      </w:r>
    </w:p>
    <w:p w14:paraId="05D0A500" w14:textId="77777777" w:rsidR="00CE5381" w:rsidRPr="00CE5381" w:rsidRDefault="00CE5381" w:rsidP="00CE5381">
      <w:pPr>
        <w:pStyle w:val="NoSpacing"/>
        <w:rPr>
          <w:rFonts w:cs="Times New Roman"/>
          <w:lang w:val="en-GB" w:eastAsia="nl-NL"/>
        </w:rPr>
      </w:pPr>
    </w:p>
    <w:p w14:paraId="3056969E" w14:textId="77777777" w:rsidR="00CE5381" w:rsidRPr="00CE5381" w:rsidRDefault="00CE5381" w:rsidP="00CE5381">
      <w:pPr>
        <w:pStyle w:val="NoSpacing"/>
        <w:rPr>
          <w:rFonts w:cs="Times New Roman"/>
          <w:bCs/>
          <w:lang w:val="en-GB" w:eastAsia="nl-NL"/>
        </w:rPr>
      </w:pPr>
      <w:r w:rsidRPr="00CE5381">
        <w:rPr>
          <w:rFonts w:cs="Times New Roman"/>
          <w:bCs/>
          <w:lang w:val="en-GB" w:eastAsia="nl-NL"/>
        </w:rPr>
        <w:t>İşcan, M.Y., and S.R. Loth. 1986. Determination of age from the sternal rib in white males: a test of the phase method. Journal of Forensic Science 31 (1):122-132.</w:t>
      </w:r>
    </w:p>
    <w:p w14:paraId="04DCE5EC" w14:textId="77777777" w:rsidR="00CE5381" w:rsidRPr="00CE5381" w:rsidRDefault="00CE5381" w:rsidP="00CE5381">
      <w:pPr>
        <w:pStyle w:val="NoSpacing"/>
        <w:rPr>
          <w:rFonts w:cs="Times New Roman"/>
          <w:bCs/>
          <w:lang w:val="en-GB" w:eastAsia="nl-NL"/>
        </w:rPr>
      </w:pPr>
    </w:p>
    <w:p w14:paraId="296D3CE4" w14:textId="77777777" w:rsidR="00CE5381" w:rsidRPr="00CE5381" w:rsidRDefault="00CE5381" w:rsidP="00CE5381">
      <w:pPr>
        <w:pStyle w:val="NoSpacing"/>
        <w:rPr>
          <w:rFonts w:cs="Times New Roman"/>
          <w:bCs/>
          <w:lang w:val="en-GB" w:eastAsia="nl-NL"/>
        </w:rPr>
      </w:pPr>
      <w:r w:rsidRPr="00CE5381">
        <w:rPr>
          <w:rFonts w:cs="Times New Roman"/>
          <w:bCs/>
          <w:lang w:val="en-GB" w:eastAsia="nl-NL"/>
        </w:rPr>
        <w:t>İşcan, M.Y., S.R. Loth, and E.H. Scheuerman. 1987. Determination of age from the sternal rib of white females: a test of the phase method. Journal of Forensic Sciences 31 (3):990-999.</w:t>
      </w:r>
    </w:p>
    <w:p w14:paraId="5EC5CC78" w14:textId="77777777" w:rsidR="00CE5381" w:rsidRPr="00CE5381" w:rsidRDefault="00CE5381" w:rsidP="00CE5381">
      <w:pPr>
        <w:pStyle w:val="NoSpacing"/>
        <w:rPr>
          <w:rFonts w:cs="Times New Roman"/>
          <w:lang w:val="en-GB" w:eastAsia="nl-NL"/>
        </w:rPr>
      </w:pPr>
    </w:p>
    <w:p w14:paraId="65420909" w14:textId="77777777" w:rsidR="00CE5381" w:rsidRPr="00CE5381" w:rsidRDefault="00CE5381" w:rsidP="00CE5381">
      <w:pPr>
        <w:pStyle w:val="NoSpacing"/>
        <w:rPr>
          <w:rFonts w:cs="Times New Roman"/>
          <w:bCs/>
        </w:rPr>
      </w:pPr>
      <w:r w:rsidRPr="00CE5381">
        <w:rPr>
          <w:rFonts w:cs="Times New Roman"/>
          <w:bCs/>
          <w:lang w:val="en-GB"/>
        </w:rPr>
        <w:t xml:space="preserve">Kellermann-Slotemaker, J.P. (1924). </w:t>
      </w:r>
      <w:r w:rsidRPr="00CE5381">
        <w:rPr>
          <w:rFonts w:cs="Times New Roman"/>
          <w:bCs/>
          <w:i/>
          <w:lang w:val="en-GB"/>
        </w:rPr>
        <w:t>Vulvovaginitis gonorrhoica infantum</w:t>
      </w:r>
      <w:r w:rsidRPr="00CE5381">
        <w:rPr>
          <w:rFonts w:cs="Times New Roman"/>
          <w:bCs/>
          <w:lang w:val="en-GB"/>
        </w:rPr>
        <w:t xml:space="preserve">. </w:t>
      </w:r>
      <w:r w:rsidRPr="00CE5381">
        <w:rPr>
          <w:rFonts w:cs="Times New Roman"/>
          <w:bCs/>
          <w:lang w:val="en-US"/>
        </w:rPr>
        <w:t xml:space="preserve">Published thesis from the University of Utrecht. </w:t>
      </w:r>
      <w:r w:rsidRPr="00CE5381">
        <w:rPr>
          <w:rFonts w:cs="Times New Roman"/>
          <w:bCs/>
        </w:rPr>
        <w:t>Amsterdam (NL): Allert de Lange.</w:t>
      </w:r>
    </w:p>
    <w:p w14:paraId="31617842" w14:textId="77777777" w:rsidR="00CE5381" w:rsidRPr="00CE5381" w:rsidRDefault="00CE5381" w:rsidP="00CE5381">
      <w:pPr>
        <w:pStyle w:val="NoSpacing"/>
        <w:rPr>
          <w:rFonts w:cs="Times New Roman"/>
          <w:bCs/>
        </w:rPr>
      </w:pPr>
    </w:p>
    <w:p w14:paraId="034F5B97" w14:textId="77777777" w:rsidR="00CE5381" w:rsidRPr="00CE5381" w:rsidRDefault="00CE5381" w:rsidP="00CE5381">
      <w:pPr>
        <w:pStyle w:val="NoSpacing"/>
        <w:rPr>
          <w:rFonts w:cs="Times New Roman"/>
          <w:bCs/>
        </w:rPr>
      </w:pPr>
      <w:r w:rsidRPr="00CE5381">
        <w:rPr>
          <w:rFonts w:cs="Times New Roman"/>
          <w:lang w:eastAsia="nl-NL"/>
        </w:rPr>
        <w:t>Kurpershoek, E. (2012). Armen, weeskinderen en zieken: Liefdadigheid en sociale zorg.</w:t>
      </w:r>
      <w:bookmarkStart w:id="24" w:name="_Hlk502486128"/>
      <w:r w:rsidRPr="00CE5381">
        <w:rPr>
          <w:rFonts w:cs="Times New Roman"/>
          <w:lang w:eastAsia="nl-NL"/>
        </w:rPr>
        <w:t xml:space="preserve"> K. Bossaers &amp; C. Misset (Eds.), </w:t>
      </w:r>
      <w:r w:rsidRPr="00CE5381">
        <w:rPr>
          <w:rFonts w:cs="Times New Roman"/>
          <w:i/>
          <w:lang w:eastAsia="nl-NL"/>
        </w:rPr>
        <w:t xml:space="preserve">1612-2012: 400 jaar Beemster. </w:t>
      </w:r>
      <w:r w:rsidRPr="00CE5381">
        <w:rPr>
          <w:rFonts w:cs="Times New Roman"/>
          <w:lang w:eastAsia="nl-NL"/>
        </w:rPr>
        <w:t>Wormerveer (NL): Stichting Uitgeverij Noord-Holland, 252-271.</w:t>
      </w:r>
      <w:bookmarkEnd w:id="24"/>
    </w:p>
    <w:p w14:paraId="16795AA4" w14:textId="77777777" w:rsidR="00CE5381" w:rsidRPr="00CE5381" w:rsidRDefault="00CE5381" w:rsidP="00CE5381">
      <w:pPr>
        <w:pStyle w:val="NoSpacing"/>
        <w:rPr>
          <w:rFonts w:cs="Times New Roman"/>
          <w:lang w:eastAsia="nl-NL"/>
        </w:rPr>
      </w:pPr>
    </w:p>
    <w:p w14:paraId="4897148E" w14:textId="77777777" w:rsidR="00CE5381" w:rsidRPr="00CE5381" w:rsidRDefault="00CE5381" w:rsidP="00CE5381">
      <w:pPr>
        <w:pStyle w:val="NoSpacing"/>
        <w:rPr>
          <w:rFonts w:cs="Times New Roman"/>
          <w:bCs/>
          <w:lang w:val="en-US"/>
        </w:rPr>
      </w:pPr>
      <w:r w:rsidRPr="00CE5381">
        <w:rPr>
          <w:rFonts w:cs="Times New Roman"/>
          <w:bCs/>
          <w:lang w:val="de-DE"/>
        </w:rPr>
        <w:t xml:space="preserve">Landis, J.R., &amp; Koch, G.G. (1977). </w:t>
      </w:r>
      <w:r w:rsidRPr="00CE5381">
        <w:rPr>
          <w:rFonts w:cs="Times New Roman"/>
          <w:bCs/>
          <w:lang w:val="en-GB"/>
        </w:rPr>
        <w:t xml:space="preserve">The Measurement of Observer Agreement for Categorical Data. </w:t>
      </w:r>
      <w:r w:rsidRPr="00CE5381">
        <w:rPr>
          <w:rFonts w:cs="Times New Roman"/>
          <w:bCs/>
          <w:i/>
          <w:lang w:val="en-US"/>
        </w:rPr>
        <w:t xml:space="preserve">Biometrics </w:t>
      </w:r>
      <w:r w:rsidRPr="00CE5381">
        <w:rPr>
          <w:rFonts w:cs="Times New Roman"/>
          <w:bCs/>
          <w:lang w:val="en-US"/>
        </w:rPr>
        <w:t>33(1), 159-174.</w:t>
      </w:r>
    </w:p>
    <w:p w14:paraId="66FC674C" w14:textId="77777777" w:rsidR="00CE5381" w:rsidRPr="00CE5381" w:rsidRDefault="00CE5381" w:rsidP="00CE5381">
      <w:pPr>
        <w:pStyle w:val="NoSpacing"/>
        <w:rPr>
          <w:rFonts w:cs="Times New Roman"/>
          <w:lang w:val="en-US" w:eastAsia="nl-NL"/>
        </w:rPr>
      </w:pPr>
    </w:p>
    <w:p w14:paraId="7C13B508" w14:textId="77777777" w:rsidR="00CE5381" w:rsidRPr="00CE5381" w:rsidRDefault="00CE5381" w:rsidP="00CE5381">
      <w:pPr>
        <w:pStyle w:val="NoSpacing"/>
        <w:rPr>
          <w:rFonts w:cs="Times New Roman"/>
          <w:shd w:val="clear" w:color="auto" w:fill="FFFFFF"/>
          <w:lang w:val="en-US"/>
        </w:rPr>
      </w:pPr>
      <w:r w:rsidRPr="00CE5381">
        <w:rPr>
          <w:rFonts w:cs="Times New Roman"/>
          <w:shd w:val="clear" w:color="auto" w:fill="FFFFFF"/>
          <w:lang w:val="en-US"/>
        </w:rPr>
        <w:t>Lee, EY., Pabayo, R., &amp; Kawachi, I. (2016). Timing of spermarche and menarche are associated with physical activity and sedentary behavior among Korean adolescents. </w:t>
      </w:r>
      <w:r w:rsidRPr="00CE5381">
        <w:rPr>
          <w:rFonts w:cs="Times New Roman"/>
          <w:i/>
          <w:iCs/>
          <w:shd w:val="clear" w:color="auto" w:fill="FFFFFF"/>
          <w:lang w:val="en-US"/>
        </w:rPr>
        <w:t>Osong public health and research perspectives</w:t>
      </w:r>
      <w:r w:rsidRPr="00CE5381">
        <w:rPr>
          <w:rFonts w:cs="Times New Roman"/>
          <w:shd w:val="clear" w:color="auto" w:fill="FFFFFF"/>
          <w:lang w:val="en-US"/>
        </w:rPr>
        <w:t> 7(4): 266-272.</w:t>
      </w:r>
    </w:p>
    <w:p w14:paraId="1B14FFBA" w14:textId="77777777" w:rsidR="00CE5381" w:rsidRPr="00CE5381" w:rsidRDefault="00CE5381" w:rsidP="00CE5381">
      <w:pPr>
        <w:pStyle w:val="NoSpacing"/>
        <w:rPr>
          <w:rFonts w:cs="Times New Roman"/>
          <w:lang w:val="en-US" w:eastAsia="nl-NL"/>
        </w:rPr>
      </w:pPr>
    </w:p>
    <w:p w14:paraId="0FA333F4" w14:textId="77777777" w:rsidR="00CE5381" w:rsidRPr="00CE5381" w:rsidRDefault="00CE5381" w:rsidP="00CE5381">
      <w:pPr>
        <w:pStyle w:val="NoSpacing"/>
        <w:rPr>
          <w:rFonts w:cs="Times New Roman"/>
          <w:bCs/>
          <w:lang w:eastAsia="nl-NL"/>
        </w:rPr>
      </w:pPr>
      <w:r w:rsidRPr="00CE5381">
        <w:rPr>
          <w:rFonts w:cs="Times New Roman"/>
          <w:bCs/>
          <w:lang w:val="en-GB" w:eastAsia="nl-NL"/>
        </w:rPr>
        <w:t xml:space="preserve">Lemmers, S.A.M., Schats, R., Hoogland, M.L.P., &amp; Waters-Rist, A.L. (2013). </w:t>
      </w:r>
      <w:r w:rsidRPr="00CE5381">
        <w:rPr>
          <w:rFonts w:cs="Times New Roman"/>
          <w:bCs/>
          <w:lang w:eastAsia="nl-NL"/>
        </w:rPr>
        <w:t xml:space="preserve">Fysisch Antropologische analyse Middenbeemster, in A. Hakvoort (ed), </w:t>
      </w:r>
      <w:r w:rsidRPr="00CE5381">
        <w:rPr>
          <w:rFonts w:cs="Times New Roman"/>
          <w:bCs/>
          <w:i/>
          <w:lang w:eastAsia="nl-NL"/>
        </w:rPr>
        <w:t>De begravingen bij de Keyserkerk te Middenbeemster</w:t>
      </w:r>
      <w:r w:rsidRPr="00CE5381">
        <w:rPr>
          <w:rFonts w:cs="Times New Roman"/>
          <w:bCs/>
          <w:lang w:eastAsia="nl-NL"/>
        </w:rPr>
        <w:t xml:space="preserve">. </w:t>
      </w:r>
      <w:r w:rsidRPr="00CE5381">
        <w:rPr>
          <w:rFonts w:cs="Times New Roman"/>
          <w:bCs/>
          <w:i/>
          <w:lang w:eastAsia="nl-NL"/>
        </w:rPr>
        <w:t xml:space="preserve">Middenbeemster kerkhof OA. </w:t>
      </w:r>
      <w:r w:rsidRPr="00CE5381">
        <w:rPr>
          <w:rFonts w:cs="Times New Roman"/>
          <w:bCs/>
          <w:i/>
        </w:rPr>
        <w:t xml:space="preserve">Hollandia reeks 464. </w:t>
      </w:r>
      <w:r w:rsidRPr="00CE5381">
        <w:rPr>
          <w:rFonts w:cs="Times New Roman"/>
          <w:bCs/>
        </w:rPr>
        <w:t xml:space="preserve">Zaandijk (NL): Hollandia Archeologen Zaandijk bv, </w:t>
      </w:r>
      <w:r w:rsidRPr="00CE5381">
        <w:rPr>
          <w:rFonts w:cs="Times New Roman"/>
          <w:bCs/>
          <w:lang w:eastAsia="nl-NL"/>
        </w:rPr>
        <w:t>35-60.</w:t>
      </w:r>
    </w:p>
    <w:p w14:paraId="030CBFA8" w14:textId="77777777" w:rsidR="00CE5381" w:rsidRPr="00CE5381" w:rsidRDefault="00CE5381" w:rsidP="00CE5381">
      <w:pPr>
        <w:pStyle w:val="NoSpacing"/>
        <w:rPr>
          <w:rFonts w:cs="Times New Roman"/>
          <w:lang w:eastAsia="nl-NL"/>
        </w:rPr>
      </w:pPr>
    </w:p>
    <w:p w14:paraId="1B21435C" w14:textId="77777777" w:rsidR="00CE5381" w:rsidRPr="00CE5381" w:rsidRDefault="00CE5381" w:rsidP="00CE5381">
      <w:pPr>
        <w:pStyle w:val="NoSpacing"/>
        <w:rPr>
          <w:rFonts w:cs="Times New Roman"/>
          <w:bCs/>
          <w:lang w:val="en-GB" w:eastAsia="nl-NL"/>
        </w:rPr>
      </w:pPr>
      <w:r w:rsidRPr="00CE5381">
        <w:rPr>
          <w:rFonts w:cs="Times New Roman"/>
          <w:bCs/>
          <w:lang w:val="en-GB" w:eastAsia="nl-NL"/>
        </w:rPr>
        <w:t xml:space="preserve">Lewis M.E. (2007). </w:t>
      </w:r>
      <w:r w:rsidRPr="00CE5381">
        <w:rPr>
          <w:rFonts w:cs="Times New Roman"/>
          <w:bCs/>
          <w:i/>
          <w:lang w:val="en-GB" w:eastAsia="nl-NL"/>
        </w:rPr>
        <w:t>The Bioarchaeology of Children: Perspectives from Biological and Forensic Anthropology</w:t>
      </w:r>
      <w:r w:rsidRPr="00CE5381">
        <w:rPr>
          <w:rFonts w:cs="Times New Roman"/>
          <w:bCs/>
          <w:lang w:val="en-GB" w:eastAsia="nl-NL"/>
        </w:rPr>
        <w:t xml:space="preserve">. Cambridge (UK): Cambridge University Press. </w:t>
      </w:r>
    </w:p>
    <w:p w14:paraId="6621E428" w14:textId="77777777" w:rsidR="00CE5381" w:rsidRPr="00CE5381" w:rsidRDefault="00CE5381" w:rsidP="00CE5381">
      <w:pPr>
        <w:autoSpaceDE w:val="0"/>
        <w:autoSpaceDN w:val="0"/>
        <w:adjustRightInd w:val="0"/>
        <w:spacing w:after="0" w:line="360" w:lineRule="auto"/>
        <w:jc w:val="both"/>
        <w:rPr>
          <w:rFonts w:ascii="Times New Roman" w:eastAsiaTheme="minorEastAsia" w:hAnsi="Times New Roman" w:cs="Times New Roman"/>
          <w:sz w:val="21"/>
          <w:szCs w:val="21"/>
          <w:lang w:val="en-GB" w:eastAsia="zh-CN"/>
        </w:rPr>
      </w:pPr>
    </w:p>
    <w:p w14:paraId="3D3ACB2B" w14:textId="77777777" w:rsidR="00CE5381" w:rsidRPr="00CE5381" w:rsidRDefault="00CE5381" w:rsidP="00CE5381">
      <w:pPr>
        <w:autoSpaceDE w:val="0"/>
        <w:autoSpaceDN w:val="0"/>
        <w:adjustRightInd w:val="0"/>
        <w:spacing w:after="0" w:line="360" w:lineRule="auto"/>
        <w:jc w:val="both"/>
        <w:rPr>
          <w:rFonts w:ascii="Times New Roman" w:hAnsi="Times New Roman" w:cs="Times New Roman"/>
          <w:szCs w:val="21"/>
          <w:lang w:val="en-GB"/>
        </w:rPr>
      </w:pPr>
      <w:r w:rsidRPr="00CE5381">
        <w:rPr>
          <w:rFonts w:ascii="Times New Roman" w:eastAsiaTheme="minorEastAsia" w:hAnsi="Times New Roman" w:cs="Times New Roman"/>
          <w:sz w:val="21"/>
          <w:szCs w:val="21"/>
          <w:lang w:val="en-GB" w:eastAsia="zh-CN"/>
        </w:rPr>
        <w:t xml:space="preserve">Lewis, M.E., (2018). </w:t>
      </w:r>
      <w:r w:rsidRPr="00CE5381">
        <w:rPr>
          <w:rFonts w:ascii="Times New Roman" w:eastAsiaTheme="minorEastAsia" w:hAnsi="Times New Roman" w:cs="Times New Roman"/>
          <w:i/>
          <w:iCs/>
          <w:sz w:val="21"/>
          <w:szCs w:val="21"/>
          <w:lang w:val="en-GB" w:eastAsia="zh-CN"/>
        </w:rPr>
        <w:t>Paleopathology of children: Identification of pathological conditions in the human skeletal remains of non-adults</w:t>
      </w:r>
      <w:r w:rsidRPr="00CE5381">
        <w:rPr>
          <w:rFonts w:ascii="Times New Roman" w:eastAsiaTheme="minorEastAsia" w:hAnsi="Times New Roman" w:cs="Times New Roman"/>
          <w:sz w:val="21"/>
          <w:szCs w:val="21"/>
          <w:lang w:val="en-GB" w:eastAsia="zh-CN"/>
        </w:rPr>
        <w:t>. London (UK): Elsevier Inc.: Academic Press.</w:t>
      </w:r>
    </w:p>
    <w:p w14:paraId="1390F509" w14:textId="77777777" w:rsidR="00CE5381" w:rsidRPr="00CE5381" w:rsidRDefault="00CE5381" w:rsidP="00CE5381">
      <w:pPr>
        <w:pStyle w:val="NoSpacing"/>
        <w:rPr>
          <w:rFonts w:cs="Times New Roman"/>
          <w:lang w:val="en-GB" w:eastAsia="nl-NL"/>
        </w:rPr>
      </w:pPr>
    </w:p>
    <w:p w14:paraId="3B150787" w14:textId="77777777" w:rsidR="00CE5381" w:rsidRPr="00CE5381" w:rsidRDefault="00CE5381" w:rsidP="00CE5381">
      <w:pPr>
        <w:pStyle w:val="NoSpacing"/>
        <w:rPr>
          <w:rFonts w:cs="Times New Roman"/>
          <w:bCs/>
          <w:lang w:val="en-GB" w:eastAsia="nl-NL"/>
        </w:rPr>
      </w:pPr>
      <w:r w:rsidRPr="00CE5381">
        <w:rPr>
          <w:rFonts w:cs="Times New Roman"/>
          <w:bCs/>
          <w:lang w:val="en-GB" w:eastAsia="nl-NL"/>
        </w:rPr>
        <w:lastRenderedPageBreak/>
        <w:t xml:space="preserve">Lewis, M.E., Shapland, R., &amp; Watts, R. (2016a). On the Threshold of Adulthood: A New Approach for the Use of Maturation Indicators to Assess Puberty in Adolescents from Medieval England. </w:t>
      </w:r>
      <w:r w:rsidRPr="00CE5381">
        <w:rPr>
          <w:rFonts w:cs="Times New Roman"/>
          <w:bCs/>
          <w:i/>
          <w:lang w:val="en-GB" w:eastAsia="nl-NL"/>
        </w:rPr>
        <w:t xml:space="preserve">American Journal of Human Biology </w:t>
      </w:r>
      <w:r w:rsidRPr="00CE5381">
        <w:rPr>
          <w:rFonts w:cs="Times New Roman"/>
          <w:bCs/>
          <w:lang w:val="en-GB" w:eastAsia="nl-NL"/>
        </w:rPr>
        <w:t>28, 48-56.</w:t>
      </w:r>
    </w:p>
    <w:p w14:paraId="30CE94CB" w14:textId="77777777" w:rsidR="00CE5381" w:rsidRPr="00CE5381" w:rsidRDefault="00CE5381" w:rsidP="00CE5381">
      <w:pPr>
        <w:pStyle w:val="NoSpacing"/>
        <w:rPr>
          <w:rFonts w:cs="Times New Roman"/>
          <w:lang w:val="en-GB" w:eastAsia="nl-NL"/>
        </w:rPr>
      </w:pPr>
    </w:p>
    <w:p w14:paraId="002F05EB" w14:textId="77777777" w:rsidR="00CE5381" w:rsidRPr="00CE5381" w:rsidRDefault="00CE5381" w:rsidP="00CE5381">
      <w:pPr>
        <w:pStyle w:val="NoSpacing"/>
        <w:rPr>
          <w:rFonts w:cs="Times New Roman"/>
          <w:bCs/>
          <w:lang w:val="en-GB" w:eastAsia="nl-NL"/>
        </w:rPr>
      </w:pPr>
      <w:r w:rsidRPr="00CE5381">
        <w:rPr>
          <w:rFonts w:cs="Times New Roman"/>
          <w:bCs/>
          <w:lang w:val="en-GB" w:eastAsia="nl-NL"/>
        </w:rPr>
        <w:t xml:space="preserve">Lewis, M.E., Shapland, F., &amp; Watts, R. (2016b). The influence of chronic conditions and the environment on pubertal development. An example from medieval England. </w:t>
      </w:r>
      <w:r w:rsidRPr="00CE5381">
        <w:rPr>
          <w:rFonts w:cs="Times New Roman"/>
          <w:bCs/>
          <w:i/>
          <w:lang w:val="en-GB" w:eastAsia="nl-NL"/>
        </w:rPr>
        <w:t xml:space="preserve">International Journal of Paleopathology </w:t>
      </w:r>
      <w:r w:rsidRPr="00CE5381">
        <w:rPr>
          <w:rFonts w:cs="Times New Roman"/>
          <w:bCs/>
          <w:lang w:val="en-GB" w:eastAsia="nl-NL"/>
        </w:rPr>
        <w:t>12, 1-10.</w:t>
      </w:r>
    </w:p>
    <w:p w14:paraId="2702B781" w14:textId="77777777" w:rsidR="00CE5381" w:rsidRPr="00CE5381" w:rsidRDefault="00CE5381" w:rsidP="00CE5381">
      <w:pPr>
        <w:pStyle w:val="NoSpacing"/>
        <w:rPr>
          <w:rFonts w:cs="Times New Roman"/>
          <w:lang w:val="en-GB" w:eastAsia="nl-NL"/>
        </w:rPr>
      </w:pPr>
    </w:p>
    <w:p w14:paraId="2E468D02" w14:textId="77777777" w:rsidR="00CE5381" w:rsidRPr="00CE5381" w:rsidRDefault="00CE5381" w:rsidP="00CE5381">
      <w:pPr>
        <w:pStyle w:val="NoSpacing"/>
        <w:rPr>
          <w:rFonts w:cs="Times New Roman"/>
          <w:bCs/>
          <w:lang w:val="en-GB" w:eastAsia="nl-NL"/>
        </w:rPr>
      </w:pPr>
      <w:r w:rsidRPr="00CE5381">
        <w:rPr>
          <w:rFonts w:cs="Times New Roman"/>
          <w:bCs/>
          <w:lang w:val="en-GB" w:eastAsia="nl-NL"/>
        </w:rPr>
        <w:t xml:space="preserve">Lin, W.S., Chen, A.S., Su, J.Z., Zhu, F.C., Xing W.H., &amp; Li, J.Y. (1992). The menarche of Chinese girls. </w:t>
      </w:r>
      <w:r w:rsidRPr="00CE5381">
        <w:rPr>
          <w:rFonts w:cs="Times New Roman"/>
          <w:bCs/>
          <w:i/>
          <w:iCs/>
          <w:lang w:val="en-GB" w:eastAsia="nl-NL"/>
        </w:rPr>
        <w:t xml:space="preserve">Annals of Human Biology </w:t>
      </w:r>
      <w:r w:rsidRPr="00CE5381">
        <w:rPr>
          <w:rFonts w:cs="Times New Roman"/>
          <w:bCs/>
          <w:lang w:val="en-GB" w:eastAsia="nl-NL"/>
        </w:rPr>
        <w:t>1992, 502-512.</w:t>
      </w:r>
    </w:p>
    <w:p w14:paraId="639C4FFB" w14:textId="77777777" w:rsidR="00CE5381" w:rsidRPr="00CE5381" w:rsidRDefault="00CE5381" w:rsidP="00CE5381">
      <w:pPr>
        <w:pStyle w:val="NoSpacing"/>
        <w:rPr>
          <w:rFonts w:cs="Times New Roman"/>
          <w:bCs/>
          <w:lang w:val="en-GB" w:eastAsia="nl-NL"/>
        </w:rPr>
      </w:pPr>
    </w:p>
    <w:p w14:paraId="7EB52A3E" w14:textId="77777777" w:rsidR="00CE5381" w:rsidRPr="00CE5381" w:rsidRDefault="00CE5381" w:rsidP="00CE5381">
      <w:pPr>
        <w:pStyle w:val="NoSpacing"/>
        <w:rPr>
          <w:rFonts w:cs="Times New Roman"/>
          <w:bCs/>
          <w:lang w:val="en-GB"/>
        </w:rPr>
      </w:pPr>
      <w:r w:rsidRPr="00CE5381">
        <w:rPr>
          <w:rFonts w:cs="Times New Roman"/>
          <w:bCs/>
          <w:lang w:val="en-GB"/>
        </w:rPr>
        <w:t xml:space="preserve">LoHO (Laboratory for Human Osteoarchaeology) (2018). </w:t>
      </w:r>
      <w:r w:rsidRPr="00CE5381">
        <w:rPr>
          <w:rFonts w:cs="Times New Roman"/>
          <w:bCs/>
          <w:i/>
          <w:lang w:val="en-GB"/>
        </w:rPr>
        <w:t>Manual for the Laboratory Assignment MSc – Methods used in the skeletal recording form (for subadults)</w:t>
      </w:r>
      <w:r w:rsidRPr="00CE5381">
        <w:rPr>
          <w:rFonts w:cs="Times New Roman"/>
          <w:bCs/>
          <w:lang w:val="en-GB"/>
        </w:rPr>
        <w:t>. Leiden (NL): Laboratory for Human Osteoarchaeology, Leiden University.</w:t>
      </w:r>
    </w:p>
    <w:p w14:paraId="07229978" w14:textId="77777777" w:rsidR="00CE5381" w:rsidRPr="00CE5381" w:rsidRDefault="00CE5381" w:rsidP="00CE5381">
      <w:pPr>
        <w:pStyle w:val="NoSpacing"/>
        <w:rPr>
          <w:rFonts w:cs="Times New Roman"/>
          <w:lang w:val="en-GB" w:eastAsia="nl-NL"/>
        </w:rPr>
      </w:pPr>
    </w:p>
    <w:p w14:paraId="55663755" w14:textId="77777777" w:rsidR="00CE5381" w:rsidRPr="00CE5381" w:rsidRDefault="00CE5381" w:rsidP="00CE5381">
      <w:pPr>
        <w:pStyle w:val="NoSpacing"/>
        <w:rPr>
          <w:rFonts w:cs="Times New Roman"/>
          <w:bCs/>
          <w:lang w:val="en-GB"/>
        </w:rPr>
      </w:pPr>
      <w:r w:rsidRPr="00CE5381">
        <w:rPr>
          <w:rFonts w:cs="Times New Roman"/>
          <w:bCs/>
          <w:lang w:val="en-GB"/>
        </w:rPr>
        <w:t xml:space="preserve">Louis, G.M.B., Gray, L.E., Marcus, M., Ojeda, S.R., Pescovitz, O.H., Witchel, S.F., Sippell, W., Abbott, D.H., Soto, S., &amp; Tyl, R.W. (2008). Environmental factors and puberty timing: expert panel research needs. </w:t>
      </w:r>
      <w:r w:rsidRPr="00CE5381">
        <w:rPr>
          <w:rFonts w:cs="Times New Roman"/>
          <w:bCs/>
          <w:i/>
          <w:lang w:val="en-GB"/>
        </w:rPr>
        <w:t>Pediatrics</w:t>
      </w:r>
      <w:r w:rsidRPr="00CE5381">
        <w:rPr>
          <w:rFonts w:cs="Times New Roman"/>
          <w:bCs/>
          <w:lang w:val="en-GB"/>
        </w:rPr>
        <w:t xml:space="preserve"> 121(3), S192–S207.</w:t>
      </w:r>
    </w:p>
    <w:p w14:paraId="4D658E32" w14:textId="77777777" w:rsidR="00CE5381" w:rsidRPr="00CE5381" w:rsidRDefault="00CE5381" w:rsidP="00CE5381">
      <w:pPr>
        <w:pStyle w:val="NoSpacing"/>
        <w:rPr>
          <w:rFonts w:cs="Times New Roman"/>
          <w:lang w:val="en-GB"/>
        </w:rPr>
      </w:pPr>
    </w:p>
    <w:p w14:paraId="4C0CF798" w14:textId="77777777" w:rsidR="00CE5381" w:rsidRPr="00CE5381" w:rsidRDefault="00CE5381" w:rsidP="00CE5381">
      <w:pPr>
        <w:pStyle w:val="NoSpacing"/>
        <w:rPr>
          <w:rFonts w:cs="Times New Roman"/>
          <w:bCs/>
        </w:rPr>
      </w:pPr>
      <w:r w:rsidRPr="00CE5381">
        <w:rPr>
          <w:rFonts w:cs="Times New Roman"/>
          <w:bCs/>
          <w:lang w:val="en-GB"/>
        </w:rPr>
        <w:t xml:space="preserve">Maat, G.J.R. (2001). Diet and Age-at-Death Determinations from Molar Attrition – A Review Related to the Low Countries. </w:t>
      </w:r>
      <w:r w:rsidRPr="00CE5381">
        <w:rPr>
          <w:rFonts w:cs="Times New Roman"/>
          <w:bCs/>
          <w:i/>
        </w:rPr>
        <w:t xml:space="preserve">Journal of Forensic Odonto-Stomatology </w:t>
      </w:r>
      <w:r w:rsidRPr="00CE5381">
        <w:rPr>
          <w:rFonts w:cs="Times New Roman"/>
          <w:bCs/>
        </w:rPr>
        <w:t>19, 18-21.</w:t>
      </w:r>
    </w:p>
    <w:p w14:paraId="28835D7C" w14:textId="77777777" w:rsidR="00CE5381" w:rsidRPr="00CE5381" w:rsidRDefault="00CE5381" w:rsidP="00CE5381">
      <w:pPr>
        <w:pStyle w:val="NoSpacing"/>
        <w:rPr>
          <w:rFonts w:cs="Times New Roman"/>
          <w:bCs/>
        </w:rPr>
      </w:pPr>
    </w:p>
    <w:p w14:paraId="52A61AAA" w14:textId="77777777" w:rsidR="00CE5381" w:rsidRPr="00CE5381" w:rsidRDefault="00CE5381" w:rsidP="00CE5381">
      <w:pPr>
        <w:pStyle w:val="NoSpacing"/>
        <w:rPr>
          <w:rFonts w:cs="Times New Roman"/>
          <w:bCs/>
          <w:lang w:val="en-GB"/>
        </w:rPr>
      </w:pPr>
      <w:r w:rsidRPr="00CE5381">
        <w:rPr>
          <w:rFonts w:cs="Times New Roman"/>
          <w:bCs/>
        </w:rPr>
        <w:t xml:space="preserve">Maat, G.J.R., Mastwijk, R.W., &amp; Van der Velde, E.A. (1997). </w:t>
      </w:r>
      <w:r w:rsidRPr="00CE5381">
        <w:rPr>
          <w:rFonts w:cs="Times New Roman"/>
          <w:bCs/>
          <w:lang w:val="en-GB"/>
        </w:rPr>
        <w:t>On the Reliability of Non-metrical Morphological Sex Determination of the Skull Compared with that of the Pelvis in the Low Countries. International Journal of Osteoarchaeology 7, 575-580.</w:t>
      </w:r>
    </w:p>
    <w:p w14:paraId="4959C393" w14:textId="77777777" w:rsidR="00CE5381" w:rsidRPr="00CE5381" w:rsidRDefault="00CE5381" w:rsidP="00CE5381">
      <w:pPr>
        <w:pStyle w:val="NoSpacing"/>
        <w:rPr>
          <w:rFonts w:cs="Times New Roman"/>
          <w:bCs/>
          <w:lang w:val="en-GB"/>
        </w:rPr>
      </w:pPr>
    </w:p>
    <w:p w14:paraId="13B0B3C0" w14:textId="77777777" w:rsidR="00CE5381" w:rsidRPr="00CE5381" w:rsidRDefault="00CE5381" w:rsidP="00CE5381">
      <w:pPr>
        <w:pStyle w:val="NoSpacing"/>
        <w:rPr>
          <w:rFonts w:cs="Times New Roman"/>
          <w:bCs/>
          <w:lang w:val="fr-FR"/>
        </w:rPr>
      </w:pPr>
      <w:r w:rsidRPr="00CE5381">
        <w:rPr>
          <w:rFonts w:cs="Times New Roman"/>
          <w:bCs/>
          <w:lang w:val="en-GB"/>
        </w:rPr>
        <w:t xml:space="preserve">Macaluso Jr., P.J. (2011). Metric sex determination from the basal region of the occipital bone in a documented French sample. </w:t>
      </w:r>
      <w:r w:rsidRPr="00CE5381">
        <w:rPr>
          <w:rFonts w:cs="Times New Roman"/>
          <w:bCs/>
          <w:i/>
          <w:lang w:val="fr-FR"/>
        </w:rPr>
        <w:t>Bulletins et mémoires de la Société d'anthropologie de Paris</w:t>
      </w:r>
      <w:r w:rsidRPr="00CE5381">
        <w:rPr>
          <w:rFonts w:cs="Times New Roman"/>
          <w:bCs/>
          <w:lang w:val="fr-FR"/>
        </w:rPr>
        <w:t xml:space="preserve"> 23(1-2), 19-26.</w:t>
      </w:r>
    </w:p>
    <w:p w14:paraId="7CEC7BF4" w14:textId="77777777" w:rsidR="00CE5381" w:rsidRPr="00CE5381" w:rsidRDefault="00CE5381" w:rsidP="00CE5381">
      <w:pPr>
        <w:pStyle w:val="NoSpacing"/>
        <w:rPr>
          <w:rFonts w:cs="Times New Roman"/>
          <w:bCs/>
          <w:lang w:val="fr-FR"/>
        </w:rPr>
      </w:pPr>
    </w:p>
    <w:p w14:paraId="175C2A1E" w14:textId="77777777" w:rsidR="00CE5381" w:rsidRPr="00CE5381" w:rsidRDefault="00CE5381" w:rsidP="00CE5381">
      <w:pPr>
        <w:pStyle w:val="NoSpacing"/>
        <w:rPr>
          <w:rFonts w:cs="Times New Roman"/>
          <w:bCs/>
          <w:lang w:val="en-US"/>
        </w:rPr>
      </w:pPr>
      <w:r w:rsidRPr="00CE5381">
        <w:rPr>
          <w:rFonts w:cs="Times New Roman"/>
          <w:bCs/>
          <w:lang w:val="fr-FR"/>
        </w:rPr>
        <w:t xml:space="preserve">Maline, R.M. (1983). </w:t>
      </w:r>
      <w:r w:rsidRPr="00CE5381">
        <w:rPr>
          <w:rFonts w:cs="Times New Roman"/>
          <w:bCs/>
          <w:lang w:val="en-US"/>
        </w:rPr>
        <w:t xml:space="preserve">Menarche in athletes : a synthesis and hypothesis. </w:t>
      </w:r>
      <w:r w:rsidRPr="00CE5381">
        <w:rPr>
          <w:rFonts w:cs="Times New Roman"/>
          <w:bCs/>
          <w:i/>
          <w:iCs/>
          <w:lang w:val="en-US"/>
        </w:rPr>
        <w:t>Annals of Human Biology</w:t>
      </w:r>
      <w:r w:rsidRPr="00CE5381">
        <w:rPr>
          <w:rFonts w:cs="Times New Roman"/>
          <w:bCs/>
          <w:i/>
          <w:iCs/>
          <w:u w:val="single"/>
          <w:lang w:val="en-US"/>
        </w:rPr>
        <w:t xml:space="preserve"> </w:t>
      </w:r>
      <w:r w:rsidRPr="00CE5381">
        <w:rPr>
          <w:rFonts w:cs="Times New Roman"/>
          <w:bCs/>
          <w:lang w:val="en-US"/>
        </w:rPr>
        <w:t>10, 1-24.</w:t>
      </w:r>
    </w:p>
    <w:p w14:paraId="45C878B8" w14:textId="77777777" w:rsidR="00CE5381" w:rsidRPr="00CE5381" w:rsidRDefault="00CE5381" w:rsidP="00CE5381">
      <w:pPr>
        <w:pStyle w:val="NoSpacing"/>
        <w:rPr>
          <w:rFonts w:cs="Times New Roman"/>
          <w:bCs/>
          <w:lang w:val="en-US"/>
        </w:rPr>
      </w:pPr>
    </w:p>
    <w:p w14:paraId="36CC110C" w14:textId="77777777" w:rsidR="00CE5381" w:rsidRPr="00CE5381" w:rsidRDefault="00CE5381" w:rsidP="00CE5381">
      <w:pPr>
        <w:pStyle w:val="NoSpacing"/>
        <w:rPr>
          <w:rFonts w:cs="Times New Roman"/>
          <w:bCs/>
          <w:lang w:val="en-GB"/>
        </w:rPr>
      </w:pPr>
      <w:r w:rsidRPr="00CE5381">
        <w:rPr>
          <w:rFonts w:cs="Times New Roman"/>
          <w:bCs/>
          <w:lang w:val="en-US"/>
        </w:rPr>
        <w:t xml:space="preserve">McCormick, W.F., Stewart, J.H., &amp; Greene, H. (1991). </w:t>
      </w:r>
      <w:r w:rsidRPr="00CE5381">
        <w:rPr>
          <w:rFonts w:cs="Times New Roman"/>
          <w:bCs/>
          <w:lang w:val="en-GB"/>
        </w:rPr>
        <w:t xml:space="preserve">Sexing of human clavicles using length and circumference measurements. </w:t>
      </w:r>
      <w:r w:rsidRPr="00CE5381">
        <w:rPr>
          <w:rFonts w:cs="Times New Roman"/>
          <w:bCs/>
          <w:i/>
          <w:iCs/>
          <w:lang w:val="en-GB"/>
        </w:rPr>
        <w:t xml:space="preserve">American Journal of Forensic Medicine and Pathology </w:t>
      </w:r>
      <w:r w:rsidRPr="00CE5381">
        <w:rPr>
          <w:rFonts w:cs="Times New Roman"/>
          <w:bCs/>
          <w:lang w:val="en-GB"/>
        </w:rPr>
        <w:t>12(2), 175-181.</w:t>
      </w:r>
    </w:p>
    <w:p w14:paraId="4DB6C9E8" w14:textId="77777777" w:rsidR="00CE5381" w:rsidRPr="00CE5381" w:rsidRDefault="00CE5381" w:rsidP="00CE5381">
      <w:pPr>
        <w:pStyle w:val="NoSpacing"/>
        <w:rPr>
          <w:rFonts w:cs="Times New Roman"/>
          <w:lang w:val="en-GB"/>
        </w:rPr>
      </w:pPr>
    </w:p>
    <w:p w14:paraId="786CAD3C" w14:textId="77777777" w:rsidR="00CE5381" w:rsidRPr="00CE5381" w:rsidRDefault="00CE5381" w:rsidP="00CE5381">
      <w:pPr>
        <w:pStyle w:val="NoSpacing"/>
        <w:rPr>
          <w:rFonts w:cs="Times New Roman"/>
          <w:bCs/>
          <w:lang w:val="en-GB"/>
        </w:rPr>
      </w:pPr>
      <w:r w:rsidRPr="00CE5381">
        <w:rPr>
          <w:rFonts w:cs="Times New Roman"/>
          <w:bCs/>
          <w:lang w:val="en-GB"/>
        </w:rPr>
        <w:lastRenderedPageBreak/>
        <w:t xml:space="preserve">Meindl, R.S., &amp; Lovejoy, C.O. (1985). Ectocranial Suture Closure: A Revised Method for the Determination of Skeletal Age at Death Based on the Lateral-Anterior Sutures. </w:t>
      </w:r>
      <w:r w:rsidRPr="00CE5381">
        <w:rPr>
          <w:rFonts w:cs="Times New Roman"/>
          <w:bCs/>
          <w:i/>
          <w:lang w:val="en-GB"/>
        </w:rPr>
        <w:t xml:space="preserve">American Journal of Physical Anthropology </w:t>
      </w:r>
      <w:r w:rsidRPr="00CE5381">
        <w:rPr>
          <w:rFonts w:cs="Times New Roman"/>
          <w:bCs/>
          <w:lang w:val="en-GB"/>
        </w:rPr>
        <w:t>68, 57-66.</w:t>
      </w:r>
    </w:p>
    <w:p w14:paraId="7C3EBC79" w14:textId="77777777" w:rsidR="00CE5381" w:rsidRPr="00CE5381" w:rsidRDefault="00CE5381" w:rsidP="00CE5381">
      <w:pPr>
        <w:pStyle w:val="NoSpacing"/>
        <w:rPr>
          <w:rFonts w:cs="Times New Roman"/>
          <w:lang w:val="en-GB"/>
        </w:rPr>
      </w:pPr>
    </w:p>
    <w:p w14:paraId="0DD15A88" w14:textId="77777777" w:rsidR="00CE5381" w:rsidRPr="00CE5381" w:rsidRDefault="00CE5381" w:rsidP="00CE5381">
      <w:pPr>
        <w:pStyle w:val="NoSpacing"/>
        <w:rPr>
          <w:rFonts w:cs="Times New Roman"/>
          <w:bCs/>
          <w:lang w:val="en-GB"/>
        </w:rPr>
      </w:pPr>
      <w:r w:rsidRPr="00CE5381">
        <w:rPr>
          <w:rFonts w:cs="Times New Roman"/>
          <w:bCs/>
          <w:lang w:val="en-GB"/>
        </w:rPr>
        <w:t xml:space="preserve">Mitchell, P.D. (ed). (2015). </w:t>
      </w:r>
      <w:r w:rsidRPr="00CE5381">
        <w:rPr>
          <w:rFonts w:cs="Times New Roman"/>
          <w:bCs/>
          <w:i/>
          <w:iCs/>
          <w:lang w:val="en-GB"/>
        </w:rPr>
        <w:t>Sanitation, Latrines, and Intestinal Parasites in Past Populations</w:t>
      </w:r>
      <w:r w:rsidRPr="00CE5381">
        <w:rPr>
          <w:rFonts w:cs="Times New Roman"/>
          <w:bCs/>
          <w:lang w:val="en-GB"/>
        </w:rPr>
        <w:t>. Dorset Press: Dorchester.</w:t>
      </w:r>
    </w:p>
    <w:p w14:paraId="338ACE87" w14:textId="77777777" w:rsidR="00CE5381" w:rsidRPr="00CE5381" w:rsidRDefault="00CE5381" w:rsidP="00CE5381">
      <w:pPr>
        <w:pStyle w:val="NoSpacing"/>
        <w:rPr>
          <w:rFonts w:cs="Times New Roman"/>
          <w:bCs/>
          <w:lang w:val="en-GB"/>
        </w:rPr>
      </w:pPr>
    </w:p>
    <w:p w14:paraId="6F21D094" w14:textId="77777777" w:rsidR="00CE5381" w:rsidRPr="00CE5381" w:rsidRDefault="00CE5381" w:rsidP="00CE5381">
      <w:pPr>
        <w:pStyle w:val="NoSpacing"/>
        <w:rPr>
          <w:rFonts w:cs="Times New Roman"/>
          <w:bCs/>
          <w:lang w:val="en-GB"/>
        </w:rPr>
      </w:pPr>
      <w:r w:rsidRPr="00CE5381">
        <w:rPr>
          <w:rFonts w:cs="Times New Roman"/>
          <w:bCs/>
          <w:lang w:val="en-GB"/>
        </w:rPr>
        <w:t xml:space="preserve">Morgan, J. (2011). Metric Sexual Dimorphism in Permanent Canines. </w:t>
      </w:r>
      <w:r w:rsidRPr="00CE5381">
        <w:rPr>
          <w:rFonts w:cs="Times New Roman"/>
          <w:bCs/>
          <w:i/>
          <w:lang w:val="en-GB"/>
        </w:rPr>
        <w:t xml:space="preserve">Bulletin of the International Association of Paleodontology </w:t>
      </w:r>
      <w:r w:rsidRPr="00CE5381">
        <w:rPr>
          <w:rFonts w:cs="Times New Roman"/>
          <w:bCs/>
          <w:lang w:val="en-GB"/>
        </w:rPr>
        <w:t>5(1), 4-12.</w:t>
      </w:r>
    </w:p>
    <w:p w14:paraId="7F4BBF2A" w14:textId="77777777" w:rsidR="00CE5381" w:rsidRPr="00CE5381" w:rsidRDefault="00CE5381" w:rsidP="00CE5381">
      <w:pPr>
        <w:pStyle w:val="NoSpacing"/>
        <w:rPr>
          <w:rFonts w:cs="Times New Roman"/>
          <w:lang w:val="en-GB"/>
        </w:rPr>
      </w:pPr>
    </w:p>
    <w:p w14:paraId="17F1A2C6" w14:textId="77777777" w:rsidR="00CE5381" w:rsidRPr="00CE5381" w:rsidRDefault="00CE5381" w:rsidP="00CE5381">
      <w:pPr>
        <w:pStyle w:val="NoSpacing"/>
        <w:rPr>
          <w:rFonts w:cs="Times New Roman"/>
          <w:bCs/>
          <w:lang w:val="en-GB"/>
        </w:rPr>
      </w:pPr>
      <w:r w:rsidRPr="00CE5381">
        <w:rPr>
          <w:rFonts w:cs="Times New Roman"/>
          <w:bCs/>
          <w:lang w:val="en-GB"/>
        </w:rPr>
        <w:t xml:space="preserve">Moorrees, C., Fanning, E., &amp; Hunt, E. (1963). Age Variation of Formation Stages for Ten permanent Teeth. </w:t>
      </w:r>
      <w:r w:rsidRPr="00CE5381">
        <w:rPr>
          <w:rFonts w:cs="Times New Roman"/>
          <w:bCs/>
          <w:i/>
          <w:iCs/>
          <w:lang w:val="en-GB"/>
        </w:rPr>
        <w:t>Dental Research</w:t>
      </w:r>
      <w:r w:rsidRPr="00CE5381">
        <w:rPr>
          <w:rFonts w:cs="Times New Roman"/>
          <w:bCs/>
          <w:lang w:val="en-GB"/>
        </w:rPr>
        <w:t xml:space="preserve"> 42(6), 1490-1502.</w:t>
      </w:r>
    </w:p>
    <w:p w14:paraId="2BFE4ACA" w14:textId="77777777" w:rsidR="00CE5381" w:rsidRPr="00CE5381" w:rsidRDefault="00CE5381" w:rsidP="00CE5381">
      <w:pPr>
        <w:pStyle w:val="NoSpacing"/>
        <w:rPr>
          <w:rFonts w:cs="Times New Roman"/>
          <w:lang w:val="en-GB" w:eastAsia="nl-NL"/>
        </w:rPr>
      </w:pPr>
    </w:p>
    <w:p w14:paraId="5587FE73" w14:textId="77777777" w:rsidR="00CE5381" w:rsidRPr="00CE5381" w:rsidRDefault="00CE5381" w:rsidP="00CE5381">
      <w:pPr>
        <w:pStyle w:val="NoSpacing"/>
        <w:rPr>
          <w:rFonts w:cs="Times New Roman"/>
          <w:bCs/>
          <w:lang w:eastAsia="nl-NL"/>
        </w:rPr>
      </w:pPr>
      <w:r w:rsidRPr="00CE5381">
        <w:rPr>
          <w:rFonts w:cs="Times New Roman"/>
          <w:bCs/>
          <w:lang w:val="en-US" w:eastAsia="nl-NL"/>
        </w:rPr>
        <w:t xml:space="preserve">Ootmar, G.A. (1923). </w:t>
      </w:r>
      <w:r w:rsidRPr="00CE5381">
        <w:rPr>
          <w:rFonts w:cs="Times New Roman"/>
          <w:bCs/>
          <w:i/>
          <w:lang w:eastAsia="nl-NL"/>
        </w:rPr>
        <w:t>BILZ De Nieuwe Natuurgeneeswijze: Leerboek en vraagbaak der natuurlijke geneeswijze en gezondheidsleer</w:t>
      </w:r>
      <w:r w:rsidRPr="00CE5381">
        <w:rPr>
          <w:rFonts w:cs="Times New Roman"/>
          <w:bCs/>
          <w:lang w:eastAsia="nl-NL"/>
        </w:rPr>
        <w:t>. Amsterdam (NL): Dekam’s Handelsvereeniging K. Meyer &amp; Co.</w:t>
      </w:r>
    </w:p>
    <w:p w14:paraId="5D395E2A" w14:textId="77777777" w:rsidR="00CE5381" w:rsidRPr="00CE5381" w:rsidRDefault="00CE5381" w:rsidP="00CE5381">
      <w:pPr>
        <w:pStyle w:val="NoSpacing"/>
        <w:rPr>
          <w:rFonts w:cs="Times New Roman"/>
          <w:lang w:val="en-GB" w:eastAsia="nl-NL"/>
        </w:rPr>
      </w:pPr>
    </w:p>
    <w:p w14:paraId="7CDE49AB" w14:textId="77777777" w:rsidR="00CE5381" w:rsidRPr="00CE5381" w:rsidRDefault="00CE5381" w:rsidP="00CE5381">
      <w:pPr>
        <w:pStyle w:val="NoSpacing"/>
        <w:rPr>
          <w:rFonts w:cs="Times New Roman"/>
          <w:bCs/>
          <w:lang w:val="en-GB"/>
        </w:rPr>
      </w:pPr>
      <w:r w:rsidRPr="00CE5381">
        <w:rPr>
          <w:rFonts w:cs="Times New Roman"/>
          <w:bCs/>
          <w:lang w:val="en-GB"/>
        </w:rPr>
        <w:t xml:space="preserve">Palmer, J.L.A., Hoogland M.L.P., &amp; Waters-Rist, A.L. (2016). Activity reconstruction of post-medieval Dutch rural villagers from upper limb osteoarthritis and entheseal changes. </w:t>
      </w:r>
      <w:r w:rsidRPr="00CE5381">
        <w:rPr>
          <w:rFonts w:cs="Times New Roman"/>
          <w:bCs/>
          <w:i/>
          <w:iCs/>
          <w:lang w:val="en-GB"/>
        </w:rPr>
        <w:t xml:space="preserve">International Journal of Osteoarchaeology </w:t>
      </w:r>
      <w:r w:rsidRPr="00CE5381">
        <w:rPr>
          <w:rFonts w:cs="Times New Roman"/>
          <w:bCs/>
          <w:lang w:val="en-GB"/>
        </w:rPr>
        <w:t>26, 78-92.</w:t>
      </w:r>
    </w:p>
    <w:p w14:paraId="76BD3235" w14:textId="77777777" w:rsidR="00CE5381" w:rsidRPr="00CE5381" w:rsidRDefault="00CE5381" w:rsidP="00CE5381">
      <w:pPr>
        <w:pStyle w:val="NoSpacing"/>
        <w:rPr>
          <w:rFonts w:cs="Times New Roman"/>
          <w:u w:val="single"/>
          <w:lang w:val="en-GB"/>
        </w:rPr>
      </w:pPr>
    </w:p>
    <w:p w14:paraId="533C1CA7" w14:textId="77777777" w:rsidR="00CE5381" w:rsidRPr="00CE5381" w:rsidRDefault="00CE5381" w:rsidP="00CE5381">
      <w:pPr>
        <w:pStyle w:val="NoSpacing"/>
        <w:rPr>
          <w:rFonts w:cs="Times New Roman"/>
          <w:bCs/>
        </w:rPr>
      </w:pPr>
      <w:r w:rsidRPr="00CE5381">
        <w:rPr>
          <w:rFonts w:cs="Times New Roman"/>
          <w:bCs/>
          <w:lang w:val="en-GB"/>
        </w:rPr>
        <w:t xml:space="preserve">Phenice, T.W. (1969). A Newly Developed Visual Method of Sexing the Os Pubis. </w:t>
      </w:r>
      <w:r w:rsidRPr="00CE5381">
        <w:rPr>
          <w:rFonts w:cs="Times New Roman"/>
          <w:bCs/>
          <w:i/>
        </w:rPr>
        <w:t xml:space="preserve">American Journal of Physical Anthropology </w:t>
      </w:r>
      <w:r w:rsidRPr="00CE5381">
        <w:rPr>
          <w:rFonts w:cs="Times New Roman"/>
          <w:bCs/>
        </w:rPr>
        <w:t>30(2), 297-301.</w:t>
      </w:r>
    </w:p>
    <w:p w14:paraId="4424272E" w14:textId="77777777" w:rsidR="00CE5381" w:rsidRPr="00CE5381" w:rsidRDefault="00CE5381" w:rsidP="00CE5381">
      <w:pPr>
        <w:pStyle w:val="NoSpacing"/>
        <w:rPr>
          <w:rFonts w:cs="Times New Roman"/>
        </w:rPr>
      </w:pPr>
    </w:p>
    <w:p w14:paraId="39FFFADC" w14:textId="77777777" w:rsidR="00CE5381" w:rsidRPr="00CE5381" w:rsidRDefault="00CE5381" w:rsidP="00CE5381">
      <w:pPr>
        <w:pStyle w:val="NoSpacing"/>
        <w:rPr>
          <w:rFonts w:cs="Times New Roman"/>
          <w:bCs/>
          <w:lang w:eastAsia="nl-NL"/>
        </w:rPr>
      </w:pPr>
      <w:r w:rsidRPr="00CE5381">
        <w:rPr>
          <w:rFonts w:cs="Times New Roman"/>
          <w:bCs/>
        </w:rPr>
        <w:t xml:space="preserve">Ploss, H., &amp; Bartels, M. (1918). </w:t>
      </w:r>
      <w:r w:rsidRPr="00CE5381">
        <w:rPr>
          <w:rFonts w:cs="Times New Roman"/>
          <w:bCs/>
          <w:i/>
        </w:rPr>
        <w:t>De Vrouw in Natuur- en Volkenkunde – Anthropologische Studiën. Deel I.</w:t>
      </w:r>
      <w:r w:rsidRPr="00CE5381">
        <w:rPr>
          <w:rFonts w:cs="Times New Roman"/>
          <w:bCs/>
        </w:rPr>
        <w:t xml:space="preserve"> Amsterdam (NL): Gebr. Graauw.</w:t>
      </w:r>
    </w:p>
    <w:p w14:paraId="2C479A06" w14:textId="77777777" w:rsidR="00CE5381" w:rsidRPr="00CE5381" w:rsidRDefault="00CE5381" w:rsidP="00CE5381">
      <w:pPr>
        <w:pStyle w:val="NoSpacing"/>
        <w:rPr>
          <w:rFonts w:cs="Times New Roman"/>
          <w:lang w:eastAsia="nl-NL"/>
        </w:rPr>
      </w:pPr>
    </w:p>
    <w:p w14:paraId="51EC9253" w14:textId="77777777" w:rsidR="00CE5381" w:rsidRPr="00CE5381" w:rsidRDefault="00CE5381" w:rsidP="00CE5381">
      <w:pPr>
        <w:pStyle w:val="NoSpacing"/>
        <w:rPr>
          <w:rFonts w:cs="Times New Roman"/>
          <w:bCs/>
          <w:lang w:val="en-GB"/>
        </w:rPr>
      </w:pPr>
      <w:r w:rsidRPr="00CE5381">
        <w:rPr>
          <w:rFonts w:cs="Times New Roman"/>
          <w:bCs/>
        </w:rPr>
        <w:t xml:space="preserve">Proos, L., &amp; Gustafsson, J. (2012). </w:t>
      </w:r>
      <w:r w:rsidRPr="00CE5381">
        <w:rPr>
          <w:rFonts w:cs="Times New Roman"/>
          <w:bCs/>
          <w:lang w:val="en-GB"/>
        </w:rPr>
        <w:t xml:space="preserve">Is early puberty triggered by catch-up growth following undernutrition? </w:t>
      </w:r>
      <w:r w:rsidRPr="00CE5381">
        <w:rPr>
          <w:rFonts w:cs="Times New Roman"/>
          <w:bCs/>
          <w:i/>
          <w:lang w:val="en-GB"/>
        </w:rPr>
        <w:t>International Journal of Environmental Research and Public Health</w:t>
      </w:r>
      <w:r w:rsidRPr="00CE5381">
        <w:rPr>
          <w:rFonts w:cs="Times New Roman"/>
          <w:bCs/>
          <w:lang w:val="en-GB"/>
        </w:rPr>
        <w:t xml:space="preserve"> 9, 1791–1809.</w:t>
      </w:r>
    </w:p>
    <w:p w14:paraId="7BB65231" w14:textId="77777777" w:rsidR="00CE5381" w:rsidRPr="00CE5381" w:rsidRDefault="00CE5381" w:rsidP="00CE5381">
      <w:pPr>
        <w:pStyle w:val="NoSpacing"/>
        <w:rPr>
          <w:rFonts w:cs="Times New Roman"/>
          <w:lang w:val="en-GB"/>
        </w:rPr>
      </w:pPr>
    </w:p>
    <w:p w14:paraId="1C7C0C0D" w14:textId="77777777" w:rsidR="00CE5381" w:rsidRPr="00CE5381" w:rsidRDefault="00CE5381" w:rsidP="00CE5381">
      <w:pPr>
        <w:pStyle w:val="NoSpacing"/>
        <w:rPr>
          <w:rFonts w:cs="Times New Roman"/>
          <w:bCs/>
          <w:lang w:val="en-GB"/>
        </w:rPr>
      </w:pPr>
      <w:r w:rsidRPr="00CE5381">
        <w:rPr>
          <w:rFonts w:cs="Times New Roman"/>
          <w:bCs/>
          <w:lang w:val="en-GB"/>
        </w:rPr>
        <w:t xml:space="preserve">Rogers, T.L. (2009). Sex Determination of Adolescent Skeletons using the Distal Humerus. </w:t>
      </w:r>
      <w:r w:rsidRPr="00CE5381">
        <w:rPr>
          <w:rFonts w:cs="Times New Roman"/>
          <w:bCs/>
          <w:i/>
          <w:lang w:val="en-GB"/>
        </w:rPr>
        <w:t xml:space="preserve">American Journal of Physical Anthropology </w:t>
      </w:r>
      <w:r w:rsidRPr="00CE5381">
        <w:rPr>
          <w:rFonts w:cs="Times New Roman"/>
          <w:bCs/>
          <w:lang w:val="en-GB"/>
        </w:rPr>
        <w:t>140(1), 143-148.</w:t>
      </w:r>
    </w:p>
    <w:p w14:paraId="5DE71813" w14:textId="77777777" w:rsidR="00CE5381" w:rsidRPr="00CE5381" w:rsidRDefault="00CE5381" w:rsidP="00CE5381">
      <w:pPr>
        <w:pStyle w:val="NoSpacing"/>
        <w:rPr>
          <w:rFonts w:cs="Times New Roman"/>
          <w:bCs/>
          <w:lang w:val="en-GB"/>
        </w:rPr>
      </w:pPr>
    </w:p>
    <w:p w14:paraId="05938A71" w14:textId="77777777" w:rsidR="00CE5381" w:rsidRPr="00CE5381" w:rsidRDefault="00CE5381" w:rsidP="00CE5381">
      <w:pPr>
        <w:pStyle w:val="NoSpacing"/>
        <w:rPr>
          <w:rFonts w:cs="Times New Roman"/>
          <w:lang w:eastAsia="nl-NL"/>
        </w:rPr>
      </w:pPr>
      <w:r w:rsidRPr="00CE5381">
        <w:rPr>
          <w:rFonts w:cs="Times New Roman"/>
          <w:lang w:val="en-GB" w:eastAsia="nl-NL"/>
        </w:rPr>
        <w:t xml:space="preserve">Saers, J., Hoogland, M.L.P., van Rijn, R.R., Schats, R., van der Merwe, L.E., &amp; Waters-Rist, A.L. (2017). A Habitual Activity in Pre-industrial Rural and Urban Dutch Populations: A Study of Lower Limb Cross-sectional Geometry. </w:t>
      </w:r>
      <w:r w:rsidRPr="00CE5381">
        <w:rPr>
          <w:rFonts w:cs="Times New Roman"/>
          <w:i/>
          <w:iCs/>
          <w:lang w:eastAsia="nl-NL"/>
        </w:rPr>
        <w:t>Bioarchaeology International</w:t>
      </w:r>
      <w:r w:rsidRPr="00CE5381">
        <w:rPr>
          <w:rFonts w:cs="Times New Roman"/>
          <w:lang w:eastAsia="nl-NL"/>
        </w:rPr>
        <w:t xml:space="preserve"> 1(3-4): 131–147.</w:t>
      </w:r>
    </w:p>
    <w:p w14:paraId="0832B5FF" w14:textId="77777777" w:rsidR="00CE5381" w:rsidRPr="00CE5381" w:rsidRDefault="00CE5381" w:rsidP="00CE5381">
      <w:pPr>
        <w:pStyle w:val="NoSpacing"/>
        <w:rPr>
          <w:rFonts w:cs="Times New Roman"/>
          <w:bCs/>
        </w:rPr>
      </w:pPr>
    </w:p>
    <w:p w14:paraId="1C7C99CE" w14:textId="77777777" w:rsidR="00CE5381" w:rsidRPr="00CE5381" w:rsidRDefault="00CE5381" w:rsidP="00CE5381">
      <w:pPr>
        <w:pStyle w:val="NoSpacing"/>
        <w:rPr>
          <w:rFonts w:cs="Times New Roman"/>
          <w:bCs/>
          <w:lang w:val="en-GB"/>
        </w:rPr>
      </w:pPr>
      <w:r w:rsidRPr="00CE5381">
        <w:rPr>
          <w:rFonts w:cs="Times New Roman"/>
          <w:bCs/>
          <w:lang w:val="en-GB"/>
        </w:rPr>
        <w:lastRenderedPageBreak/>
        <w:t xml:space="preserve">Schaefer, M., Black, S., &amp; Scheuer, L. (2009). </w:t>
      </w:r>
      <w:r w:rsidRPr="00CE5381">
        <w:rPr>
          <w:rFonts w:cs="Times New Roman"/>
          <w:bCs/>
          <w:i/>
          <w:lang w:val="en-GB"/>
        </w:rPr>
        <w:t>Juvenile Osteology: A laboratory and field manual</w:t>
      </w:r>
      <w:r w:rsidRPr="00CE5381">
        <w:rPr>
          <w:rFonts w:cs="Times New Roman"/>
          <w:bCs/>
          <w:lang w:val="en-GB"/>
        </w:rPr>
        <w:t xml:space="preserve">. San Diego (US-CA): Elsevier Academic Press. </w:t>
      </w:r>
    </w:p>
    <w:p w14:paraId="73254714" w14:textId="77777777" w:rsidR="00CE5381" w:rsidRPr="00CE5381" w:rsidRDefault="00CE5381" w:rsidP="00CE5381">
      <w:pPr>
        <w:pStyle w:val="NoSpacing"/>
        <w:rPr>
          <w:rFonts w:cs="Times New Roman"/>
          <w:lang w:val="en-GB"/>
        </w:rPr>
      </w:pPr>
    </w:p>
    <w:p w14:paraId="7824C2E6" w14:textId="77777777" w:rsidR="00CE5381" w:rsidRPr="00CE5381" w:rsidRDefault="00CE5381" w:rsidP="00CE5381">
      <w:pPr>
        <w:pStyle w:val="NoSpacing"/>
        <w:rPr>
          <w:rFonts w:eastAsia="Times New Roman" w:cs="Times New Roman"/>
          <w:bCs/>
          <w:lang w:val="en-GB" w:eastAsia="nl-NL"/>
        </w:rPr>
      </w:pPr>
      <w:r w:rsidRPr="00CE5381">
        <w:rPr>
          <w:rFonts w:cs="Times New Roman"/>
          <w:lang w:val="en-GB"/>
        </w:rPr>
        <w:t xml:space="preserve">Schats, R. (2016). Life in transition: an osteoarchaeological perspective of the consequences of medieval socioeconomic developments in Holland and Zeeland (AD 1000-1600). Leiden </w:t>
      </w:r>
      <w:r w:rsidRPr="00CE5381">
        <w:rPr>
          <w:rFonts w:eastAsia="Times New Roman" w:cs="Times New Roman"/>
          <w:bCs/>
          <w:lang w:val="en-GB" w:eastAsia="nl-NL"/>
        </w:rPr>
        <w:t>(Published PhD thesis University of Leiden (NL)).</w:t>
      </w:r>
    </w:p>
    <w:p w14:paraId="3555DC7A" w14:textId="77777777" w:rsidR="00CE5381" w:rsidRPr="00CE5381" w:rsidRDefault="00CE5381" w:rsidP="00CE5381">
      <w:pPr>
        <w:pStyle w:val="NoSpacing"/>
        <w:rPr>
          <w:rFonts w:cs="Times New Roman"/>
          <w:lang w:val="en-GB"/>
        </w:rPr>
      </w:pPr>
    </w:p>
    <w:p w14:paraId="39F815F4" w14:textId="77777777" w:rsidR="00CE5381" w:rsidRPr="00CE5381" w:rsidRDefault="00CE5381" w:rsidP="00CE5381">
      <w:pPr>
        <w:pStyle w:val="NoSpacing"/>
        <w:rPr>
          <w:rFonts w:eastAsia="Times New Roman" w:cs="Times New Roman"/>
          <w:bCs/>
          <w:lang w:val="en-GB" w:eastAsia="nl-NL"/>
        </w:rPr>
      </w:pPr>
      <w:r w:rsidRPr="00CE5381">
        <w:rPr>
          <w:rFonts w:eastAsia="Times New Roman" w:cs="Times New Roman"/>
          <w:bCs/>
          <w:lang w:val="en-GB" w:eastAsia="nl-NL"/>
        </w:rPr>
        <w:t xml:space="preserve">Schreber, M. (1862). </w:t>
      </w:r>
      <w:r w:rsidRPr="00CE5381">
        <w:rPr>
          <w:rFonts w:eastAsia="Times New Roman" w:cs="Times New Roman"/>
          <w:bCs/>
          <w:i/>
          <w:lang w:val="en-GB" w:eastAsia="nl-NL"/>
        </w:rPr>
        <w:t xml:space="preserve">Beknopte opvoedingsleer. </w:t>
      </w:r>
      <w:r w:rsidRPr="00CE5381">
        <w:rPr>
          <w:rFonts w:eastAsia="Times New Roman" w:cs="Times New Roman"/>
          <w:bCs/>
          <w:i/>
          <w:lang w:eastAsia="nl-NL"/>
        </w:rPr>
        <w:t>Een boek voor vaders en moeders</w:t>
      </w:r>
      <w:r w:rsidRPr="00CE5381">
        <w:rPr>
          <w:rFonts w:eastAsia="Times New Roman" w:cs="Times New Roman"/>
          <w:bCs/>
          <w:lang w:eastAsia="nl-NL"/>
        </w:rPr>
        <w:t xml:space="preserve">. </w:t>
      </w:r>
      <w:r w:rsidRPr="00CE5381">
        <w:rPr>
          <w:rFonts w:eastAsia="Times New Roman" w:cs="Times New Roman"/>
          <w:bCs/>
          <w:lang w:val="en-GB" w:eastAsia="nl-NL"/>
        </w:rPr>
        <w:t>Brussel (BE): Ferdinand Claassen.</w:t>
      </w:r>
    </w:p>
    <w:p w14:paraId="7D6EFF1D" w14:textId="77777777" w:rsidR="00CE5381" w:rsidRPr="00CE5381" w:rsidRDefault="00CE5381" w:rsidP="00CE5381">
      <w:pPr>
        <w:pStyle w:val="NoSpacing"/>
        <w:rPr>
          <w:rFonts w:cs="Times New Roman"/>
          <w:lang w:val="en-GB"/>
        </w:rPr>
      </w:pPr>
    </w:p>
    <w:p w14:paraId="263DF4B2" w14:textId="77777777" w:rsidR="00CE5381" w:rsidRPr="00CE5381" w:rsidRDefault="00CE5381" w:rsidP="00CE5381">
      <w:pPr>
        <w:pStyle w:val="NoSpacing"/>
        <w:rPr>
          <w:rFonts w:cs="Times New Roman"/>
          <w:bCs/>
          <w:lang w:val="en-GB"/>
        </w:rPr>
      </w:pPr>
      <w:r w:rsidRPr="00CE5381">
        <w:rPr>
          <w:rFonts w:cs="Times New Roman"/>
          <w:bCs/>
          <w:lang w:val="en-GB"/>
        </w:rPr>
        <w:t xml:space="preserve">Schutkowski, H.  (1993). Sex Determination of Infant and Juvenile Skeletons: I. Morphognostic Features. </w:t>
      </w:r>
      <w:r w:rsidRPr="00CE5381">
        <w:rPr>
          <w:rFonts w:cs="Times New Roman"/>
          <w:bCs/>
          <w:i/>
          <w:lang w:val="en-GB"/>
        </w:rPr>
        <w:t xml:space="preserve">American Journal of Physical Anthropology </w:t>
      </w:r>
      <w:r w:rsidRPr="00CE5381">
        <w:rPr>
          <w:rFonts w:cs="Times New Roman"/>
          <w:bCs/>
          <w:lang w:val="en-GB"/>
        </w:rPr>
        <w:t>90(2), 199-205.</w:t>
      </w:r>
    </w:p>
    <w:p w14:paraId="31E11F91" w14:textId="77777777" w:rsidR="00CE5381" w:rsidRPr="00CE5381" w:rsidRDefault="00CE5381" w:rsidP="00CE5381">
      <w:pPr>
        <w:pStyle w:val="NoSpacing"/>
        <w:rPr>
          <w:rFonts w:cs="Times New Roman"/>
          <w:lang w:val="en-GB" w:eastAsia="nl-NL"/>
        </w:rPr>
      </w:pPr>
    </w:p>
    <w:p w14:paraId="2484BB6B" w14:textId="77777777" w:rsidR="00CE5381" w:rsidRPr="00CE5381" w:rsidRDefault="00CE5381" w:rsidP="00CE5381">
      <w:pPr>
        <w:pStyle w:val="NoSpacing"/>
        <w:rPr>
          <w:rFonts w:cs="Times New Roman"/>
          <w:lang w:val="en-GB" w:eastAsia="nl-NL"/>
        </w:rPr>
      </w:pPr>
      <w:r w:rsidRPr="00CE5381">
        <w:rPr>
          <w:rFonts w:cs="Times New Roman"/>
          <w:lang w:val="en-GB" w:eastAsia="nl-NL"/>
        </w:rPr>
        <w:t xml:space="preserve">Schwartz, J.H. (2007). </w:t>
      </w:r>
      <w:r w:rsidRPr="00CE5381">
        <w:rPr>
          <w:rFonts w:cs="Times New Roman"/>
          <w:i/>
          <w:lang w:val="en-GB" w:eastAsia="nl-NL"/>
        </w:rPr>
        <w:t>Skeleton Keys: an introduction to human skeletal morphology, development, and analysis</w:t>
      </w:r>
      <w:r w:rsidRPr="00CE5381">
        <w:rPr>
          <w:rFonts w:cs="Times New Roman"/>
          <w:lang w:val="en-GB" w:eastAsia="nl-NL"/>
        </w:rPr>
        <w:t>. New York (USA): Oxford University Press.</w:t>
      </w:r>
    </w:p>
    <w:p w14:paraId="1316C520" w14:textId="77777777" w:rsidR="00CE5381" w:rsidRPr="00CE5381" w:rsidRDefault="00CE5381" w:rsidP="00CE5381">
      <w:pPr>
        <w:pStyle w:val="NoSpacing"/>
        <w:rPr>
          <w:rFonts w:cs="Times New Roman"/>
          <w:lang w:val="en-GB" w:eastAsia="nl-NL"/>
        </w:rPr>
      </w:pPr>
    </w:p>
    <w:p w14:paraId="6B951A83" w14:textId="77777777" w:rsidR="00CE5381" w:rsidRPr="00CE5381" w:rsidRDefault="00CE5381" w:rsidP="00CE5381">
      <w:pPr>
        <w:pStyle w:val="NoSpacing"/>
        <w:rPr>
          <w:rFonts w:cs="Times New Roman"/>
          <w:bCs/>
          <w:lang w:val="en-GB" w:eastAsia="nl-NL"/>
        </w:rPr>
      </w:pPr>
      <w:r w:rsidRPr="00CE5381">
        <w:rPr>
          <w:rFonts w:cs="Times New Roman"/>
          <w:bCs/>
          <w:lang w:val="en-GB" w:eastAsia="nl-NL"/>
        </w:rPr>
        <w:t xml:space="preserve">Shapland, F., &amp; Lewis, M.E. (2013). Brief communication: a proposed osteological method for the estimation of pubertal stage in human skeletal remains. </w:t>
      </w:r>
      <w:r w:rsidRPr="00CE5381">
        <w:rPr>
          <w:rFonts w:cs="Times New Roman"/>
          <w:bCs/>
          <w:i/>
          <w:lang w:val="en-GB" w:eastAsia="nl-NL"/>
        </w:rPr>
        <w:t xml:space="preserve">American Journal of Physical Anthropology </w:t>
      </w:r>
      <w:r w:rsidRPr="00CE5381">
        <w:rPr>
          <w:rFonts w:cs="Times New Roman"/>
          <w:bCs/>
          <w:lang w:val="en-GB" w:eastAsia="nl-NL"/>
        </w:rPr>
        <w:t xml:space="preserve">151(2), 302-310. </w:t>
      </w:r>
    </w:p>
    <w:p w14:paraId="52271524" w14:textId="77777777" w:rsidR="00CE5381" w:rsidRPr="00CE5381" w:rsidRDefault="00CE5381" w:rsidP="00CE5381">
      <w:pPr>
        <w:pStyle w:val="NoSpacing"/>
        <w:rPr>
          <w:rFonts w:cs="Times New Roman"/>
          <w:bCs/>
          <w:lang w:val="en-GB" w:eastAsia="nl-NL"/>
        </w:rPr>
      </w:pPr>
    </w:p>
    <w:p w14:paraId="4062E22A" w14:textId="77777777" w:rsidR="00CE5381" w:rsidRPr="00CE5381" w:rsidRDefault="00CE5381" w:rsidP="00CE5381">
      <w:pPr>
        <w:pStyle w:val="NoSpacing"/>
        <w:rPr>
          <w:rFonts w:cs="Times New Roman"/>
          <w:bCs/>
          <w:lang w:val="en-GB" w:eastAsia="nl-NL"/>
        </w:rPr>
      </w:pPr>
      <w:r w:rsidRPr="00CE5381">
        <w:rPr>
          <w:rFonts w:cs="Times New Roman"/>
          <w:bCs/>
          <w:lang w:val="en-GB" w:eastAsia="nl-NL"/>
        </w:rPr>
        <w:t xml:space="preserve">Shapland, F., &amp; Lewis, M.E. (2014). A proposed method for the assessment of pubertal stage in human skeletal remains using cervical vertebrae maturation. </w:t>
      </w:r>
      <w:r w:rsidRPr="00CE5381">
        <w:rPr>
          <w:rFonts w:cs="Times New Roman"/>
          <w:bCs/>
          <w:i/>
          <w:lang w:val="en-GB" w:eastAsia="nl-NL"/>
        </w:rPr>
        <w:t xml:space="preserve">American Journal of Physical Anthropology </w:t>
      </w:r>
      <w:r w:rsidRPr="00CE5381">
        <w:rPr>
          <w:rFonts w:cs="Times New Roman"/>
          <w:bCs/>
          <w:lang w:val="en-GB" w:eastAsia="nl-NL"/>
        </w:rPr>
        <w:t xml:space="preserve">153(1), 144-153. </w:t>
      </w:r>
    </w:p>
    <w:p w14:paraId="2C8B482A" w14:textId="77777777" w:rsidR="00CE5381" w:rsidRPr="00CE5381" w:rsidRDefault="00CE5381" w:rsidP="00CE5381">
      <w:pPr>
        <w:pStyle w:val="NoSpacing"/>
        <w:rPr>
          <w:rFonts w:cs="Times New Roman"/>
          <w:lang w:val="en-GB" w:eastAsia="nl-NL"/>
        </w:rPr>
      </w:pPr>
    </w:p>
    <w:p w14:paraId="765C441A" w14:textId="77777777" w:rsidR="00CE5381" w:rsidRPr="00CE5381" w:rsidRDefault="00CE5381" w:rsidP="00CE5381">
      <w:pPr>
        <w:pStyle w:val="NoSpacing"/>
        <w:rPr>
          <w:rFonts w:cs="Times New Roman"/>
          <w:bCs/>
          <w:lang w:val="en-GB" w:eastAsia="nl-NL"/>
        </w:rPr>
      </w:pPr>
      <w:r w:rsidRPr="00CE5381">
        <w:rPr>
          <w:rFonts w:cs="Times New Roman"/>
          <w:bCs/>
          <w:lang w:val="en-GB" w:eastAsia="nl-NL"/>
        </w:rPr>
        <w:t xml:space="preserve">Shapland, F., Lewis, M.E., &amp; Watts, R. (2015). The Lives and Deaths of Young Medieval Women: The Osteological Evidence. </w:t>
      </w:r>
      <w:r w:rsidRPr="00CE5381">
        <w:rPr>
          <w:rFonts w:cs="Times New Roman"/>
          <w:bCs/>
          <w:i/>
          <w:lang w:val="en-GB" w:eastAsia="nl-NL"/>
        </w:rPr>
        <w:t xml:space="preserve">Medieval Archaeology </w:t>
      </w:r>
      <w:r w:rsidRPr="00CE5381">
        <w:rPr>
          <w:rFonts w:cs="Times New Roman"/>
          <w:bCs/>
          <w:lang w:val="en-GB" w:eastAsia="nl-NL"/>
        </w:rPr>
        <w:t>59, 272-289.</w:t>
      </w:r>
    </w:p>
    <w:p w14:paraId="4CAD9946" w14:textId="77777777" w:rsidR="00CE5381" w:rsidRPr="00CE5381" w:rsidRDefault="00CE5381" w:rsidP="00CE5381">
      <w:pPr>
        <w:pStyle w:val="NoSpacing"/>
        <w:rPr>
          <w:rFonts w:eastAsia="Times New Roman" w:cs="Times New Roman"/>
          <w:bCs/>
          <w:lang w:val="en-GB" w:eastAsia="nl-NL"/>
        </w:rPr>
      </w:pPr>
    </w:p>
    <w:p w14:paraId="3ADDE7C6" w14:textId="77777777" w:rsidR="00CE5381" w:rsidRPr="00CE5381" w:rsidRDefault="00CE5381" w:rsidP="00CE5381">
      <w:pPr>
        <w:pStyle w:val="NoSpacing"/>
        <w:rPr>
          <w:rFonts w:cs="Times New Roman"/>
          <w:shd w:val="clear" w:color="auto" w:fill="FFFFFF"/>
          <w:lang w:val="en-US"/>
        </w:rPr>
      </w:pPr>
      <w:bookmarkStart w:id="25" w:name="_Hlk40280456"/>
      <w:r w:rsidRPr="00CE5381">
        <w:rPr>
          <w:rFonts w:cs="Times New Roman"/>
          <w:shd w:val="clear" w:color="auto" w:fill="FFFFFF"/>
          <w:lang w:val="en-GB"/>
        </w:rPr>
        <w:t xml:space="preserve">Song, Y., Ma, J., </w:t>
      </w:r>
      <w:r w:rsidRPr="00CE5381">
        <w:rPr>
          <w:rFonts w:cs="Times New Roman"/>
          <w:shd w:val="clear" w:color="auto" w:fill="FFFFFF"/>
          <w:lang w:val="en-US"/>
        </w:rPr>
        <w:t xml:space="preserve">Wang, </w:t>
      </w:r>
      <w:r w:rsidRPr="00CE5381">
        <w:rPr>
          <w:rFonts w:cs="Times New Roman"/>
          <w:shd w:val="clear" w:color="auto" w:fill="FFFFFF"/>
          <w:lang w:val="en-GB"/>
        </w:rPr>
        <w:t>H-J.,</w:t>
      </w:r>
      <w:r w:rsidRPr="00CE5381">
        <w:rPr>
          <w:rFonts w:cs="Times New Roman"/>
          <w:shd w:val="clear" w:color="auto" w:fill="FFFFFF"/>
          <w:lang w:val="en-US"/>
        </w:rPr>
        <w:t xml:space="preserve"> Lau, P.W.C., &amp; Agardh, A. (2015</w:t>
      </w:r>
      <w:bookmarkEnd w:id="25"/>
      <w:r w:rsidRPr="00CE5381">
        <w:rPr>
          <w:rFonts w:cs="Times New Roman"/>
          <w:shd w:val="clear" w:color="auto" w:fill="FFFFFF"/>
          <w:lang w:val="en-US"/>
        </w:rPr>
        <w:t>). Age at spermarche: 15‐year trend and its association with body mass index in C hinese school‐aged boys." </w:t>
      </w:r>
      <w:r w:rsidRPr="00CE5381">
        <w:rPr>
          <w:rFonts w:cs="Times New Roman"/>
          <w:i/>
          <w:iCs/>
          <w:shd w:val="clear" w:color="auto" w:fill="FFFFFF"/>
          <w:lang w:val="en-US"/>
        </w:rPr>
        <w:t>Pediatric obesity</w:t>
      </w:r>
      <w:r w:rsidRPr="00CE5381">
        <w:rPr>
          <w:rFonts w:cs="Times New Roman"/>
          <w:shd w:val="clear" w:color="auto" w:fill="FFFFFF"/>
          <w:lang w:val="en-US"/>
        </w:rPr>
        <w:t> 11(5): 369-374.</w:t>
      </w:r>
    </w:p>
    <w:p w14:paraId="6E116C7F" w14:textId="77777777" w:rsidR="00CE5381" w:rsidRPr="00CE5381" w:rsidRDefault="00CE5381" w:rsidP="00CE5381">
      <w:pPr>
        <w:pStyle w:val="NoSpacing"/>
        <w:rPr>
          <w:rFonts w:eastAsia="Times New Roman" w:cs="Times New Roman"/>
          <w:bCs/>
          <w:lang w:val="en-GB" w:eastAsia="nl-NL"/>
        </w:rPr>
      </w:pPr>
    </w:p>
    <w:p w14:paraId="2D7C2E9C" w14:textId="77777777" w:rsidR="00CE5381" w:rsidRPr="00CE5381" w:rsidRDefault="00CE5381" w:rsidP="00CE5381">
      <w:pPr>
        <w:pStyle w:val="NoSpacing"/>
        <w:rPr>
          <w:rFonts w:cs="Times New Roman"/>
          <w:bCs/>
          <w:lang w:val="en-GB"/>
        </w:rPr>
      </w:pPr>
      <w:r w:rsidRPr="00CE5381">
        <w:rPr>
          <w:rFonts w:cs="Times New Roman"/>
          <w:bCs/>
          <w:lang w:val="en-GB"/>
        </w:rPr>
        <w:t xml:space="preserve">Stewart, T.D. (1979). </w:t>
      </w:r>
      <w:r w:rsidRPr="00CE5381">
        <w:rPr>
          <w:rFonts w:cs="Times New Roman"/>
          <w:bCs/>
          <w:i/>
          <w:iCs/>
          <w:lang w:val="en-GB"/>
        </w:rPr>
        <w:t>Essentials of forensic anthropology</w:t>
      </w:r>
      <w:r w:rsidRPr="00CE5381">
        <w:rPr>
          <w:rFonts w:cs="Times New Roman"/>
          <w:bCs/>
          <w:lang w:val="en-GB"/>
        </w:rPr>
        <w:t>. Springfield (US-IL): C.C. Thomas.</w:t>
      </w:r>
    </w:p>
    <w:p w14:paraId="1014F4DC" w14:textId="77777777" w:rsidR="00CE5381" w:rsidRPr="00CE5381" w:rsidRDefault="00CE5381" w:rsidP="00CE5381">
      <w:pPr>
        <w:pStyle w:val="NoSpacing"/>
        <w:rPr>
          <w:rFonts w:cs="Times New Roman"/>
          <w:lang w:val="en-GB"/>
        </w:rPr>
      </w:pPr>
    </w:p>
    <w:p w14:paraId="0F025BC4" w14:textId="77777777" w:rsidR="00CE5381" w:rsidRPr="00CE5381" w:rsidRDefault="00CE5381" w:rsidP="00CE5381">
      <w:pPr>
        <w:pStyle w:val="NoSpacing"/>
        <w:rPr>
          <w:rFonts w:cs="Times New Roman"/>
          <w:bCs/>
          <w:lang w:val="en-GB"/>
        </w:rPr>
      </w:pPr>
      <w:r w:rsidRPr="00CE5381">
        <w:rPr>
          <w:rFonts w:cs="Times New Roman"/>
          <w:bCs/>
          <w:lang w:val="en-GB"/>
        </w:rPr>
        <w:t xml:space="preserve">Steyn, M.Y., &amp; İşcan, M.Y. (1999). Osteometric variation in the humerus: sexual dimorphism in South Africans. </w:t>
      </w:r>
      <w:r w:rsidRPr="00CE5381">
        <w:rPr>
          <w:rFonts w:cs="Times New Roman"/>
          <w:bCs/>
          <w:i/>
          <w:iCs/>
          <w:lang w:val="en-GB"/>
        </w:rPr>
        <w:t xml:space="preserve">Forensic Science International </w:t>
      </w:r>
      <w:r w:rsidRPr="00CE5381">
        <w:rPr>
          <w:rFonts w:cs="Times New Roman"/>
          <w:bCs/>
          <w:lang w:val="en-GB"/>
        </w:rPr>
        <w:t>106(2):77-85.</w:t>
      </w:r>
    </w:p>
    <w:p w14:paraId="68871863" w14:textId="77777777" w:rsidR="00CE5381" w:rsidRPr="00CE5381" w:rsidRDefault="00CE5381" w:rsidP="00CE5381">
      <w:pPr>
        <w:pStyle w:val="NoSpacing"/>
        <w:rPr>
          <w:rFonts w:eastAsia="Times New Roman" w:cs="Times New Roman"/>
          <w:lang w:val="en-GB" w:eastAsia="nl-NL"/>
        </w:rPr>
      </w:pPr>
    </w:p>
    <w:p w14:paraId="21BF71EC" w14:textId="77777777" w:rsidR="00CE5381" w:rsidRPr="00CE5381" w:rsidRDefault="00CE5381" w:rsidP="00CE5381">
      <w:pPr>
        <w:pStyle w:val="NoSpacing"/>
        <w:rPr>
          <w:rFonts w:eastAsia="Times New Roman" w:cs="Times New Roman"/>
          <w:bCs/>
          <w:lang w:val="en-GB" w:eastAsia="nl-NL"/>
        </w:rPr>
      </w:pPr>
      <w:r w:rsidRPr="00CE5381">
        <w:rPr>
          <w:rFonts w:eastAsia="Times New Roman" w:cs="Times New Roman"/>
          <w:bCs/>
          <w:lang w:val="en-GB" w:eastAsia="nl-NL"/>
        </w:rPr>
        <w:lastRenderedPageBreak/>
        <w:t xml:space="preserve">Sutter, R.C. (2003). Nonmetric Subadult Skeletal Sexing Traits: I. A Blind Test of the Accuracy of Eight Previously Proposed Methods Using Prehistoric Known-Sex Mummies from Northern Chile. </w:t>
      </w:r>
      <w:r w:rsidRPr="00CE5381">
        <w:rPr>
          <w:rFonts w:eastAsia="Times New Roman" w:cs="Times New Roman"/>
          <w:bCs/>
          <w:i/>
          <w:lang w:val="en-GB" w:eastAsia="nl-NL"/>
        </w:rPr>
        <w:t xml:space="preserve">Journal of Forensic Science </w:t>
      </w:r>
      <w:r w:rsidRPr="00CE5381">
        <w:rPr>
          <w:rFonts w:eastAsia="Times New Roman" w:cs="Times New Roman"/>
          <w:bCs/>
          <w:lang w:val="en-GB" w:eastAsia="nl-NL"/>
        </w:rPr>
        <w:t>48(5), 927-935.</w:t>
      </w:r>
    </w:p>
    <w:p w14:paraId="48822A0C" w14:textId="77777777" w:rsidR="00CE5381" w:rsidRPr="00CE5381" w:rsidRDefault="00CE5381" w:rsidP="00CE5381">
      <w:pPr>
        <w:pStyle w:val="NoSpacing"/>
        <w:rPr>
          <w:rFonts w:eastAsia="Times New Roman" w:cs="Times New Roman"/>
          <w:lang w:val="en-GB" w:eastAsia="nl-NL"/>
        </w:rPr>
      </w:pPr>
    </w:p>
    <w:p w14:paraId="4493FADB" w14:textId="77777777" w:rsidR="00CE5381" w:rsidRPr="00CE5381" w:rsidRDefault="00CE5381" w:rsidP="00CE5381">
      <w:pPr>
        <w:pStyle w:val="NoSpacing"/>
        <w:rPr>
          <w:rFonts w:cs="Times New Roman"/>
          <w:lang w:val="en-US" w:eastAsia="nl-NL"/>
        </w:rPr>
      </w:pPr>
      <w:bookmarkStart w:id="26" w:name="_Hlk40280546"/>
      <w:r w:rsidRPr="00CE5381">
        <w:rPr>
          <w:rFonts w:cs="Times New Roman"/>
          <w:lang w:val="en-GB" w:eastAsia="nl-NL"/>
        </w:rPr>
        <w:t>Sypek, S.A., Benson, J., Spanner, K.A., &amp; Williams, J.L. (2016</w:t>
      </w:r>
      <w:bookmarkEnd w:id="26"/>
      <w:r w:rsidRPr="00CE5381">
        <w:rPr>
          <w:rFonts w:cs="Times New Roman"/>
          <w:lang w:val="en-GB" w:eastAsia="nl-NL"/>
        </w:rPr>
        <w:t xml:space="preserve">). A holistic approach to age estimation in refugee children. </w:t>
      </w:r>
      <w:r w:rsidRPr="00CE5381">
        <w:rPr>
          <w:rFonts w:cs="Times New Roman"/>
          <w:lang w:val="en-US" w:eastAsia="nl-NL"/>
        </w:rPr>
        <w:t>Journal of Paediatrics and Child Health 52(6), 614-610.</w:t>
      </w:r>
    </w:p>
    <w:p w14:paraId="7C0B7DFE" w14:textId="77777777" w:rsidR="00CE5381" w:rsidRPr="00CE5381" w:rsidRDefault="00CE5381" w:rsidP="00CE5381">
      <w:pPr>
        <w:pStyle w:val="NoSpacing"/>
        <w:rPr>
          <w:rFonts w:cs="Times New Roman"/>
          <w:lang w:val="en-US"/>
        </w:rPr>
      </w:pPr>
    </w:p>
    <w:p w14:paraId="5FED82B1" w14:textId="77777777" w:rsidR="00CE5381" w:rsidRPr="00CE5381" w:rsidRDefault="00CE5381" w:rsidP="00CE5381">
      <w:pPr>
        <w:pStyle w:val="NoSpacing"/>
        <w:rPr>
          <w:rFonts w:cs="Times New Roman"/>
          <w:bCs/>
        </w:rPr>
      </w:pPr>
      <w:r w:rsidRPr="00CE5381">
        <w:rPr>
          <w:rFonts w:cs="Times New Roman"/>
          <w:bCs/>
          <w:lang w:val="en-GB"/>
        </w:rPr>
        <w:t xml:space="preserve">Tanner, J.M. (ed). (1989). Fetus into man – Physical growth from conception to maturity. </w:t>
      </w:r>
      <w:r w:rsidRPr="00CE5381">
        <w:rPr>
          <w:rFonts w:cs="Times New Roman"/>
          <w:bCs/>
        </w:rPr>
        <w:t>Harvard University Press: Cambridge (USA).</w:t>
      </w:r>
    </w:p>
    <w:p w14:paraId="35BB9F3C" w14:textId="77777777" w:rsidR="00CE5381" w:rsidRPr="00CE5381" w:rsidRDefault="00CE5381" w:rsidP="00CE5381">
      <w:pPr>
        <w:pStyle w:val="NoSpacing"/>
        <w:rPr>
          <w:rFonts w:cs="Times New Roman"/>
        </w:rPr>
      </w:pPr>
    </w:p>
    <w:p w14:paraId="79D89FF4" w14:textId="77777777" w:rsidR="00CE5381" w:rsidRPr="00CE5381" w:rsidRDefault="00CE5381" w:rsidP="00CE5381">
      <w:pPr>
        <w:pStyle w:val="NoSpacing"/>
        <w:rPr>
          <w:rFonts w:eastAsia="Times New Roman" w:cs="Times New Roman"/>
          <w:bCs/>
          <w:lang w:val="en-GB" w:eastAsia="nl-NL"/>
        </w:rPr>
      </w:pPr>
      <w:r w:rsidRPr="00CE5381">
        <w:rPr>
          <w:rFonts w:eastAsia="Times New Roman" w:cs="Times New Roman"/>
          <w:bCs/>
          <w:lang w:eastAsia="nl-NL"/>
        </w:rPr>
        <w:t xml:space="preserve">Thewissen, H. (2004). </w:t>
      </w:r>
      <w:r w:rsidRPr="00CE5381">
        <w:rPr>
          <w:rFonts w:eastAsia="Times New Roman" w:cs="Times New Roman"/>
          <w:bCs/>
          <w:i/>
          <w:lang w:eastAsia="nl-NL"/>
        </w:rPr>
        <w:t xml:space="preserve">De Limburgse Jonkheid: Jongerencultuur vanaf de late Middeleeuwen in een Europese context. </w:t>
      </w:r>
      <w:r w:rsidRPr="00CE5381">
        <w:rPr>
          <w:rFonts w:eastAsia="Times New Roman" w:cs="Times New Roman"/>
          <w:bCs/>
          <w:lang w:val="en-GB" w:eastAsia="nl-NL"/>
        </w:rPr>
        <w:t>Amsterdam (Unpublished PhD thesis University of Amsterdam (NL)).</w:t>
      </w:r>
    </w:p>
    <w:p w14:paraId="067D47B5" w14:textId="77777777" w:rsidR="00CE5381" w:rsidRPr="00CE5381" w:rsidRDefault="00CE5381" w:rsidP="00CE5381">
      <w:pPr>
        <w:pStyle w:val="NoSpacing"/>
        <w:rPr>
          <w:rFonts w:eastAsia="Times New Roman" w:cs="Times New Roman"/>
          <w:lang w:val="en-GB" w:eastAsia="nl-NL"/>
        </w:rPr>
      </w:pPr>
    </w:p>
    <w:p w14:paraId="0F34AC2B" w14:textId="77777777" w:rsidR="00CE5381" w:rsidRPr="00CE5381" w:rsidRDefault="00CE5381" w:rsidP="00CE5381">
      <w:pPr>
        <w:pStyle w:val="NoSpacing"/>
        <w:rPr>
          <w:rFonts w:cs="Times New Roman"/>
          <w:bCs/>
          <w:lang w:val="en-GB" w:eastAsia="nl-NL"/>
        </w:rPr>
      </w:pPr>
      <w:r w:rsidRPr="00CE5381">
        <w:rPr>
          <w:rFonts w:cs="Times New Roman"/>
          <w:bCs/>
          <w:lang w:val="en-GB"/>
        </w:rPr>
        <w:t xml:space="preserve">Tilt, E.J. (1862). </w:t>
      </w:r>
      <w:r w:rsidRPr="00CE5381">
        <w:rPr>
          <w:rFonts w:cs="Times New Roman"/>
          <w:bCs/>
          <w:i/>
          <w:lang w:val="en-GB"/>
        </w:rPr>
        <w:t>On Uterine and Ovarian Inflammation; and on the Physiology and Diseases of Menstruation</w:t>
      </w:r>
      <w:r w:rsidRPr="00CE5381">
        <w:rPr>
          <w:rFonts w:cs="Times New Roman"/>
          <w:bCs/>
          <w:lang w:val="en-GB"/>
        </w:rPr>
        <w:t>. London (UK): John Churchill.</w:t>
      </w:r>
    </w:p>
    <w:p w14:paraId="72BDB70C" w14:textId="77777777" w:rsidR="00CE5381" w:rsidRPr="00CE5381" w:rsidRDefault="00CE5381" w:rsidP="00CE5381">
      <w:pPr>
        <w:pStyle w:val="NoSpacing"/>
        <w:rPr>
          <w:rFonts w:cs="Times New Roman"/>
          <w:lang w:val="en-GB"/>
        </w:rPr>
      </w:pPr>
    </w:p>
    <w:p w14:paraId="732447DC" w14:textId="77777777" w:rsidR="00CE5381" w:rsidRPr="00CE5381" w:rsidRDefault="00CE5381" w:rsidP="00CE5381">
      <w:pPr>
        <w:pStyle w:val="NoSpacing"/>
        <w:rPr>
          <w:rFonts w:cs="Times New Roman"/>
          <w:bCs/>
        </w:rPr>
      </w:pPr>
      <w:r w:rsidRPr="00CE5381">
        <w:rPr>
          <w:rFonts w:cs="Times New Roman"/>
          <w:bCs/>
          <w:lang w:val="en-GB"/>
        </w:rPr>
        <w:t xml:space="preserve">Torstveit, M.K. and Sundgot-Borgen, J. (2005). Participation in leanness sports but not training volume is associated with menstrual dysfunction: a national survey of 1267 elite athletes and controls. </w:t>
      </w:r>
      <w:r w:rsidRPr="00CE5381">
        <w:rPr>
          <w:rFonts w:cs="Times New Roman"/>
          <w:bCs/>
          <w:i/>
          <w:iCs/>
        </w:rPr>
        <w:t>British Journal of Sports Medicine</w:t>
      </w:r>
      <w:r w:rsidRPr="00CE5381">
        <w:rPr>
          <w:rFonts w:cs="Times New Roman"/>
          <w:bCs/>
        </w:rPr>
        <w:t xml:space="preserve"> 39(3), 141-147.</w:t>
      </w:r>
    </w:p>
    <w:p w14:paraId="51E5B08B" w14:textId="77777777" w:rsidR="00CE5381" w:rsidRPr="00CE5381" w:rsidRDefault="00CE5381" w:rsidP="00CE5381">
      <w:pPr>
        <w:pStyle w:val="NoSpacing"/>
        <w:rPr>
          <w:rFonts w:cs="Times New Roman"/>
        </w:rPr>
      </w:pPr>
    </w:p>
    <w:p w14:paraId="73B29471" w14:textId="77777777" w:rsidR="00CE5381" w:rsidRPr="00CE5381" w:rsidRDefault="00CE5381" w:rsidP="00CE5381">
      <w:pPr>
        <w:pStyle w:val="NoSpacing"/>
        <w:rPr>
          <w:rFonts w:cs="Times New Roman"/>
          <w:bCs/>
          <w:lang w:val="en-GB" w:eastAsia="nl-NL"/>
        </w:rPr>
      </w:pPr>
      <w:r w:rsidRPr="00CE5381">
        <w:rPr>
          <w:rFonts w:cs="Times New Roman"/>
          <w:bCs/>
        </w:rPr>
        <w:t xml:space="preserve">Touw, A. (1926). </w:t>
      </w:r>
      <w:r w:rsidRPr="00CE5381">
        <w:rPr>
          <w:rFonts w:cs="Times New Roman"/>
          <w:bCs/>
          <w:i/>
        </w:rPr>
        <w:t>Over Cyclische Veranderingen In het Slijmvlies van den Baarmoederhals</w:t>
      </w:r>
      <w:r w:rsidRPr="00CE5381">
        <w:rPr>
          <w:rFonts w:cs="Times New Roman"/>
          <w:bCs/>
        </w:rPr>
        <w:t xml:space="preserve">. </w:t>
      </w:r>
      <w:r w:rsidRPr="00CE5381">
        <w:rPr>
          <w:rFonts w:cs="Times New Roman"/>
          <w:bCs/>
          <w:lang w:val="en-GB"/>
        </w:rPr>
        <w:t xml:space="preserve">Published thesis from the University of Utrecht. Amsterdam (NL): H.J. Paris. </w:t>
      </w:r>
    </w:p>
    <w:p w14:paraId="24F5ABFD" w14:textId="77777777" w:rsidR="00CE5381" w:rsidRPr="00CE5381" w:rsidRDefault="00CE5381" w:rsidP="00CE5381">
      <w:pPr>
        <w:pStyle w:val="NoSpacing"/>
        <w:rPr>
          <w:rFonts w:cs="Times New Roman"/>
          <w:lang w:val="en-GB"/>
        </w:rPr>
      </w:pPr>
    </w:p>
    <w:p w14:paraId="7FD3C2FA" w14:textId="77777777" w:rsidR="00CE5381" w:rsidRPr="00CE5381" w:rsidRDefault="00CE5381" w:rsidP="00CE5381">
      <w:pPr>
        <w:pStyle w:val="NoSpacing"/>
        <w:rPr>
          <w:rFonts w:cs="Times New Roman"/>
          <w:bCs/>
          <w:lang w:val="en-GB"/>
        </w:rPr>
      </w:pPr>
      <w:r w:rsidRPr="00CE5381">
        <w:rPr>
          <w:rFonts w:cs="Times New Roman"/>
          <w:bCs/>
          <w:lang w:val="en-GB"/>
        </w:rPr>
        <w:t xml:space="preserve">Ubelaker, D.H. (1987). Estimating age-at-death from immature human skeletons: an overview. </w:t>
      </w:r>
      <w:r w:rsidRPr="00CE5381">
        <w:rPr>
          <w:rFonts w:cs="Times New Roman"/>
          <w:bCs/>
          <w:i/>
          <w:lang w:val="en-GB"/>
        </w:rPr>
        <w:t xml:space="preserve">Journal of Forensic Sciences </w:t>
      </w:r>
      <w:r w:rsidRPr="00CE5381">
        <w:rPr>
          <w:rFonts w:cs="Times New Roman"/>
          <w:bCs/>
          <w:lang w:val="en-GB"/>
        </w:rPr>
        <w:t>32, 1254-1263.</w:t>
      </w:r>
    </w:p>
    <w:p w14:paraId="79EBE841" w14:textId="77777777" w:rsidR="00CE5381" w:rsidRPr="00CE5381" w:rsidRDefault="00CE5381" w:rsidP="00CE5381">
      <w:pPr>
        <w:pStyle w:val="NoSpacing"/>
        <w:rPr>
          <w:rFonts w:cs="Times New Roman"/>
        </w:rPr>
      </w:pPr>
    </w:p>
    <w:p w14:paraId="6A39F421" w14:textId="77777777" w:rsidR="00CE5381" w:rsidRPr="00CE5381" w:rsidRDefault="00CE5381" w:rsidP="00CE5381">
      <w:pPr>
        <w:pStyle w:val="NoSpacing"/>
        <w:rPr>
          <w:rFonts w:cs="Times New Roman"/>
          <w:bCs/>
        </w:rPr>
      </w:pPr>
      <w:r w:rsidRPr="00CE5381">
        <w:rPr>
          <w:rFonts w:cs="Times New Roman"/>
          <w:bCs/>
        </w:rPr>
        <w:t xml:space="preserve">Van den Eerenbeemt, B. (1935). </w:t>
      </w:r>
      <w:r w:rsidRPr="00CE5381">
        <w:rPr>
          <w:rFonts w:cs="Times New Roman"/>
          <w:bCs/>
          <w:i/>
        </w:rPr>
        <w:t xml:space="preserve">Het Kind in onze Middeleeuwse Literatuur. </w:t>
      </w:r>
      <w:r w:rsidRPr="00CE5381">
        <w:rPr>
          <w:rFonts w:cs="Times New Roman"/>
          <w:bCs/>
          <w:iCs/>
        </w:rPr>
        <w:t>Nijmegen</w:t>
      </w:r>
      <w:r w:rsidRPr="00CE5381">
        <w:rPr>
          <w:rFonts w:cs="Times New Roman"/>
          <w:bCs/>
        </w:rPr>
        <w:t xml:space="preserve"> (unpublished PhD thesis Katholieke Universiteit van Nijmegen (NL)).</w:t>
      </w:r>
    </w:p>
    <w:p w14:paraId="4C579331" w14:textId="77777777" w:rsidR="00CE5381" w:rsidRPr="00CE5381" w:rsidRDefault="00CE5381" w:rsidP="00CE5381">
      <w:pPr>
        <w:pStyle w:val="NoSpacing"/>
        <w:rPr>
          <w:rFonts w:cs="Times New Roman"/>
          <w:bCs/>
        </w:rPr>
      </w:pPr>
    </w:p>
    <w:p w14:paraId="56B6ACA5" w14:textId="77777777" w:rsidR="00CE5381" w:rsidRPr="00CE5381" w:rsidRDefault="00CE5381" w:rsidP="00CE5381">
      <w:pPr>
        <w:pStyle w:val="NoSpacing"/>
        <w:rPr>
          <w:rFonts w:cs="Times New Roman"/>
          <w:bCs/>
        </w:rPr>
      </w:pPr>
      <w:r w:rsidRPr="00CE5381">
        <w:rPr>
          <w:rFonts w:cs="Times New Roman"/>
          <w:bCs/>
        </w:rPr>
        <w:t xml:space="preserve">Van Gaalen,  R.I.A., &amp; Van Poppel, F.W.A. (2007). Leeftijd modern bij eerste geboorte sinds 1850: stijging afgelopen 40 jaar zonder precedent. </w:t>
      </w:r>
      <w:r w:rsidRPr="00CE5381">
        <w:rPr>
          <w:rFonts w:cs="Times New Roman"/>
          <w:bCs/>
          <w:i/>
          <w:iCs/>
        </w:rPr>
        <w:t>Demos: bulletin over bevolking en samenleving</w:t>
      </w:r>
      <w:r w:rsidRPr="00CE5381">
        <w:rPr>
          <w:rFonts w:cs="Times New Roman"/>
          <w:bCs/>
        </w:rPr>
        <w:t xml:space="preserve"> 23, 7-8.</w:t>
      </w:r>
    </w:p>
    <w:p w14:paraId="390A1AB9" w14:textId="77777777" w:rsidR="00CE5381" w:rsidRPr="00CE5381" w:rsidRDefault="00CE5381" w:rsidP="00CE5381">
      <w:pPr>
        <w:pStyle w:val="NoSpacing"/>
        <w:rPr>
          <w:rFonts w:cs="Times New Roman"/>
          <w:lang w:eastAsia="nl-NL"/>
        </w:rPr>
      </w:pPr>
    </w:p>
    <w:p w14:paraId="53AFEA72" w14:textId="77777777" w:rsidR="00CE5381" w:rsidRPr="00CE5381" w:rsidRDefault="00CE5381" w:rsidP="00CE5381">
      <w:pPr>
        <w:pStyle w:val="NoSpacing"/>
        <w:rPr>
          <w:rFonts w:cs="Times New Roman"/>
          <w:bCs/>
          <w:lang w:val="en-GB" w:eastAsia="nl-NL"/>
        </w:rPr>
      </w:pPr>
      <w:r w:rsidRPr="00CE5381">
        <w:rPr>
          <w:rFonts w:cs="Times New Roman"/>
          <w:bCs/>
          <w:lang w:eastAsia="nl-NL"/>
        </w:rPr>
        <w:t xml:space="preserve">Van Poppel, F. (1992). </w:t>
      </w:r>
      <w:r w:rsidRPr="00CE5381">
        <w:rPr>
          <w:rFonts w:cs="Times New Roman"/>
          <w:bCs/>
          <w:i/>
          <w:lang w:eastAsia="nl-NL"/>
        </w:rPr>
        <w:t>Trouwen in Nederland: Een historisch-demografische studie van de 19</w:t>
      </w:r>
      <w:r w:rsidRPr="00CE5381">
        <w:rPr>
          <w:rFonts w:cs="Times New Roman"/>
          <w:bCs/>
          <w:i/>
          <w:vertAlign w:val="superscript"/>
          <w:lang w:eastAsia="nl-NL"/>
        </w:rPr>
        <w:t>e</w:t>
      </w:r>
      <w:r w:rsidRPr="00CE5381">
        <w:rPr>
          <w:rFonts w:cs="Times New Roman"/>
          <w:bCs/>
          <w:i/>
          <w:lang w:eastAsia="nl-NL"/>
        </w:rPr>
        <w:t xml:space="preserve"> en vroeg-20</w:t>
      </w:r>
      <w:r w:rsidRPr="00CE5381">
        <w:rPr>
          <w:rFonts w:cs="Times New Roman"/>
          <w:bCs/>
          <w:i/>
          <w:vertAlign w:val="superscript"/>
          <w:lang w:eastAsia="nl-NL"/>
        </w:rPr>
        <w:t>e</w:t>
      </w:r>
      <w:r w:rsidRPr="00CE5381">
        <w:rPr>
          <w:rFonts w:cs="Times New Roman"/>
          <w:bCs/>
          <w:i/>
          <w:lang w:eastAsia="nl-NL"/>
        </w:rPr>
        <w:t xml:space="preserve"> eeuw. </w:t>
      </w:r>
      <w:r w:rsidRPr="00CE5381">
        <w:rPr>
          <w:rFonts w:cs="Times New Roman"/>
          <w:bCs/>
          <w:lang w:val="en-GB" w:eastAsia="nl-NL"/>
        </w:rPr>
        <w:t>Wageningen (unpublished PhD thesis University of Wageningen (NL)).</w:t>
      </w:r>
    </w:p>
    <w:p w14:paraId="1EC1FCF2" w14:textId="77777777" w:rsidR="00CE5381" w:rsidRPr="00CE5381" w:rsidRDefault="00CE5381" w:rsidP="00CE5381">
      <w:pPr>
        <w:pStyle w:val="NoSpacing"/>
        <w:rPr>
          <w:rFonts w:cs="Times New Roman"/>
          <w:lang w:val="en-GB"/>
        </w:rPr>
      </w:pPr>
    </w:p>
    <w:p w14:paraId="1311881D" w14:textId="77777777" w:rsidR="00CE5381" w:rsidRPr="00CE5381" w:rsidRDefault="00CE5381" w:rsidP="00CE5381">
      <w:pPr>
        <w:pStyle w:val="NoSpacing"/>
        <w:rPr>
          <w:rFonts w:cs="Times New Roman"/>
          <w:bCs/>
          <w:lang w:eastAsia="nl-NL"/>
        </w:rPr>
      </w:pPr>
      <w:r w:rsidRPr="00CE5381">
        <w:rPr>
          <w:rFonts w:cs="Times New Roman"/>
          <w:bCs/>
          <w:lang w:val="en-GB"/>
        </w:rPr>
        <w:t xml:space="preserve">Van Rhyn, N. (1925). </w:t>
      </w:r>
      <w:r w:rsidRPr="00CE5381">
        <w:rPr>
          <w:rFonts w:cs="Times New Roman"/>
          <w:bCs/>
          <w:i/>
          <w:lang w:val="en-GB"/>
        </w:rPr>
        <w:t>Over Ruptura Uteri en Kolpaporrhexis</w:t>
      </w:r>
      <w:r w:rsidRPr="00CE5381">
        <w:rPr>
          <w:rFonts w:cs="Times New Roman"/>
          <w:bCs/>
          <w:lang w:val="en-GB"/>
        </w:rPr>
        <w:t xml:space="preserve"> (published thesis from the University of Utrecht). </w:t>
      </w:r>
      <w:r w:rsidRPr="00CE5381">
        <w:rPr>
          <w:rFonts w:cs="Times New Roman"/>
          <w:bCs/>
        </w:rPr>
        <w:t>Amsterdam (NL): Blikman &amp; Sartorius.</w:t>
      </w:r>
    </w:p>
    <w:p w14:paraId="229F7CDB" w14:textId="77777777" w:rsidR="00CE5381" w:rsidRPr="00CE5381" w:rsidRDefault="00CE5381" w:rsidP="00CE5381">
      <w:pPr>
        <w:pStyle w:val="NoSpacing"/>
        <w:rPr>
          <w:rFonts w:eastAsia="Times New Roman" w:cs="Times New Roman"/>
          <w:lang w:eastAsia="nl-NL"/>
        </w:rPr>
      </w:pPr>
    </w:p>
    <w:p w14:paraId="5B859980" w14:textId="77777777" w:rsidR="00CE5381" w:rsidRPr="00CE5381" w:rsidRDefault="00CE5381" w:rsidP="00CE5381">
      <w:pPr>
        <w:pStyle w:val="NoSpacing"/>
        <w:rPr>
          <w:rFonts w:cs="Times New Roman"/>
          <w:bCs/>
          <w:lang w:eastAsia="nl-NL"/>
        </w:rPr>
      </w:pPr>
      <w:r w:rsidRPr="00CE5381">
        <w:rPr>
          <w:rFonts w:eastAsia="Times New Roman" w:cs="Times New Roman"/>
          <w:bCs/>
          <w:lang w:eastAsia="nl-NL"/>
        </w:rPr>
        <w:t xml:space="preserve">Van Ussel, J.M.W. (1982). </w:t>
      </w:r>
      <w:r w:rsidRPr="00CE5381">
        <w:rPr>
          <w:rFonts w:eastAsia="Times New Roman" w:cs="Times New Roman"/>
          <w:bCs/>
          <w:i/>
          <w:lang w:eastAsia="nl-NL"/>
        </w:rPr>
        <w:t>Geschiedenis van het seksuele probleem</w:t>
      </w:r>
      <w:r w:rsidRPr="00CE5381">
        <w:rPr>
          <w:rFonts w:eastAsia="Times New Roman" w:cs="Times New Roman"/>
          <w:bCs/>
          <w:lang w:eastAsia="nl-NL"/>
        </w:rPr>
        <w:t>. Amsterdam (NL): Boom.</w:t>
      </w:r>
    </w:p>
    <w:p w14:paraId="2F5EA954" w14:textId="77777777" w:rsidR="00CE5381" w:rsidRPr="00CE5381" w:rsidRDefault="00CE5381" w:rsidP="00CE5381">
      <w:pPr>
        <w:pStyle w:val="NoSpacing"/>
        <w:rPr>
          <w:rFonts w:cs="Times New Roman"/>
        </w:rPr>
      </w:pPr>
    </w:p>
    <w:p w14:paraId="5D92CF95" w14:textId="77777777" w:rsidR="00CE5381" w:rsidRPr="00CE5381" w:rsidRDefault="00CE5381" w:rsidP="00CE5381">
      <w:pPr>
        <w:pStyle w:val="NoSpacing"/>
        <w:rPr>
          <w:rFonts w:cs="Times New Roman"/>
          <w:bCs/>
          <w:lang w:val="en-GB"/>
        </w:rPr>
      </w:pPr>
      <w:r w:rsidRPr="00CE5381">
        <w:rPr>
          <w:rFonts w:cs="Times New Roman"/>
          <w:bCs/>
        </w:rPr>
        <w:t xml:space="preserve">Veroni, A., Nikitovic, D., &amp; Schillaci, M.A. (2010). </w:t>
      </w:r>
      <w:r w:rsidRPr="00CE5381">
        <w:rPr>
          <w:rFonts w:cs="Times New Roman"/>
          <w:bCs/>
          <w:lang w:val="en-GB"/>
        </w:rPr>
        <w:t xml:space="preserve">Brief Communications: Sexual Dimorphism of the Juvenile Basicranium. </w:t>
      </w:r>
      <w:r w:rsidRPr="00CE5381">
        <w:rPr>
          <w:rFonts w:cs="Times New Roman"/>
          <w:bCs/>
          <w:i/>
          <w:lang w:val="en-GB"/>
        </w:rPr>
        <w:t xml:space="preserve">American Journal of Physical Anthropology </w:t>
      </w:r>
      <w:r w:rsidRPr="00CE5381">
        <w:rPr>
          <w:rFonts w:cs="Times New Roman"/>
          <w:bCs/>
          <w:lang w:val="en-GB"/>
        </w:rPr>
        <w:t>141(1), 147-151.</w:t>
      </w:r>
    </w:p>
    <w:p w14:paraId="64327FB0" w14:textId="77777777" w:rsidR="00CE5381" w:rsidRPr="00CE5381" w:rsidRDefault="00CE5381" w:rsidP="00CE5381">
      <w:pPr>
        <w:pStyle w:val="NoSpacing"/>
        <w:rPr>
          <w:rFonts w:cs="Times New Roman"/>
          <w:lang w:val="en-GB"/>
        </w:rPr>
      </w:pPr>
    </w:p>
    <w:p w14:paraId="005966BF" w14:textId="77777777" w:rsidR="00CE5381" w:rsidRPr="00CE5381" w:rsidRDefault="00CE5381" w:rsidP="00CE5381">
      <w:pPr>
        <w:pStyle w:val="NoSpacing"/>
        <w:rPr>
          <w:rFonts w:cs="Times New Roman"/>
          <w:bCs/>
          <w:lang w:val="en-GB"/>
        </w:rPr>
      </w:pPr>
      <w:r w:rsidRPr="00CE5381">
        <w:rPr>
          <w:rFonts w:cs="Times New Roman"/>
          <w:bCs/>
          <w:lang w:val="en-GB"/>
        </w:rPr>
        <w:t xml:space="preserve">Verwijs, E. (1878). </w:t>
      </w:r>
      <w:r w:rsidRPr="00CE5381">
        <w:rPr>
          <w:rFonts w:cs="Times New Roman"/>
          <w:bCs/>
          <w:i/>
          <w:lang w:val="en-GB"/>
        </w:rPr>
        <w:t xml:space="preserve">Jacob van Maerlant’s Naturen Bloeme. Deel I. </w:t>
      </w:r>
      <w:r w:rsidRPr="00CE5381">
        <w:rPr>
          <w:rFonts w:cs="Times New Roman"/>
          <w:bCs/>
          <w:lang w:val="en-GB"/>
        </w:rPr>
        <w:t xml:space="preserve">Groningen (NL): J.B. Wolters. </w:t>
      </w:r>
    </w:p>
    <w:p w14:paraId="00C75EC5" w14:textId="77777777" w:rsidR="00CE5381" w:rsidRPr="00CE5381" w:rsidRDefault="00CE5381" w:rsidP="00CE5381">
      <w:pPr>
        <w:pStyle w:val="NoSpacing"/>
        <w:rPr>
          <w:rFonts w:cs="Times New Roman"/>
          <w:shd w:val="clear" w:color="auto" w:fill="FFFFFF"/>
          <w:lang w:val="en-GB"/>
        </w:rPr>
      </w:pPr>
    </w:p>
    <w:p w14:paraId="7B8B5394" w14:textId="77777777" w:rsidR="00CE5381" w:rsidRPr="00CE5381" w:rsidRDefault="00CE5381" w:rsidP="00CE5381">
      <w:pPr>
        <w:pStyle w:val="NoSpacing"/>
        <w:rPr>
          <w:rFonts w:cs="Times New Roman"/>
          <w:bCs/>
          <w:shd w:val="clear" w:color="auto" w:fill="FFFFFF"/>
          <w:lang w:val="en-GB"/>
        </w:rPr>
      </w:pPr>
      <w:r w:rsidRPr="00CE5381">
        <w:rPr>
          <w:rFonts w:cs="Times New Roman"/>
          <w:bCs/>
          <w:shd w:val="clear" w:color="auto" w:fill="FFFFFF"/>
        </w:rPr>
        <w:t>WA-GB, NL-PmWA (Waterlands Archief, Purmerend, Gemeente Beemster, archive inventory 0231). </w:t>
      </w:r>
      <w:r w:rsidRPr="00CE5381">
        <w:rPr>
          <w:rFonts w:cs="Times New Roman"/>
          <w:bCs/>
          <w:i/>
          <w:iCs/>
          <w:shd w:val="clear" w:color="auto" w:fill="FFFFFF"/>
        </w:rPr>
        <w:t xml:space="preserve">Doop-, Trouw-, en Begraafboeken Beemster 1621-1913. </w:t>
      </w:r>
      <w:hyperlink r:id="rId9" w:history="1">
        <w:r w:rsidRPr="00CE5381">
          <w:rPr>
            <w:rStyle w:val="Hyperlink"/>
            <w:rFonts w:cs="Times New Roman"/>
            <w:bCs/>
            <w:color w:val="auto"/>
            <w:lang w:val="en-GB"/>
          </w:rPr>
          <w:t>https://www.archieven.nl/nl/zoeken?mivast=0&amp;mizig=210&amp;miadt=131&amp;micode=0231&amp;miview=inv2&amp;milang=nl</w:t>
        </w:r>
      </w:hyperlink>
      <w:r w:rsidRPr="00CE5381">
        <w:rPr>
          <w:rFonts w:cs="Times New Roman"/>
          <w:bCs/>
          <w:iCs/>
          <w:shd w:val="clear" w:color="auto" w:fill="FFFFFF"/>
          <w:lang w:val="en-GB"/>
        </w:rPr>
        <w:t>, </w:t>
      </w:r>
      <w:r w:rsidRPr="00CE5381">
        <w:rPr>
          <w:rFonts w:cs="Times New Roman"/>
          <w:bCs/>
          <w:shd w:val="clear" w:color="auto" w:fill="FFFFFF"/>
          <w:lang w:val="en-GB"/>
        </w:rPr>
        <w:t>accessed on 15 December 2017, 12.43 am.</w:t>
      </w:r>
    </w:p>
    <w:p w14:paraId="2B123CD4" w14:textId="77777777" w:rsidR="00CE5381" w:rsidRPr="00CE5381" w:rsidRDefault="00CE5381" w:rsidP="00CE5381">
      <w:pPr>
        <w:pStyle w:val="NoSpacing"/>
        <w:rPr>
          <w:rFonts w:cs="Times New Roman"/>
          <w:bCs/>
          <w:shd w:val="clear" w:color="auto" w:fill="FFFFFF"/>
          <w:lang w:val="en-GB"/>
        </w:rPr>
      </w:pPr>
    </w:p>
    <w:p w14:paraId="75B46B00" w14:textId="77777777" w:rsidR="00CE5381" w:rsidRPr="00CE5381" w:rsidRDefault="00CE5381" w:rsidP="00CE5381">
      <w:pPr>
        <w:pStyle w:val="NoSpacing"/>
        <w:rPr>
          <w:rFonts w:cs="Times New Roman"/>
          <w:bCs/>
          <w:shd w:val="clear" w:color="auto" w:fill="FFFFFF"/>
          <w:lang w:val="en-GB"/>
        </w:rPr>
      </w:pPr>
      <w:r w:rsidRPr="00CE5381">
        <w:rPr>
          <w:rFonts w:cs="Times New Roman"/>
          <w:bCs/>
          <w:shd w:val="clear" w:color="auto" w:fill="FFFFFF"/>
          <w:lang w:val="en-GB"/>
        </w:rPr>
        <w:t xml:space="preserve">Waldron, T. (2009). </w:t>
      </w:r>
      <w:r w:rsidRPr="00CE5381">
        <w:rPr>
          <w:rFonts w:cs="Times New Roman"/>
          <w:bCs/>
          <w:i/>
          <w:shd w:val="clear" w:color="auto" w:fill="FFFFFF"/>
          <w:lang w:val="en-GB"/>
        </w:rPr>
        <w:t xml:space="preserve">Palaeopathology </w:t>
      </w:r>
      <w:r w:rsidRPr="00CE5381">
        <w:rPr>
          <w:rFonts w:cs="Times New Roman"/>
          <w:bCs/>
          <w:shd w:val="clear" w:color="auto" w:fill="FFFFFF"/>
          <w:lang w:val="en-GB"/>
        </w:rPr>
        <w:t>(Cambridge Manuals in Archaeology). Cambridge (UK): Cambridge University Press.</w:t>
      </w:r>
    </w:p>
    <w:p w14:paraId="2579E4F9" w14:textId="77777777" w:rsidR="00CE5381" w:rsidRPr="00CE5381" w:rsidRDefault="00CE5381" w:rsidP="00CE5381">
      <w:pPr>
        <w:pStyle w:val="NoSpacing"/>
        <w:rPr>
          <w:rFonts w:cs="Times New Roman"/>
          <w:lang w:val="en-GB"/>
        </w:rPr>
      </w:pPr>
      <w:r w:rsidRPr="00CE5381">
        <w:rPr>
          <w:rFonts w:cs="Times New Roman"/>
          <w:bCs/>
          <w:shd w:val="clear" w:color="auto" w:fill="FFFFFF"/>
          <w:lang w:val="de-DE"/>
        </w:rPr>
        <w:t xml:space="preserve">Walter, B.S. &amp; S.N. DeWitte, 2017. </w:t>
      </w:r>
      <w:r w:rsidRPr="00CE5381">
        <w:rPr>
          <w:rFonts w:cs="Times New Roman"/>
          <w:bCs/>
          <w:shd w:val="clear" w:color="auto" w:fill="FFFFFF"/>
          <w:lang w:val="en-GB"/>
        </w:rPr>
        <w:t xml:space="preserve">Urban and rural mortality and survival in Medieval England. </w:t>
      </w:r>
      <w:r w:rsidRPr="00CE5381">
        <w:rPr>
          <w:rFonts w:cs="Times New Roman"/>
          <w:i/>
          <w:iCs/>
          <w:lang w:val="en-GB"/>
        </w:rPr>
        <w:t xml:space="preserve">Annals of Human Biology </w:t>
      </w:r>
      <w:r w:rsidRPr="00CE5381">
        <w:rPr>
          <w:rFonts w:cs="Times New Roman"/>
          <w:lang w:val="en-GB"/>
        </w:rPr>
        <w:t>44(4), 338-348).</w:t>
      </w:r>
    </w:p>
    <w:p w14:paraId="5051F59B" w14:textId="77777777" w:rsidR="00CE5381" w:rsidRPr="00CE5381" w:rsidRDefault="00CE5381" w:rsidP="00CE5381">
      <w:pPr>
        <w:pStyle w:val="NoSpacing"/>
        <w:rPr>
          <w:rFonts w:cs="Times New Roman"/>
          <w:lang w:val="en-GB" w:eastAsia="nl-NL"/>
        </w:rPr>
      </w:pPr>
    </w:p>
    <w:p w14:paraId="73480A48" w14:textId="77777777" w:rsidR="00CE5381" w:rsidRPr="00CE5381" w:rsidRDefault="00CE5381" w:rsidP="00CE5381">
      <w:pPr>
        <w:pStyle w:val="NoSpacing"/>
        <w:rPr>
          <w:rFonts w:cs="Times New Roman"/>
          <w:bCs/>
          <w:lang w:val="en-GB"/>
        </w:rPr>
      </w:pPr>
      <w:r w:rsidRPr="00CE5381">
        <w:rPr>
          <w:rFonts w:cs="Times New Roman"/>
          <w:bCs/>
          <w:lang w:val="en-GB"/>
        </w:rPr>
        <w:t xml:space="preserve">Waters-Rist, A.L., &amp; Hoogland, M.L.P. (2013). Osteological evidence of short-limbed dwarfism in a nineteenth century Dutch family: Achondroplasia or hypochondroplasia. </w:t>
      </w:r>
      <w:r w:rsidRPr="00CE5381">
        <w:rPr>
          <w:rFonts w:cs="Times New Roman"/>
          <w:bCs/>
          <w:i/>
          <w:iCs/>
          <w:lang w:val="en-GB"/>
        </w:rPr>
        <w:t xml:space="preserve">International Journal of Paleopathology </w:t>
      </w:r>
      <w:r w:rsidRPr="00CE5381">
        <w:rPr>
          <w:rFonts w:cs="Times New Roman"/>
          <w:bCs/>
          <w:lang w:val="en-GB"/>
        </w:rPr>
        <w:t>3, 243-256.</w:t>
      </w:r>
    </w:p>
    <w:p w14:paraId="2DBF573B" w14:textId="77777777" w:rsidR="00CE5381" w:rsidRPr="00CE5381" w:rsidRDefault="00CE5381" w:rsidP="00CE5381">
      <w:pPr>
        <w:pStyle w:val="NoSpacing"/>
        <w:rPr>
          <w:rFonts w:cs="Times New Roman"/>
          <w:lang w:val="en-GB" w:eastAsia="nl-NL"/>
        </w:rPr>
      </w:pPr>
    </w:p>
    <w:p w14:paraId="20823BA4" w14:textId="77777777" w:rsidR="00CE5381" w:rsidRPr="00CE5381" w:rsidRDefault="00CE5381" w:rsidP="00CE5381">
      <w:pPr>
        <w:pStyle w:val="NoSpacing"/>
        <w:rPr>
          <w:rFonts w:cs="Times New Roman"/>
          <w:bCs/>
          <w:lang w:val="en-GB" w:eastAsia="nl-NL"/>
        </w:rPr>
      </w:pPr>
      <w:bookmarkStart w:id="27" w:name="_Hlk40280566"/>
      <w:r w:rsidRPr="00CE5381">
        <w:rPr>
          <w:rFonts w:cs="Times New Roman"/>
          <w:bCs/>
          <w:lang w:val="en-GB" w:eastAsia="nl-NL"/>
        </w:rPr>
        <w:t>Wood, J.W., Milner, G.R., Harpending, H.C., &amp; Weiss, K.M. (1992</w:t>
      </w:r>
      <w:bookmarkEnd w:id="27"/>
      <w:r w:rsidRPr="00CE5381">
        <w:rPr>
          <w:rFonts w:cs="Times New Roman"/>
          <w:bCs/>
          <w:lang w:val="en-GB" w:eastAsia="nl-NL"/>
        </w:rPr>
        <w:t xml:space="preserve">). The Osteological Paradox: Problems of Inferring Prehistoric Health From Skeletal Samples. </w:t>
      </w:r>
      <w:r w:rsidRPr="00CE5381">
        <w:rPr>
          <w:rFonts w:cs="Times New Roman"/>
          <w:bCs/>
          <w:i/>
          <w:lang w:val="en-GB" w:eastAsia="nl-NL"/>
        </w:rPr>
        <w:t>Current Anthropology</w:t>
      </w:r>
      <w:r w:rsidRPr="00CE5381">
        <w:rPr>
          <w:rFonts w:cs="Times New Roman"/>
          <w:bCs/>
          <w:lang w:val="en-GB" w:eastAsia="nl-NL"/>
        </w:rPr>
        <w:t xml:space="preserve"> 33(4), 343-370.</w:t>
      </w:r>
    </w:p>
    <w:p w14:paraId="3F36C7D0" w14:textId="77777777" w:rsidR="00CE5381" w:rsidRPr="00CE5381" w:rsidRDefault="00CE5381" w:rsidP="00CE5381">
      <w:pPr>
        <w:pStyle w:val="NoSpacing"/>
        <w:rPr>
          <w:rFonts w:cs="Times New Roman"/>
          <w:lang w:val="en-GB" w:eastAsia="nl-NL"/>
        </w:rPr>
      </w:pPr>
    </w:p>
    <w:p w14:paraId="339C4A1C" w14:textId="77777777" w:rsidR="00CE5381" w:rsidRPr="00CE5381" w:rsidRDefault="00CE5381" w:rsidP="00CE5381">
      <w:pPr>
        <w:pStyle w:val="NoSpacing"/>
        <w:ind w:left="426" w:hanging="426"/>
        <w:rPr>
          <w:rFonts w:cs="Times New Roman"/>
          <w:i/>
          <w:lang w:val="en-GB" w:eastAsia="nl-NL"/>
        </w:rPr>
      </w:pPr>
      <w:r w:rsidRPr="00CE5381">
        <w:rPr>
          <w:rFonts w:cs="Times New Roman"/>
          <w:lang w:val="en-GB" w:eastAsia="nl-NL"/>
        </w:rPr>
        <w:t xml:space="preserve">WHO (World Health Organisation) (1993). </w:t>
      </w:r>
      <w:r w:rsidRPr="00CE5381">
        <w:rPr>
          <w:rFonts w:cs="Times New Roman"/>
          <w:i/>
          <w:lang w:val="en-GB" w:eastAsia="nl-NL"/>
        </w:rPr>
        <w:t>The health of young people: A challenge and a promise.</w:t>
      </w:r>
    </w:p>
    <w:p w14:paraId="0DD3DBF5" w14:textId="77777777" w:rsidR="00CE5381" w:rsidRPr="00CE5381" w:rsidRDefault="00CE5381" w:rsidP="00CE5381">
      <w:pPr>
        <w:pStyle w:val="NoSpacing"/>
        <w:ind w:left="426" w:hanging="426"/>
        <w:rPr>
          <w:rFonts w:cs="Times New Roman"/>
          <w:lang w:val="en-GB" w:eastAsia="nl-NL"/>
        </w:rPr>
      </w:pPr>
      <w:r w:rsidRPr="00CE5381">
        <w:rPr>
          <w:rFonts w:cs="Times New Roman"/>
          <w:lang w:val="en-GB" w:eastAsia="nl-NL"/>
        </w:rPr>
        <w:t>Geneva (CH): World Health Organisation.</w:t>
      </w:r>
    </w:p>
    <w:p w14:paraId="13A9F9EF" w14:textId="77777777" w:rsidR="00CE5381" w:rsidRPr="00CE5381" w:rsidRDefault="00CE5381" w:rsidP="00CE5381">
      <w:pPr>
        <w:pStyle w:val="NoSpacing"/>
        <w:rPr>
          <w:rFonts w:cs="Times New Roman"/>
          <w:lang w:val="en-GB"/>
        </w:rPr>
      </w:pPr>
    </w:p>
    <w:p w14:paraId="7AE5F494" w14:textId="77777777" w:rsidR="00CE5381" w:rsidRPr="00CE5381" w:rsidRDefault="00CE5381" w:rsidP="00CE5381">
      <w:pPr>
        <w:pStyle w:val="NoSpacing"/>
        <w:rPr>
          <w:rFonts w:cs="Times New Roman"/>
          <w:bCs/>
          <w:lang w:val="en-GB"/>
        </w:rPr>
      </w:pPr>
      <w:r w:rsidRPr="00CE5381">
        <w:rPr>
          <w:rFonts w:cs="Times New Roman"/>
          <w:bCs/>
          <w:lang w:val="en-GB"/>
        </w:rPr>
        <w:t xml:space="preserve">Yoder, C., Ubelaker, D.H., &amp; Powell, J.F. (2001). Examination of variation in sternal rib end morphology relevant to age assessment. </w:t>
      </w:r>
      <w:r w:rsidRPr="00CE5381">
        <w:rPr>
          <w:rFonts w:cs="Times New Roman"/>
          <w:bCs/>
          <w:i/>
          <w:lang w:val="en-GB"/>
        </w:rPr>
        <w:t xml:space="preserve">Journal of Forensic Science </w:t>
      </w:r>
      <w:r w:rsidRPr="00CE5381">
        <w:rPr>
          <w:rFonts w:cs="Times New Roman"/>
          <w:bCs/>
          <w:lang w:val="en-GB"/>
        </w:rPr>
        <w:t xml:space="preserve">46, 223-227. </w:t>
      </w:r>
    </w:p>
    <w:p w14:paraId="62E4B8CA" w14:textId="77777777" w:rsidR="00CE5381" w:rsidRPr="00CE5381" w:rsidRDefault="00CE5381" w:rsidP="00CE5381">
      <w:pPr>
        <w:pStyle w:val="NoSpacing"/>
        <w:rPr>
          <w:rFonts w:cs="Times New Roman"/>
          <w:bCs/>
          <w:lang w:val="en-GB"/>
        </w:rPr>
      </w:pPr>
    </w:p>
    <w:p w14:paraId="7B92144A" w14:textId="77777777" w:rsidR="00CE5381" w:rsidRPr="00CE5381" w:rsidRDefault="00CE5381" w:rsidP="00CE5381">
      <w:pPr>
        <w:pStyle w:val="NoSpacing"/>
        <w:rPr>
          <w:rFonts w:cs="Times New Roman"/>
          <w:bCs/>
          <w:lang w:val="en-GB"/>
        </w:rPr>
      </w:pPr>
      <w:r w:rsidRPr="00CE5381">
        <w:rPr>
          <w:rFonts w:cs="Times New Roman"/>
          <w:bCs/>
          <w:lang w:val="en-GB"/>
        </w:rPr>
        <w:t xml:space="preserve">Zegeye, D.T., Megabiaw, B., &amp; Mulu, A. (2009). Age at menarche and the menstrual pattern of secondary school adolescents in northwest Ethiopia. </w:t>
      </w:r>
      <w:r w:rsidRPr="00CE5381">
        <w:rPr>
          <w:rFonts w:cs="Times New Roman"/>
          <w:bCs/>
          <w:i/>
          <w:iCs/>
          <w:lang w:val="en-GB"/>
        </w:rPr>
        <w:t>BMC Women’s Health</w:t>
      </w:r>
      <w:r w:rsidRPr="00CE5381">
        <w:rPr>
          <w:rFonts w:cs="Times New Roman"/>
          <w:bCs/>
          <w:lang w:val="en-GB"/>
        </w:rPr>
        <w:t xml:space="preserve"> 9(29), 1-8.</w:t>
      </w:r>
    </w:p>
    <w:p w14:paraId="2E216534" w14:textId="77777777" w:rsidR="00CE5381" w:rsidRPr="00CE5381" w:rsidRDefault="00CE5381" w:rsidP="00CE5381">
      <w:pPr>
        <w:pStyle w:val="NoSpacing"/>
        <w:rPr>
          <w:rFonts w:cs="Times New Roman"/>
          <w:lang w:val="en-GB"/>
        </w:rPr>
      </w:pPr>
    </w:p>
    <w:p w14:paraId="52343B5B" w14:textId="77777777" w:rsidR="00CE5381" w:rsidRPr="00CE5381" w:rsidRDefault="00CE5381" w:rsidP="00CE5381">
      <w:pPr>
        <w:pStyle w:val="NoSpacing"/>
        <w:rPr>
          <w:rFonts w:cs="Times New Roman"/>
          <w:bCs/>
        </w:rPr>
      </w:pPr>
      <w:r w:rsidRPr="00CE5381">
        <w:rPr>
          <w:rFonts w:cs="Times New Roman"/>
          <w:bCs/>
          <w:lang w:val="en-GB"/>
        </w:rPr>
        <w:t xml:space="preserve">Zhang, K., Pollack, S., Dicken, C., Isaac, B., Adel, G., Zeitlian, G., &amp; Santoro, N. (2008). Onset of ovulation after menarche in girls; a longitudinal study. </w:t>
      </w:r>
      <w:r w:rsidRPr="00CE5381">
        <w:rPr>
          <w:rFonts w:cs="Times New Roman"/>
          <w:bCs/>
          <w:i/>
          <w:iCs/>
        </w:rPr>
        <w:t xml:space="preserve">Journal of Clinical Endocrinology &amp; Metabolism </w:t>
      </w:r>
      <w:r w:rsidRPr="00CE5381">
        <w:rPr>
          <w:rFonts w:cs="Times New Roman"/>
          <w:bCs/>
        </w:rPr>
        <w:t>93(4), 1186-1194.</w:t>
      </w:r>
    </w:p>
    <w:p w14:paraId="38D5E621" w14:textId="77777777" w:rsidR="00CE5381" w:rsidRPr="00CE5381" w:rsidRDefault="00CE5381" w:rsidP="00CE5381">
      <w:pPr>
        <w:pStyle w:val="NoSpacing"/>
        <w:rPr>
          <w:rFonts w:cs="Times New Roman"/>
          <w:bCs/>
          <w:i/>
          <w:iCs/>
        </w:rPr>
      </w:pPr>
    </w:p>
    <w:p w14:paraId="00EA5230" w14:textId="77777777" w:rsidR="00CE5381" w:rsidRPr="00CE5381" w:rsidRDefault="00CE5381" w:rsidP="00CE5381">
      <w:pPr>
        <w:pStyle w:val="NoSpacing"/>
        <w:rPr>
          <w:rFonts w:cs="Times New Roman"/>
          <w:bCs/>
        </w:rPr>
      </w:pPr>
      <w:r w:rsidRPr="00CE5381">
        <w:rPr>
          <w:rFonts w:cs="Times New Roman"/>
          <w:bCs/>
        </w:rPr>
        <w:t>Zeeman, J. (1869)</w:t>
      </w:r>
      <w:r w:rsidRPr="00CE5381">
        <w:rPr>
          <w:rFonts w:cs="Times New Roman"/>
          <w:bCs/>
          <w:i/>
        </w:rPr>
        <w:t>. Leerboek der Bijzondere Pathologie en Therapie, Vooral Met Het Oog op Physiologie en Pathologische Anatomie</w:t>
      </w:r>
      <w:r w:rsidRPr="00CE5381">
        <w:rPr>
          <w:rFonts w:cs="Times New Roman"/>
          <w:bCs/>
        </w:rPr>
        <w:t xml:space="preserve">. </w:t>
      </w:r>
      <w:r w:rsidRPr="00CE5381">
        <w:rPr>
          <w:rFonts w:cs="Times New Roman"/>
          <w:bCs/>
          <w:i/>
        </w:rPr>
        <w:t>Deel II</w:t>
      </w:r>
      <w:r w:rsidRPr="00CE5381">
        <w:rPr>
          <w:rFonts w:cs="Times New Roman"/>
          <w:bCs/>
        </w:rPr>
        <w:t>. Amsterdam (NL): H.C.A. Campagne &amp; D.B. Centen.</w:t>
      </w:r>
      <w:bookmarkEnd w:id="1"/>
    </w:p>
    <w:p w14:paraId="385FB8E1" w14:textId="77777777" w:rsidR="00CE5381" w:rsidRPr="00CE5381" w:rsidRDefault="00CE5381" w:rsidP="00CE5381">
      <w:pPr>
        <w:pStyle w:val="NoSpacing"/>
        <w:rPr>
          <w:rFonts w:cs="Times New Roman"/>
          <w:bCs/>
        </w:rPr>
      </w:pPr>
    </w:p>
    <w:p w14:paraId="4B44677B" w14:textId="77777777" w:rsidR="00CE5381" w:rsidRPr="00CE5381" w:rsidRDefault="00CE5381" w:rsidP="00CE5381">
      <w:pPr>
        <w:pStyle w:val="NoSpacing"/>
        <w:rPr>
          <w:rFonts w:cs="Times New Roman"/>
          <w:bCs/>
          <w:lang w:val="en-GB"/>
        </w:rPr>
      </w:pPr>
    </w:p>
    <w:p w14:paraId="1A42B386" w14:textId="77777777" w:rsidR="00CE5381" w:rsidRPr="00CE5381" w:rsidRDefault="00CE5381" w:rsidP="00CE5381">
      <w:pPr>
        <w:pStyle w:val="NoSpacing"/>
        <w:rPr>
          <w:rFonts w:cs="Times New Roman"/>
          <w:bCs/>
          <w:lang w:val="en-GB"/>
        </w:rPr>
      </w:pPr>
      <w:r w:rsidRPr="00CE5381">
        <w:rPr>
          <w:rFonts w:cs="Times New Roman"/>
          <w:bCs/>
          <w:lang w:val="en-GB"/>
        </w:rPr>
        <w:t>Figure legends:</w:t>
      </w:r>
    </w:p>
    <w:p w14:paraId="0BEDED5B" w14:textId="77777777" w:rsidR="00CE5381" w:rsidRPr="00CE5381" w:rsidRDefault="00CE5381" w:rsidP="00CE5381">
      <w:pPr>
        <w:pStyle w:val="NoSpacing"/>
        <w:rPr>
          <w:rFonts w:cs="Times New Roman"/>
          <w:lang w:val="en-GB"/>
        </w:rPr>
      </w:pPr>
      <w:bookmarkStart w:id="28" w:name="_Hlk529106884"/>
      <w:r w:rsidRPr="00CE5381">
        <w:rPr>
          <w:rFonts w:cs="Times New Roman"/>
          <w:lang w:val="en-GB"/>
        </w:rPr>
        <w:t>Figure 1. Location of the Middenbeemster excavation (red churchyard symbol) on a crop of the ESRI world street map of the Netherlands. Figure by author.</w:t>
      </w:r>
    </w:p>
    <w:p w14:paraId="41B76F16" w14:textId="77777777" w:rsidR="00CE5381" w:rsidRPr="00CE5381" w:rsidRDefault="00CE5381" w:rsidP="00CE5381">
      <w:pPr>
        <w:pStyle w:val="NoSpacing"/>
        <w:rPr>
          <w:rFonts w:cs="Times New Roman"/>
          <w:lang w:val="en-GB"/>
        </w:rPr>
      </w:pPr>
    </w:p>
    <w:p w14:paraId="352D6D38" w14:textId="77777777" w:rsidR="00CE5381" w:rsidRPr="00CE5381" w:rsidRDefault="00CE5381" w:rsidP="00CE5381">
      <w:pPr>
        <w:pStyle w:val="NoSpacing"/>
        <w:rPr>
          <w:rFonts w:eastAsia="Calibri" w:cs="Times New Roman"/>
          <w:iCs/>
          <w:lang w:val="en-GB"/>
        </w:rPr>
      </w:pPr>
      <w:r w:rsidRPr="00CE5381">
        <w:rPr>
          <w:rFonts w:eastAsia="Calibri" w:cs="Times New Roman"/>
          <w:iCs/>
          <w:lang w:val="en-GB"/>
        </w:rPr>
        <w:t>Figure 2. The pubertal stages per age groups, including all 55 individuals. Age-at-death from archival records combined with estimated age-at-death.</w:t>
      </w:r>
    </w:p>
    <w:p w14:paraId="2AC3C919" w14:textId="77777777" w:rsidR="00CE5381" w:rsidRPr="00CE5381" w:rsidRDefault="00CE5381" w:rsidP="00CE5381">
      <w:pPr>
        <w:pStyle w:val="NoSpacing"/>
        <w:rPr>
          <w:rFonts w:eastAsia="Calibri" w:cs="Times New Roman"/>
          <w:iCs/>
          <w:lang w:val="en-GB"/>
        </w:rPr>
      </w:pPr>
    </w:p>
    <w:p w14:paraId="3406900F" w14:textId="77777777" w:rsidR="00CE5381" w:rsidRPr="00CE5381" w:rsidRDefault="00CE5381" w:rsidP="00CE5381">
      <w:pPr>
        <w:pStyle w:val="NoSpacing"/>
        <w:rPr>
          <w:rFonts w:cs="Times New Roman"/>
          <w:lang w:val="en-GB"/>
        </w:rPr>
      </w:pPr>
      <w:r w:rsidRPr="00CE5381">
        <w:rPr>
          <w:rFonts w:cs="Times New Roman"/>
          <w:lang w:val="en-GB"/>
        </w:rPr>
        <w:t xml:space="preserve">Figure 3. The pubertal stages per single-value age-at-death. Sexes combined, including all 55 individuals. </w:t>
      </w:r>
    </w:p>
    <w:p w14:paraId="7AD17054" w14:textId="77777777" w:rsidR="00CE5381" w:rsidRPr="00CE5381" w:rsidRDefault="00CE5381" w:rsidP="00CE5381">
      <w:pPr>
        <w:pStyle w:val="NoSpacing"/>
        <w:rPr>
          <w:rFonts w:cs="Times New Roman"/>
          <w:lang w:val="en-GB"/>
        </w:rPr>
      </w:pPr>
    </w:p>
    <w:p w14:paraId="4FCF4166" w14:textId="77777777" w:rsidR="00CE5381" w:rsidRPr="00CE5381" w:rsidRDefault="00CE5381" w:rsidP="00CE5381">
      <w:pPr>
        <w:pStyle w:val="NoSpacing"/>
        <w:rPr>
          <w:rFonts w:eastAsia="Calibri" w:cs="Times New Roman"/>
          <w:iCs/>
          <w:lang w:val="en-GB"/>
        </w:rPr>
      </w:pPr>
      <w:r w:rsidRPr="00CE5381">
        <w:rPr>
          <w:rFonts w:eastAsia="Calibri" w:cs="Times New Roman"/>
          <w:iCs/>
          <w:lang w:val="en-GB"/>
        </w:rPr>
        <w:t>Figure 4. Distribution of early, normal and late pubertal development per age group (4a) for the whole sample (</w:t>
      </w:r>
      <w:r w:rsidRPr="00CE5381">
        <w:rPr>
          <w:rFonts w:eastAsia="Calibri" w:cs="Times New Roman"/>
          <w:i/>
          <w:iCs/>
          <w:lang w:val="en-GB"/>
        </w:rPr>
        <w:t>n</w:t>
      </w:r>
      <w:r w:rsidRPr="00CE5381">
        <w:rPr>
          <w:rFonts w:eastAsia="Calibri" w:cs="Times New Roman"/>
          <w:iCs/>
          <w:lang w:val="en-GB"/>
        </w:rPr>
        <w:t>=55); and per sex (</w:t>
      </w:r>
      <w:r w:rsidRPr="00CE5381">
        <w:rPr>
          <w:rFonts w:eastAsia="Calibri" w:cs="Times New Roman"/>
          <w:lang w:val="en-GB"/>
        </w:rPr>
        <w:t>=</w:t>
      </w:r>
      <w:r w:rsidRPr="00CE5381">
        <w:rPr>
          <w:rFonts w:eastAsia="Calibri" w:cs="Times New Roman"/>
          <w:iCs/>
          <w:lang w:val="en-GB"/>
        </w:rPr>
        <w:t>48).</w:t>
      </w:r>
    </w:p>
    <w:p w14:paraId="5D0CBBB2" w14:textId="77777777" w:rsidR="00CE5381" w:rsidRPr="00CE5381" w:rsidRDefault="00CE5381" w:rsidP="00CE5381">
      <w:pPr>
        <w:pStyle w:val="NoSpacing"/>
        <w:rPr>
          <w:rFonts w:eastAsia="Calibri" w:cs="Times New Roman"/>
          <w:iCs/>
          <w:lang w:val="en-GB"/>
        </w:rPr>
      </w:pPr>
    </w:p>
    <w:p w14:paraId="4C898D1B" w14:textId="77777777" w:rsidR="00CE5381" w:rsidRPr="00CE5381" w:rsidRDefault="00CE5381" w:rsidP="00CE5381">
      <w:pPr>
        <w:pStyle w:val="NoSpacing"/>
        <w:rPr>
          <w:rFonts w:cs="Times New Roman"/>
          <w:lang w:val="en-GB"/>
        </w:rPr>
      </w:pPr>
      <w:r w:rsidRPr="00CE5381">
        <w:rPr>
          <w:rFonts w:eastAsia="Calibri" w:cs="Times New Roman"/>
          <w:lang w:val="en-GB"/>
        </w:rPr>
        <w:t xml:space="preserve">Figure 5. </w:t>
      </w:r>
      <w:bookmarkEnd w:id="28"/>
      <w:r w:rsidRPr="00CE5381">
        <w:rPr>
          <w:rFonts w:cs="Times New Roman"/>
          <w:lang w:val="en-GB"/>
        </w:rPr>
        <w:t xml:space="preserve">Ages-at-death per pubertal stages for previously published bioarchaeological research and Middenbeemster (bottom). Figure augmented from table 5 of Doe </w:t>
      </w:r>
      <w:r w:rsidRPr="00CE5381">
        <w:rPr>
          <w:rFonts w:cs="Times New Roman"/>
          <w:i/>
          <w:iCs/>
          <w:lang w:val="en-GB"/>
        </w:rPr>
        <w:t>et al.,</w:t>
      </w:r>
      <w:r w:rsidRPr="00CE5381">
        <w:rPr>
          <w:rFonts w:cs="Times New Roman"/>
          <w:lang w:val="en-GB"/>
        </w:rPr>
        <w:t xml:space="preserve"> 2019, 550. Reproduced with permission of </w:t>
      </w:r>
      <w:bookmarkStart w:id="29" w:name="_GoBack"/>
      <w:r w:rsidRPr="00A048CA">
        <w:rPr>
          <w:rFonts w:cs="Times New Roman"/>
          <w:lang w:val="en-GB"/>
        </w:rPr>
        <w:t>_(tbd – if we need copyright permission)_.</w:t>
      </w:r>
      <w:bookmarkEnd w:id="29"/>
    </w:p>
    <w:bookmarkEnd w:id="2"/>
    <w:p w14:paraId="53F71ECC" w14:textId="77777777" w:rsidR="00CE5381" w:rsidRPr="00CE5381" w:rsidRDefault="00CE5381" w:rsidP="00CE5381">
      <w:pPr>
        <w:rPr>
          <w:lang w:val="en-GB"/>
        </w:rPr>
      </w:pPr>
    </w:p>
    <w:p w14:paraId="36B36FB8" w14:textId="77777777" w:rsidR="00F85EFB" w:rsidRPr="00CE5381" w:rsidRDefault="00F85EFB" w:rsidP="00CE5381"/>
    <w:sectPr w:rsidR="00F85EFB" w:rsidRPr="00CE5381" w:rsidSect="007279A2">
      <w:footerReference w:type="default" r:id="rId10"/>
      <w:pgSz w:w="11906" w:h="16838"/>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2191BD" w14:textId="77777777" w:rsidR="00FF051E" w:rsidRDefault="00FF051E" w:rsidP="003C0022">
      <w:pPr>
        <w:spacing w:after="0" w:line="240" w:lineRule="auto"/>
      </w:pPr>
      <w:r>
        <w:separator/>
      </w:r>
    </w:p>
  </w:endnote>
  <w:endnote w:type="continuationSeparator" w:id="0">
    <w:p w14:paraId="0B5F4D3F" w14:textId="77777777" w:rsidR="00FF051E" w:rsidRDefault="00FF051E" w:rsidP="003C00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4397134"/>
      <w:docPartObj>
        <w:docPartGallery w:val="Page Numbers (Bottom of Page)"/>
        <w:docPartUnique/>
      </w:docPartObj>
    </w:sdtPr>
    <w:sdtEndPr>
      <w:rPr>
        <w:noProof/>
      </w:rPr>
    </w:sdtEndPr>
    <w:sdtContent>
      <w:p w14:paraId="0C4728E2" w14:textId="322B2051" w:rsidR="00FF051E" w:rsidRDefault="00FF051E">
        <w:pPr>
          <w:pStyle w:val="Footer"/>
          <w:jc w:val="right"/>
        </w:pPr>
        <w:r>
          <w:fldChar w:fldCharType="begin"/>
        </w:r>
        <w:r>
          <w:instrText xml:space="preserve"> PAGE   \* MERGEFORMAT </w:instrText>
        </w:r>
        <w:r>
          <w:fldChar w:fldCharType="separate"/>
        </w:r>
        <w:r w:rsidR="00A048CA">
          <w:rPr>
            <w:noProof/>
          </w:rPr>
          <w:t>25</w:t>
        </w:r>
        <w:r>
          <w:rPr>
            <w:noProof/>
          </w:rPr>
          <w:fldChar w:fldCharType="end"/>
        </w:r>
      </w:p>
    </w:sdtContent>
  </w:sdt>
  <w:p w14:paraId="20F81F6D" w14:textId="77777777" w:rsidR="00FF051E" w:rsidRDefault="00FF051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A2C843" w14:textId="77777777" w:rsidR="00FF051E" w:rsidRDefault="00FF051E" w:rsidP="003C0022">
      <w:pPr>
        <w:spacing w:after="0" w:line="240" w:lineRule="auto"/>
      </w:pPr>
      <w:r>
        <w:separator/>
      </w:r>
    </w:p>
  </w:footnote>
  <w:footnote w:type="continuationSeparator" w:id="0">
    <w:p w14:paraId="57C85F84" w14:textId="77777777" w:rsidR="00FF051E" w:rsidRDefault="00FF051E" w:rsidP="003C0022">
      <w:pPr>
        <w:spacing w:after="0" w:line="240" w:lineRule="auto"/>
      </w:pPr>
      <w:r>
        <w:continuationSeparator/>
      </w:r>
    </w:p>
  </w:footnote>
  <w:footnote w:id="1">
    <w:p w14:paraId="4A6557B8" w14:textId="77777777" w:rsidR="00CE5381" w:rsidRPr="00F42574" w:rsidRDefault="00CE5381" w:rsidP="00CE5381">
      <w:pPr>
        <w:pStyle w:val="FootnoteText"/>
        <w:spacing w:line="360" w:lineRule="auto"/>
        <w:jc w:val="both"/>
        <w:rPr>
          <w:rFonts w:ascii="Times New Roman" w:hAnsi="Times New Roman" w:cs="Times New Roman"/>
          <w:lang w:val="en-US"/>
        </w:rPr>
      </w:pPr>
      <w:r w:rsidRPr="003467D0">
        <w:rPr>
          <w:rStyle w:val="FootnoteReference"/>
          <w:rFonts w:ascii="Times New Roman" w:hAnsi="Times New Roman" w:cs="Times New Roman"/>
        </w:rPr>
        <w:footnoteRef/>
      </w:r>
      <w:r w:rsidRPr="00F42574">
        <w:rPr>
          <w:rFonts w:ascii="Times New Roman" w:hAnsi="Times New Roman" w:cs="Times New Roman"/>
          <w:lang w:val="en-US"/>
        </w:rPr>
        <w:t xml:space="preserve"> One </w:t>
      </w:r>
      <w:r>
        <w:rPr>
          <w:rFonts w:ascii="Times New Roman" w:hAnsi="Times New Roman" w:cs="Times New Roman"/>
          <w:lang w:val="en-US"/>
        </w:rPr>
        <w:t>Chi-square assumption</w:t>
      </w:r>
      <w:r w:rsidRPr="00F42574">
        <w:rPr>
          <w:rFonts w:ascii="Times New Roman" w:hAnsi="Times New Roman" w:cs="Times New Roman"/>
          <w:lang w:val="en-US"/>
        </w:rPr>
        <w:t xml:space="preserve"> was violated: </w:t>
      </w:r>
      <w:r>
        <w:rPr>
          <w:rFonts w:ascii="Times New Roman" w:hAnsi="Times New Roman" w:cs="Times New Roman"/>
          <w:lang w:val="en-US"/>
        </w:rPr>
        <w:t>two of the</w:t>
      </w:r>
      <w:r w:rsidRPr="00F42574">
        <w:rPr>
          <w:rFonts w:ascii="Times New Roman" w:hAnsi="Times New Roman" w:cs="Times New Roman"/>
          <w:lang w:val="en-US"/>
        </w:rPr>
        <w:t xml:space="preserve"> cells had an expected count of less than </w:t>
      </w:r>
      <w:r>
        <w:rPr>
          <w:rFonts w:ascii="Times New Roman" w:hAnsi="Times New Roman" w:cs="Times New Roman"/>
          <w:lang w:val="en-US"/>
        </w:rPr>
        <w:t>five individuals</w:t>
      </w:r>
      <w:r w:rsidRPr="00F42574">
        <w:rPr>
          <w:rFonts w:ascii="Times New Roman" w:hAnsi="Times New Roman" w:cs="Times New Roman"/>
          <w:lang w:val="en-US"/>
        </w:rPr>
        <w:t xml:space="preserve">. </w:t>
      </w:r>
      <w:r>
        <w:rPr>
          <w:rFonts w:ascii="Times New Roman" w:hAnsi="Times New Roman" w:cs="Times New Roman"/>
          <w:lang w:val="en-US"/>
        </w:rPr>
        <w:t>T</w:t>
      </w:r>
      <w:r w:rsidRPr="00F42574">
        <w:rPr>
          <w:rFonts w:ascii="Times New Roman" w:hAnsi="Times New Roman" w:cs="Times New Roman"/>
          <w:lang w:val="en-US"/>
        </w:rPr>
        <w:t xml:space="preserve">he data do not lend </w:t>
      </w:r>
      <w:r>
        <w:rPr>
          <w:rFonts w:ascii="Times New Roman" w:hAnsi="Times New Roman" w:cs="Times New Roman"/>
          <w:lang w:val="en-US"/>
        </w:rPr>
        <w:t>themselves</w:t>
      </w:r>
      <w:r w:rsidRPr="00F42574">
        <w:rPr>
          <w:rFonts w:ascii="Times New Roman" w:hAnsi="Times New Roman" w:cs="Times New Roman"/>
          <w:lang w:val="en-US"/>
        </w:rPr>
        <w:t xml:space="preserve"> </w:t>
      </w:r>
      <w:r>
        <w:rPr>
          <w:rFonts w:ascii="Times New Roman" w:hAnsi="Times New Roman" w:cs="Times New Roman"/>
          <w:lang w:val="en-US"/>
        </w:rPr>
        <w:t>to</w:t>
      </w:r>
      <w:r w:rsidRPr="00F42574">
        <w:rPr>
          <w:rFonts w:ascii="Times New Roman" w:hAnsi="Times New Roman" w:cs="Times New Roman"/>
          <w:lang w:val="en-US"/>
        </w:rPr>
        <w:t xml:space="preserve"> a Fisher test</w:t>
      </w:r>
      <w:r>
        <w:rPr>
          <w:rFonts w:ascii="Times New Roman" w:hAnsi="Times New Roman" w:cs="Times New Roman"/>
          <w:lang w:val="en-US"/>
        </w:rPr>
        <w:t xml:space="preserve"> because they are not presentable in a 2 by 2 table.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B81ECD34"/>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9D629B"/>
    <w:multiLevelType w:val="hybridMultilevel"/>
    <w:tmpl w:val="5AF01962"/>
    <w:lvl w:ilvl="0" w:tplc="D6AAB80E">
      <w:numFmt w:val="bullet"/>
      <w:lvlText w:val="∘"/>
      <w:lvlJc w:val="left"/>
      <w:pPr>
        <w:ind w:left="720" w:hanging="360"/>
      </w:pPr>
      <w:rPr>
        <w:rFonts w:ascii="Cambria" w:eastAsiaTheme="minorHAnsi" w:hAnsi="Cambria"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79B6541"/>
    <w:multiLevelType w:val="multilevel"/>
    <w:tmpl w:val="6A3E27E0"/>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7CF4019"/>
    <w:multiLevelType w:val="hybridMultilevel"/>
    <w:tmpl w:val="760C247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0ACF6AD9"/>
    <w:multiLevelType w:val="hybridMultilevel"/>
    <w:tmpl w:val="85A6D96E"/>
    <w:lvl w:ilvl="0" w:tplc="D6AAB80E">
      <w:numFmt w:val="bullet"/>
      <w:lvlText w:val="∘"/>
      <w:lvlJc w:val="left"/>
      <w:pPr>
        <w:ind w:left="720" w:hanging="360"/>
      </w:pPr>
      <w:rPr>
        <w:rFonts w:ascii="Cambria" w:eastAsiaTheme="minorHAnsi" w:hAnsi="Cambria"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0BB01035"/>
    <w:multiLevelType w:val="multilevel"/>
    <w:tmpl w:val="3EC6A88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3962646"/>
    <w:multiLevelType w:val="multilevel"/>
    <w:tmpl w:val="72E2D096"/>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A2F2383"/>
    <w:multiLevelType w:val="multilevel"/>
    <w:tmpl w:val="0EE255FA"/>
    <w:lvl w:ilvl="0">
      <w:start w:val="8"/>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BB34827"/>
    <w:multiLevelType w:val="multilevel"/>
    <w:tmpl w:val="72E2D096"/>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E002E8C"/>
    <w:multiLevelType w:val="multilevel"/>
    <w:tmpl w:val="C974003A"/>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E514347"/>
    <w:multiLevelType w:val="multilevel"/>
    <w:tmpl w:val="C974003A"/>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53E63CA"/>
    <w:multiLevelType w:val="hybridMultilevel"/>
    <w:tmpl w:val="4A924C38"/>
    <w:lvl w:ilvl="0" w:tplc="04130001">
      <w:start w:val="2"/>
      <w:numFmt w:val="bullet"/>
      <w:lvlText w:val=""/>
      <w:lvlJc w:val="left"/>
      <w:pPr>
        <w:ind w:left="720" w:hanging="360"/>
      </w:pPr>
      <w:rPr>
        <w:rFonts w:ascii="Symbol" w:eastAsia="Times New Roman"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75A71AA"/>
    <w:multiLevelType w:val="hybridMultilevel"/>
    <w:tmpl w:val="760C247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8D36300"/>
    <w:multiLevelType w:val="multilevel"/>
    <w:tmpl w:val="3EC6A88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AB92E64"/>
    <w:multiLevelType w:val="multilevel"/>
    <w:tmpl w:val="C974003A"/>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2CA85F7D"/>
    <w:multiLevelType w:val="hybridMultilevel"/>
    <w:tmpl w:val="FBF0C1EA"/>
    <w:lvl w:ilvl="0" w:tplc="FCCA5F8C">
      <w:start w:val="9"/>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2D2061C8"/>
    <w:multiLevelType w:val="hybridMultilevel"/>
    <w:tmpl w:val="760C247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2FAF057E"/>
    <w:multiLevelType w:val="multilevel"/>
    <w:tmpl w:val="72E2D096"/>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2FFC1B70"/>
    <w:multiLevelType w:val="multilevel"/>
    <w:tmpl w:val="CC8E06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381421E0"/>
    <w:multiLevelType w:val="hybridMultilevel"/>
    <w:tmpl w:val="8FA643E8"/>
    <w:lvl w:ilvl="0" w:tplc="A342A8C4">
      <w:start w:val="1"/>
      <w:numFmt w:val="decimal"/>
      <w:lvlText w:val="%1."/>
      <w:lvlJc w:val="left"/>
      <w:pPr>
        <w:ind w:left="720" w:hanging="360"/>
      </w:pPr>
      <w:rPr>
        <w:i/>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3A6857BF"/>
    <w:multiLevelType w:val="hybridMultilevel"/>
    <w:tmpl w:val="2436A8DC"/>
    <w:lvl w:ilvl="0" w:tplc="2AE2772A">
      <w:start w:val="2"/>
      <w:numFmt w:val="bullet"/>
      <w:lvlText w:val=""/>
      <w:lvlJc w:val="left"/>
      <w:pPr>
        <w:ind w:left="1065" w:hanging="360"/>
      </w:pPr>
      <w:rPr>
        <w:rFonts w:ascii="Symbol" w:eastAsiaTheme="minorHAnsi" w:hAnsi="Symbol" w:cs="Times New Roman" w:hint="default"/>
      </w:rPr>
    </w:lvl>
    <w:lvl w:ilvl="1" w:tplc="04130003" w:tentative="1">
      <w:start w:val="1"/>
      <w:numFmt w:val="bullet"/>
      <w:lvlText w:val="o"/>
      <w:lvlJc w:val="left"/>
      <w:pPr>
        <w:ind w:left="1785" w:hanging="360"/>
      </w:pPr>
      <w:rPr>
        <w:rFonts w:ascii="Courier New" w:hAnsi="Courier New" w:cs="Courier New" w:hint="default"/>
      </w:rPr>
    </w:lvl>
    <w:lvl w:ilvl="2" w:tplc="04130005" w:tentative="1">
      <w:start w:val="1"/>
      <w:numFmt w:val="bullet"/>
      <w:lvlText w:val=""/>
      <w:lvlJc w:val="left"/>
      <w:pPr>
        <w:ind w:left="2505" w:hanging="360"/>
      </w:pPr>
      <w:rPr>
        <w:rFonts w:ascii="Wingdings" w:hAnsi="Wingdings" w:hint="default"/>
      </w:rPr>
    </w:lvl>
    <w:lvl w:ilvl="3" w:tplc="04130001" w:tentative="1">
      <w:start w:val="1"/>
      <w:numFmt w:val="bullet"/>
      <w:lvlText w:val=""/>
      <w:lvlJc w:val="left"/>
      <w:pPr>
        <w:ind w:left="3225" w:hanging="360"/>
      </w:pPr>
      <w:rPr>
        <w:rFonts w:ascii="Symbol" w:hAnsi="Symbol" w:hint="default"/>
      </w:rPr>
    </w:lvl>
    <w:lvl w:ilvl="4" w:tplc="04130003" w:tentative="1">
      <w:start w:val="1"/>
      <w:numFmt w:val="bullet"/>
      <w:lvlText w:val="o"/>
      <w:lvlJc w:val="left"/>
      <w:pPr>
        <w:ind w:left="3945" w:hanging="360"/>
      </w:pPr>
      <w:rPr>
        <w:rFonts w:ascii="Courier New" w:hAnsi="Courier New" w:cs="Courier New" w:hint="default"/>
      </w:rPr>
    </w:lvl>
    <w:lvl w:ilvl="5" w:tplc="04130005" w:tentative="1">
      <w:start w:val="1"/>
      <w:numFmt w:val="bullet"/>
      <w:lvlText w:val=""/>
      <w:lvlJc w:val="left"/>
      <w:pPr>
        <w:ind w:left="4665" w:hanging="360"/>
      </w:pPr>
      <w:rPr>
        <w:rFonts w:ascii="Wingdings" w:hAnsi="Wingdings" w:hint="default"/>
      </w:rPr>
    </w:lvl>
    <w:lvl w:ilvl="6" w:tplc="04130001" w:tentative="1">
      <w:start w:val="1"/>
      <w:numFmt w:val="bullet"/>
      <w:lvlText w:val=""/>
      <w:lvlJc w:val="left"/>
      <w:pPr>
        <w:ind w:left="5385" w:hanging="360"/>
      </w:pPr>
      <w:rPr>
        <w:rFonts w:ascii="Symbol" w:hAnsi="Symbol" w:hint="default"/>
      </w:rPr>
    </w:lvl>
    <w:lvl w:ilvl="7" w:tplc="04130003" w:tentative="1">
      <w:start w:val="1"/>
      <w:numFmt w:val="bullet"/>
      <w:lvlText w:val="o"/>
      <w:lvlJc w:val="left"/>
      <w:pPr>
        <w:ind w:left="6105" w:hanging="360"/>
      </w:pPr>
      <w:rPr>
        <w:rFonts w:ascii="Courier New" w:hAnsi="Courier New" w:cs="Courier New" w:hint="default"/>
      </w:rPr>
    </w:lvl>
    <w:lvl w:ilvl="8" w:tplc="04130005" w:tentative="1">
      <w:start w:val="1"/>
      <w:numFmt w:val="bullet"/>
      <w:lvlText w:val=""/>
      <w:lvlJc w:val="left"/>
      <w:pPr>
        <w:ind w:left="6825" w:hanging="360"/>
      </w:pPr>
      <w:rPr>
        <w:rFonts w:ascii="Wingdings" w:hAnsi="Wingdings" w:hint="default"/>
      </w:rPr>
    </w:lvl>
  </w:abstractNum>
  <w:abstractNum w:abstractNumId="21" w15:restartNumberingAfterBreak="0">
    <w:nsid w:val="3D3554DF"/>
    <w:multiLevelType w:val="hybridMultilevel"/>
    <w:tmpl w:val="B32416EC"/>
    <w:lvl w:ilvl="0" w:tplc="413643B4">
      <w:start w:val="1"/>
      <w:numFmt w:val="decimal"/>
      <w:lvlText w:val="%1."/>
      <w:lvlJc w:val="left"/>
      <w:pPr>
        <w:ind w:left="720" w:hanging="360"/>
      </w:pPr>
      <w:rPr>
        <w:rFonts w:hint="default"/>
        <w:color w:val="0563C1" w:themeColor="hyperlink"/>
        <w:u w:val="single"/>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3F05516D"/>
    <w:multiLevelType w:val="multilevel"/>
    <w:tmpl w:val="B5980C0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1620FBA"/>
    <w:multiLevelType w:val="multilevel"/>
    <w:tmpl w:val="3EC6A88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46126EE4"/>
    <w:multiLevelType w:val="multilevel"/>
    <w:tmpl w:val="C5F49982"/>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7DE580C"/>
    <w:multiLevelType w:val="multilevel"/>
    <w:tmpl w:val="C974003A"/>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4C5E791A"/>
    <w:multiLevelType w:val="hybridMultilevel"/>
    <w:tmpl w:val="46E4F226"/>
    <w:lvl w:ilvl="0" w:tplc="0413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E043545"/>
    <w:multiLevelType w:val="hybridMultilevel"/>
    <w:tmpl w:val="8E6C5008"/>
    <w:lvl w:ilvl="0" w:tplc="9F06141A">
      <w:start w:val="65"/>
      <w:numFmt w:val="bullet"/>
      <w:lvlText w:val="-"/>
      <w:lvlJc w:val="left"/>
      <w:pPr>
        <w:ind w:left="420" w:hanging="360"/>
      </w:pPr>
      <w:rPr>
        <w:rFonts w:ascii="Times New Roman" w:eastAsiaTheme="minorHAnsi" w:hAnsi="Times New Roman" w:cs="Times New Roman" w:hint="default"/>
      </w:rPr>
    </w:lvl>
    <w:lvl w:ilvl="1" w:tplc="04130003" w:tentative="1">
      <w:start w:val="1"/>
      <w:numFmt w:val="bullet"/>
      <w:lvlText w:val="o"/>
      <w:lvlJc w:val="left"/>
      <w:pPr>
        <w:ind w:left="1140" w:hanging="360"/>
      </w:pPr>
      <w:rPr>
        <w:rFonts w:ascii="Courier New" w:hAnsi="Courier New" w:cs="Courier New" w:hint="default"/>
      </w:rPr>
    </w:lvl>
    <w:lvl w:ilvl="2" w:tplc="04130005" w:tentative="1">
      <w:start w:val="1"/>
      <w:numFmt w:val="bullet"/>
      <w:lvlText w:val=""/>
      <w:lvlJc w:val="left"/>
      <w:pPr>
        <w:ind w:left="1860" w:hanging="360"/>
      </w:pPr>
      <w:rPr>
        <w:rFonts w:ascii="Wingdings" w:hAnsi="Wingdings" w:hint="default"/>
      </w:rPr>
    </w:lvl>
    <w:lvl w:ilvl="3" w:tplc="04130001" w:tentative="1">
      <w:start w:val="1"/>
      <w:numFmt w:val="bullet"/>
      <w:lvlText w:val=""/>
      <w:lvlJc w:val="left"/>
      <w:pPr>
        <w:ind w:left="2580" w:hanging="360"/>
      </w:pPr>
      <w:rPr>
        <w:rFonts w:ascii="Symbol" w:hAnsi="Symbol" w:hint="default"/>
      </w:rPr>
    </w:lvl>
    <w:lvl w:ilvl="4" w:tplc="04130003" w:tentative="1">
      <w:start w:val="1"/>
      <w:numFmt w:val="bullet"/>
      <w:lvlText w:val="o"/>
      <w:lvlJc w:val="left"/>
      <w:pPr>
        <w:ind w:left="3300" w:hanging="360"/>
      </w:pPr>
      <w:rPr>
        <w:rFonts w:ascii="Courier New" w:hAnsi="Courier New" w:cs="Courier New" w:hint="default"/>
      </w:rPr>
    </w:lvl>
    <w:lvl w:ilvl="5" w:tplc="04130005" w:tentative="1">
      <w:start w:val="1"/>
      <w:numFmt w:val="bullet"/>
      <w:lvlText w:val=""/>
      <w:lvlJc w:val="left"/>
      <w:pPr>
        <w:ind w:left="4020" w:hanging="360"/>
      </w:pPr>
      <w:rPr>
        <w:rFonts w:ascii="Wingdings" w:hAnsi="Wingdings" w:hint="default"/>
      </w:rPr>
    </w:lvl>
    <w:lvl w:ilvl="6" w:tplc="04130001" w:tentative="1">
      <w:start w:val="1"/>
      <w:numFmt w:val="bullet"/>
      <w:lvlText w:val=""/>
      <w:lvlJc w:val="left"/>
      <w:pPr>
        <w:ind w:left="4740" w:hanging="360"/>
      </w:pPr>
      <w:rPr>
        <w:rFonts w:ascii="Symbol" w:hAnsi="Symbol" w:hint="default"/>
      </w:rPr>
    </w:lvl>
    <w:lvl w:ilvl="7" w:tplc="04130003" w:tentative="1">
      <w:start w:val="1"/>
      <w:numFmt w:val="bullet"/>
      <w:lvlText w:val="o"/>
      <w:lvlJc w:val="left"/>
      <w:pPr>
        <w:ind w:left="5460" w:hanging="360"/>
      </w:pPr>
      <w:rPr>
        <w:rFonts w:ascii="Courier New" w:hAnsi="Courier New" w:cs="Courier New" w:hint="default"/>
      </w:rPr>
    </w:lvl>
    <w:lvl w:ilvl="8" w:tplc="04130005" w:tentative="1">
      <w:start w:val="1"/>
      <w:numFmt w:val="bullet"/>
      <w:lvlText w:val=""/>
      <w:lvlJc w:val="left"/>
      <w:pPr>
        <w:ind w:left="6180" w:hanging="360"/>
      </w:pPr>
      <w:rPr>
        <w:rFonts w:ascii="Wingdings" w:hAnsi="Wingdings" w:hint="default"/>
      </w:rPr>
    </w:lvl>
  </w:abstractNum>
  <w:abstractNum w:abstractNumId="28" w15:restartNumberingAfterBreak="0">
    <w:nsid w:val="4E5A1A99"/>
    <w:multiLevelType w:val="multilevel"/>
    <w:tmpl w:val="0413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513E7065"/>
    <w:multiLevelType w:val="multilevel"/>
    <w:tmpl w:val="538C9476"/>
    <w:lvl w:ilvl="0">
      <w:start w:val="7"/>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167331B"/>
    <w:multiLevelType w:val="hybridMultilevel"/>
    <w:tmpl w:val="8286B260"/>
    <w:lvl w:ilvl="0" w:tplc="D6AAB80E">
      <w:numFmt w:val="bullet"/>
      <w:lvlText w:val="∘"/>
      <w:lvlJc w:val="left"/>
      <w:pPr>
        <w:ind w:left="720" w:hanging="360"/>
      </w:pPr>
      <w:rPr>
        <w:rFonts w:ascii="Cambria" w:eastAsiaTheme="minorHAnsi" w:hAnsi="Cambria"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55F84551"/>
    <w:multiLevelType w:val="multilevel"/>
    <w:tmpl w:val="72E2D096"/>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57E12C14"/>
    <w:multiLevelType w:val="multilevel"/>
    <w:tmpl w:val="47DC1804"/>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5A4B3DBE"/>
    <w:multiLevelType w:val="multilevel"/>
    <w:tmpl w:val="3EC6A88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9EC5199"/>
    <w:multiLevelType w:val="multilevel"/>
    <w:tmpl w:val="48C8B920"/>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B9C0A0C"/>
    <w:multiLevelType w:val="multilevel"/>
    <w:tmpl w:val="72E2D096"/>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6FF265BE"/>
    <w:multiLevelType w:val="hybridMultilevel"/>
    <w:tmpl w:val="B7E4154A"/>
    <w:lvl w:ilvl="0" w:tplc="98AA17A0">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7" w15:restartNumberingAfterBreak="0">
    <w:nsid w:val="70B1103D"/>
    <w:multiLevelType w:val="multilevel"/>
    <w:tmpl w:val="512EEB62"/>
    <w:lvl w:ilvl="0">
      <w:start w:val="2"/>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2806796"/>
    <w:multiLevelType w:val="multilevel"/>
    <w:tmpl w:val="72E2D096"/>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7287766D"/>
    <w:multiLevelType w:val="multilevel"/>
    <w:tmpl w:val="6A3E27E0"/>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77037A23"/>
    <w:multiLevelType w:val="multilevel"/>
    <w:tmpl w:val="66BC9990"/>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79296C19"/>
    <w:multiLevelType w:val="multilevel"/>
    <w:tmpl w:val="72E2D096"/>
    <w:lvl w:ilvl="0">
      <w:start w:val="6"/>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7A6E2603"/>
    <w:multiLevelType w:val="hybridMultilevel"/>
    <w:tmpl w:val="28245738"/>
    <w:lvl w:ilvl="0" w:tplc="A98AC10A">
      <w:start w:val="1"/>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FB75815"/>
    <w:multiLevelType w:val="multilevel"/>
    <w:tmpl w:val="04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9"/>
  </w:num>
  <w:num w:numId="2">
    <w:abstractNumId w:val="34"/>
  </w:num>
  <w:num w:numId="3">
    <w:abstractNumId w:val="22"/>
  </w:num>
  <w:num w:numId="4">
    <w:abstractNumId w:val="16"/>
  </w:num>
  <w:num w:numId="5">
    <w:abstractNumId w:val="10"/>
  </w:num>
  <w:num w:numId="6">
    <w:abstractNumId w:val="24"/>
  </w:num>
  <w:num w:numId="7">
    <w:abstractNumId w:val="2"/>
  </w:num>
  <w:num w:numId="8">
    <w:abstractNumId w:val="30"/>
  </w:num>
  <w:num w:numId="9">
    <w:abstractNumId w:val="1"/>
  </w:num>
  <w:num w:numId="10">
    <w:abstractNumId w:val="4"/>
  </w:num>
  <w:num w:numId="11">
    <w:abstractNumId w:val="9"/>
  </w:num>
  <w:num w:numId="12">
    <w:abstractNumId w:val="40"/>
  </w:num>
  <w:num w:numId="13">
    <w:abstractNumId w:val="31"/>
  </w:num>
  <w:num w:numId="14">
    <w:abstractNumId w:val="0"/>
  </w:num>
  <w:num w:numId="15">
    <w:abstractNumId w:val="27"/>
  </w:num>
  <w:num w:numId="16">
    <w:abstractNumId w:val="43"/>
  </w:num>
  <w:num w:numId="17">
    <w:abstractNumId w:val="15"/>
  </w:num>
  <w:num w:numId="18">
    <w:abstractNumId w:val="28"/>
  </w:num>
  <w:num w:numId="19">
    <w:abstractNumId w:val="17"/>
  </w:num>
  <w:num w:numId="20">
    <w:abstractNumId w:val="41"/>
  </w:num>
  <w:num w:numId="21">
    <w:abstractNumId w:val="35"/>
  </w:num>
  <w:num w:numId="22">
    <w:abstractNumId w:val="38"/>
  </w:num>
  <w:num w:numId="23">
    <w:abstractNumId w:val="6"/>
  </w:num>
  <w:num w:numId="24">
    <w:abstractNumId w:val="29"/>
  </w:num>
  <w:num w:numId="25">
    <w:abstractNumId w:val="39"/>
  </w:num>
  <w:num w:numId="26">
    <w:abstractNumId w:val="25"/>
  </w:num>
  <w:num w:numId="27">
    <w:abstractNumId w:val="8"/>
  </w:num>
  <w:num w:numId="28">
    <w:abstractNumId w:val="26"/>
  </w:num>
  <w:num w:numId="29">
    <w:abstractNumId w:val="42"/>
  </w:num>
  <w:num w:numId="30">
    <w:abstractNumId w:val="12"/>
  </w:num>
  <w:num w:numId="31">
    <w:abstractNumId w:val="14"/>
  </w:num>
  <w:num w:numId="32">
    <w:abstractNumId w:val="37"/>
  </w:num>
  <w:num w:numId="33">
    <w:abstractNumId w:val="36"/>
  </w:num>
  <w:num w:numId="34">
    <w:abstractNumId w:val="7"/>
  </w:num>
  <w:num w:numId="35">
    <w:abstractNumId w:val="3"/>
  </w:num>
  <w:num w:numId="36">
    <w:abstractNumId w:val="21"/>
  </w:num>
  <w:num w:numId="37">
    <w:abstractNumId w:val="5"/>
  </w:num>
  <w:num w:numId="38">
    <w:abstractNumId w:val="18"/>
  </w:num>
  <w:num w:numId="39">
    <w:abstractNumId w:val="23"/>
  </w:num>
  <w:num w:numId="40">
    <w:abstractNumId w:val="11"/>
  </w:num>
  <w:num w:numId="41">
    <w:abstractNumId w:val="33"/>
  </w:num>
  <w:num w:numId="42">
    <w:abstractNumId w:val="32"/>
  </w:num>
  <w:num w:numId="43">
    <w:abstractNumId w:val="20"/>
  </w:num>
  <w:num w:numId="4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0022"/>
    <w:rsid w:val="00005296"/>
    <w:rsid w:val="00014AEA"/>
    <w:rsid w:val="0001646A"/>
    <w:rsid w:val="000240A2"/>
    <w:rsid w:val="00025A6A"/>
    <w:rsid w:val="000307D4"/>
    <w:rsid w:val="0003420A"/>
    <w:rsid w:val="00047774"/>
    <w:rsid w:val="00055109"/>
    <w:rsid w:val="000614D2"/>
    <w:rsid w:val="00066DDB"/>
    <w:rsid w:val="00080C45"/>
    <w:rsid w:val="00092BAF"/>
    <w:rsid w:val="000A50F9"/>
    <w:rsid w:val="000B04B8"/>
    <w:rsid w:val="000B0CE3"/>
    <w:rsid w:val="000C102C"/>
    <w:rsid w:val="000C3668"/>
    <w:rsid w:val="000D5F3F"/>
    <w:rsid w:val="000E50A4"/>
    <w:rsid w:val="00100655"/>
    <w:rsid w:val="001072E9"/>
    <w:rsid w:val="0011329C"/>
    <w:rsid w:val="00113929"/>
    <w:rsid w:val="00124B3E"/>
    <w:rsid w:val="00124D00"/>
    <w:rsid w:val="0013611A"/>
    <w:rsid w:val="00141D3C"/>
    <w:rsid w:val="00146C42"/>
    <w:rsid w:val="00147078"/>
    <w:rsid w:val="00154BEC"/>
    <w:rsid w:val="00156858"/>
    <w:rsid w:val="00157440"/>
    <w:rsid w:val="001613B3"/>
    <w:rsid w:val="00167E3A"/>
    <w:rsid w:val="001822D7"/>
    <w:rsid w:val="00184598"/>
    <w:rsid w:val="0018555D"/>
    <w:rsid w:val="00194632"/>
    <w:rsid w:val="001A4FEE"/>
    <w:rsid w:val="001A7445"/>
    <w:rsid w:val="001B14C3"/>
    <w:rsid w:val="001B5691"/>
    <w:rsid w:val="001B7AFB"/>
    <w:rsid w:val="001C0936"/>
    <w:rsid w:val="001C1C90"/>
    <w:rsid w:val="001C404D"/>
    <w:rsid w:val="001C4605"/>
    <w:rsid w:val="001C7A07"/>
    <w:rsid w:val="001D43AC"/>
    <w:rsid w:val="001E197E"/>
    <w:rsid w:val="001E2F5C"/>
    <w:rsid w:val="002109E1"/>
    <w:rsid w:val="00211991"/>
    <w:rsid w:val="00217006"/>
    <w:rsid w:val="002230CC"/>
    <w:rsid w:val="00225A90"/>
    <w:rsid w:val="00234919"/>
    <w:rsid w:val="002401B3"/>
    <w:rsid w:val="002444CF"/>
    <w:rsid w:val="00246837"/>
    <w:rsid w:val="002476D1"/>
    <w:rsid w:val="0026107C"/>
    <w:rsid w:val="00274CE1"/>
    <w:rsid w:val="002754DA"/>
    <w:rsid w:val="00282104"/>
    <w:rsid w:val="0029264A"/>
    <w:rsid w:val="00296161"/>
    <w:rsid w:val="002974D6"/>
    <w:rsid w:val="00297661"/>
    <w:rsid w:val="002A2E46"/>
    <w:rsid w:val="002B45F0"/>
    <w:rsid w:val="002B7758"/>
    <w:rsid w:val="002C748E"/>
    <w:rsid w:val="002D1550"/>
    <w:rsid w:val="002E0865"/>
    <w:rsid w:val="002F6454"/>
    <w:rsid w:val="00302378"/>
    <w:rsid w:val="00304FC4"/>
    <w:rsid w:val="00326151"/>
    <w:rsid w:val="00332410"/>
    <w:rsid w:val="00333E6C"/>
    <w:rsid w:val="003411B5"/>
    <w:rsid w:val="00355F13"/>
    <w:rsid w:val="0035713D"/>
    <w:rsid w:val="00366714"/>
    <w:rsid w:val="00371A69"/>
    <w:rsid w:val="00371B55"/>
    <w:rsid w:val="00391ED7"/>
    <w:rsid w:val="003931A9"/>
    <w:rsid w:val="00394AAE"/>
    <w:rsid w:val="003A3FFD"/>
    <w:rsid w:val="003B37EE"/>
    <w:rsid w:val="003B398C"/>
    <w:rsid w:val="003B39E3"/>
    <w:rsid w:val="003C0022"/>
    <w:rsid w:val="003D2AF7"/>
    <w:rsid w:val="003D45C0"/>
    <w:rsid w:val="003D4FCC"/>
    <w:rsid w:val="003F05C5"/>
    <w:rsid w:val="003F2226"/>
    <w:rsid w:val="003F7B8B"/>
    <w:rsid w:val="003F7DBC"/>
    <w:rsid w:val="00402609"/>
    <w:rsid w:val="00406E2D"/>
    <w:rsid w:val="00411634"/>
    <w:rsid w:val="004214FE"/>
    <w:rsid w:val="00465391"/>
    <w:rsid w:val="00475544"/>
    <w:rsid w:val="00492F1B"/>
    <w:rsid w:val="00494373"/>
    <w:rsid w:val="00494D30"/>
    <w:rsid w:val="0049548F"/>
    <w:rsid w:val="004A0EEE"/>
    <w:rsid w:val="004A485F"/>
    <w:rsid w:val="004B2A08"/>
    <w:rsid w:val="004B57FF"/>
    <w:rsid w:val="004C419D"/>
    <w:rsid w:val="004D2A22"/>
    <w:rsid w:val="004D349F"/>
    <w:rsid w:val="004D4186"/>
    <w:rsid w:val="004D7668"/>
    <w:rsid w:val="004F5952"/>
    <w:rsid w:val="0051096A"/>
    <w:rsid w:val="00526F4A"/>
    <w:rsid w:val="0053136F"/>
    <w:rsid w:val="00534560"/>
    <w:rsid w:val="00535D35"/>
    <w:rsid w:val="00540657"/>
    <w:rsid w:val="00541ED2"/>
    <w:rsid w:val="0054636F"/>
    <w:rsid w:val="00552723"/>
    <w:rsid w:val="00552FCF"/>
    <w:rsid w:val="0055684B"/>
    <w:rsid w:val="00560B64"/>
    <w:rsid w:val="00561DCC"/>
    <w:rsid w:val="00564546"/>
    <w:rsid w:val="00566208"/>
    <w:rsid w:val="00577094"/>
    <w:rsid w:val="00592EA5"/>
    <w:rsid w:val="00592F25"/>
    <w:rsid w:val="005A6C56"/>
    <w:rsid w:val="005B5975"/>
    <w:rsid w:val="005C43CA"/>
    <w:rsid w:val="005D12C5"/>
    <w:rsid w:val="005D5776"/>
    <w:rsid w:val="005E3D2F"/>
    <w:rsid w:val="00622192"/>
    <w:rsid w:val="00622D1D"/>
    <w:rsid w:val="00622E17"/>
    <w:rsid w:val="00623408"/>
    <w:rsid w:val="00632855"/>
    <w:rsid w:val="00635511"/>
    <w:rsid w:val="0064254C"/>
    <w:rsid w:val="00645967"/>
    <w:rsid w:val="00655844"/>
    <w:rsid w:val="00656879"/>
    <w:rsid w:val="006579FD"/>
    <w:rsid w:val="006644D8"/>
    <w:rsid w:val="006700C9"/>
    <w:rsid w:val="00680FC7"/>
    <w:rsid w:val="006835DA"/>
    <w:rsid w:val="00685E26"/>
    <w:rsid w:val="00690164"/>
    <w:rsid w:val="006B0C1C"/>
    <w:rsid w:val="006B5048"/>
    <w:rsid w:val="006C0E18"/>
    <w:rsid w:val="006C3344"/>
    <w:rsid w:val="006C3DFD"/>
    <w:rsid w:val="006D636D"/>
    <w:rsid w:val="006E6F97"/>
    <w:rsid w:val="006F15E6"/>
    <w:rsid w:val="006F4C6C"/>
    <w:rsid w:val="00710630"/>
    <w:rsid w:val="00721D87"/>
    <w:rsid w:val="00722283"/>
    <w:rsid w:val="007279A2"/>
    <w:rsid w:val="00736754"/>
    <w:rsid w:val="0074097E"/>
    <w:rsid w:val="00744E5A"/>
    <w:rsid w:val="00750F42"/>
    <w:rsid w:val="00752320"/>
    <w:rsid w:val="007612A4"/>
    <w:rsid w:val="007618B9"/>
    <w:rsid w:val="00762C7A"/>
    <w:rsid w:val="00773E43"/>
    <w:rsid w:val="00783296"/>
    <w:rsid w:val="0078681D"/>
    <w:rsid w:val="007934D9"/>
    <w:rsid w:val="0079565C"/>
    <w:rsid w:val="007957E4"/>
    <w:rsid w:val="007A2808"/>
    <w:rsid w:val="007C1582"/>
    <w:rsid w:val="007C2812"/>
    <w:rsid w:val="007C5B84"/>
    <w:rsid w:val="007D1286"/>
    <w:rsid w:val="007D29E5"/>
    <w:rsid w:val="007D4B61"/>
    <w:rsid w:val="007F4289"/>
    <w:rsid w:val="007F7FAA"/>
    <w:rsid w:val="00805DCB"/>
    <w:rsid w:val="00812D8D"/>
    <w:rsid w:val="00844AA3"/>
    <w:rsid w:val="00853D06"/>
    <w:rsid w:val="00854434"/>
    <w:rsid w:val="008579B9"/>
    <w:rsid w:val="00864895"/>
    <w:rsid w:val="0088406A"/>
    <w:rsid w:val="0088656D"/>
    <w:rsid w:val="00891273"/>
    <w:rsid w:val="00891E08"/>
    <w:rsid w:val="008944BA"/>
    <w:rsid w:val="00896605"/>
    <w:rsid w:val="00897329"/>
    <w:rsid w:val="008A4A0A"/>
    <w:rsid w:val="008B54DB"/>
    <w:rsid w:val="008B7B08"/>
    <w:rsid w:val="008C4BA2"/>
    <w:rsid w:val="008C501A"/>
    <w:rsid w:val="008C502D"/>
    <w:rsid w:val="008D1EC3"/>
    <w:rsid w:val="008D44C2"/>
    <w:rsid w:val="008D7DF4"/>
    <w:rsid w:val="008E3346"/>
    <w:rsid w:val="008F0934"/>
    <w:rsid w:val="008F0FB2"/>
    <w:rsid w:val="008F1ECB"/>
    <w:rsid w:val="008F20C1"/>
    <w:rsid w:val="008F23D1"/>
    <w:rsid w:val="008F4599"/>
    <w:rsid w:val="008F6AE9"/>
    <w:rsid w:val="0091121B"/>
    <w:rsid w:val="00911751"/>
    <w:rsid w:val="0092173B"/>
    <w:rsid w:val="009252B0"/>
    <w:rsid w:val="00925BE3"/>
    <w:rsid w:val="009351E1"/>
    <w:rsid w:val="00941ACA"/>
    <w:rsid w:val="00955197"/>
    <w:rsid w:val="00955740"/>
    <w:rsid w:val="00960D9A"/>
    <w:rsid w:val="009613F9"/>
    <w:rsid w:val="00965A73"/>
    <w:rsid w:val="00966634"/>
    <w:rsid w:val="0098371D"/>
    <w:rsid w:val="00983B9E"/>
    <w:rsid w:val="00984C41"/>
    <w:rsid w:val="00987ED8"/>
    <w:rsid w:val="009927A6"/>
    <w:rsid w:val="009A0639"/>
    <w:rsid w:val="009A78FE"/>
    <w:rsid w:val="009B2317"/>
    <w:rsid w:val="009B449E"/>
    <w:rsid w:val="009C4206"/>
    <w:rsid w:val="009D1B85"/>
    <w:rsid w:val="009D3589"/>
    <w:rsid w:val="009D7D08"/>
    <w:rsid w:val="009E0914"/>
    <w:rsid w:val="009E7140"/>
    <w:rsid w:val="00A03175"/>
    <w:rsid w:val="00A048CA"/>
    <w:rsid w:val="00A0765D"/>
    <w:rsid w:val="00A20C1C"/>
    <w:rsid w:val="00A257F3"/>
    <w:rsid w:val="00A34F30"/>
    <w:rsid w:val="00A35D15"/>
    <w:rsid w:val="00A35F2D"/>
    <w:rsid w:val="00A37F02"/>
    <w:rsid w:val="00A450A3"/>
    <w:rsid w:val="00A50DF4"/>
    <w:rsid w:val="00A553D5"/>
    <w:rsid w:val="00A571D3"/>
    <w:rsid w:val="00A61C3A"/>
    <w:rsid w:val="00A72D0F"/>
    <w:rsid w:val="00A907E2"/>
    <w:rsid w:val="00AA014A"/>
    <w:rsid w:val="00AB46E9"/>
    <w:rsid w:val="00AC0A38"/>
    <w:rsid w:val="00AD2067"/>
    <w:rsid w:val="00AE0B75"/>
    <w:rsid w:val="00AE59AA"/>
    <w:rsid w:val="00AE66AC"/>
    <w:rsid w:val="00AE7D83"/>
    <w:rsid w:val="00AF1A2A"/>
    <w:rsid w:val="00AF5725"/>
    <w:rsid w:val="00AF775A"/>
    <w:rsid w:val="00B019E6"/>
    <w:rsid w:val="00B0537A"/>
    <w:rsid w:val="00B15471"/>
    <w:rsid w:val="00B1627E"/>
    <w:rsid w:val="00B21787"/>
    <w:rsid w:val="00B426C4"/>
    <w:rsid w:val="00B46BB7"/>
    <w:rsid w:val="00B47035"/>
    <w:rsid w:val="00B512EF"/>
    <w:rsid w:val="00B6259E"/>
    <w:rsid w:val="00B65BA7"/>
    <w:rsid w:val="00B67FDF"/>
    <w:rsid w:val="00B739CA"/>
    <w:rsid w:val="00B77582"/>
    <w:rsid w:val="00B81976"/>
    <w:rsid w:val="00B83A1C"/>
    <w:rsid w:val="00B922DA"/>
    <w:rsid w:val="00BA0757"/>
    <w:rsid w:val="00BA3B1A"/>
    <w:rsid w:val="00BA4158"/>
    <w:rsid w:val="00BD6A8F"/>
    <w:rsid w:val="00BD6AD7"/>
    <w:rsid w:val="00BE1917"/>
    <w:rsid w:val="00BE1DDD"/>
    <w:rsid w:val="00BE55AD"/>
    <w:rsid w:val="00BE701F"/>
    <w:rsid w:val="00BF1F03"/>
    <w:rsid w:val="00BF5EF2"/>
    <w:rsid w:val="00BF5F22"/>
    <w:rsid w:val="00C01B45"/>
    <w:rsid w:val="00C1535E"/>
    <w:rsid w:val="00C32440"/>
    <w:rsid w:val="00C32878"/>
    <w:rsid w:val="00C344E1"/>
    <w:rsid w:val="00C45837"/>
    <w:rsid w:val="00C46766"/>
    <w:rsid w:val="00C47FC9"/>
    <w:rsid w:val="00C5384B"/>
    <w:rsid w:val="00C55238"/>
    <w:rsid w:val="00C57173"/>
    <w:rsid w:val="00C61C44"/>
    <w:rsid w:val="00C62702"/>
    <w:rsid w:val="00C67175"/>
    <w:rsid w:val="00C7097C"/>
    <w:rsid w:val="00C7160D"/>
    <w:rsid w:val="00C76C82"/>
    <w:rsid w:val="00C76FFC"/>
    <w:rsid w:val="00C866C6"/>
    <w:rsid w:val="00C9004E"/>
    <w:rsid w:val="00CA7302"/>
    <w:rsid w:val="00CB1D88"/>
    <w:rsid w:val="00CC027A"/>
    <w:rsid w:val="00CD35ED"/>
    <w:rsid w:val="00CD472E"/>
    <w:rsid w:val="00CD747B"/>
    <w:rsid w:val="00CD7B06"/>
    <w:rsid w:val="00CE0B38"/>
    <w:rsid w:val="00CE1A9B"/>
    <w:rsid w:val="00CE5381"/>
    <w:rsid w:val="00CE747F"/>
    <w:rsid w:val="00CE7724"/>
    <w:rsid w:val="00CF45D2"/>
    <w:rsid w:val="00D02DD2"/>
    <w:rsid w:val="00D17596"/>
    <w:rsid w:val="00D2113B"/>
    <w:rsid w:val="00D235A6"/>
    <w:rsid w:val="00D241C2"/>
    <w:rsid w:val="00D32E49"/>
    <w:rsid w:val="00D5085E"/>
    <w:rsid w:val="00D5221C"/>
    <w:rsid w:val="00D523B6"/>
    <w:rsid w:val="00D5332B"/>
    <w:rsid w:val="00D54413"/>
    <w:rsid w:val="00D565FE"/>
    <w:rsid w:val="00D61BEE"/>
    <w:rsid w:val="00D65635"/>
    <w:rsid w:val="00D66A17"/>
    <w:rsid w:val="00D67BA2"/>
    <w:rsid w:val="00D755DF"/>
    <w:rsid w:val="00D76047"/>
    <w:rsid w:val="00D8401D"/>
    <w:rsid w:val="00D87E06"/>
    <w:rsid w:val="00D973AA"/>
    <w:rsid w:val="00D9793B"/>
    <w:rsid w:val="00DA50D6"/>
    <w:rsid w:val="00DB1157"/>
    <w:rsid w:val="00DB35F2"/>
    <w:rsid w:val="00DB55D1"/>
    <w:rsid w:val="00DB6451"/>
    <w:rsid w:val="00DC2317"/>
    <w:rsid w:val="00DC5E20"/>
    <w:rsid w:val="00DD55D8"/>
    <w:rsid w:val="00DF377B"/>
    <w:rsid w:val="00DF3E9A"/>
    <w:rsid w:val="00DF7495"/>
    <w:rsid w:val="00E0083F"/>
    <w:rsid w:val="00E06FFB"/>
    <w:rsid w:val="00E17DCE"/>
    <w:rsid w:val="00E313DA"/>
    <w:rsid w:val="00E530E9"/>
    <w:rsid w:val="00E53615"/>
    <w:rsid w:val="00E54150"/>
    <w:rsid w:val="00E553B8"/>
    <w:rsid w:val="00E6003E"/>
    <w:rsid w:val="00E612E6"/>
    <w:rsid w:val="00E61D4D"/>
    <w:rsid w:val="00E63B31"/>
    <w:rsid w:val="00E67FD9"/>
    <w:rsid w:val="00E72B17"/>
    <w:rsid w:val="00E7441E"/>
    <w:rsid w:val="00E75EDC"/>
    <w:rsid w:val="00E8138F"/>
    <w:rsid w:val="00E832CA"/>
    <w:rsid w:val="00E84CB9"/>
    <w:rsid w:val="00E96446"/>
    <w:rsid w:val="00EA14E1"/>
    <w:rsid w:val="00EB7047"/>
    <w:rsid w:val="00EB7254"/>
    <w:rsid w:val="00EC3586"/>
    <w:rsid w:val="00EC3660"/>
    <w:rsid w:val="00EC3EE1"/>
    <w:rsid w:val="00ED0835"/>
    <w:rsid w:val="00EE52B6"/>
    <w:rsid w:val="00EE532E"/>
    <w:rsid w:val="00EF6362"/>
    <w:rsid w:val="00F21346"/>
    <w:rsid w:val="00F21A7E"/>
    <w:rsid w:val="00F25D69"/>
    <w:rsid w:val="00F26BE2"/>
    <w:rsid w:val="00F329D7"/>
    <w:rsid w:val="00F32B62"/>
    <w:rsid w:val="00F35127"/>
    <w:rsid w:val="00F35E5F"/>
    <w:rsid w:val="00F41425"/>
    <w:rsid w:val="00F6206C"/>
    <w:rsid w:val="00F62EA6"/>
    <w:rsid w:val="00F66368"/>
    <w:rsid w:val="00F75020"/>
    <w:rsid w:val="00F7590D"/>
    <w:rsid w:val="00F80D74"/>
    <w:rsid w:val="00F85EFB"/>
    <w:rsid w:val="00FA08DF"/>
    <w:rsid w:val="00FA1ECA"/>
    <w:rsid w:val="00FA4B0A"/>
    <w:rsid w:val="00FA6329"/>
    <w:rsid w:val="00FB53D7"/>
    <w:rsid w:val="00FB6D61"/>
    <w:rsid w:val="00FC015B"/>
    <w:rsid w:val="00FC467C"/>
    <w:rsid w:val="00FD1AC2"/>
    <w:rsid w:val="00FE01D5"/>
    <w:rsid w:val="00FE2433"/>
    <w:rsid w:val="00FE5F34"/>
    <w:rsid w:val="00FE68B3"/>
    <w:rsid w:val="00FF051E"/>
    <w:rsid w:val="00FF725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B3E72"/>
  <w15:chartTrackingRefBased/>
  <w15:docId w15:val="{50FC41AD-A71B-4A6E-A142-5DF2DD1E3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0022"/>
  </w:style>
  <w:style w:type="paragraph" w:styleId="Heading1">
    <w:name w:val="heading 1"/>
    <w:basedOn w:val="Normal"/>
    <w:next w:val="Normal"/>
    <w:link w:val="Heading1Char"/>
    <w:uiPriority w:val="9"/>
    <w:qFormat/>
    <w:rsid w:val="006B5048"/>
    <w:pPr>
      <w:keepNext/>
      <w:keepLines/>
      <w:spacing w:before="240" w:after="0" w:line="480" w:lineRule="auto"/>
      <w:outlineLvl w:val="0"/>
    </w:pPr>
    <w:rPr>
      <w:rFonts w:ascii="Times New Roman" w:eastAsiaTheme="majorEastAsia" w:hAnsi="Times New Roman" w:cstheme="majorBidi"/>
      <w:sz w:val="56"/>
      <w:szCs w:val="32"/>
    </w:rPr>
  </w:style>
  <w:style w:type="paragraph" w:styleId="Heading2">
    <w:name w:val="heading 2"/>
    <w:basedOn w:val="Normal"/>
    <w:next w:val="Normal"/>
    <w:link w:val="Heading2Char"/>
    <w:uiPriority w:val="9"/>
    <w:unhideWhenUsed/>
    <w:qFormat/>
    <w:rsid w:val="006B5048"/>
    <w:pPr>
      <w:keepNext/>
      <w:keepLines/>
      <w:spacing w:before="40" w:after="0" w:line="480" w:lineRule="auto"/>
      <w:outlineLvl w:val="1"/>
    </w:pPr>
    <w:rPr>
      <w:rFonts w:ascii="Times New Roman" w:eastAsiaTheme="majorEastAsia" w:hAnsi="Times New Roman" w:cstheme="majorBidi"/>
      <w:sz w:val="42"/>
      <w:szCs w:val="26"/>
    </w:rPr>
  </w:style>
  <w:style w:type="paragraph" w:styleId="Heading3">
    <w:name w:val="heading 3"/>
    <w:basedOn w:val="Normal"/>
    <w:next w:val="Normal"/>
    <w:link w:val="Heading3Char"/>
    <w:uiPriority w:val="9"/>
    <w:unhideWhenUsed/>
    <w:qFormat/>
    <w:rsid w:val="006B5048"/>
    <w:pPr>
      <w:keepNext/>
      <w:keepLines/>
      <w:spacing w:before="40" w:after="0" w:line="480" w:lineRule="auto"/>
      <w:outlineLvl w:val="2"/>
    </w:pPr>
    <w:rPr>
      <w:rFonts w:ascii="Times New Roman" w:eastAsiaTheme="majorEastAsia" w:hAnsi="Times New Roman" w:cstheme="majorBidi"/>
      <w:sz w:val="34"/>
      <w:szCs w:val="24"/>
    </w:rPr>
  </w:style>
  <w:style w:type="paragraph" w:styleId="Heading4">
    <w:name w:val="heading 4"/>
    <w:basedOn w:val="Normal"/>
    <w:next w:val="Normal"/>
    <w:link w:val="Heading4Char"/>
    <w:uiPriority w:val="9"/>
    <w:unhideWhenUsed/>
    <w:qFormat/>
    <w:rsid w:val="006B5048"/>
    <w:pPr>
      <w:keepNext/>
      <w:keepLines/>
      <w:spacing w:before="40" w:after="0"/>
      <w:outlineLvl w:val="3"/>
    </w:pPr>
    <w:rPr>
      <w:rFonts w:ascii="Times New Roman" w:eastAsiaTheme="majorEastAsia" w:hAnsi="Times New Roman" w:cstheme="majorBidi"/>
      <w:iCs/>
      <w:sz w:val="28"/>
    </w:rPr>
  </w:style>
  <w:style w:type="paragraph" w:styleId="Heading5">
    <w:name w:val="heading 5"/>
    <w:basedOn w:val="Normal"/>
    <w:next w:val="Normal"/>
    <w:link w:val="Heading5Char"/>
    <w:uiPriority w:val="9"/>
    <w:unhideWhenUsed/>
    <w:qFormat/>
    <w:rsid w:val="003C0022"/>
    <w:pPr>
      <w:keepNext/>
      <w:keepLines/>
      <w:spacing w:before="40" w:after="0"/>
      <w:ind w:left="1008" w:hanging="1008"/>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3C0022"/>
    <w:pPr>
      <w:keepNext/>
      <w:keepLines/>
      <w:spacing w:before="40" w:after="0"/>
      <w:ind w:left="1152" w:hanging="1152"/>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3C0022"/>
    <w:pPr>
      <w:keepNext/>
      <w:keepLines/>
      <w:spacing w:before="40" w:after="0"/>
      <w:ind w:left="1296" w:hanging="1296"/>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3C0022"/>
    <w:pPr>
      <w:keepNext/>
      <w:keepLines/>
      <w:spacing w:before="40" w:after="0"/>
      <w:ind w:left="1440" w:hanging="14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3C0022"/>
    <w:pPr>
      <w:keepNext/>
      <w:keepLines/>
      <w:spacing w:before="40" w:after="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Hoofdstijl,Main Text"/>
    <w:link w:val="NoSpacingChar"/>
    <w:uiPriority w:val="1"/>
    <w:qFormat/>
    <w:rsid w:val="00752320"/>
    <w:pPr>
      <w:spacing w:after="0" w:line="360" w:lineRule="auto"/>
      <w:jc w:val="both"/>
    </w:pPr>
    <w:rPr>
      <w:rFonts w:ascii="Times New Roman" w:hAnsi="Times New Roman"/>
    </w:rPr>
  </w:style>
  <w:style w:type="character" w:customStyle="1" w:styleId="Heading1Char">
    <w:name w:val="Heading 1 Char"/>
    <w:basedOn w:val="DefaultParagraphFont"/>
    <w:link w:val="Heading1"/>
    <w:uiPriority w:val="9"/>
    <w:rsid w:val="006B5048"/>
    <w:rPr>
      <w:rFonts w:ascii="Times New Roman" w:eastAsiaTheme="majorEastAsia" w:hAnsi="Times New Roman" w:cstheme="majorBidi"/>
      <w:sz w:val="56"/>
      <w:szCs w:val="32"/>
    </w:rPr>
  </w:style>
  <w:style w:type="character" w:customStyle="1" w:styleId="Heading2Char">
    <w:name w:val="Heading 2 Char"/>
    <w:basedOn w:val="DefaultParagraphFont"/>
    <w:link w:val="Heading2"/>
    <w:uiPriority w:val="9"/>
    <w:rsid w:val="006B5048"/>
    <w:rPr>
      <w:rFonts w:ascii="Times New Roman" w:eastAsiaTheme="majorEastAsia" w:hAnsi="Times New Roman" w:cstheme="majorBidi"/>
      <w:sz w:val="42"/>
      <w:szCs w:val="26"/>
    </w:rPr>
  </w:style>
  <w:style w:type="character" w:customStyle="1" w:styleId="Heading3Char">
    <w:name w:val="Heading 3 Char"/>
    <w:basedOn w:val="DefaultParagraphFont"/>
    <w:link w:val="Heading3"/>
    <w:uiPriority w:val="9"/>
    <w:rsid w:val="006B5048"/>
    <w:rPr>
      <w:rFonts w:ascii="Times New Roman" w:eastAsiaTheme="majorEastAsia" w:hAnsi="Times New Roman" w:cstheme="majorBidi"/>
      <w:sz w:val="34"/>
      <w:szCs w:val="24"/>
    </w:rPr>
  </w:style>
  <w:style w:type="character" w:customStyle="1" w:styleId="Heading4Char">
    <w:name w:val="Heading 4 Char"/>
    <w:basedOn w:val="DefaultParagraphFont"/>
    <w:link w:val="Heading4"/>
    <w:uiPriority w:val="9"/>
    <w:rsid w:val="006B5048"/>
    <w:rPr>
      <w:rFonts w:ascii="Times New Roman" w:eastAsiaTheme="majorEastAsia" w:hAnsi="Times New Roman" w:cstheme="majorBidi"/>
      <w:iCs/>
      <w:sz w:val="28"/>
    </w:rPr>
  </w:style>
  <w:style w:type="paragraph" w:styleId="Title">
    <w:name w:val="Title"/>
    <w:basedOn w:val="Normal"/>
    <w:next w:val="Normal"/>
    <w:link w:val="TitleChar"/>
    <w:uiPriority w:val="10"/>
    <w:qFormat/>
    <w:rsid w:val="006B5048"/>
    <w:pPr>
      <w:spacing w:after="0" w:line="480" w:lineRule="auto"/>
      <w:contextualSpacing/>
    </w:pPr>
    <w:rPr>
      <w:rFonts w:ascii="Times New Roman" w:eastAsiaTheme="majorEastAsia" w:hAnsi="Times New Roman" w:cstheme="majorBidi"/>
      <w:spacing w:val="-10"/>
      <w:kern w:val="28"/>
      <w:sz w:val="56"/>
      <w:szCs w:val="56"/>
    </w:rPr>
  </w:style>
  <w:style w:type="character" w:customStyle="1" w:styleId="TitleChar">
    <w:name w:val="Title Char"/>
    <w:basedOn w:val="DefaultParagraphFont"/>
    <w:link w:val="Title"/>
    <w:uiPriority w:val="10"/>
    <w:rsid w:val="006B5048"/>
    <w:rPr>
      <w:rFonts w:ascii="Times New Roman" w:eastAsiaTheme="majorEastAsia" w:hAnsi="Times New Roman" w:cstheme="majorBidi"/>
      <w:spacing w:val="-10"/>
      <w:kern w:val="28"/>
      <w:sz w:val="56"/>
      <w:szCs w:val="56"/>
    </w:rPr>
  </w:style>
  <w:style w:type="character" w:styleId="Hyperlink">
    <w:name w:val="Hyperlink"/>
    <w:basedOn w:val="DefaultParagraphFont"/>
    <w:uiPriority w:val="99"/>
    <w:unhideWhenUsed/>
    <w:rsid w:val="00141D3C"/>
    <w:rPr>
      <w:color w:val="0563C1" w:themeColor="hyperlink"/>
      <w:u w:val="none"/>
    </w:rPr>
  </w:style>
  <w:style w:type="character" w:customStyle="1" w:styleId="Heading5Char">
    <w:name w:val="Heading 5 Char"/>
    <w:basedOn w:val="DefaultParagraphFont"/>
    <w:link w:val="Heading5"/>
    <w:uiPriority w:val="9"/>
    <w:rsid w:val="003C0022"/>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3C0022"/>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3C0022"/>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3C0022"/>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C0022"/>
    <w:rPr>
      <w:rFonts w:asciiTheme="majorHAnsi" w:eastAsiaTheme="majorEastAsia" w:hAnsiTheme="majorHAnsi" w:cstheme="majorBidi"/>
      <w:i/>
      <w:iCs/>
      <w:color w:val="272727" w:themeColor="text1" w:themeTint="D8"/>
      <w:sz w:val="21"/>
      <w:szCs w:val="21"/>
    </w:rPr>
  </w:style>
  <w:style w:type="character" w:customStyle="1" w:styleId="NoSpacingChar">
    <w:name w:val="No Spacing Char"/>
    <w:aliases w:val="Hoofdstijl Char,Main Text Char"/>
    <w:basedOn w:val="DefaultParagraphFont"/>
    <w:link w:val="NoSpacing"/>
    <w:uiPriority w:val="1"/>
    <w:rsid w:val="003C0022"/>
    <w:rPr>
      <w:rFonts w:ascii="Times New Roman" w:hAnsi="Times New Roman"/>
    </w:rPr>
  </w:style>
  <w:style w:type="paragraph" w:styleId="Caption">
    <w:name w:val="caption"/>
    <w:basedOn w:val="Normal"/>
    <w:next w:val="Normal"/>
    <w:uiPriority w:val="35"/>
    <w:unhideWhenUsed/>
    <w:qFormat/>
    <w:rsid w:val="003C0022"/>
    <w:pPr>
      <w:spacing w:line="240" w:lineRule="auto"/>
    </w:pPr>
    <w:rPr>
      <w:b/>
      <w:bCs/>
      <w:color w:val="4472C4" w:themeColor="accent1"/>
      <w:sz w:val="18"/>
      <w:szCs w:val="18"/>
    </w:rPr>
  </w:style>
  <w:style w:type="table" w:styleId="TableGrid">
    <w:name w:val="Table Grid"/>
    <w:basedOn w:val="TableNormal"/>
    <w:uiPriority w:val="39"/>
    <w:rsid w:val="003C0022"/>
    <w:pPr>
      <w:spacing w:after="0" w:line="240" w:lineRule="auto"/>
    </w:pPr>
    <w:rPr>
      <w:rFonts w:eastAsiaTheme="minorEastAsia"/>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otnoteReference">
    <w:name w:val="footnote reference"/>
    <w:basedOn w:val="DefaultParagraphFont"/>
    <w:uiPriority w:val="99"/>
    <w:semiHidden/>
    <w:unhideWhenUsed/>
    <w:rsid w:val="003C0022"/>
    <w:rPr>
      <w:vertAlign w:val="superscript"/>
    </w:rPr>
  </w:style>
  <w:style w:type="paragraph" w:styleId="FootnoteText">
    <w:name w:val="footnote text"/>
    <w:basedOn w:val="Normal"/>
    <w:link w:val="FootnoteTextChar"/>
    <w:uiPriority w:val="99"/>
    <w:semiHidden/>
    <w:unhideWhenUsed/>
    <w:rsid w:val="003C002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C0022"/>
    <w:rPr>
      <w:sz w:val="20"/>
      <w:szCs w:val="20"/>
    </w:rPr>
  </w:style>
  <w:style w:type="character" w:styleId="CommentReference">
    <w:name w:val="annotation reference"/>
    <w:basedOn w:val="DefaultParagraphFont"/>
    <w:uiPriority w:val="99"/>
    <w:semiHidden/>
    <w:unhideWhenUsed/>
    <w:rsid w:val="003C0022"/>
    <w:rPr>
      <w:sz w:val="16"/>
      <w:szCs w:val="16"/>
    </w:rPr>
  </w:style>
  <w:style w:type="paragraph" w:styleId="Header">
    <w:name w:val="header"/>
    <w:basedOn w:val="Normal"/>
    <w:link w:val="HeaderChar"/>
    <w:uiPriority w:val="99"/>
    <w:unhideWhenUsed/>
    <w:rsid w:val="003C0022"/>
    <w:pPr>
      <w:tabs>
        <w:tab w:val="center" w:pos="4536"/>
        <w:tab w:val="right" w:pos="9072"/>
      </w:tabs>
      <w:spacing w:after="0" w:line="240" w:lineRule="auto"/>
    </w:pPr>
  </w:style>
  <w:style w:type="character" w:customStyle="1" w:styleId="HeaderChar">
    <w:name w:val="Header Char"/>
    <w:basedOn w:val="DefaultParagraphFont"/>
    <w:link w:val="Header"/>
    <w:uiPriority w:val="99"/>
    <w:rsid w:val="003C0022"/>
  </w:style>
  <w:style w:type="paragraph" w:styleId="Footer">
    <w:name w:val="footer"/>
    <w:basedOn w:val="Normal"/>
    <w:link w:val="FooterChar"/>
    <w:uiPriority w:val="99"/>
    <w:unhideWhenUsed/>
    <w:rsid w:val="003C0022"/>
    <w:pPr>
      <w:tabs>
        <w:tab w:val="center" w:pos="4536"/>
        <w:tab w:val="right" w:pos="9072"/>
      </w:tabs>
      <w:spacing w:after="0" w:line="240" w:lineRule="auto"/>
    </w:pPr>
  </w:style>
  <w:style w:type="character" w:customStyle="1" w:styleId="FooterChar">
    <w:name w:val="Footer Char"/>
    <w:basedOn w:val="DefaultParagraphFont"/>
    <w:link w:val="Footer"/>
    <w:uiPriority w:val="99"/>
    <w:rsid w:val="003C0022"/>
  </w:style>
  <w:style w:type="paragraph" w:styleId="BalloonText">
    <w:name w:val="Balloon Text"/>
    <w:basedOn w:val="Normal"/>
    <w:link w:val="BalloonTextChar"/>
    <w:uiPriority w:val="99"/>
    <w:semiHidden/>
    <w:unhideWhenUsed/>
    <w:rsid w:val="003C00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C0022"/>
    <w:rPr>
      <w:rFonts w:ascii="Segoe UI" w:hAnsi="Segoe UI" w:cs="Segoe UI"/>
      <w:sz w:val="18"/>
      <w:szCs w:val="18"/>
    </w:rPr>
  </w:style>
  <w:style w:type="paragraph" w:styleId="CommentText">
    <w:name w:val="annotation text"/>
    <w:basedOn w:val="Normal"/>
    <w:link w:val="CommentTextChar"/>
    <w:uiPriority w:val="99"/>
    <w:unhideWhenUsed/>
    <w:rsid w:val="003C0022"/>
    <w:pPr>
      <w:spacing w:line="240" w:lineRule="auto"/>
    </w:pPr>
    <w:rPr>
      <w:sz w:val="20"/>
      <w:szCs w:val="20"/>
    </w:rPr>
  </w:style>
  <w:style w:type="character" w:customStyle="1" w:styleId="CommentTextChar">
    <w:name w:val="Comment Text Char"/>
    <w:basedOn w:val="DefaultParagraphFont"/>
    <w:link w:val="CommentText"/>
    <w:uiPriority w:val="99"/>
    <w:rsid w:val="003C0022"/>
    <w:rPr>
      <w:sz w:val="20"/>
      <w:szCs w:val="20"/>
    </w:rPr>
  </w:style>
  <w:style w:type="paragraph" w:styleId="CommentSubject">
    <w:name w:val="annotation subject"/>
    <w:basedOn w:val="CommentText"/>
    <w:next w:val="CommentText"/>
    <w:link w:val="CommentSubjectChar"/>
    <w:uiPriority w:val="99"/>
    <w:semiHidden/>
    <w:unhideWhenUsed/>
    <w:rsid w:val="003C0022"/>
    <w:rPr>
      <w:b/>
      <w:bCs/>
    </w:rPr>
  </w:style>
  <w:style w:type="character" w:customStyle="1" w:styleId="CommentSubjectChar">
    <w:name w:val="Comment Subject Char"/>
    <w:basedOn w:val="CommentTextChar"/>
    <w:link w:val="CommentSubject"/>
    <w:uiPriority w:val="99"/>
    <w:semiHidden/>
    <w:rsid w:val="003C0022"/>
    <w:rPr>
      <w:b/>
      <w:bCs/>
      <w:sz w:val="20"/>
      <w:szCs w:val="20"/>
    </w:rPr>
  </w:style>
  <w:style w:type="paragraph" w:styleId="Revision">
    <w:name w:val="Revision"/>
    <w:hidden/>
    <w:uiPriority w:val="99"/>
    <w:semiHidden/>
    <w:rsid w:val="003C0022"/>
    <w:pPr>
      <w:spacing w:after="0" w:line="240" w:lineRule="auto"/>
    </w:pPr>
    <w:rPr>
      <w:rFonts w:eastAsiaTheme="minorEastAsia"/>
      <w:lang w:eastAsia="zh-CN"/>
    </w:rPr>
  </w:style>
  <w:style w:type="paragraph" w:styleId="DocumentMap">
    <w:name w:val="Document Map"/>
    <w:basedOn w:val="Normal"/>
    <w:link w:val="DocumentMapChar"/>
    <w:uiPriority w:val="99"/>
    <w:semiHidden/>
    <w:unhideWhenUsed/>
    <w:rsid w:val="003C0022"/>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3C0022"/>
    <w:rPr>
      <w:rFonts w:ascii="Times New Roman" w:hAnsi="Times New Roman" w:cs="Times New Roman"/>
      <w:sz w:val="24"/>
      <w:szCs w:val="24"/>
    </w:rPr>
  </w:style>
  <w:style w:type="character" w:customStyle="1" w:styleId="apple-converted-space">
    <w:name w:val="apple-converted-space"/>
    <w:basedOn w:val="DefaultParagraphFont"/>
    <w:rsid w:val="003C0022"/>
  </w:style>
  <w:style w:type="character" w:styleId="LineNumber">
    <w:name w:val="line number"/>
    <w:basedOn w:val="DefaultParagraphFont"/>
    <w:uiPriority w:val="99"/>
    <w:semiHidden/>
    <w:unhideWhenUsed/>
    <w:rsid w:val="003C0022"/>
  </w:style>
  <w:style w:type="paragraph" w:customStyle="1" w:styleId="Default">
    <w:name w:val="Default"/>
    <w:rsid w:val="003C0022"/>
    <w:pPr>
      <w:autoSpaceDE w:val="0"/>
      <w:autoSpaceDN w:val="0"/>
      <w:adjustRightInd w:val="0"/>
      <w:spacing w:after="0" w:line="240" w:lineRule="auto"/>
    </w:pPr>
    <w:rPr>
      <w:rFonts w:ascii="Segoe UI" w:hAnsi="Segoe UI" w:cs="Segoe UI"/>
      <w:color w:val="000000"/>
      <w:sz w:val="24"/>
      <w:szCs w:val="24"/>
    </w:rPr>
  </w:style>
  <w:style w:type="character" w:styleId="BookTitle">
    <w:name w:val="Book Title"/>
    <w:basedOn w:val="DefaultParagraphFont"/>
    <w:uiPriority w:val="33"/>
    <w:qFormat/>
    <w:rsid w:val="003C0022"/>
    <w:rPr>
      <w:b/>
      <w:bCs/>
      <w:smallCaps/>
      <w:spacing w:val="5"/>
    </w:rPr>
  </w:style>
  <w:style w:type="paragraph" w:styleId="ListParagraph">
    <w:name w:val="List Paragraph"/>
    <w:basedOn w:val="Normal"/>
    <w:uiPriority w:val="34"/>
    <w:qFormat/>
    <w:rsid w:val="003C0022"/>
    <w:pPr>
      <w:ind w:left="720"/>
      <w:contextualSpacing/>
    </w:pPr>
  </w:style>
  <w:style w:type="paragraph" w:styleId="TOCHeading">
    <w:name w:val="TOC Heading"/>
    <w:basedOn w:val="Heading1"/>
    <w:next w:val="Normal"/>
    <w:uiPriority w:val="39"/>
    <w:unhideWhenUsed/>
    <w:qFormat/>
    <w:rsid w:val="003C0022"/>
    <w:pPr>
      <w:spacing w:before="480" w:line="360" w:lineRule="auto"/>
      <w:outlineLvl w:val="9"/>
    </w:pPr>
    <w:rPr>
      <w:b/>
      <w:bCs/>
      <w:sz w:val="28"/>
      <w:szCs w:val="28"/>
    </w:rPr>
  </w:style>
  <w:style w:type="paragraph" w:styleId="TOC1">
    <w:name w:val="toc 1"/>
    <w:basedOn w:val="Normal"/>
    <w:next w:val="Normal"/>
    <w:autoRedefine/>
    <w:uiPriority w:val="39"/>
    <w:unhideWhenUsed/>
    <w:rsid w:val="003C0022"/>
    <w:pPr>
      <w:tabs>
        <w:tab w:val="left" w:pos="440"/>
        <w:tab w:val="right" w:pos="7926"/>
      </w:tabs>
      <w:spacing w:after="100"/>
      <w:jc w:val="both"/>
    </w:pPr>
    <w:rPr>
      <w:rFonts w:ascii="Times New Roman" w:eastAsia="Times New Roman" w:hAnsi="Times New Roman" w:cs="Times New Roman"/>
      <w:b/>
      <w:noProof/>
      <w:lang w:val="en-GB" w:eastAsia="nl-NL"/>
    </w:rPr>
  </w:style>
  <w:style w:type="paragraph" w:styleId="TOC2">
    <w:name w:val="toc 2"/>
    <w:basedOn w:val="Normal"/>
    <w:next w:val="Normal"/>
    <w:autoRedefine/>
    <w:uiPriority w:val="39"/>
    <w:unhideWhenUsed/>
    <w:rsid w:val="003C0022"/>
    <w:pPr>
      <w:spacing w:after="100"/>
      <w:ind w:left="220"/>
    </w:pPr>
  </w:style>
  <w:style w:type="paragraph" w:styleId="TOC3">
    <w:name w:val="toc 3"/>
    <w:basedOn w:val="Normal"/>
    <w:next w:val="Normal"/>
    <w:autoRedefine/>
    <w:uiPriority w:val="39"/>
    <w:unhideWhenUsed/>
    <w:rsid w:val="003C0022"/>
    <w:pPr>
      <w:spacing w:after="100"/>
      <w:ind w:left="440"/>
    </w:pPr>
  </w:style>
  <w:style w:type="paragraph" w:styleId="TableofFigures">
    <w:name w:val="table of figures"/>
    <w:basedOn w:val="Normal"/>
    <w:next w:val="Normal"/>
    <w:uiPriority w:val="99"/>
    <w:unhideWhenUsed/>
    <w:rsid w:val="003C0022"/>
    <w:pPr>
      <w:spacing w:after="0"/>
      <w:ind w:left="440" w:hanging="440"/>
    </w:pPr>
    <w:rPr>
      <w:rFonts w:cstheme="minorHAnsi"/>
      <w:b/>
      <w:bCs/>
      <w:sz w:val="20"/>
      <w:szCs w:val="20"/>
    </w:rPr>
  </w:style>
  <w:style w:type="character" w:styleId="PlaceholderText">
    <w:name w:val="Placeholder Text"/>
    <w:basedOn w:val="DefaultParagraphFont"/>
    <w:uiPriority w:val="99"/>
    <w:semiHidden/>
    <w:rsid w:val="003C0022"/>
    <w:rPr>
      <w:color w:val="808080"/>
    </w:rPr>
  </w:style>
  <w:style w:type="paragraph" w:styleId="TOC4">
    <w:name w:val="toc 4"/>
    <w:basedOn w:val="Normal"/>
    <w:next w:val="Normal"/>
    <w:autoRedefine/>
    <w:uiPriority w:val="39"/>
    <w:unhideWhenUsed/>
    <w:rsid w:val="003C0022"/>
    <w:pPr>
      <w:tabs>
        <w:tab w:val="left" w:pos="1760"/>
        <w:tab w:val="right" w:pos="7926"/>
      </w:tabs>
      <w:spacing w:after="100" w:line="240" w:lineRule="auto"/>
      <w:ind w:left="660"/>
      <w:jc w:val="both"/>
    </w:pPr>
  </w:style>
  <w:style w:type="character" w:customStyle="1" w:styleId="buttontext">
    <w:name w:val="buttontext"/>
    <w:basedOn w:val="DefaultParagraphFont"/>
    <w:rsid w:val="003C0022"/>
  </w:style>
  <w:style w:type="character" w:customStyle="1" w:styleId="exlhiddencue">
    <w:name w:val="exlhiddencue"/>
    <w:basedOn w:val="DefaultParagraphFont"/>
    <w:rsid w:val="003C0022"/>
  </w:style>
  <w:style w:type="character" w:customStyle="1" w:styleId="searchword">
    <w:name w:val="searchword"/>
    <w:basedOn w:val="DefaultParagraphFont"/>
    <w:rsid w:val="003C0022"/>
  </w:style>
  <w:style w:type="character" w:customStyle="1" w:styleId="UnresolvedMention1">
    <w:name w:val="Unresolved Mention1"/>
    <w:basedOn w:val="DefaultParagraphFont"/>
    <w:uiPriority w:val="99"/>
    <w:semiHidden/>
    <w:unhideWhenUsed/>
    <w:rsid w:val="003C0022"/>
    <w:rPr>
      <w:color w:val="808080"/>
      <w:shd w:val="clear" w:color="auto" w:fill="E6E6E6"/>
    </w:rPr>
  </w:style>
  <w:style w:type="paragraph" w:styleId="NormalWeb">
    <w:name w:val="Normal (Web)"/>
    <w:basedOn w:val="Normal"/>
    <w:uiPriority w:val="99"/>
    <w:semiHidden/>
    <w:unhideWhenUsed/>
    <w:rsid w:val="003C0022"/>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toctoggle">
    <w:name w:val="toctoggle"/>
    <w:basedOn w:val="DefaultParagraphFont"/>
    <w:rsid w:val="003C0022"/>
  </w:style>
  <w:style w:type="character" w:customStyle="1" w:styleId="tocnumber">
    <w:name w:val="tocnumber"/>
    <w:basedOn w:val="DefaultParagraphFont"/>
    <w:rsid w:val="003C0022"/>
  </w:style>
  <w:style w:type="character" w:customStyle="1" w:styleId="toctext">
    <w:name w:val="toctext"/>
    <w:basedOn w:val="DefaultParagraphFont"/>
    <w:rsid w:val="003C0022"/>
  </w:style>
  <w:style w:type="character" w:styleId="FollowedHyperlink">
    <w:name w:val="FollowedHyperlink"/>
    <w:basedOn w:val="DefaultParagraphFont"/>
    <w:uiPriority w:val="99"/>
    <w:semiHidden/>
    <w:unhideWhenUsed/>
    <w:rsid w:val="003C0022"/>
    <w:rPr>
      <w:color w:val="954F72"/>
      <w:u w:val="single"/>
    </w:rPr>
  </w:style>
  <w:style w:type="paragraph" w:customStyle="1" w:styleId="msonormal0">
    <w:name w:val="msonormal"/>
    <w:basedOn w:val="Normal"/>
    <w:rsid w:val="003C0022"/>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65">
    <w:name w:val="xl65"/>
    <w:basedOn w:val="Normal"/>
    <w:rsid w:val="003C0022"/>
    <w:pPr>
      <w:pBdr>
        <w:top w:val="single" w:sz="8" w:space="0" w:color="auto"/>
        <w:lef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66">
    <w:name w:val="xl66"/>
    <w:basedOn w:val="Normal"/>
    <w:rsid w:val="003C0022"/>
    <w:pPr>
      <w:pBdr>
        <w:top w:val="single" w:sz="8" w:space="0" w:color="auto"/>
      </w:pBdr>
      <w:spacing w:before="100" w:beforeAutospacing="1" w:after="100" w:afterAutospacing="1" w:line="240" w:lineRule="auto"/>
      <w:jc w:val="right"/>
    </w:pPr>
    <w:rPr>
      <w:rFonts w:ascii="Times New Roman" w:eastAsia="Times New Roman" w:hAnsi="Times New Roman" w:cs="Times New Roman"/>
      <w:sz w:val="24"/>
      <w:szCs w:val="24"/>
      <w:lang w:eastAsia="nl-NL"/>
    </w:rPr>
  </w:style>
  <w:style w:type="paragraph" w:customStyle="1" w:styleId="xl67">
    <w:name w:val="xl67"/>
    <w:basedOn w:val="Normal"/>
    <w:rsid w:val="003C0022"/>
    <w:pPr>
      <w:pBdr>
        <w:top w:val="single" w:sz="8" w:space="0" w:color="auto"/>
      </w:pBdr>
      <w:spacing w:before="100" w:beforeAutospacing="1" w:after="100" w:afterAutospacing="1" w:line="240" w:lineRule="auto"/>
      <w:jc w:val="right"/>
    </w:pPr>
    <w:rPr>
      <w:rFonts w:ascii="Times New Roman" w:eastAsia="Times New Roman" w:hAnsi="Times New Roman" w:cs="Times New Roman"/>
      <w:sz w:val="24"/>
      <w:szCs w:val="24"/>
      <w:lang w:eastAsia="nl-NL"/>
    </w:rPr>
  </w:style>
  <w:style w:type="paragraph" w:customStyle="1" w:styleId="xl68">
    <w:name w:val="xl68"/>
    <w:basedOn w:val="Normal"/>
    <w:rsid w:val="003C0022"/>
    <w:pPr>
      <w:pBdr>
        <w:top w:val="single" w:sz="8" w:space="0" w:color="auto"/>
      </w:pBd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69">
    <w:name w:val="xl69"/>
    <w:basedOn w:val="Normal"/>
    <w:rsid w:val="003C0022"/>
    <w:pPr>
      <w:pBdr>
        <w:top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70">
    <w:name w:val="xl70"/>
    <w:basedOn w:val="Normal"/>
    <w:rsid w:val="003C0022"/>
    <w:pPr>
      <w:pBdr>
        <w:lef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71">
    <w:name w:val="xl71"/>
    <w:basedOn w:val="Normal"/>
    <w:rsid w:val="003C0022"/>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72">
    <w:name w:val="xl72"/>
    <w:basedOn w:val="Normal"/>
    <w:rsid w:val="003C0022"/>
    <w:pPr>
      <w:spacing w:before="100" w:beforeAutospacing="1" w:after="100" w:afterAutospacing="1" w:line="240" w:lineRule="auto"/>
      <w:jc w:val="right"/>
    </w:pPr>
    <w:rPr>
      <w:rFonts w:ascii="Times New Roman" w:eastAsia="Times New Roman" w:hAnsi="Times New Roman" w:cs="Times New Roman"/>
      <w:sz w:val="24"/>
      <w:szCs w:val="24"/>
      <w:lang w:eastAsia="nl-NL"/>
    </w:rPr>
  </w:style>
  <w:style w:type="paragraph" w:customStyle="1" w:styleId="xl73">
    <w:name w:val="xl73"/>
    <w:basedOn w:val="Normal"/>
    <w:rsid w:val="003C0022"/>
    <w:pPr>
      <w:pBdr>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74">
    <w:name w:val="xl74"/>
    <w:basedOn w:val="Normal"/>
    <w:rsid w:val="003C0022"/>
    <w:pPr>
      <w:pBdr>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75">
    <w:name w:val="xl75"/>
    <w:basedOn w:val="Normal"/>
    <w:rsid w:val="003C0022"/>
    <w:pPr>
      <w:pBdr>
        <w:bottom w:val="single" w:sz="8" w:space="0" w:color="auto"/>
      </w:pBd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76">
    <w:name w:val="xl76"/>
    <w:basedOn w:val="Normal"/>
    <w:rsid w:val="003C0022"/>
    <w:pPr>
      <w:pBdr>
        <w:bottom w:val="single" w:sz="8" w:space="0" w:color="auto"/>
      </w:pBdr>
      <w:spacing w:before="100" w:beforeAutospacing="1" w:after="100" w:afterAutospacing="1" w:line="240" w:lineRule="auto"/>
      <w:jc w:val="right"/>
    </w:pPr>
    <w:rPr>
      <w:rFonts w:ascii="Times New Roman" w:eastAsia="Times New Roman" w:hAnsi="Times New Roman" w:cs="Times New Roman"/>
      <w:sz w:val="24"/>
      <w:szCs w:val="24"/>
      <w:lang w:eastAsia="nl-NL"/>
    </w:rPr>
  </w:style>
  <w:style w:type="paragraph" w:customStyle="1" w:styleId="xl77">
    <w:name w:val="xl77"/>
    <w:basedOn w:val="Normal"/>
    <w:rsid w:val="003C0022"/>
    <w:pPr>
      <w:pBdr>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l78">
    <w:name w:val="xl78"/>
    <w:basedOn w:val="Normal"/>
    <w:rsid w:val="003C0022"/>
    <w:pPr>
      <w:pBdr>
        <w:top w:val="single" w:sz="8" w:space="0" w:color="auto"/>
        <w:left w:val="single" w:sz="8" w:space="0" w:color="auto"/>
        <w:bottom w:val="single" w:sz="8" w:space="0" w:color="auto"/>
      </w:pBdr>
      <w:shd w:val="clear" w:color="000000" w:fill="2F75B5"/>
      <w:spacing w:before="100" w:beforeAutospacing="1" w:after="100" w:afterAutospacing="1" w:line="240" w:lineRule="auto"/>
      <w:jc w:val="center"/>
    </w:pPr>
    <w:rPr>
      <w:rFonts w:ascii="Times New Roman" w:eastAsia="Times New Roman" w:hAnsi="Times New Roman" w:cs="Times New Roman"/>
      <w:color w:val="FFFFFF"/>
      <w:sz w:val="24"/>
      <w:szCs w:val="24"/>
      <w:lang w:eastAsia="nl-NL"/>
    </w:rPr>
  </w:style>
  <w:style w:type="paragraph" w:customStyle="1" w:styleId="xl79">
    <w:name w:val="xl79"/>
    <w:basedOn w:val="Normal"/>
    <w:rsid w:val="003C0022"/>
    <w:pPr>
      <w:pBdr>
        <w:top w:val="single" w:sz="8" w:space="0" w:color="auto"/>
        <w:bottom w:val="single" w:sz="8" w:space="0" w:color="auto"/>
      </w:pBdr>
      <w:shd w:val="clear" w:color="000000" w:fill="2F75B5"/>
      <w:spacing w:before="100" w:beforeAutospacing="1" w:after="100" w:afterAutospacing="1" w:line="240" w:lineRule="auto"/>
      <w:jc w:val="center"/>
    </w:pPr>
    <w:rPr>
      <w:rFonts w:ascii="Times New Roman" w:eastAsia="Times New Roman" w:hAnsi="Times New Roman" w:cs="Times New Roman"/>
      <w:color w:val="FFFFFF"/>
      <w:sz w:val="24"/>
      <w:szCs w:val="24"/>
      <w:lang w:eastAsia="nl-NL"/>
    </w:rPr>
  </w:style>
  <w:style w:type="paragraph" w:customStyle="1" w:styleId="xl80">
    <w:name w:val="xl80"/>
    <w:basedOn w:val="Normal"/>
    <w:rsid w:val="003C0022"/>
    <w:pPr>
      <w:pBdr>
        <w:top w:val="single" w:sz="8" w:space="0" w:color="auto"/>
        <w:bottom w:val="single" w:sz="8" w:space="0" w:color="auto"/>
      </w:pBdr>
      <w:shd w:val="clear" w:color="000000" w:fill="2F75B5"/>
      <w:spacing w:before="100" w:beforeAutospacing="1" w:after="100" w:afterAutospacing="1" w:line="240" w:lineRule="auto"/>
    </w:pPr>
    <w:rPr>
      <w:rFonts w:ascii="Times New Roman" w:eastAsia="Times New Roman" w:hAnsi="Times New Roman" w:cs="Times New Roman"/>
      <w:color w:val="FFFFFF"/>
      <w:sz w:val="24"/>
      <w:szCs w:val="24"/>
      <w:lang w:eastAsia="nl-NL"/>
    </w:rPr>
  </w:style>
  <w:style w:type="paragraph" w:customStyle="1" w:styleId="xl81">
    <w:name w:val="xl81"/>
    <w:basedOn w:val="Normal"/>
    <w:rsid w:val="003C0022"/>
    <w:pPr>
      <w:pBdr>
        <w:top w:val="single" w:sz="8" w:space="0" w:color="auto"/>
        <w:bottom w:val="single" w:sz="8" w:space="0" w:color="auto"/>
        <w:right w:val="single" w:sz="8" w:space="0" w:color="auto"/>
      </w:pBdr>
      <w:shd w:val="clear" w:color="000000" w:fill="2F75B5"/>
      <w:spacing w:before="100" w:beforeAutospacing="1" w:after="100" w:afterAutospacing="1" w:line="240" w:lineRule="auto"/>
    </w:pPr>
    <w:rPr>
      <w:rFonts w:ascii="Times New Roman" w:eastAsia="Times New Roman" w:hAnsi="Times New Roman" w:cs="Times New Roman"/>
      <w:color w:val="FFFFFF"/>
      <w:sz w:val="24"/>
      <w:szCs w:val="24"/>
      <w:lang w:eastAsia="nl-NL"/>
    </w:rPr>
  </w:style>
  <w:style w:type="paragraph" w:customStyle="1" w:styleId="EndNoteBibliography">
    <w:name w:val="EndNote Bibliography"/>
    <w:basedOn w:val="Normal"/>
    <w:rsid w:val="003C0022"/>
    <w:pPr>
      <w:spacing w:after="0" w:line="360" w:lineRule="auto"/>
      <w:jc w:val="both"/>
    </w:pPr>
    <w:rPr>
      <w:rFonts w:ascii="Times New Roman" w:hAnsi="Times New Roman"/>
      <w:sz w:val="24"/>
      <w:szCs w:val="24"/>
      <w:lang w:val="en-US"/>
    </w:rPr>
  </w:style>
  <w:style w:type="character" w:customStyle="1" w:styleId="hlfld-contribauthor">
    <w:name w:val="hlfld-contribauthor"/>
    <w:basedOn w:val="DefaultParagraphFont"/>
    <w:rsid w:val="003C0022"/>
  </w:style>
  <w:style w:type="character" w:customStyle="1" w:styleId="nlmgiven-names">
    <w:name w:val="nlm_given-names"/>
    <w:basedOn w:val="DefaultParagraphFont"/>
    <w:rsid w:val="003C0022"/>
  </w:style>
  <w:style w:type="character" w:customStyle="1" w:styleId="nlmyear">
    <w:name w:val="nlm_year"/>
    <w:basedOn w:val="DefaultParagraphFont"/>
    <w:rsid w:val="003C0022"/>
  </w:style>
  <w:style w:type="character" w:customStyle="1" w:styleId="current-selection">
    <w:name w:val="current-selection"/>
    <w:basedOn w:val="DefaultParagraphFont"/>
    <w:rsid w:val="003C0022"/>
  </w:style>
  <w:style w:type="character" w:customStyle="1" w:styleId="a">
    <w:name w:val="_"/>
    <w:basedOn w:val="DefaultParagraphFont"/>
    <w:rsid w:val="003C0022"/>
  </w:style>
  <w:style w:type="paragraph" w:styleId="ListBullet">
    <w:name w:val="List Bullet"/>
    <w:basedOn w:val="Normal"/>
    <w:uiPriority w:val="99"/>
    <w:unhideWhenUsed/>
    <w:rsid w:val="003C0022"/>
    <w:pPr>
      <w:numPr>
        <w:numId w:val="14"/>
      </w:numPr>
      <w:contextualSpacing/>
    </w:pPr>
  </w:style>
  <w:style w:type="table" w:customStyle="1" w:styleId="TableGrid1">
    <w:name w:val="Table Grid1"/>
    <w:basedOn w:val="TableNormal"/>
    <w:next w:val="TableGrid"/>
    <w:uiPriority w:val="59"/>
    <w:rsid w:val="003C0022"/>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5">
    <w:name w:val="toc 5"/>
    <w:basedOn w:val="Normal"/>
    <w:next w:val="Normal"/>
    <w:autoRedefine/>
    <w:uiPriority w:val="39"/>
    <w:unhideWhenUsed/>
    <w:rsid w:val="003C0022"/>
    <w:pPr>
      <w:spacing w:after="100"/>
      <w:ind w:left="880"/>
    </w:pPr>
    <w:rPr>
      <w:lang w:val="en-GB" w:eastAsia="en-GB"/>
    </w:rPr>
  </w:style>
  <w:style w:type="numbering" w:customStyle="1" w:styleId="NoList1">
    <w:name w:val="No List1"/>
    <w:next w:val="NoList"/>
    <w:uiPriority w:val="99"/>
    <w:semiHidden/>
    <w:unhideWhenUsed/>
    <w:rsid w:val="003C0022"/>
  </w:style>
  <w:style w:type="table" w:customStyle="1" w:styleId="TableGrid2">
    <w:name w:val="Table Grid2"/>
    <w:basedOn w:val="TableNormal"/>
    <w:next w:val="TableGrid"/>
    <w:uiPriority w:val="39"/>
    <w:rsid w:val="003C0022"/>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6">
    <w:name w:val="toc 6"/>
    <w:basedOn w:val="Normal"/>
    <w:next w:val="Normal"/>
    <w:autoRedefine/>
    <w:uiPriority w:val="39"/>
    <w:unhideWhenUsed/>
    <w:rsid w:val="003C0022"/>
    <w:pPr>
      <w:spacing w:after="100"/>
      <w:ind w:left="1100"/>
    </w:pPr>
    <w:rPr>
      <w:lang w:eastAsia="nl-NL"/>
    </w:rPr>
  </w:style>
  <w:style w:type="paragraph" w:styleId="TOC7">
    <w:name w:val="toc 7"/>
    <w:basedOn w:val="Normal"/>
    <w:next w:val="Normal"/>
    <w:autoRedefine/>
    <w:uiPriority w:val="39"/>
    <w:unhideWhenUsed/>
    <w:rsid w:val="003C0022"/>
    <w:pPr>
      <w:spacing w:after="100"/>
      <w:ind w:left="1320"/>
    </w:pPr>
    <w:rPr>
      <w:lang w:eastAsia="nl-NL"/>
    </w:rPr>
  </w:style>
  <w:style w:type="paragraph" w:styleId="TOC8">
    <w:name w:val="toc 8"/>
    <w:basedOn w:val="Normal"/>
    <w:next w:val="Normal"/>
    <w:autoRedefine/>
    <w:uiPriority w:val="39"/>
    <w:unhideWhenUsed/>
    <w:rsid w:val="003C0022"/>
    <w:pPr>
      <w:spacing w:after="100"/>
      <w:ind w:left="1540"/>
    </w:pPr>
    <w:rPr>
      <w:lang w:eastAsia="nl-NL"/>
    </w:rPr>
  </w:style>
  <w:style w:type="paragraph" w:styleId="TOC9">
    <w:name w:val="toc 9"/>
    <w:basedOn w:val="Normal"/>
    <w:next w:val="Normal"/>
    <w:autoRedefine/>
    <w:uiPriority w:val="39"/>
    <w:unhideWhenUsed/>
    <w:rsid w:val="003C0022"/>
    <w:pPr>
      <w:spacing w:after="100"/>
      <w:ind w:left="1760"/>
    </w:pPr>
    <w:rPr>
      <w:lang w:eastAsia="nl-NL"/>
    </w:rPr>
  </w:style>
  <w:style w:type="character" w:customStyle="1" w:styleId="UnresolvedMention2">
    <w:name w:val="Unresolved Mention2"/>
    <w:basedOn w:val="DefaultParagraphFont"/>
    <w:uiPriority w:val="99"/>
    <w:semiHidden/>
    <w:unhideWhenUsed/>
    <w:rsid w:val="003C0022"/>
    <w:rPr>
      <w:color w:val="808080"/>
      <w:shd w:val="clear" w:color="auto" w:fill="E6E6E6"/>
    </w:rPr>
  </w:style>
  <w:style w:type="table" w:customStyle="1" w:styleId="GridTable5Dark-Accent21">
    <w:name w:val="Grid Table 5 Dark - Accent 21"/>
    <w:basedOn w:val="TableNormal"/>
    <w:uiPriority w:val="50"/>
    <w:rsid w:val="003C0022"/>
    <w:pPr>
      <w:spacing w:after="0" w:line="240" w:lineRule="auto"/>
    </w:pPr>
    <w:rPr>
      <w:rFonts w:eastAsiaTheme="minorEastAsia"/>
      <w:lang w:eastAsia="zh-CN"/>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customStyle="1" w:styleId="GridTable6Colorful1">
    <w:name w:val="Grid Table 6 Colorful1"/>
    <w:basedOn w:val="TableNormal"/>
    <w:uiPriority w:val="51"/>
    <w:rsid w:val="003C0022"/>
    <w:pPr>
      <w:spacing w:after="0" w:line="240" w:lineRule="auto"/>
    </w:pPr>
    <w:rPr>
      <w:rFonts w:eastAsiaTheme="minorEastAsia"/>
      <w:color w:val="000000" w:themeColor="text1"/>
      <w:lang w:eastAsia="zh-CN"/>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6Colorful-Accent11">
    <w:name w:val="Grid Table 6 Colorful - Accent 11"/>
    <w:basedOn w:val="TableNormal"/>
    <w:uiPriority w:val="51"/>
    <w:rsid w:val="003C0022"/>
    <w:pPr>
      <w:spacing w:after="0" w:line="240" w:lineRule="auto"/>
    </w:pPr>
    <w:rPr>
      <w:rFonts w:eastAsiaTheme="minorEastAsia"/>
      <w:color w:val="2F5496" w:themeColor="accent1" w:themeShade="BF"/>
      <w:lang w:eastAsia="zh-CN"/>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GridTable4-Accent31">
    <w:name w:val="Grid Table 4 - Accent 31"/>
    <w:basedOn w:val="TableNormal"/>
    <w:uiPriority w:val="49"/>
    <w:rsid w:val="003C0022"/>
    <w:pPr>
      <w:spacing w:after="0" w:line="240" w:lineRule="auto"/>
    </w:pPr>
    <w:rPr>
      <w:rFonts w:eastAsiaTheme="minorEastAsia"/>
      <w:lang w:eastAsia="zh-CN"/>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ListTable4-Accent11">
    <w:name w:val="List Table 4 - Accent 11"/>
    <w:basedOn w:val="TableNormal"/>
    <w:uiPriority w:val="49"/>
    <w:rsid w:val="003C0022"/>
    <w:pPr>
      <w:spacing w:after="0" w:line="240" w:lineRule="auto"/>
    </w:pPr>
    <w:rPr>
      <w:rFonts w:eastAsiaTheme="minorEastAsia"/>
      <w:lang w:eastAsia="zh-CN"/>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catti">
    <w:name w:val="catti"/>
    <w:basedOn w:val="DefaultParagraphFont"/>
    <w:rsid w:val="003C0022"/>
  </w:style>
  <w:style w:type="character" w:customStyle="1" w:styleId="catau">
    <w:name w:val="catau"/>
    <w:basedOn w:val="DefaultParagraphFont"/>
    <w:rsid w:val="003C0022"/>
  </w:style>
  <w:style w:type="character" w:customStyle="1" w:styleId="catim">
    <w:name w:val="catim"/>
    <w:basedOn w:val="DefaultParagraphFont"/>
    <w:rsid w:val="003C0022"/>
  </w:style>
  <w:style w:type="character" w:customStyle="1" w:styleId="catco">
    <w:name w:val="catco"/>
    <w:basedOn w:val="DefaultParagraphFont"/>
    <w:rsid w:val="003C0022"/>
  </w:style>
  <w:style w:type="character" w:customStyle="1" w:styleId="catre">
    <w:name w:val="catre"/>
    <w:basedOn w:val="DefaultParagraphFont"/>
    <w:rsid w:val="003C0022"/>
  </w:style>
  <w:style w:type="paragraph" w:styleId="EndnoteText">
    <w:name w:val="endnote text"/>
    <w:basedOn w:val="Normal"/>
    <w:link w:val="EndnoteTextChar"/>
    <w:uiPriority w:val="99"/>
    <w:semiHidden/>
    <w:unhideWhenUsed/>
    <w:rsid w:val="003C002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C0022"/>
    <w:rPr>
      <w:sz w:val="20"/>
      <w:szCs w:val="20"/>
    </w:rPr>
  </w:style>
  <w:style w:type="character" w:styleId="EndnoteReference">
    <w:name w:val="endnote reference"/>
    <w:basedOn w:val="DefaultParagraphFont"/>
    <w:uiPriority w:val="99"/>
    <w:semiHidden/>
    <w:unhideWhenUsed/>
    <w:rsid w:val="003C0022"/>
    <w:rPr>
      <w:vertAlign w:val="superscript"/>
    </w:rPr>
  </w:style>
  <w:style w:type="table" w:customStyle="1" w:styleId="TableGrid3">
    <w:name w:val="Table Grid3"/>
    <w:basedOn w:val="TableNormal"/>
    <w:next w:val="TableGrid"/>
    <w:uiPriority w:val="39"/>
    <w:rsid w:val="003C0022"/>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3C0022"/>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DefaultParagraphFont"/>
    <w:uiPriority w:val="99"/>
    <w:semiHidden/>
    <w:unhideWhenUsed/>
    <w:rsid w:val="003C00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9192885">
      <w:bodyDiv w:val="1"/>
      <w:marLeft w:val="0"/>
      <w:marRight w:val="0"/>
      <w:marTop w:val="0"/>
      <w:marBottom w:val="0"/>
      <w:divBdr>
        <w:top w:val="none" w:sz="0" w:space="0" w:color="auto"/>
        <w:left w:val="none" w:sz="0" w:space="0" w:color="auto"/>
        <w:bottom w:val="none" w:sz="0" w:space="0" w:color="auto"/>
        <w:right w:val="none" w:sz="0" w:space="0" w:color="auto"/>
      </w:divBdr>
    </w:div>
    <w:div w:id="1039667710">
      <w:bodyDiv w:val="1"/>
      <w:marLeft w:val="0"/>
      <w:marRight w:val="0"/>
      <w:marTop w:val="0"/>
      <w:marBottom w:val="0"/>
      <w:divBdr>
        <w:top w:val="none" w:sz="0" w:space="0" w:color="auto"/>
        <w:left w:val="none" w:sz="0" w:space="0" w:color="auto"/>
        <w:bottom w:val="none" w:sz="0" w:space="0" w:color="auto"/>
        <w:right w:val="none" w:sz="0" w:space="0" w:color="auto"/>
      </w:divBdr>
    </w:div>
    <w:div w:id="1637947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ab78@cam.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093927-4876-465F-93AE-D3CB51EE8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25</Pages>
  <Words>9667</Words>
  <Characters>55108</Characters>
  <Application>Microsoft Office Word</Application>
  <DocSecurity>0</DocSecurity>
  <Lines>459</Lines>
  <Paragraphs>129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64646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 Blom</dc:creator>
  <cp:keywords/>
  <dc:description/>
  <cp:lastModifiedBy>Alette Blom</cp:lastModifiedBy>
  <cp:revision>5</cp:revision>
  <dcterms:created xsi:type="dcterms:W3CDTF">2020-10-06T21:00:00Z</dcterms:created>
  <dcterms:modified xsi:type="dcterms:W3CDTF">2020-10-06T21:15:00Z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http://www.zotero.org/styles/chicago-fullnote-bibliography</vt:lpwstr>
  </property>
  <property fmtid="{D5CDD505-2E9C-101B-9397-08002B2CF9AE}" pid="13" name="Mendeley Recent Style Name 5_1">
    <vt:lpwstr>Chicago Manual of Style 17th edition (full note)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http://www.zotero.org/styles/harvard1</vt:lpwstr>
  </property>
  <property fmtid="{D5CDD505-2E9C-101B-9397-08002B2CF9AE}" pid="17" name="Mendeley Recent Style Name 7_1">
    <vt:lpwstr>Harvard reference format 1 (deprecated)</vt:lpwstr>
  </property>
  <property fmtid="{D5CDD505-2E9C-101B-9397-08002B2CF9AE}" pid="18" name="Mendeley Recent Style Id 8_1">
    <vt:lpwstr>http://www.zotero.org/styles/ieee</vt:lpwstr>
  </property>
  <property fmtid="{D5CDD505-2E9C-101B-9397-08002B2CF9AE}" pid="19" name="Mendeley Recent Style Name 8_1">
    <vt:lpwstr>IEEE</vt:lpwstr>
  </property>
  <property fmtid="{D5CDD505-2E9C-101B-9397-08002B2CF9AE}" pid="20" name="Mendeley Recent Style Id 9_1">
    <vt:lpwstr>http://www.zotero.org/styles/modern-humanities-research-association</vt:lpwstr>
  </property>
  <property fmtid="{D5CDD505-2E9C-101B-9397-08002B2CF9AE}" pid="21" name="Mendeley Recent Style Name 9_1">
    <vt:lpwstr>Modern Humanities Research Association 3rd edition (note with bibliography)</vt:lpwstr>
  </property>
</Properties>
</file>