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DB32A2" w14:textId="3690598A" w:rsidR="00E37025" w:rsidRDefault="00F131BF" w:rsidP="00F131BF">
      <w:pPr>
        <w:spacing w:line="360" w:lineRule="auto"/>
        <w:jc w:val="both"/>
        <w:rPr>
          <w:rFonts w:ascii="Calibri" w:hAnsi="Calibri" w:cs="Calibri"/>
          <w:b/>
          <w:color w:val="000000" w:themeColor="text1"/>
          <w:sz w:val="22"/>
          <w:szCs w:val="22"/>
          <w:shd w:val="clear" w:color="auto" w:fill="FFFFFF"/>
          <w:lang w:eastAsia="en-GB"/>
        </w:rPr>
      </w:pPr>
      <w:bookmarkStart w:id="0" w:name="_GoBack"/>
      <w:r w:rsidRPr="00B946E4">
        <w:rPr>
          <w:rFonts w:ascii="Calibri" w:hAnsi="Calibri" w:cs="Calibri"/>
          <w:b/>
          <w:color w:val="000000" w:themeColor="text1"/>
          <w:sz w:val="22"/>
          <w:szCs w:val="22"/>
          <w:shd w:val="clear" w:color="auto" w:fill="FFFFFF"/>
          <w:lang w:eastAsia="en-GB"/>
        </w:rPr>
        <w:t>Oncometabolites in renal cancer</w:t>
      </w:r>
      <w:bookmarkEnd w:id="0"/>
      <w:r w:rsidR="00E37025">
        <w:rPr>
          <w:rFonts w:ascii="Calibri" w:hAnsi="Calibri" w:cs="Calibri"/>
          <w:b/>
          <w:color w:val="000000" w:themeColor="text1"/>
          <w:sz w:val="22"/>
          <w:szCs w:val="22"/>
          <w:shd w:val="clear" w:color="auto" w:fill="FFFFFF"/>
          <w:lang w:eastAsia="en-GB"/>
        </w:rPr>
        <w:t>: Warburg’s hypothesis re-examined</w:t>
      </w:r>
    </w:p>
    <w:p w14:paraId="1337B88B" w14:textId="1A3CF04B" w:rsidR="00F131BF" w:rsidRPr="00E37025" w:rsidRDefault="00F131BF" w:rsidP="00F131BF">
      <w:pPr>
        <w:spacing w:line="360" w:lineRule="auto"/>
        <w:jc w:val="both"/>
        <w:rPr>
          <w:rFonts w:ascii="Calibri" w:hAnsi="Calibri" w:cs="Calibri"/>
          <w:b/>
          <w:color w:val="000000" w:themeColor="text1"/>
          <w:sz w:val="22"/>
          <w:szCs w:val="22"/>
          <w:shd w:val="clear" w:color="auto" w:fill="FFFFFF"/>
          <w:lang w:eastAsia="en-GB"/>
        </w:rPr>
      </w:pPr>
      <w:r w:rsidRPr="00D637BA">
        <w:rPr>
          <w:rFonts w:ascii="Calibri" w:hAnsi="Calibri" w:cs="Calibri"/>
          <w:color w:val="000000" w:themeColor="text1"/>
          <w:sz w:val="22"/>
          <w:szCs w:val="22"/>
          <w:shd w:val="clear" w:color="auto" w:fill="FFFFFF"/>
          <w:lang w:eastAsia="en-GB"/>
        </w:rPr>
        <w:t>Cissy Yong</w:t>
      </w:r>
      <w:r w:rsidRPr="00D637BA">
        <w:rPr>
          <w:rFonts w:ascii="Calibri" w:hAnsi="Calibri" w:cs="Calibri"/>
          <w:color w:val="000000" w:themeColor="text1"/>
          <w:sz w:val="22"/>
          <w:szCs w:val="22"/>
          <w:shd w:val="clear" w:color="auto" w:fill="FFFFFF"/>
          <w:vertAlign w:val="superscript"/>
          <w:lang w:eastAsia="en-GB"/>
        </w:rPr>
        <w:t>1,3</w:t>
      </w:r>
      <w:r w:rsidRPr="00D637BA">
        <w:rPr>
          <w:rFonts w:ascii="Calibri" w:hAnsi="Calibri" w:cs="Calibri"/>
          <w:color w:val="000000" w:themeColor="text1"/>
          <w:sz w:val="22"/>
          <w:szCs w:val="22"/>
          <w:shd w:val="clear" w:color="auto" w:fill="FFFFFF"/>
          <w:lang w:eastAsia="en-GB"/>
        </w:rPr>
        <w:t>, Grant D Stewart</w:t>
      </w:r>
      <w:r w:rsidRPr="00D637BA">
        <w:rPr>
          <w:rFonts w:ascii="Calibri" w:hAnsi="Calibri" w:cs="Calibri"/>
          <w:color w:val="000000" w:themeColor="text1"/>
          <w:sz w:val="22"/>
          <w:szCs w:val="22"/>
          <w:shd w:val="clear" w:color="auto" w:fill="FFFFFF"/>
          <w:vertAlign w:val="superscript"/>
          <w:lang w:eastAsia="en-GB"/>
        </w:rPr>
        <w:t>1,3</w:t>
      </w:r>
      <w:r w:rsidR="004743B6" w:rsidRPr="00D637BA">
        <w:rPr>
          <w:rFonts w:ascii="Calibri" w:hAnsi="Calibri" w:cs="Calibri"/>
          <w:color w:val="000000" w:themeColor="text1"/>
          <w:sz w:val="22"/>
          <w:szCs w:val="22"/>
          <w:shd w:val="clear" w:color="auto" w:fill="FFFFFF"/>
          <w:lang w:eastAsia="en-GB"/>
        </w:rPr>
        <w:t xml:space="preserve"> and</w:t>
      </w:r>
      <w:r w:rsidRPr="00D637BA">
        <w:rPr>
          <w:rFonts w:ascii="Calibri" w:hAnsi="Calibri" w:cs="Calibri"/>
          <w:color w:val="000000" w:themeColor="text1"/>
          <w:sz w:val="22"/>
          <w:szCs w:val="22"/>
          <w:shd w:val="clear" w:color="auto" w:fill="FFFFFF"/>
          <w:lang w:eastAsia="en-GB"/>
        </w:rPr>
        <w:t xml:space="preserve"> Christian Frezza</w:t>
      </w:r>
      <w:r w:rsidRPr="00D637BA">
        <w:rPr>
          <w:rFonts w:ascii="Calibri" w:hAnsi="Calibri" w:cs="Calibri"/>
          <w:color w:val="000000" w:themeColor="text1"/>
          <w:sz w:val="22"/>
          <w:szCs w:val="22"/>
          <w:shd w:val="clear" w:color="auto" w:fill="FFFFFF"/>
          <w:vertAlign w:val="superscript"/>
          <w:lang w:eastAsia="en-GB"/>
        </w:rPr>
        <w:t>2</w:t>
      </w:r>
    </w:p>
    <w:p w14:paraId="5BAF7374" w14:textId="77777777" w:rsidR="00F131BF" w:rsidRPr="00D637BA" w:rsidRDefault="00F131BF" w:rsidP="00F131BF">
      <w:pPr>
        <w:spacing w:line="360" w:lineRule="auto"/>
        <w:jc w:val="both"/>
        <w:rPr>
          <w:rFonts w:ascii="Calibri" w:hAnsi="Calibri" w:cs="Calibri"/>
          <w:color w:val="000000" w:themeColor="text1"/>
          <w:sz w:val="11"/>
          <w:szCs w:val="22"/>
          <w:lang w:eastAsia="en-GB"/>
        </w:rPr>
      </w:pPr>
    </w:p>
    <w:p w14:paraId="43AC47F3" w14:textId="598B0FBC" w:rsidR="00F131BF" w:rsidRPr="00D637BA" w:rsidRDefault="00F131BF" w:rsidP="00F131BF">
      <w:pPr>
        <w:spacing w:line="360" w:lineRule="auto"/>
        <w:jc w:val="both"/>
        <w:rPr>
          <w:rFonts w:ascii="Calibri" w:hAnsi="Calibri" w:cs="Calibri"/>
          <w:color w:val="000000" w:themeColor="text1"/>
          <w:sz w:val="18"/>
          <w:szCs w:val="22"/>
        </w:rPr>
      </w:pPr>
      <w:r w:rsidRPr="00D637BA">
        <w:rPr>
          <w:rFonts w:ascii="Calibri" w:hAnsi="Calibri" w:cs="Calibri"/>
          <w:color w:val="000000" w:themeColor="text1"/>
          <w:sz w:val="18"/>
          <w:szCs w:val="22"/>
          <w:vertAlign w:val="superscript"/>
        </w:rPr>
        <w:t>1</w:t>
      </w:r>
      <w:r w:rsidRPr="00D637BA">
        <w:rPr>
          <w:rFonts w:ascii="Calibri" w:hAnsi="Calibri" w:cs="Calibri"/>
          <w:color w:val="000000" w:themeColor="text1"/>
          <w:sz w:val="18"/>
          <w:szCs w:val="22"/>
        </w:rPr>
        <w:t xml:space="preserve">Department of Surgery, University of Cambridge, Cambridge Biomedical Campus, </w:t>
      </w:r>
      <w:r w:rsidR="00E83135" w:rsidRPr="00D637BA">
        <w:rPr>
          <w:rFonts w:ascii="Calibri" w:hAnsi="Calibri" w:cs="Calibri"/>
          <w:color w:val="000000" w:themeColor="text1"/>
          <w:sz w:val="18"/>
          <w:szCs w:val="22"/>
        </w:rPr>
        <w:t xml:space="preserve">CB2 0QQ, </w:t>
      </w:r>
      <w:r w:rsidRPr="00D637BA">
        <w:rPr>
          <w:rFonts w:ascii="Calibri" w:hAnsi="Calibri" w:cs="Calibri"/>
          <w:color w:val="000000" w:themeColor="text1"/>
          <w:sz w:val="18"/>
          <w:szCs w:val="22"/>
        </w:rPr>
        <w:t>UK</w:t>
      </w:r>
    </w:p>
    <w:p w14:paraId="43511842" w14:textId="2B17292F" w:rsidR="00F131BF" w:rsidRPr="00D637BA" w:rsidRDefault="00F131BF" w:rsidP="00F131BF">
      <w:pPr>
        <w:spacing w:line="360" w:lineRule="auto"/>
        <w:jc w:val="both"/>
        <w:rPr>
          <w:rFonts w:ascii="Calibri" w:hAnsi="Calibri" w:cs="Calibri"/>
          <w:color w:val="000000" w:themeColor="text1"/>
          <w:sz w:val="18"/>
          <w:szCs w:val="22"/>
        </w:rPr>
      </w:pPr>
      <w:r w:rsidRPr="00D637BA">
        <w:rPr>
          <w:rFonts w:ascii="Calibri" w:hAnsi="Calibri" w:cs="Calibri"/>
          <w:color w:val="000000" w:themeColor="text1"/>
          <w:sz w:val="18"/>
          <w:szCs w:val="22"/>
          <w:vertAlign w:val="superscript"/>
        </w:rPr>
        <w:t>2</w:t>
      </w:r>
      <w:r w:rsidRPr="00D637BA">
        <w:rPr>
          <w:rFonts w:ascii="Calibri" w:hAnsi="Calibri" w:cs="Calibri"/>
          <w:color w:val="000000" w:themeColor="text1"/>
          <w:sz w:val="18"/>
          <w:szCs w:val="22"/>
        </w:rPr>
        <w:t xml:space="preserve">Medical Research Council Cancer Unit, University of Cambridge, Cambridge Biomedical Campus, </w:t>
      </w:r>
      <w:r w:rsidR="00D42AD6" w:rsidRPr="00D637BA">
        <w:rPr>
          <w:rFonts w:ascii="Calibri" w:hAnsi="Calibri" w:cs="Calibri"/>
          <w:color w:val="000000" w:themeColor="text1"/>
          <w:sz w:val="18"/>
          <w:szCs w:val="22"/>
        </w:rPr>
        <w:t xml:space="preserve">CB2 0XZ, </w:t>
      </w:r>
      <w:r w:rsidRPr="00D637BA">
        <w:rPr>
          <w:rFonts w:ascii="Calibri" w:hAnsi="Calibri" w:cs="Calibri"/>
          <w:color w:val="000000" w:themeColor="text1"/>
          <w:sz w:val="18"/>
          <w:szCs w:val="22"/>
        </w:rPr>
        <w:t>UK</w:t>
      </w:r>
    </w:p>
    <w:p w14:paraId="191C73CC" w14:textId="09CB1CB8" w:rsidR="00F131BF" w:rsidRPr="00D637BA" w:rsidRDefault="00F131BF" w:rsidP="00F131BF">
      <w:pPr>
        <w:spacing w:line="360" w:lineRule="auto"/>
        <w:jc w:val="both"/>
        <w:rPr>
          <w:rFonts w:ascii="Calibri" w:hAnsi="Calibri" w:cs="Calibri"/>
          <w:color w:val="000000" w:themeColor="text1"/>
          <w:sz w:val="18"/>
          <w:szCs w:val="22"/>
        </w:rPr>
      </w:pPr>
      <w:r w:rsidRPr="00D637BA">
        <w:rPr>
          <w:rFonts w:ascii="Calibri" w:hAnsi="Calibri" w:cs="Calibri"/>
          <w:color w:val="000000" w:themeColor="text1"/>
          <w:sz w:val="20"/>
          <w:szCs w:val="22"/>
          <w:vertAlign w:val="superscript"/>
        </w:rPr>
        <w:t>3</w:t>
      </w:r>
      <w:r w:rsidRPr="00D637BA">
        <w:rPr>
          <w:rFonts w:ascii="Calibri" w:hAnsi="Calibri" w:cs="Calibri"/>
          <w:color w:val="000000" w:themeColor="text1"/>
          <w:sz w:val="18"/>
          <w:szCs w:val="22"/>
        </w:rPr>
        <w:t>Cambridge University Hospitals NHS Foundation Trust, Cambridge CB2 0QQ, UK.</w:t>
      </w:r>
    </w:p>
    <w:p w14:paraId="50197D2F" w14:textId="77777777" w:rsidR="00A3064E" w:rsidRPr="00D637BA" w:rsidRDefault="00A3064E" w:rsidP="00F131BF">
      <w:pPr>
        <w:spacing w:line="360" w:lineRule="auto"/>
        <w:jc w:val="both"/>
        <w:rPr>
          <w:rFonts w:ascii="Calibri" w:hAnsi="Calibri" w:cs="Calibri"/>
          <w:color w:val="000000" w:themeColor="text1"/>
          <w:sz w:val="18"/>
          <w:szCs w:val="22"/>
        </w:rPr>
      </w:pPr>
    </w:p>
    <w:p w14:paraId="4BABE1EE" w14:textId="6F5275E9" w:rsidR="00874F0E" w:rsidRPr="00D637BA" w:rsidRDefault="0067555E" w:rsidP="00F131BF">
      <w:pPr>
        <w:spacing w:line="360" w:lineRule="auto"/>
        <w:jc w:val="both"/>
        <w:rPr>
          <w:rFonts w:ascii="Calibri" w:hAnsi="Calibri" w:cs="Calibri"/>
          <w:color w:val="000000" w:themeColor="text1"/>
          <w:sz w:val="20"/>
          <w:szCs w:val="22"/>
          <w:lang w:eastAsia="en-GB"/>
        </w:rPr>
      </w:pPr>
      <w:r w:rsidRPr="00D637BA">
        <w:rPr>
          <w:rFonts w:ascii="Calibri" w:hAnsi="Calibri" w:cs="Calibri"/>
          <w:b/>
          <w:color w:val="000000" w:themeColor="text1"/>
          <w:sz w:val="20"/>
          <w:szCs w:val="22"/>
          <w:lang w:eastAsia="en-GB"/>
        </w:rPr>
        <w:t>Correspondence</w:t>
      </w:r>
      <w:r w:rsidR="00A3064E" w:rsidRPr="00D637BA">
        <w:rPr>
          <w:rFonts w:ascii="Calibri" w:hAnsi="Calibri" w:cs="Calibri"/>
          <w:b/>
          <w:color w:val="000000" w:themeColor="text1"/>
          <w:sz w:val="20"/>
          <w:szCs w:val="22"/>
          <w:lang w:eastAsia="en-GB"/>
        </w:rPr>
        <w:t xml:space="preserve">: </w:t>
      </w:r>
      <w:r w:rsidRPr="00D637BA">
        <w:rPr>
          <w:rFonts w:ascii="Calibri" w:hAnsi="Calibri" w:cs="Calibri"/>
          <w:color w:val="000000" w:themeColor="text1"/>
          <w:sz w:val="20"/>
          <w:szCs w:val="22"/>
          <w:lang w:eastAsia="en-GB"/>
        </w:rPr>
        <w:t xml:space="preserve">Christian Frezza: </w:t>
      </w:r>
      <w:hyperlink r:id="rId8" w:history="1">
        <w:r w:rsidRPr="00D637BA">
          <w:rPr>
            <w:rStyle w:val="Hyperlink"/>
            <w:rFonts w:ascii="Calibri" w:hAnsi="Calibri" w:cs="Calibri"/>
            <w:sz w:val="20"/>
            <w:szCs w:val="22"/>
            <w:lang w:eastAsia="en-GB"/>
          </w:rPr>
          <w:t>cf366@mrc-cu.cam.ac.uk</w:t>
        </w:r>
      </w:hyperlink>
      <w:r w:rsidRPr="00D637BA">
        <w:rPr>
          <w:rFonts w:ascii="Calibri" w:hAnsi="Calibri" w:cs="Calibri"/>
          <w:color w:val="000000" w:themeColor="text1"/>
          <w:sz w:val="20"/>
          <w:szCs w:val="22"/>
          <w:lang w:eastAsia="en-GB"/>
        </w:rPr>
        <w:t xml:space="preserve">; Grant </w:t>
      </w:r>
      <w:r w:rsidR="00E83135" w:rsidRPr="00D637BA">
        <w:rPr>
          <w:rFonts w:ascii="Calibri" w:hAnsi="Calibri" w:cs="Calibri"/>
          <w:color w:val="000000" w:themeColor="text1"/>
          <w:sz w:val="20"/>
          <w:szCs w:val="22"/>
          <w:lang w:eastAsia="en-GB"/>
        </w:rPr>
        <w:t xml:space="preserve">D </w:t>
      </w:r>
      <w:r w:rsidRPr="00D637BA">
        <w:rPr>
          <w:rFonts w:ascii="Calibri" w:hAnsi="Calibri" w:cs="Calibri"/>
          <w:color w:val="000000" w:themeColor="text1"/>
          <w:sz w:val="20"/>
          <w:szCs w:val="22"/>
          <w:lang w:eastAsia="en-GB"/>
        </w:rPr>
        <w:t>Stewart</w:t>
      </w:r>
      <w:r w:rsidR="00F771D3" w:rsidRPr="00D637BA">
        <w:rPr>
          <w:rFonts w:ascii="Calibri" w:hAnsi="Calibri" w:cs="Calibri"/>
          <w:color w:val="000000" w:themeColor="text1"/>
          <w:sz w:val="20"/>
          <w:szCs w:val="22"/>
          <w:lang w:eastAsia="en-GB"/>
        </w:rPr>
        <w:t xml:space="preserve">: </w:t>
      </w:r>
      <w:hyperlink r:id="rId9" w:history="1">
        <w:r w:rsidR="00874F0E" w:rsidRPr="00D637BA">
          <w:rPr>
            <w:rStyle w:val="Hyperlink"/>
            <w:rFonts w:ascii="Calibri" w:hAnsi="Calibri" w:cs="Calibri"/>
            <w:sz w:val="20"/>
            <w:szCs w:val="22"/>
            <w:lang w:eastAsia="en-GB"/>
          </w:rPr>
          <w:t>gds35@cam.ac.uk</w:t>
        </w:r>
      </w:hyperlink>
    </w:p>
    <w:p w14:paraId="5C0EAB59" w14:textId="77777777" w:rsidR="00CC2B84" w:rsidRPr="00D637BA" w:rsidRDefault="00CC2B84" w:rsidP="00F131BF">
      <w:pPr>
        <w:spacing w:line="360" w:lineRule="auto"/>
        <w:jc w:val="both"/>
        <w:rPr>
          <w:rFonts w:ascii="Calibri" w:hAnsi="Calibri" w:cs="Calibri"/>
          <w:b/>
          <w:color w:val="000000" w:themeColor="text1"/>
          <w:sz w:val="22"/>
          <w:szCs w:val="22"/>
          <w:lang w:eastAsia="en-GB"/>
        </w:rPr>
      </w:pPr>
    </w:p>
    <w:p w14:paraId="662A4636" w14:textId="21C5F559" w:rsidR="00E30FB6" w:rsidRDefault="00F131BF" w:rsidP="00F131BF">
      <w:pPr>
        <w:spacing w:line="360" w:lineRule="auto"/>
        <w:jc w:val="both"/>
        <w:rPr>
          <w:rFonts w:ascii="Calibri" w:hAnsi="Calibri" w:cs="Calibri"/>
          <w:color w:val="000000" w:themeColor="text1"/>
          <w:sz w:val="22"/>
          <w:szCs w:val="22"/>
          <w:lang w:eastAsia="en-GB"/>
        </w:rPr>
      </w:pPr>
      <w:r w:rsidRPr="00D637BA">
        <w:rPr>
          <w:rFonts w:ascii="Calibri" w:hAnsi="Calibri" w:cs="Calibri"/>
          <w:b/>
          <w:color w:val="000000" w:themeColor="text1"/>
          <w:sz w:val="22"/>
          <w:szCs w:val="22"/>
          <w:lang w:eastAsia="en-GB"/>
        </w:rPr>
        <w:t>Abstract</w:t>
      </w:r>
      <w:r w:rsidR="00096913" w:rsidRPr="00D637BA">
        <w:rPr>
          <w:rFonts w:ascii="Calibri" w:hAnsi="Calibri" w:cs="Calibri"/>
          <w:b/>
          <w:color w:val="000000" w:themeColor="text1"/>
          <w:sz w:val="22"/>
          <w:szCs w:val="22"/>
          <w:lang w:eastAsia="en-GB"/>
        </w:rPr>
        <w:t xml:space="preserve"> | </w:t>
      </w:r>
      <w:r w:rsidRPr="00D637BA">
        <w:rPr>
          <w:rFonts w:ascii="Calibri" w:hAnsi="Calibri" w:cs="Calibri"/>
          <w:color w:val="000000" w:themeColor="text1"/>
          <w:sz w:val="22"/>
          <w:szCs w:val="22"/>
          <w:lang w:eastAsia="en-GB"/>
        </w:rPr>
        <w:t xml:space="preserve">The study of cancer metabolism has evolved </w:t>
      </w:r>
      <w:r w:rsidR="00E83135" w:rsidRPr="00D637BA">
        <w:rPr>
          <w:rFonts w:ascii="Calibri" w:hAnsi="Calibri" w:cs="Calibri"/>
          <w:color w:val="000000" w:themeColor="text1"/>
          <w:sz w:val="22"/>
          <w:szCs w:val="22"/>
          <w:lang w:eastAsia="en-GB"/>
        </w:rPr>
        <w:t xml:space="preserve">vastly </w:t>
      </w:r>
      <w:r w:rsidRPr="00D637BA">
        <w:rPr>
          <w:rFonts w:ascii="Calibri" w:hAnsi="Calibri" w:cs="Calibri"/>
          <w:color w:val="000000" w:themeColor="text1"/>
          <w:sz w:val="22"/>
          <w:szCs w:val="22"/>
          <w:lang w:eastAsia="en-GB"/>
        </w:rPr>
        <w:t xml:space="preserve">beyond the remit of tumour proliferation and survival with </w:t>
      </w:r>
      <w:r w:rsidR="006D6682" w:rsidRPr="00D637BA">
        <w:rPr>
          <w:rFonts w:ascii="Calibri" w:hAnsi="Calibri" w:cs="Calibri"/>
          <w:color w:val="000000" w:themeColor="text1"/>
          <w:sz w:val="22"/>
          <w:szCs w:val="22"/>
          <w:lang w:eastAsia="en-GB"/>
        </w:rPr>
        <w:t>the identification</w:t>
      </w:r>
      <w:r w:rsidRPr="00D637BA">
        <w:rPr>
          <w:rFonts w:ascii="Calibri" w:hAnsi="Calibri" w:cs="Calibri"/>
          <w:color w:val="000000" w:themeColor="text1"/>
          <w:sz w:val="22"/>
          <w:szCs w:val="22"/>
          <w:lang w:eastAsia="en-GB"/>
        </w:rPr>
        <w:t xml:space="preserve"> of the role of ‘oncometabolites’ in tumorigenesis. Simply defined, oncometabolites are conventional metabolites that when aberrantly accumulated have pro-oncogenic functions. Their discovery has led </w:t>
      </w:r>
      <w:r w:rsidR="00B865B0" w:rsidRPr="00D637BA">
        <w:rPr>
          <w:rFonts w:ascii="Calibri" w:hAnsi="Calibri" w:cs="Calibri"/>
          <w:color w:val="000000" w:themeColor="text1"/>
          <w:sz w:val="22"/>
          <w:szCs w:val="22"/>
          <w:lang w:eastAsia="en-GB"/>
        </w:rPr>
        <w:t xml:space="preserve">researchers </w:t>
      </w:r>
      <w:r w:rsidRPr="00D637BA">
        <w:rPr>
          <w:rFonts w:ascii="Calibri" w:hAnsi="Calibri" w:cs="Calibri"/>
          <w:color w:val="000000" w:themeColor="text1"/>
          <w:sz w:val="22"/>
          <w:szCs w:val="22"/>
          <w:lang w:eastAsia="en-GB"/>
        </w:rPr>
        <w:t xml:space="preserve">to revisit the Warburg hypothesis, first postulated in the 1950s, of aberrant metabolism as an aetiological determinant of cancer. As such, the identification of oncometabolites </w:t>
      </w:r>
      <w:r w:rsidR="0034052F">
        <w:rPr>
          <w:rFonts w:ascii="Calibri" w:hAnsi="Calibri" w:cs="Calibri"/>
          <w:color w:val="000000" w:themeColor="text1"/>
          <w:sz w:val="22"/>
          <w:szCs w:val="22"/>
          <w:lang w:eastAsia="en-GB"/>
        </w:rPr>
        <w:t xml:space="preserve">and their </w:t>
      </w:r>
      <w:r w:rsidRPr="00D637BA">
        <w:rPr>
          <w:rFonts w:ascii="Calibri" w:hAnsi="Calibri" w:cs="Calibri"/>
          <w:color w:val="000000" w:themeColor="text1"/>
          <w:sz w:val="22"/>
          <w:szCs w:val="22"/>
          <w:lang w:eastAsia="en-GB"/>
        </w:rPr>
        <w:t>utilisation in diagnostics</w:t>
      </w:r>
      <w:r w:rsidR="006C13E1" w:rsidRPr="00D637BA">
        <w:rPr>
          <w:rFonts w:ascii="Calibri" w:hAnsi="Calibri" w:cs="Calibri"/>
          <w:color w:val="000000" w:themeColor="text1"/>
          <w:sz w:val="22"/>
          <w:szCs w:val="22"/>
          <w:lang w:eastAsia="en-GB"/>
        </w:rPr>
        <w:t xml:space="preserve"> and</w:t>
      </w:r>
      <w:r w:rsidRPr="00D637BA">
        <w:rPr>
          <w:rFonts w:ascii="Calibri" w:hAnsi="Calibri" w:cs="Calibri"/>
          <w:color w:val="000000" w:themeColor="text1"/>
          <w:sz w:val="22"/>
          <w:szCs w:val="22"/>
          <w:lang w:eastAsia="en-GB"/>
        </w:rPr>
        <w:t xml:space="preserve"> prognostics, </w:t>
      </w:r>
      <w:r w:rsidR="006C13E1" w:rsidRPr="00D637BA">
        <w:rPr>
          <w:rFonts w:ascii="Calibri" w:hAnsi="Calibri" w:cs="Calibri"/>
          <w:color w:val="000000" w:themeColor="text1"/>
          <w:sz w:val="22"/>
          <w:szCs w:val="22"/>
          <w:lang w:eastAsia="en-GB"/>
        </w:rPr>
        <w:t xml:space="preserve">as </w:t>
      </w:r>
      <w:r w:rsidRPr="00D637BA">
        <w:rPr>
          <w:rFonts w:ascii="Calibri" w:hAnsi="Calibri" w:cs="Calibri"/>
          <w:color w:val="000000" w:themeColor="text1"/>
          <w:sz w:val="22"/>
          <w:szCs w:val="22"/>
          <w:lang w:eastAsia="en-GB"/>
        </w:rPr>
        <w:t>novel therapeutic targets and as biomarkers of disease</w:t>
      </w:r>
      <w:r w:rsidR="00F73F9B" w:rsidRPr="00D637BA">
        <w:rPr>
          <w:rFonts w:ascii="Calibri" w:hAnsi="Calibri" w:cs="Calibri"/>
          <w:color w:val="000000" w:themeColor="text1"/>
          <w:sz w:val="22"/>
          <w:szCs w:val="22"/>
          <w:lang w:eastAsia="en-GB"/>
        </w:rPr>
        <w:t>,</w:t>
      </w:r>
      <w:r w:rsidRPr="00D637BA">
        <w:rPr>
          <w:rFonts w:ascii="Calibri" w:hAnsi="Calibri" w:cs="Calibri"/>
          <w:color w:val="000000" w:themeColor="text1"/>
          <w:sz w:val="22"/>
          <w:szCs w:val="22"/>
          <w:lang w:eastAsia="en-GB"/>
        </w:rPr>
        <w:t xml:space="preserve"> </w:t>
      </w:r>
      <w:r w:rsidR="0034052F">
        <w:rPr>
          <w:rFonts w:ascii="Calibri" w:hAnsi="Calibri" w:cs="Calibri"/>
          <w:color w:val="000000" w:themeColor="text1"/>
          <w:sz w:val="22"/>
          <w:szCs w:val="22"/>
          <w:lang w:eastAsia="en-GB"/>
        </w:rPr>
        <w:t>is an area of considerable interest</w:t>
      </w:r>
      <w:r w:rsidRPr="00D637BA">
        <w:rPr>
          <w:rFonts w:ascii="Calibri" w:hAnsi="Calibri" w:cs="Calibri"/>
          <w:color w:val="000000" w:themeColor="text1"/>
          <w:sz w:val="22"/>
          <w:szCs w:val="22"/>
          <w:lang w:eastAsia="en-GB"/>
        </w:rPr>
        <w:t xml:space="preserve"> in oncology. </w:t>
      </w:r>
      <w:r w:rsidR="00F73F9B" w:rsidRPr="00D637BA">
        <w:rPr>
          <w:rFonts w:ascii="Calibri" w:hAnsi="Calibri" w:cs="Calibri"/>
          <w:color w:val="000000" w:themeColor="text1"/>
          <w:sz w:val="22"/>
          <w:szCs w:val="22"/>
          <w:lang w:eastAsia="en-GB"/>
        </w:rPr>
        <w:t>To date, fumarate, succinate</w:t>
      </w:r>
      <w:r w:rsidR="000D286B">
        <w:rPr>
          <w:rFonts w:ascii="Calibri" w:hAnsi="Calibri" w:cs="Calibri"/>
          <w:color w:val="000000" w:themeColor="text1"/>
          <w:sz w:val="22"/>
          <w:szCs w:val="22"/>
          <w:lang w:eastAsia="en-GB"/>
        </w:rPr>
        <w:t>,</w:t>
      </w:r>
      <w:r w:rsidR="00F73F9B" w:rsidRPr="00D637BA">
        <w:rPr>
          <w:rFonts w:ascii="Calibri" w:hAnsi="Calibri" w:cs="Calibri"/>
          <w:color w:val="000000" w:themeColor="text1"/>
          <w:sz w:val="22"/>
          <w:szCs w:val="22"/>
          <w:lang w:eastAsia="en-GB"/>
        </w:rPr>
        <w:t xml:space="preserve"> </w:t>
      </w:r>
      <w:r w:rsidR="000D286B">
        <w:rPr>
          <w:rFonts w:ascii="Calibri" w:hAnsi="Calibri" w:cs="Calibri"/>
          <w:color w:val="000000" w:themeColor="text1"/>
          <w:sz w:val="22"/>
          <w:szCs w:val="22"/>
          <w:lang w:eastAsia="en-GB"/>
        </w:rPr>
        <w:t>L-</w:t>
      </w:r>
      <w:r w:rsidR="00F73F9B" w:rsidRPr="00D637BA">
        <w:rPr>
          <w:rFonts w:ascii="Calibri" w:hAnsi="Calibri" w:cs="Calibri"/>
          <w:color w:val="000000" w:themeColor="text1"/>
          <w:sz w:val="22"/>
          <w:szCs w:val="22"/>
          <w:lang w:eastAsia="en-GB"/>
        </w:rPr>
        <w:t>2-hydroxyglutarate</w:t>
      </w:r>
      <w:r w:rsidR="00F2649A">
        <w:rPr>
          <w:rFonts w:ascii="Calibri" w:hAnsi="Calibri" w:cs="Calibri"/>
          <w:color w:val="000000" w:themeColor="text1"/>
          <w:sz w:val="22"/>
          <w:szCs w:val="22"/>
          <w:lang w:eastAsia="en-GB"/>
        </w:rPr>
        <w:t xml:space="preserve"> (L2HG)</w:t>
      </w:r>
      <w:r w:rsidR="000D286B">
        <w:rPr>
          <w:rFonts w:ascii="Calibri" w:hAnsi="Calibri" w:cs="Calibri"/>
          <w:color w:val="000000" w:themeColor="text1"/>
          <w:sz w:val="22"/>
          <w:szCs w:val="22"/>
          <w:lang w:eastAsia="en-GB"/>
        </w:rPr>
        <w:t>, and D-2-hydroxyglutarate</w:t>
      </w:r>
      <w:r w:rsidR="00A86F68">
        <w:rPr>
          <w:rFonts w:ascii="Calibri" w:hAnsi="Calibri" w:cs="Calibri"/>
          <w:color w:val="000000" w:themeColor="text1"/>
          <w:sz w:val="22"/>
          <w:szCs w:val="22"/>
          <w:lang w:eastAsia="en-GB"/>
        </w:rPr>
        <w:t xml:space="preserve"> (D2HG</w:t>
      </w:r>
      <w:r w:rsidR="00E37025">
        <w:rPr>
          <w:rFonts w:ascii="Calibri" w:hAnsi="Calibri" w:cs="Calibri"/>
          <w:color w:val="000000" w:themeColor="text1"/>
          <w:sz w:val="22"/>
          <w:szCs w:val="22"/>
          <w:lang w:eastAsia="en-GB"/>
        </w:rPr>
        <w:t xml:space="preserve">) </w:t>
      </w:r>
      <w:r w:rsidR="00F73F9B" w:rsidRPr="00D637BA">
        <w:rPr>
          <w:rFonts w:ascii="Calibri" w:hAnsi="Calibri" w:cs="Calibri"/>
          <w:color w:val="000000" w:themeColor="text1"/>
          <w:sz w:val="22"/>
          <w:szCs w:val="22"/>
          <w:lang w:eastAsia="en-GB"/>
        </w:rPr>
        <w:t xml:space="preserve">have been characterised as </w:t>
      </w:r>
      <w:r w:rsidR="00F73F9B" w:rsidRPr="00D637BA">
        <w:rPr>
          <w:rFonts w:ascii="Calibri" w:hAnsi="Calibri" w:cs="Calibri"/>
          <w:i/>
          <w:color w:val="000000" w:themeColor="text1"/>
          <w:sz w:val="22"/>
          <w:szCs w:val="22"/>
          <w:lang w:eastAsia="en-GB"/>
        </w:rPr>
        <w:t xml:space="preserve">bona fide </w:t>
      </w:r>
      <w:r w:rsidR="00F73F9B" w:rsidRPr="00D637BA">
        <w:rPr>
          <w:rFonts w:ascii="Calibri" w:hAnsi="Calibri" w:cs="Calibri"/>
          <w:color w:val="000000" w:themeColor="text1"/>
          <w:sz w:val="22"/>
          <w:szCs w:val="22"/>
          <w:lang w:eastAsia="en-GB"/>
        </w:rPr>
        <w:t xml:space="preserve">oncometabolites. </w:t>
      </w:r>
      <w:r w:rsidR="00B865B0" w:rsidRPr="00B946E4">
        <w:rPr>
          <w:rFonts w:ascii="Calibri" w:hAnsi="Calibri" w:cs="Calibri"/>
          <w:color w:val="000000" w:themeColor="text1"/>
          <w:sz w:val="22"/>
          <w:szCs w:val="22"/>
          <w:lang w:eastAsia="en-GB"/>
        </w:rPr>
        <w:t>Extensive metabolic reprogramming occurs during tumour initiation and progression in r</w:t>
      </w:r>
      <w:r w:rsidRPr="00D637BA">
        <w:rPr>
          <w:rFonts w:ascii="Calibri" w:hAnsi="Calibri" w:cs="Calibri"/>
          <w:color w:val="000000" w:themeColor="text1"/>
          <w:sz w:val="22"/>
          <w:szCs w:val="22"/>
          <w:lang w:eastAsia="en-GB"/>
        </w:rPr>
        <w:t xml:space="preserve">enal cell carcinoma (RCC) </w:t>
      </w:r>
      <w:r w:rsidR="00B865B0" w:rsidRPr="00B946E4">
        <w:rPr>
          <w:rFonts w:ascii="Calibri" w:hAnsi="Calibri" w:cs="Calibri"/>
          <w:color w:val="000000" w:themeColor="text1"/>
          <w:sz w:val="22"/>
          <w:szCs w:val="22"/>
          <w:lang w:eastAsia="en-GB"/>
        </w:rPr>
        <w:t>and three</w:t>
      </w:r>
      <w:r w:rsidR="00A86F68">
        <w:rPr>
          <w:rFonts w:ascii="Calibri" w:hAnsi="Calibri" w:cs="Calibri"/>
          <w:color w:val="000000" w:themeColor="text1"/>
          <w:sz w:val="22"/>
          <w:szCs w:val="22"/>
          <w:lang w:eastAsia="en-GB"/>
        </w:rPr>
        <w:t xml:space="preserve"> of these</w:t>
      </w:r>
      <w:r w:rsidR="00B865B0" w:rsidRPr="00B946E4">
        <w:rPr>
          <w:rFonts w:ascii="Calibri" w:hAnsi="Calibri" w:cs="Calibri"/>
          <w:color w:val="000000" w:themeColor="text1"/>
          <w:sz w:val="22"/>
          <w:szCs w:val="22"/>
          <w:lang w:eastAsia="en-GB"/>
        </w:rPr>
        <w:t xml:space="preserve"> oncometabolites</w:t>
      </w:r>
      <w:r w:rsidR="00A86F68">
        <w:rPr>
          <w:rFonts w:ascii="Calibri" w:hAnsi="Calibri" w:cs="Calibri"/>
          <w:color w:val="000000" w:themeColor="text1"/>
          <w:sz w:val="22"/>
          <w:szCs w:val="22"/>
          <w:lang w:eastAsia="en-GB"/>
        </w:rPr>
        <w:t>, fumarate, succinate</w:t>
      </w:r>
      <w:r w:rsidR="00056EB1">
        <w:rPr>
          <w:rFonts w:ascii="Calibri" w:hAnsi="Calibri" w:cs="Calibri"/>
          <w:color w:val="000000" w:themeColor="text1"/>
          <w:sz w:val="22"/>
          <w:szCs w:val="22"/>
          <w:lang w:eastAsia="en-GB"/>
        </w:rPr>
        <w:t>,</w:t>
      </w:r>
      <w:r w:rsidR="00A86F68">
        <w:rPr>
          <w:rFonts w:ascii="Calibri" w:hAnsi="Calibri" w:cs="Calibri"/>
          <w:color w:val="000000" w:themeColor="text1"/>
          <w:sz w:val="22"/>
          <w:szCs w:val="22"/>
          <w:lang w:eastAsia="en-GB"/>
        </w:rPr>
        <w:t xml:space="preserve"> and L2HG</w:t>
      </w:r>
      <w:r w:rsidR="00096913" w:rsidRPr="00D637BA">
        <w:rPr>
          <w:rFonts w:ascii="Calibri" w:hAnsi="Calibri" w:cs="Calibri"/>
          <w:color w:val="000000" w:themeColor="text1"/>
          <w:sz w:val="22"/>
          <w:szCs w:val="22"/>
          <w:lang w:eastAsia="en-GB"/>
        </w:rPr>
        <w:t xml:space="preserve"> </w:t>
      </w:r>
      <w:r w:rsidR="00B865B0" w:rsidRPr="00B946E4">
        <w:rPr>
          <w:rFonts w:ascii="Calibri" w:hAnsi="Calibri" w:cs="Calibri"/>
          <w:color w:val="000000" w:themeColor="text1"/>
          <w:sz w:val="22"/>
          <w:szCs w:val="22"/>
          <w:lang w:eastAsia="en-GB"/>
        </w:rPr>
        <w:t>have been implicated in this disease</w:t>
      </w:r>
      <w:r w:rsidR="00A86F68">
        <w:rPr>
          <w:rFonts w:ascii="Calibri" w:hAnsi="Calibri" w:cs="Calibri"/>
          <w:color w:val="000000" w:themeColor="text1"/>
          <w:sz w:val="22"/>
          <w:szCs w:val="22"/>
          <w:lang w:eastAsia="en-GB"/>
        </w:rPr>
        <w:t xml:space="preserve"> process</w:t>
      </w:r>
      <w:r w:rsidR="00B865B0" w:rsidRPr="00B946E4">
        <w:rPr>
          <w:rFonts w:ascii="Calibri" w:hAnsi="Calibri" w:cs="Calibri"/>
          <w:color w:val="000000" w:themeColor="text1"/>
          <w:sz w:val="22"/>
          <w:szCs w:val="22"/>
          <w:lang w:eastAsia="en-GB"/>
        </w:rPr>
        <w:t xml:space="preserve">. </w:t>
      </w:r>
      <w:r w:rsidR="00FA5EEB">
        <w:rPr>
          <w:rFonts w:ascii="Calibri" w:hAnsi="Calibri" w:cs="Calibri"/>
          <w:color w:val="000000" w:themeColor="text1"/>
          <w:sz w:val="22"/>
          <w:szCs w:val="22"/>
          <w:lang w:eastAsia="en-GB"/>
        </w:rPr>
        <w:t xml:space="preserve">Collectively, these oncometabolites inhibit a superfamily of enzymes known as </w:t>
      </w:r>
      <w:r w:rsidR="00FA5EEB" w:rsidRPr="00D637BA">
        <w:rPr>
          <w:rFonts w:ascii="Calibri" w:hAnsi="Calibri" w:cs="Calibri"/>
          <w:color w:val="000000" w:themeColor="text1"/>
          <w:sz w:val="22"/>
          <w:szCs w:val="22"/>
        </w:rPr>
        <w:t xml:space="preserve">αKG-dependent </w:t>
      </w:r>
      <w:r w:rsidR="00FA5EEB" w:rsidRPr="00D2544D">
        <w:rPr>
          <w:rFonts w:ascii="Calibri" w:hAnsi="Calibri" w:cs="Calibri"/>
          <w:color w:val="000000" w:themeColor="text1"/>
          <w:sz w:val="22"/>
          <w:szCs w:val="22"/>
        </w:rPr>
        <w:t xml:space="preserve">dioxygenases, leading to </w:t>
      </w:r>
      <w:r w:rsidR="00FA5EEB" w:rsidRPr="00D2544D">
        <w:rPr>
          <w:rFonts w:ascii="Calibri" w:hAnsi="Calibri" w:cs="Calibri"/>
          <w:color w:val="000000" w:themeColor="text1"/>
          <w:sz w:val="22"/>
          <w:szCs w:val="22"/>
          <w:lang w:eastAsia="en-GB"/>
        </w:rPr>
        <w:t xml:space="preserve">epigenetic dysregulation and induction of pseudohypoxic </w:t>
      </w:r>
      <w:r w:rsidR="00FA5EEB">
        <w:rPr>
          <w:rFonts w:ascii="Calibri" w:hAnsi="Calibri" w:cs="Calibri"/>
          <w:color w:val="000000" w:themeColor="text1"/>
          <w:sz w:val="22"/>
          <w:szCs w:val="22"/>
          <w:lang w:eastAsia="en-GB"/>
        </w:rPr>
        <w:t>phenotypes a</w:t>
      </w:r>
      <w:r w:rsidR="00FA5EEB" w:rsidRPr="00D2544D">
        <w:rPr>
          <w:rFonts w:ascii="Calibri" w:hAnsi="Calibri" w:cs="Calibri"/>
          <w:color w:val="000000" w:themeColor="text1"/>
          <w:sz w:val="22"/>
          <w:szCs w:val="22"/>
          <w:lang w:eastAsia="en-GB"/>
        </w:rPr>
        <w:t>longside</w:t>
      </w:r>
      <w:r w:rsidR="00FA5EEB">
        <w:rPr>
          <w:rFonts w:ascii="Calibri" w:hAnsi="Calibri" w:cs="Calibri"/>
          <w:color w:val="000000" w:themeColor="text1"/>
          <w:sz w:val="22"/>
          <w:szCs w:val="22"/>
          <w:lang w:eastAsia="en-GB"/>
        </w:rPr>
        <w:t xml:space="preserve"> other</w:t>
      </w:r>
      <w:r w:rsidR="00FA5EEB" w:rsidRPr="00D2544D">
        <w:rPr>
          <w:rFonts w:ascii="Calibri" w:hAnsi="Calibri" w:cs="Calibri"/>
          <w:color w:val="000000" w:themeColor="text1"/>
          <w:sz w:val="22"/>
          <w:szCs w:val="22"/>
          <w:lang w:eastAsia="en-GB"/>
        </w:rPr>
        <w:t xml:space="preserve"> </w:t>
      </w:r>
      <w:r w:rsidR="00FA5EEB">
        <w:rPr>
          <w:rFonts w:ascii="Calibri" w:hAnsi="Calibri" w:cs="Calibri"/>
          <w:color w:val="000000" w:themeColor="text1"/>
          <w:sz w:val="22"/>
          <w:szCs w:val="22"/>
          <w:lang w:eastAsia="en-GB"/>
        </w:rPr>
        <w:t>specific</w:t>
      </w:r>
      <w:r w:rsidR="00FA5EEB" w:rsidRPr="00D2544D">
        <w:rPr>
          <w:rFonts w:ascii="Calibri" w:hAnsi="Calibri" w:cs="Calibri"/>
          <w:color w:val="000000" w:themeColor="text1"/>
          <w:sz w:val="22"/>
          <w:szCs w:val="22"/>
          <w:lang w:eastAsia="en-GB"/>
        </w:rPr>
        <w:t xml:space="preserve"> pro-oncogenic </w:t>
      </w:r>
      <w:r w:rsidR="00FA5EEB">
        <w:rPr>
          <w:rFonts w:ascii="Calibri" w:hAnsi="Calibri" w:cs="Calibri"/>
          <w:color w:val="000000" w:themeColor="text1"/>
          <w:sz w:val="22"/>
          <w:szCs w:val="22"/>
          <w:lang w:eastAsia="en-GB"/>
        </w:rPr>
        <w:t>capabilities</w:t>
      </w:r>
      <w:r w:rsidR="00FA5EEB" w:rsidRPr="00D2544D">
        <w:rPr>
          <w:rFonts w:ascii="Calibri" w:hAnsi="Calibri" w:cs="Calibri"/>
          <w:color w:val="000000" w:themeColor="text1"/>
          <w:sz w:val="22"/>
          <w:szCs w:val="22"/>
          <w:lang w:eastAsia="en-GB"/>
        </w:rPr>
        <w:t xml:space="preserve">. By capitalising on this knowledge, oncometabolites </w:t>
      </w:r>
      <w:r w:rsidR="00FA5EEB">
        <w:rPr>
          <w:rFonts w:ascii="Calibri" w:hAnsi="Calibri" w:cs="Calibri"/>
          <w:color w:val="000000" w:themeColor="text1"/>
          <w:sz w:val="22"/>
          <w:szCs w:val="22"/>
          <w:lang w:eastAsia="en-GB"/>
        </w:rPr>
        <w:t>can be</w:t>
      </w:r>
      <w:r w:rsidR="00FA5EEB" w:rsidRPr="00D2544D">
        <w:rPr>
          <w:rFonts w:ascii="Calibri" w:hAnsi="Calibri" w:cs="Calibri"/>
          <w:color w:val="000000" w:themeColor="text1"/>
          <w:sz w:val="22"/>
          <w:szCs w:val="22"/>
          <w:lang w:eastAsia="en-GB"/>
        </w:rPr>
        <w:t xml:space="preserve"> exploited for their potential </w:t>
      </w:r>
      <w:r w:rsidR="00FA5EEB">
        <w:rPr>
          <w:rFonts w:ascii="Calibri" w:hAnsi="Calibri" w:cs="Calibri"/>
          <w:color w:val="000000" w:themeColor="text1"/>
          <w:sz w:val="22"/>
          <w:szCs w:val="22"/>
          <w:lang w:eastAsia="en-GB"/>
        </w:rPr>
        <w:t xml:space="preserve">use </w:t>
      </w:r>
      <w:r w:rsidR="00FA5EEB" w:rsidRPr="00D2544D">
        <w:rPr>
          <w:rFonts w:ascii="Calibri" w:hAnsi="Calibri" w:cs="Calibri"/>
          <w:color w:val="000000" w:themeColor="text1"/>
          <w:sz w:val="22"/>
          <w:szCs w:val="22"/>
          <w:lang w:eastAsia="en-GB"/>
        </w:rPr>
        <w:t>in multiple clinical a</w:t>
      </w:r>
      <w:r w:rsidR="00FA5EEB">
        <w:rPr>
          <w:rFonts w:ascii="Calibri" w:hAnsi="Calibri" w:cs="Calibri"/>
          <w:color w:val="000000" w:themeColor="text1"/>
          <w:sz w:val="22"/>
          <w:szCs w:val="22"/>
          <w:lang w:eastAsia="en-GB"/>
        </w:rPr>
        <w:t xml:space="preserve">pplications </w:t>
      </w:r>
      <w:r w:rsidR="00FA5EEB" w:rsidRPr="00D2544D">
        <w:rPr>
          <w:rFonts w:ascii="Calibri" w:hAnsi="Calibri" w:cs="Calibri"/>
          <w:color w:val="000000" w:themeColor="text1"/>
          <w:sz w:val="22"/>
          <w:szCs w:val="22"/>
          <w:lang w:eastAsia="en-GB"/>
        </w:rPr>
        <w:t xml:space="preserve">such as in the development of novel targeted therapies and as biomarkers </w:t>
      </w:r>
      <w:r w:rsidR="00FA5EEB">
        <w:rPr>
          <w:rFonts w:ascii="Calibri" w:hAnsi="Calibri" w:cs="Calibri"/>
          <w:color w:val="000000" w:themeColor="text1"/>
          <w:sz w:val="22"/>
          <w:szCs w:val="22"/>
          <w:lang w:eastAsia="en-GB"/>
        </w:rPr>
        <w:t>of disease</w:t>
      </w:r>
      <w:r w:rsidR="00FA5EEB" w:rsidRPr="00D2544D">
        <w:rPr>
          <w:rFonts w:ascii="Calibri" w:hAnsi="Calibri" w:cs="Calibri"/>
          <w:color w:val="000000" w:themeColor="text1"/>
          <w:sz w:val="22"/>
          <w:szCs w:val="22"/>
          <w:lang w:eastAsia="en-GB"/>
        </w:rPr>
        <w:t>.</w:t>
      </w:r>
    </w:p>
    <w:p w14:paraId="3D4A0E09" w14:textId="77777777" w:rsidR="00D710EF" w:rsidRPr="00D637BA" w:rsidRDefault="00D710EF" w:rsidP="00F131BF">
      <w:pPr>
        <w:shd w:val="clear" w:color="auto" w:fill="FFFFFF"/>
        <w:spacing w:line="360" w:lineRule="auto"/>
        <w:rPr>
          <w:rFonts w:ascii="Calibri" w:hAnsi="Calibri" w:cs="Calibri"/>
          <w:b/>
          <w:color w:val="000000" w:themeColor="text1"/>
          <w:sz w:val="22"/>
          <w:szCs w:val="22"/>
        </w:rPr>
      </w:pPr>
    </w:p>
    <w:p w14:paraId="0C51B5E5" w14:textId="6E761FDF" w:rsidR="00F131BF" w:rsidRPr="00D637BA" w:rsidRDefault="007B3984" w:rsidP="00F131BF">
      <w:pPr>
        <w:shd w:val="clear" w:color="auto" w:fill="FFFFFF"/>
        <w:spacing w:line="360" w:lineRule="auto"/>
        <w:rPr>
          <w:rFonts w:ascii="Calibri" w:hAnsi="Calibri" w:cs="Calibri"/>
          <w:color w:val="000000" w:themeColor="text1"/>
          <w:sz w:val="20"/>
          <w:szCs w:val="20"/>
        </w:rPr>
      </w:pPr>
      <w:r w:rsidRPr="00D637BA">
        <w:rPr>
          <w:rFonts w:ascii="Calibri" w:hAnsi="Calibri" w:cs="Calibri"/>
          <w:b/>
          <w:color w:val="000000" w:themeColor="text1"/>
          <w:sz w:val="22"/>
          <w:szCs w:val="22"/>
        </w:rPr>
        <w:t xml:space="preserve">[H1] </w:t>
      </w:r>
      <w:r w:rsidR="00F131BF" w:rsidRPr="00D637BA">
        <w:rPr>
          <w:rFonts w:ascii="Calibri" w:hAnsi="Calibri" w:cs="Calibri"/>
          <w:b/>
          <w:color w:val="000000" w:themeColor="text1"/>
          <w:sz w:val="22"/>
          <w:szCs w:val="22"/>
        </w:rPr>
        <w:t xml:space="preserve">Introduction </w:t>
      </w:r>
    </w:p>
    <w:p w14:paraId="59A22A9E" w14:textId="75DBB6B7" w:rsidR="004743B6" w:rsidRPr="00D637BA" w:rsidRDefault="00F131BF" w:rsidP="00F131BF">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Cancers of the kidney account for an estimated 2.2% of the global burden of all cancers, which translates into more than 400,000 new diagnoses worldwide in 2018</w:t>
      </w:r>
      <w:r w:rsidR="005C5D78">
        <w:rPr>
          <w:rFonts w:ascii="Calibri" w:hAnsi="Calibri" w:cs="Calibri"/>
          <w:color w:val="000000" w:themeColor="text1"/>
          <w:sz w:val="22"/>
          <w:szCs w:val="22"/>
        </w:rPr>
        <w:fldChar w:fldCharType="begin"/>
      </w:r>
      <w:r w:rsidR="005C5D78">
        <w:rPr>
          <w:rFonts w:ascii="Calibri" w:hAnsi="Calibri" w:cs="Calibri"/>
          <w:color w:val="000000" w:themeColor="text1"/>
          <w:sz w:val="22"/>
          <w:szCs w:val="22"/>
        </w:rPr>
        <w:instrText xml:space="preserve"> ADDIN ZOTERO_ITEM CSL_CITATION {"citationID":"ar77jk2uvj","properties":{"formattedCitation":"\\super 1\\nosupersub{}","plainCitation":"1","noteIndex":0},"citationItems":[{"id":2742,"uris":["http://zotero.org/users/4775618/items/RQVC6PNR"],"uri":["http://zotero.org/users/4775618/items/RQVC6PNR"],"itemData":{"id":2742,"type":"article-journal","title":"Global cancer statistics 2018: GLOBOCAN estimates of incidence and mortality worldwide for 36 cancers in 185 countries","container-title":"CA: a cancer journal for clinicians","page":"394-424","volume":"68","issue":"6","source":"PubMed","abstract":"This article provides a status report on the global burden of cancer worldwide using the GLOBOCAN 2018 estimates of cancer incidence and mortality produced by the International Agency for Research on Cancer, with a focus on geographic variability across 20 world regions. There will be an estimated 18.1 million new cancer cases (17.0 million excluding nonmelanoma skin cancer) and 9.6 million cancer deaths (9.5 million excluding nonmelanoma skin cancer) in 2018. In both sexes combined, lung cancer is the most commonly diagnosed cancer (11.6% of the total cases) and the leading cause of cancer death (18.4% of the total cancer deaths), closely followed by female breast cancer (11.6%), prostate cancer (7.1%), and colorectal cancer (6.1%) for incidence and colorectal cancer (9.2%), stomach cancer (8.2%), and liver cancer (8.2%) for mortality. Lung cancer is the most frequent cancer and the leading cause of cancer death among males, followed by prostate and colorectal cancer (for incidence) and liver and stomach cancer (for mortality). Among females, breast cancer is the most commonly diagnosed cancer and the leading cause of cancer death, followed by colorectal and lung cancer (for incidence), and vice versa (for mortality); cervical cancer ranks fourth for both incidence and mortality. The most frequently diagnosed cancer and the leading cause of cancer death, however, substantially vary across countries and within each country depending on the degree of economic development and associated social and life style factors. It is noteworthy that high-quality cancer registry data, the basis for planning and implementing evidence-based cancer control programs, are not available in most low- and middle-income countries. The Global Initiative for Cancer Registry Development is an international partnership that supports better estimation, as well as the collection and use of local data, to prioritize and evaluate national cancer control efforts. CA: A Cancer Journal for Clinicians 2018;0:1-31. © 2018 American Cancer Society.","DOI":"10.3322/caac.21492","ISSN":"1542-4863","note":"PMID: 30207593","title-short":"Global cancer statistics 2018","journalAbbreviation":"CA Cancer J Clin","language":"eng","author":[{"family":"Bray","given":"Freddie"},{"family":"Ferlay","given":"Jacques"},{"family":"Soerjomataram","given":"Isabelle"},{"family":"Siegel","given":"Rebecca L."},{"family":"Torre","given":"Lindsey A."},{"family":"Jemal","given":"Ahmedin"}],"issued":{"date-parts":[["2018"]]}}}],"schema":"https://github.com/citation-style-language/schema/raw/master/csl-citation.json"} </w:instrText>
      </w:r>
      <w:r w:rsidR="005C5D78">
        <w:rPr>
          <w:rFonts w:ascii="Calibri" w:hAnsi="Calibri" w:cs="Calibri"/>
          <w:color w:val="000000" w:themeColor="text1"/>
          <w:sz w:val="22"/>
          <w:szCs w:val="22"/>
        </w:rPr>
        <w:fldChar w:fldCharType="separate"/>
      </w:r>
      <w:r w:rsidR="005C5D78" w:rsidRPr="005C5D78">
        <w:rPr>
          <w:rFonts w:ascii="Calibri" w:hAnsi="Calibri" w:cs="Calibri"/>
          <w:color w:val="000000"/>
          <w:sz w:val="22"/>
          <w:vertAlign w:val="superscript"/>
          <w:lang w:val="en-US"/>
        </w:rPr>
        <w:t>1</w:t>
      </w:r>
      <w:r w:rsidR="005C5D78">
        <w:rPr>
          <w:rFonts w:ascii="Calibri" w:hAnsi="Calibri" w:cs="Calibri"/>
          <w:color w:val="000000" w:themeColor="text1"/>
          <w:sz w:val="22"/>
          <w:szCs w:val="22"/>
        </w:rPr>
        <w:fldChar w:fldCharType="end"/>
      </w:r>
      <w:r w:rsidR="00401926"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Renal cell carcinoma (RCC), a cancer of the kidney parenchyma</w:t>
      </w:r>
      <w:r w:rsidR="009D1E7C"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is the </w:t>
      </w:r>
      <w:r w:rsidR="006C13E1" w:rsidRPr="00D637BA">
        <w:rPr>
          <w:rFonts w:ascii="Calibri" w:hAnsi="Calibri" w:cs="Calibri"/>
          <w:color w:val="000000" w:themeColor="text1"/>
          <w:sz w:val="22"/>
          <w:szCs w:val="22"/>
        </w:rPr>
        <w:t xml:space="preserve">most </w:t>
      </w:r>
      <w:r w:rsidRPr="00D637BA">
        <w:rPr>
          <w:rFonts w:ascii="Calibri" w:hAnsi="Calibri" w:cs="Calibri"/>
          <w:color w:val="000000" w:themeColor="text1"/>
          <w:sz w:val="22"/>
          <w:szCs w:val="22"/>
        </w:rPr>
        <w:t>common solid tumour of the kidney and the most lethal of all urological malignancies</w:t>
      </w:r>
      <w:r w:rsidR="005C5D78">
        <w:rPr>
          <w:rFonts w:ascii="Calibri" w:hAnsi="Calibri" w:cs="Calibri"/>
          <w:color w:val="000000" w:themeColor="text1"/>
          <w:sz w:val="22"/>
          <w:szCs w:val="22"/>
        </w:rPr>
        <w:fldChar w:fldCharType="begin"/>
      </w:r>
      <w:r w:rsidR="005C5D78">
        <w:rPr>
          <w:rFonts w:ascii="Calibri" w:hAnsi="Calibri" w:cs="Calibri"/>
          <w:color w:val="000000" w:themeColor="text1"/>
          <w:sz w:val="22"/>
          <w:szCs w:val="22"/>
        </w:rPr>
        <w:instrText xml:space="preserve"> ADDIN ZOTERO_ITEM CSL_CITATION {"citationID":"a1i9bvago1","properties":{"formattedCitation":"\\super 2\\nosupersub{}","plainCitation":"2","noteIndex":0},"citationItems":[{"id":1041,"uris":["http://zotero.org/users/4775618/items/V7GCKDKD"],"uri":["http://zotero.org/users/4775618/items/V7GCKDKD"],"itemData":{"id":1041,"type":"article-journal","title":"Landmarks in the diagnosis and treatment of renal cell carcinoma","container-title":"Nature Reviews Urology","page":"517-525","volume":"11","issue":"9","source":"www.nature.com","abstract":"The most common renal cancer is renal cell carcinoma (RCC), which arises from the renal parenchyma. The global incidence of RCC has increased over the past two decades by 2% per year. RCC is the most lethal of the common urological cancers: despite diagnostic advances, 20–30% of patients present with metastatic disease. A clearer understanding of the genetic basis of RCC has led to immune-based and targeted treatments for this chemoresistant cancer. Despite promising results in advanced disease, overall response rates and durable complete responses are rare. Surgery remains the main treatment modality, especially for organ-confined disease, with a selective role in advanced and metastatic disease. Smaller tumours are increasingly managed with biopsy, minimally invasive interventions and surveillance. The future promises multimodal, integrated and personalized care, with further understanding of the disease leading to new treatment options.","URL":"https://www.nature.com/articles/nrurol.2014.194","DOI":"10.1038/nrurol.2014.194","ISSN":"1759-4820","language":"en","author":[{"family":"Bhatt","given":"Jaimin R."},{"family":"Finelli","given":"Antonio"}],"issued":{"date-parts":[["2014",9]]},"accessed":{"date-parts":[["2019",2,10]]}}}],"schema":"https://github.com/citation-style-language/schema/raw/master/csl-citation.json"} </w:instrText>
      </w:r>
      <w:r w:rsidR="005C5D78">
        <w:rPr>
          <w:rFonts w:ascii="Calibri" w:hAnsi="Calibri" w:cs="Calibri"/>
          <w:color w:val="000000" w:themeColor="text1"/>
          <w:sz w:val="22"/>
          <w:szCs w:val="22"/>
        </w:rPr>
        <w:fldChar w:fldCharType="separate"/>
      </w:r>
      <w:r w:rsidR="005C5D78" w:rsidRPr="005C5D78">
        <w:rPr>
          <w:rFonts w:ascii="Calibri" w:hAnsi="Calibri" w:cs="Calibri"/>
          <w:color w:val="000000"/>
          <w:sz w:val="22"/>
          <w:vertAlign w:val="superscript"/>
          <w:lang w:val="en-US"/>
        </w:rPr>
        <w:t>2</w:t>
      </w:r>
      <w:r w:rsidR="005C5D78">
        <w:rPr>
          <w:rFonts w:ascii="Calibri" w:hAnsi="Calibri" w:cs="Calibri"/>
          <w:color w:val="000000" w:themeColor="text1"/>
          <w:sz w:val="22"/>
          <w:szCs w:val="22"/>
        </w:rPr>
        <w:fldChar w:fldCharType="end"/>
      </w:r>
      <w:r w:rsidR="005C5D78">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Almost a third of all patients</w:t>
      </w:r>
      <w:r w:rsidR="00927530">
        <w:rPr>
          <w:rFonts w:ascii="Calibri" w:hAnsi="Calibri" w:cs="Calibri"/>
          <w:color w:val="000000" w:themeColor="text1"/>
          <w:sz w:val="22"/>
          <w:szCs w:val="22"/>
        </w:rPr>
        <w:t xml:space="preserve"> with RCC will</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have metastatic dissemination at presentation and nearly half of all patients die from their diseas</w:t>
      </w:r>
      <w:r w:rsidR="00133382" w:rsidRPr="00D637BA">
        <w:rPr>
          <w:rFonts w:ascii="Calibri" w:hAnsi="Calibri" w:cs="Calibri"/>
          <w:color w:val="000000" w:themeColor="text1"/>
          <w:sz w:val="22"/>
          <w:szCs w:val="22"/>
        </w:rPr>
        <w:t>e</w:t>
      </w:r>
      <w:r w:rsidR="005C5D78">
        <w:rPr>
          <w:rFonts w:ascii="Calibri" w:hAnsi="Calibri" w:cs="Calibri"/>
          <w:color w:val="000000" w:themeColor="text1"/>
          <w:sz w:val="22"/>
          <w:szCs w:val="22"/>
        </w:rPr>
        <w:fldChar w:fldCharType="begin"/>
      </w:r>
      <w:r w:rsidR="005C5D78">
        <w:rPr>
          <w:rFonts w:ascii="Calibri" w:hAnsi="Calibri" w:cs="Calibri"/>
          <w:color w:val="000000" w:themeColor="text1"/>
          <w:sz w:val="22"/>
          <w:szCs w:val="22"/>
        </w:rPr>
        <w:instrText xml:space="preserve"> ADDIN ZOTERO_ITEM CSL_CITATION {"citationID":"a1n276nd7ou","properties":{"formattedCitation":"\\super 1,2\\nosupersub{}","plainCitation":"1,2","noteIndex":0},"citationItems":[{"id":1041,"uris":["http://zotero.org/users/4775618/items/V7GCKDKD"],"uri":["http://zotero.org/users/4775618/items/V7GCKDKD"],"itemData":{"id":1041,"type":"article-journal","title":"Landmarks in the diagnosis and treatment of renal cell carcinoma","container-title":"Nature Reviews Urology","page":"517-525","volume":"11","issue":"9","source":"www.nature.com","abstract":"The most common renal cancer is renal cell carcinoma (RCC), which arises from the renal parenchyma. The global incidence of RCC has increased over the past two decades by 2% per year. RCC is the most lethal of the common urological cancers: despite diagnostic advances, 20–30% of patients present with metastatic disease. A clearer understanding of the genetic basis of RCC has led to immune-based and targeted treatments for this chemoresistant cancer. Despite promising results in advanced disease, overall response rates and durable complete responses are rare. Surgery remains the main treatment modality, especially for organ-confined disease, with a selective role in advanced and metastatic disease. Smaller tumours are increasingly managed with biopsy, minimally invasive interventions and surveillance. The future promises multimodal, integrated and personalized care, with further understanding of the disease leading to new treatment options.","URL":"https://www.nature.com/articles/nrurol.2014.194","DOI":"10.1038/nrurol.2014.194","ISSN":"1759-4820","language":"en","author":[{"family":"Bhatt","given":"Jaimin R."},{"family":"Finelli","given":"Antonio"}],"issued":{"date-parts":[["2014",9]]},"accessed":{"date-parts":[["2019",2,10]]}}},{"id":2742,"uris":["http://zotero.org/users/4775618/items/RQVC6PNR"],"uri":["http://zotero.org/users/4775618/items/RQVC6PNR"],"itemData":{"id":2742,"type":"article-journal","title":"Global cancer statistics 2018: GLOBOCAN estimates of incidence and mortality worldwide for 36 cancers in 185 countries","container-title":"CA: a cancer journal for clinicians","page":"394-424","volume":"68","issue":"6","source":"PubMed","abstract":"This article provides a status report on the global burden of cancer worldwide using the GLOBOCAN 2018 estimates of cancer incidence and mortality produced by the International Agency for Research on Cancer, with a focus on geographic variability across 20 world regions. There will be an estimated 18.1 million new cancer cases (17.0 million excluding nonmelanoma skin cancer) and 9.6 million cancer deaths (9.5 million excluding nonmelanoma skin cancer) in 2018. In both sexes combined, lung cancer is the most commonly diagnosed cancer (11.6% of the total cases) and the leading cause of cancer death (18.4% of the total cancer deaths), closely followed by female breast cancer (11.6%), prostate cancer (7.1%), and colorectal cancer (6.1%) for incidence and colorectal cancer (9.2%), stomach cancer (8.2%), and liver cancer (8.2%) for mortality. Lung cancer is the most frequent cancer and the leading cause of cancer death among males, followed by prostate and colorectal cancer (for incidence) and liver and stomach cancer (for mortality). Among females, breast cancer is the most commonly diagnosed cancer and the leading cause of cancer death, followed by colorectal and lung cancer (for incidence), and vice versa (for mortality); cervical cancer ranks fourth for both incidence and mortality. The most frequently diagnosed cancer and the leading cause of cancer death, however, substantially vary across countries and within each country depending on the degree of economic development and associated social and life style factors. It is noteworthy that high-quality cancer registry data, the basis for planning and implementing evidence-based cancer control programs, are not available in most low- and middle-income countries. The Global Initiative for Cancer Registry Development is an international partnership that supports better estimation, as well as the collection and use of local data, to prioritize and evaluate national cancer control efforts. CA: A Cancer Journal for Clinicians 2018;0:1-31. © 2018 American Cancer Society.","DOI":"10.3322/caac.21492","ISSN":"1542-4863","note":"PMID: 30207593","title-short":"Global cancer statistics 2018","journalAbbreviation":"CA Cancer J Clin","language":"eng","author":[{"family":"Bray","given":"Freddie"},{"family":"Ferlay","given":"Jacques"},{"family":"Soerjomataram","given":"Isabelle"},{"family":"Siegel","given":"Rebecca L."},{"family":"Torre","given":"Lindsey A."},{"family":"Jemal","given":"Ahmedin"}],"issued":{"date-parts":[["2018"]]}}}],"schema":"https://github.com/citation-style-language/schema/raw/master/csl-citation.json"} </w:instrText>
      </w:r>
      <w:r w:rsidR="005C5D78">
        <w:rPr>
          <w:rFonts w:ascii="Calibri" w:hAnsi="Calibri" w:cs="Calibri"/>
          <w:color w:val="000000" w:themeColor="text1"/>
          <w:sz w:val="22"/>
          <w:szCs w:val="22"/>
        </w:rPr>
        <w:fldChar w:fldCharType="separate"/>
      </w:r>
      <w:r w:rsidR="005C5D78" w:rsidRPr="005C5D78">
        <w:rPr>
          <w:rFonts w:ascii="Calibri" w:hAnsi="Calibri" w:cs="Calibri"/>
          <w:color w:val="000000"/>
          <w:sz w:val="22"/>
          <w:vertAlign w:val="superscript"/>
          <w:lang w:val="en-US"/>
        </w:rPr>
        <w:t>1,2</w:t>
      </w:r>
      <w:r w:rsidR="005C5D78">
        <w:rPr>
          <w:rFonts w:ascii="Calibri" w:hAnsi="Calibri" w:cs="Calibri"/>
          <w:color w:val="000000" w:themeColor="text1"/>
          <w:sz w:val="22"/>
          <w:szCs w:val="22"/>
        </w:rPr>
        <w:fldChar w:fldCharType="end"/>
      </w:r>
      <w:r w:rsidR="005C5D78">
        <w:rPr>
          <w:rFonts w:ascii="Calibri" w:hAnsi="Calibri" w:cs="Calibri"/>
          <w:color w:val="000000"/>
          <w:sz w:val="22"/>
          <w:lang w:val="en-US"/>
        </w:rPr>
        <w:t>.</w:t>
      </w:r>
      <w:r w:rsidRPr="00D637BA">
        <w:rPr>
          <w:rFonts w:ascii="Calibri" w:hAnsi="Calibri" w:cs="Calibri"/>
          <w:color w:val="000000" w:themeColor="text1"/>
          <w:sz w:val="22"/>
          <w:szCs w:val="22"/>
        </w:rPr>
        <w:t xml:space="preserve"> RCC is increasingly recognised as a collection of renal cancer subtypes each with distinct histology, genetic and molecular alterations, clinical course and therapeutic responses</w:t>
      </w:r>
      <w:r w:rsidR="005C5D78">
        <w:rPr>
          <w:rFonts w:ascii="Calibri" w:hAnsi="Calibri" w:cs="Calibri"/>
          <w:color w:val="000000" w:themeColor="text1"/>
          <w:sz w:val="22"/>
          <w:szCs w:val="22"/>
        </w:rPr>
        <w:fldChar w:fldCharType="begin"/>
      </w:r>
      <w:r w:rsidR="005C5D78">
        <w:rPr>
          <w:rFonts w:ascii="Calibri" w:hAnsi="Calibri" w:cs="Calibri"/>
          <w:color w:val="000000" w:themeColor="text1"/>
          <w:sz w:val="22"/>
          <w:szCs w:val="22"/>
        </w:rPr>
        <w:instrText xml:space="preserve"> ADDIN ZOTERO_ITEM CSL_CITATION {"citationID":"ac467r6ctt","properties":{"formattedCitation":"\\super 3\\uc0\\u8211{}5\\nosupersub{}","plainCitation":"3–5","noteIndex":0},"citationItems":[{"id":1157,"uris":["http://zotero.org/users/4775618/items/ZUCSVHMM"],"uri":["http://zotero.org/users/4775618/items/ZUCSVHMM"],"itemData":{"id":1157,"type":"article-journal","title":"The genetic basis of cancer of the kidney","container-title":"The Journal of Urology","page":"2163-2172","volume":"170","issue":"6 Pt 1","source":"PubMed","abstract":"PURPOSE: The types of epithelial renal tumors are clear cell, types I and II papillary, chromophobe and oncocytoma. We identified the genetic basis of these different types of kidney cancer to provide better methods for early diagnosis of this disease as well as provide the foundation for the development of molecular therapeutic approaches.\nMATERIALS AND METHODS: To identify the genetic basis of kidney cancer we studied families with an inherited predisposition to kidney cancer. Families in which 2 or more individuals had kidney cancer underwent a comprehensive evaluation to determine whether they were affected with a hereditary form of renal carcinoma. Genetic linkage analysis was performed to identify the gene for inherited forms of renal carcinoma.\nRESULTS: The gene for the inherited form of clear cell renal carcinoma associated with von Hippel-Lindau gene was identified. This gene has been found to be a tumor suppressor gene. A new form of inherited renal carcinoma, hereditary papillary renal carcinoma, was identified. The gene for this condition was identified and found to be the proto-oncogene c-Met. A previously unidentified form of familial renal oncocytoma was found. A familial form of chromophobe renal carcinoma and oncocytoma associated with Birt Hogg Dubé syndrome was found. The gene for this condition was localized on the short arm of chromosome 17 and it has been identified. We studied families with cutaneous leiomyomas, uterine leiomyomas and papillary renal carcinoma. We identified mutations in the fumarate hydratase gene in patients affected with this disorder, namely hereditary leiomyoma renal cell carcinoma.\nCONCLUSIONS: Kidney cancer used to be considered a single disease. It is now known that there are a number of different types of cancers of the kidney with different histological patterns and different clinical courses that appear to respond differently to therapy. These different types of kidney cancer are caused by different genes, ie they each have a distinct genetic basis. Understanding the molecular pathways of these cancer genes should provide insight into their varying clinical courses and responses to treatment as well as provide the foundation for the development of disease specific molecular therapeutic strategies.","DOI":"10.1097/01.ju.0000096060.92397.ed","ISSN":"0022-5347","note":"PMID: 14634372","journalAbbreviation":"J. Urol.","language":"eng","author":[{"family":"Linehan","given":"W. Marston"},{"family":"Walther","given":"McClellan M."},{"family":"Zbar","given":"Berton"}],"issued":{"date-parts":[["2003",12]]}}},{"id":1159,"uris":["http://zotero.org/users/4775618/items/VISJWVXW"],"uri":["http://zotero.org/users/4775618/items/VISJWVXW"],"itemData":{"id":1159,"type":"article-journal","title":"The 2016 WHO Classification of Tumours of the Urinary System and Male Genital Organs—Part A: Renal, Penile, and Testicular Tumours","container-title":"European Urology","page":"93-105","volume":"70","issue":"1","source":"ScienceDirect","abstract":"The fourth edition of the World Health Organization (WHO) classification of urogenital tumours (WHO “blue book”), published in 2016, contains significant revisions. These revisions were performed after consideration by a large international group of pathologists with special expertise in this area. A subgroup of these persons met at the WHO Consensus Conference in Zurich, Switzerland, in 2015 to finalize the revisions. This review summarizes the most significant differences between the newly published classification and the prior version for renal, penile, and testicular tumours. Newly recognized epithelial renal tumours are hereditary leiomyomatosis and renal cell carcinoma (RCC) syndrome–associated RCC, succinate dehydrogenase–deficient RCC, tubulocystic RCC, acquired cystic disease–associated RCC, and clear cell papillary RCC. The WHO/International Society of Urological Pathology renal tumour grading system was recommended, and the definition of renal papillary adenoma was modified. The new WHO classification of penile squamous cell carcinomas is based on the presence of human papillomavirus and defines histologic subtypes accordingly. Germ cell neoplasia in situ (GCNIS) of the testis is the WHO-recommended term for precursor lesions of invasive germ cell tumours, and testicular germ cell tumours are now separated into two fundamentally different groups: those derived from GCNIS and those unrelated to GCNIS. Spermatocytic seminoma has been designated as a spermatocytic tumour and placed within the group of non–GCNIS-related tumours in the 2016 WHO classification.\nPatient summary\nThe 2016 World Health Organization (WHO) classification contains new renal tumour entities. The classification of penile squamous cell carcinomas is based on the presence of human papillomavirus. Germ cell neoplasia in situ of the testis is the WHO-recommended term for precursor lesions of invasive germ cell tumours.","URL":"http://www.sciencedirect.com/science/article/pii/S0302283816002062","DOI":"10.1016/j.eururo.2016.02.029","ISSN":"0302-2838","title-short":"The 2016 WHO Classification of Tumours of the Urinary System and Male Genital Organs—Part A","journalAbbreviation":"European Urology","author":[{"family":"Moch","given":"Holger"},{"family":"Cubilla","given":"Antonio L."},{"family":"Humphrey","given":"Peter A."},{"family":"Reuter","given":"Victor E."},{"family":"Ulbright","given":"Thomas M."}],"issued":{"date-parts":[["2016",7,1]]},"accessed":{"date-parts":[["2019",2,17]]}}},{"id":427,"uris":["http://zotero.org/users/4775618/items/ZV692HDZ"],"uri":["http://zotero.org/users/4775618/items/ZV692HDZ"],"itemData":{"id":427,"type":"article-journal","title":"The Cancer Genome Atlas Comprehensive Molecular Characterization of Renal Cell Carcinoma","container-title":"Cell Reports","volume":"0","issue":"0","source":"www.cell.com","abstract":"&lt;h2&gt;Summary&lt;/h2&gt;&lt;p&gt;Renal cell carcinoma (RCC) is not a single disease, but several histologically defined cancers with different genetic drivers, clinical courses, and therapeutic responses. The current study evaluated 843 RCC from the three major histologic subtypes, including 488 clear cell RCC, 274 papillary RCC, and 81 chromophobe RCC. Comprehensive genomic and phenotypic analysis of the RCC subtypes reveals distinctive features of each subtype that provide the foundation for the development of subtype-specific therapeutic and management strategies for patients affected with these cancers. Somatic alteration of &lt;i&gt;BAP1&lt;/i&gt;, &lt;i&gt;PBRM1&lt;/i&gt;, and &lt;i&gt;PTEN&lt;/i&gt; and altered metabolic pathways correlated with subtype-specific decreased survival, while &lt;i&gt;CDKN2A&lt;/i&gt; alteration, increased DNA hypermethylation, and increases in the immune-related Th2 gene expression signature correlated with decreased survival within all major histologic subtypes. CIMP-RCC demonstrated an increased immune signature, and a uniform and distinct metabolic expression pattern identified a subset of metabolically divergent (MD) ChRCC that associated with extremely poor survival.&lt;/p&gt;","URL":"http://www.cell.com/cell-reports/abstract/S2211-1247(18)30436-4","DOI":"10.1016/j.celrep.2018.03.075","ISSN":"2211-1247","note":"PMID: 29617669, 29617669","journalAbbreviation":"Cell Reports","language":"English","author":[{"family":"Ricketts","given":"Christopher J."},{"family":"Cubas","given":"Aguirre A. De"},{"family":"Fan","given":"Huihui"},{"family":"Smith","given":"Christof C."},{"family":"Lang","given":"Martin"},{"family":"Reznik","given":"Ed"},{"family":"Bowlby","given":"Reanne"},{"family":"Gibb","given":"Ewan A."},{"family":"Akbani","given":"Rehan"},{"family":"Beroukhim","given":"Rameen"},{"family":"Bottaro","given":"Donald P."},{"family":"Choueiri","given":"Toni K."},{"family":"Gibbs","given":"Richard A."},{"family":"Godwin","given":"Andrew K."},{"family":"Haake","given":"Scott"},{"family":"Hakimi","given":"A. Ari"},{"family":"Henske","given":"Elizabeth P."},{"family":"Hsieh","given":"James J."},{"family":"Ho","given":"Thai H."},{"family":"Kanchi","given":"Rupa S."},{"family":"Krishnan","given":"Bhavani"},{"family":"Kwaitkowski","given":"David J."},{"family":"Lui","given":"Wembin"},{"family":"Merino","given":"Maria J."},{"family":"Mills","given":"Gordon B."},{"family":"Myers","given":"Jerome"},{"family":"Nickerson","given":"Michael L."},{"family":"Reuter","given":"Victor E."},{"family":"Schmidt","given":"Laura S."},{"family":"Shelley","given":"C. Simon"},{"family":"Shen","given":"Hui"},{"family":"Shuch","given":"Brian"},{"family":"Signoretti","given":"Sabina"},{"family":"Srinivasan","given":"Ramaprasad"},{"family":"Tamboli","given":"Pheroze"},{"family":"Thomas","given":"George"},{"family":"Vincent","given":"Benjamin G."},{"family":"Vocke","given":"Cathy D."},{"family":"Wheeler","given":"David A."},{"family":"Yang","given":"Lixing"},{"family":"Kim","given":"William T."},{"family":"Robertson","given":"A. Gordon"},{"family":"Caesar-Johnson","given":"Samantha J."},{"family":"Demchok","given":"John A."},{"family":"Felau","given":"Ina"},{"family":"Kasapi","given":"Melpomeni"},{"family":"Ferguson","given":"Martin L."},{"family":"Hutter","given":"Carolyn M."},{"family":"Sofia","given":"Heidi J."},{"family":"Tarnuzzer","given":"Roy"},{"family":"Wang","given":"Zhining"},{"family":"Yang","given":"Liming"},{"family":"Zenklusen","given":"Jean C."},{"family":"Zhang","given":"Jiashan (Julia)"},{"family":"Chudamani","given":"Sudha"},{"family":"Liu","given":"Jia"},{"family":"Lolla","given":"Laxmi"},{"family":"Naresh","given":"Rashi"},{"family":"Pihl","given":"Todd"},{"family":"Sun","given":"Qiang"},{"family":"Wan","given":"Yunhu"},{"family":"Wu","given":"Ye"},{"family":"Cho","given":"Juok"},{"family":"DeFreitas","given":"Timothy"},{"family":"Frazer","given":"Scott"},{"family":"Gehlenborg","given":"Nils"},{"family":"Getz","given":"Gad"},{"family":"Heiman","given":"David I."},{"family":"Kim","given":"Jaegil"},{"family":"Lawrence","given":"Michael S."},{"family":"Lin","given":"Pei"},{"family":"Meier","given":"Sam"},{"family":"Noble","given":"Michael S."},{"family":"Saksena","given":"Gordon"},{"family":"Voet","given":"Doug"},{"family":"Zhang","given":"Hailei"},{"family":"Bernard","given":"Brady"},{"family":"Chambwe","given":"Nyasha"},{"family":"Dhankani","given":"Varsha"},{"family":"Knijnenburg","given":"Theo"},{"family":"Kramer","given":"Roger"},{"family":"Leinonen","given":"Kalle"},{"family":"Liu","given":"Yuexin"},{"family":"Miller","given":"Michael"},{"family":"Reynolds","given":"Sheila"},{"family":"Shmulevich","given":"Ilya"},{"family":"Thorsson","given":"Vesteinn"},{"family":"Zhang","given":"Wei"},{"family":"Akbani","given":"Rehan"},{"family":"Broom","given":"Bradley M."},{"family":"Hegde","given":"Apurva M."},{"family":"Ju","given":"Zhenlin"},{"family":"Kanchi","given":"Rupa S."},{"family":"Korkut","given":"Anil"},{"family":"Li","given":"Jun"},{"family":"Liang","given":"Han"},{"family":"Ling","given":"Shiyun"},{"family":"Liu","given":"Wenbin"},{"family":"Lu","given":"Yiling"},{"family":"Mills","given":"Gordon B."},{"family":"Ng","given":"Kwok-Shing"},{"family":"Rao","given":"Arvind"},{"family":"Ryan","given":"Michael"},{"family":"Wang","given":"Jing"},{"family":"Weinstein","given":"John N."},{"family":"Zhang","given":"Jiexin"},{"family":"Abeshouse","given":"Adam"},{"family":"Armenia","given":"Joshua"},{"family":"Chakravarty","given":"Debyani"},{"family":"Chatila","given":"Walid K."},{"family":"Bruijn","given":"Ino","dropping-particle":"de"},{"family":"Gao","given":"Jianjiong"},{"family":"Gross","given":"Benjamin E."},{"family":"Heins","given":"Zachary J."},{"family":"Kundra","given":"Ritika"},{"family":"La","given":"Konnor"},{"family":"Ladanyi","given":"Marc"},{"family":"Luna","given":"Augustin"},{"family":"Nissan","given":"Moriah G."},{"family":"Ochoa","given":"Angelica"},{"family":"Phillips","given":"Sarah M."},{"family":"Reznik","given":"Ed"},{"family":"Sanchez-Vega","given":"Francisco"},{"family":"Sander","given":"Chris"},{"family":"Schultz","given":"Nikolaus"},{"family":"Sheridan","given":"Robert"},{"family":"Sumer","given":"S. Onur"},{"family":"Sun","given":"Yichao"},{"family":"Taylor","given":"Barry S."},{"family":"Wang","given":"Jioajiao"},{"family":"Zhang","given":"Hongxin"},{"family":"Anur","given":"Pavana"},{"family":"Peto","given":"Myron"},{"family":"Spellman","given":"Paul"},{"family":"Benz","given":"Christopher"},{"family":"Stuart","given":"Joshua M."},{"family":"Wong","given":"Christopher K."},{"family":"Yau","given":"Christina"},{"family":"Hayes","given":"D. Neil"},{"family":"Parker","given":"Joel S."},{"family":"Wilkerson","given":"Matthew D."},{"family":"Ally","given":"Adrian"},{"family":"Balasundaram","given":"Miruna"},{"family":"Bowlby","given":"Reanne"},{"family":"Brooks","given":"Denise"},{"family":"Carlsen","given":"Rebecca"},{"family":"Chuah","given":"Eric"},{"family":"Dhalla","given":"Noreen"},{"family":"Holt","given":"Robert"},{"family":"Jones","given":"Steven J. M."},{"family":"Kasaian","given":"Katayoon"},{"family":"Lee","given":"Darlene"},{"family":"Ma","given":"Yussanne"},{"family":"Marra","given":"Marco A."},{"family":"Mayo","given":"Michael"},{"family":"Moore","given":"Richard A."},{"family":"Mungall","given":"Andrew J."},{"family":"Mungall","given":"Karen"},{"family":"Robertson","given":"A. Gordon"},{"family":"Sadeghi","given":"Sara"},{"family":"Schein","given":"Jacqueline E."},{"family":"Sipahimalani","given":"Payal"},{"family":"Tam","given":"Angela"},{"family":"Thiessen","given":"Nina"},{"family":"Tse","given":"Kane"},{"family":"Wong","given":"Tina"},{"family":"Berger","given":"Ashton C."},{"family":"Beroukhim","given":"Rameen"},{"family":"Cherniack","given":"Andrew D."},{"family":"Cibulskis","given":"Carrie"},{"family":"Gabriel","given":"Stacey B."},{"family":"Gao","given":"Galen F."},{"family":"Ha","given":"Gavin"},{"family":"Meyerson","given":"Matthew"},{"family":"Schumacher","given":"Steven E."},{"family":"Shih","given":"Juliann"},{"family":"Kucherlapati","given":"Melanie H."},{"family":"Kucherlapati","given":"Raju S."},{"family":"Baylin","given":"Stephen"},{"family":"Cope","given":"Leslie"},{"family":"Danilova","given":"Ludmila"},{"family":"Bootwalla","given":"Moiz S."},{"family":"Lai","given":"Phillip H."},{"family":"Maglinte","given":"Dennis T."},{"family":"Berg","given":"David J. Van Den"},{"family":"Weisenberger","given":"Daniel J."},{"family":"Auman","given":"J. Todd"},{"family":"Balu","given":"Saianand"},{"family":"Bodenheimer","given":"Tom"},{"family":"Fan","given":"Cheng"},{"family":"Hoadley","given":"Katherine A."},{"family":"Hoyle","given":"Alan P."},{"family":"Jefferys","given":"Stuart R."},{"family":"Jones","given":"Corbin D."},{"family":"Meng","given":"Shaowu"},{"family":"Mieczkowski","given":"Piotr A."},{"family":"Mose","given":"Lisle E."},{"family":"Perou","given":"Amy H."},{"family":"Perou","given":"Charles M."},{"family":"Roach","given":"Jeffrey"},{"family":"Shi","given":"Yan"},{"family":"Simons","given":"Janae V."},{"family":"Skelly","given":"Tara"},{"family":"Soloway","given":"Matthew G."},{"family":"Tan","given":"Donghui"},{"family":"Veluvolu","given":"Umadevi"},{"family":"Fan","given":"Huihui"},{"family":"Hinoue","given":"Toshinori"},{"family":"Laird","given":"Peter W."},{"family":"Shen","given":"Hui"},{"family":"Zhou","given":"Wanding"},{"family":"Bellair","given":"Michelle"},{"family":"Chang","given":"Kyle"},{"family":"Covington","given":"Kyle"},{"family":"Creighton","given":"Chad J."},{"family":"Dinh","given":"Huyen"},{"family":"Doddapaneni","given":"HarshaVardhan"},{"family":"Donehower","given":"Lawrence A."},{"family":"Drummond","given":"Jennifer"},{"family":"Gibbs","given":"Richard A."},{"family":"Glenn","given":"Robert"},{"family":"Hale","given":"Walker"},{"family":"Han","given":"Yi"},{"family":"Hu","given":"Jianhong"},{"family":"Korchina","given":"Viktoriya"},{"family":"Lee","given":"Sandra"},{"family":"Lewis","given":"Lora"},{"family":"Li","given":"Wei"},{"family":"Liu","given":"Xiuping"},{"family":"Morgan","given":"Margaret"},{"family":"Morton","given":"Donna"},{"family":"Muzny","given":"Donna"},{"family":"Santibanez","given":"Jireh"},{"family":"Sheth","given":"Margi"},{"family":"Shinbrot","given":"Eve"},{"family":"Wang","given":"Linghua"},{"family":"Wang","given":"Min"},{"family":"Wheeler","given":"David A."},{"family":"Xi","given":"Liu"},{"family":"Zhao","given":"Fengmei"},{"family":"Hess","given":"Julian"},{"family":"Appelbaum","given":"Elizabeth L."},{"family":"Bailey","given":"Matthew"},{"family":"Cordes","given":"Matthew G."},{"family":"Ding","given":"Li"},{"family":"Fronick","given":"Catrina C."},{"family":"Fulton","given":"Lucinda A."},{"family":"Fulton","given":"Robert S."},{"family":"Kandoth","given":"Cyriac"},{"family":"Mardis","given":"Elaine R."},{"family":"McLellan","given":"Michael D."},{"family":"Miller","given":"Christopher A."},{"family":"Schmidt","given":"Heather K."},{"family":"Wilson","given":"Richard K."},{"family":"Crain","given":"Daniel"},{"family":"Curley","given":"Erin"},{"family":"Gardner","given":"Johanna"},{"family":"Lau","given":"Kevin"},{"family":"Mallery","given":"David"},{"family":"Morris","given":"Scott"},{"family":"Paulauskis","given":"Joseph"},{"family":"Penny","given":"Robert"},{"family":"Shelton","given":"Candace"},{"family":"Shelton","given":"Troy"},{"family":"Sherman","given":"Mark"},{"family":"Thompson","given":"Eric"},{"family":"Yena","given":"Peggy"},{"family":"Bowen","given":"Jay"},{"family":"Gastier-Foster","given":"Julie M."},{"family":"Gerken","given":"Mark"},{"family":"Leraas","given":"Kristen M."},{"family":"Lichtenberg","given":"Tara M."},{"family":"Ramirez","given":"Nilsa C."},{"family":"Wise","given":"Lisa"},{"family":"Zmuda","given":"Erik"},{"family":"Corcoran","given":"Niall"},{"family":"Costello","given":"Tony"},{"family":"Hovens","given":"Christopher"},{"family":"Carvalho","given":"Andre L."},{"family":"Carvalho","given":"Ana C.","dropping-particle":"de"},{"family":"Fregnani","given":"José H."},{"family":"Longatto-Filho","given":"Adhemar"},{"family":"Reis","given":"Rui M."},{"family":"Scapulatempo-Neto","given":"Cristovam"},{"family":"Silveira","given":"Henrique C. S."},{"family":"Vidal","given":"Daniel O."},{"family":"Burnette","given":"Andrew"},{"family":"Eschbacher","given":"Jennifer"},{"family":"Hermes","given":"Beth"},{"family":"Noss","given":"Ardene"},{"family":"Singh","given":"Rosy"},{"family":"Anderson","given":"Matthew L."},{"family":"Castro","given":"Patricia D."},{"family":"Ittmann","given":"Michael"},{"family":"Huntsman","given":"David"},{"family":"Kohl","given":"Bernard"},{"family":"Le","given":"Xuan"},{"family":"Thorp","given":"Richard"},{"family":"Andry","given":"Chris"},{"family":"Duffy","given":"Elizabeth R."},{"family":"Lyadov","given":"Vladimir"},{"family":"Paklina","given":"Oxana"},{"family":"Setdikova","given":"Galiya"},{"family":"Shabunin","given":"Alexey"},{"family":"Tavobilov","given":"Mikhail"},{"family":"McPherson","given":"Christopher"},{"family":"Warnick","given":"Ronald"},{"family":"Berkowitz","given":"Ross"},{"family":"Cramer","given":"Daniel"},{"family":"Feltmate","given":"Colleen"},{"family":"Horowitz","given":"Neil"},{"family":"Kibel","given":"Adam"},{"family":"Muto","given":"Michael"},{"family":"Raut","given":"Chandrajit P."},{"family":"Malykh","given":"Andrei"},{"family":"Barnholtz-Sloan","given":"Jill S."},{"family":"Barrett","given":"Wendi"},{"family":"Devine","given":"Karen"},{"family":"Fulop","given":"Jordonna"},{"family":"Ostrom","given":"Quinn T."},{"family":"Shimmel","given":"Kristen"},{"family":"Wolinsky","given":"Yingli"},{"family":"Sloan","given":"Andrew E."},{"family":"Rose","given":"Agostino De"},{"family":"Giuliante","given":"Felice"},{"family":"Goodman","given":"Marc"},{"family":"Karlan","given":"Beth Y."},{"family":"Hagedorn","given":"Curt H."},{"family":"Eckman","given":"John"},{"family":"Harr","given":"Jodi"},{"family":"Myers","given":"Jerome"},{"family":"Tucker","given":"Kelinda"},{"family":"Zach","given":"Leigh Anne"},{"family":"Deyarmin","given":"Brenda"},{"family":"Hu","given":"Hai"},{"family":"Kvecher","given":"Leonid"},{"family":"Larson","given":"Caroline"},{"family":"Mural","given":"Richard J."},{"family":"Somiari","given":"Stella"},{"family":"Vicha","given":"Ales"},{"family":"Zelinka","given":"Tomas"},{"family":"Bennett","given":"Joseph"},{"family":"Iacocca","given":"Mary"},{"family":"Rabeno","given":"Brenda"},{"family":"Swanson","given":"Patricia"},{"family":"Latour","given":"Mathieu"},{"family":"Lacombe","given":"Louis"},{"family":"Têtu","given":"Bernard"},{"family":"Bergeron","given":"Alain"},{"family":"McGraw","given":"Mary"},{"family":"Staugaitis","given":"Susan M."},{"family":"Chabot","given":"John"},{"family":"Hibshoosh","given":"Hanina"},{"family":"Sepulveda","given":"Antonia"},{"family":"Su","given":"Tao"},{"family":"Wang","given":"Timothy"},{"family":"Potapova","given":"Olga"},{"family":"Voronina","given":"Olga"},{"family":"Desjardins","given":"Laurence"},{"family":"Mariani","given":"Odette"},{"family":"Roman-Roman","given":"Sergio"},{"family":"Sastre","given":"Xavier"},{"family":"Stern","given":"Marc-Henri"},{"family":"Cheng","given":"Feixiong"},{"family":"Signoretti","given":"Sabina"},{"family":"Berchuck","given":"Andrew"},{"family":"Bigner","given":"Darell"},{"family":"Lipp","given":"Eric"},{"family":"Marks","given":"Jeffrey"},{"family":"McCall","given":"Shannon"},{"family":"McLendon","given":"Roger"},{"family":"Secord","given":"Angeles"},{"family":"Sharp","given":"Alexis"},{"family":"Behera","given":"Madhusmita"},{"family":"Brat","given":"Daniel J."},{"family":"Chen","given":"Amy"},{"family":"Delman","given":"Keith"},{"family":"Force","given":"Seth"},{"family":"Khuri","given":"Fadlo"},{"family":"Magliocca","given":"Kelly"},{"family":"Maithel","given":"Shishir"},{"family":"Olson","given":"Jeffrey J."},{"family":"Owonikoko","given":"Taofeek"},{"family":"Pickens","given":"Alan"},{"family":"Ramalingam","given":"Suresh"},{"family":"Shin","given":"Dong M."},{"family":"Sica","given":"Gabriel"},{"family":"Meir","given":"Erwin G. Van"},{"family":"Zhang","given":"Hongzheng"},{"family":"Eijckenboom","given":"Wil"},{"family":"Gillis","given":"Ad"},{"family":"Korpershoek","given":"Esther"},{"family":"Looijenga","given":"Leendert"},{"family":"Oosterhuis","given":"Wolter"},{"family":"Stoop","given":"Hans"},{"family":"Kessel","given":"Kim E.","dropping-particle":"van"},{"family":"Zwarthoff","given":"Ellen C."},{"family":"Calatozzolo","given":"Chiara"},{"family":"Cuppini","given":"Lucia"},{"family":"Cuzzubbo","given":"Stefania"},{"family":"DiMeco","given":"Francesco"},{"family":"Finocchiaro","given":"Gaetano"},{"family":"Mattei","given":"Luca"},{"family":"Perin","given":"Alessandro"},{"family":"Pollo","given":"Bianca"},{"family":"Chen","given":"Chu"},{"family":"Houck","given":"John"},{"family":"Lohavanichbutr","given":"Pawadee"},{"family":"Hartmann","given":"Arndt"},{"family":"Stoehr","given":"Christine"},{"family":"Stoehr","given":"Robert"},{"family":"Taubert","given":"Helge"},{"family":"Wach","given":"Sven"},{"family":"Wullich","given":"Bernd"},{"family":"Kycler","given":"Witold"},{"family":"Murawa","given":"Dawid"},{"family":"Wiznerowicz","given":"Maciej"},{"family":"Chung","given":"Ki"},{"family":"Edenfield","given":"W. Jeffrey"},{"family":"Martin","given":"Julie"},{"family":"Baudin","given":"Eric"},{"family":"Bubley","given":"Glenn"},{"family":"Bueno","given":"Raphael"},{"family":"Rienzo","given":"Assunta De"},{"family":"Richards","given":"William G."},{"family":"Kalkanis","given":"Steven"},{"family":"Mikkelsen","given":"Tom"},{"family":"Noushmehr","given":"Houtan"},{"family":"Scarpace","given":"Lisa"},{"family":"Girard","given":"Nicolas"},{"family":"Aymerich","given":"Marta"},{"family":"Campo","given":"Elias"},{"family":"Giné","given":"Eva"},{"family":"Guillermo","given":"Armando López"},{"family":"Bang","given":"Nguyen Van"},{"family":"Hanh","given":"Phan Thi"},{"family":"Phu","given":"Bui Duc"},{"family":"Tang","given":"Yufang"},{"family":"Colman","given":"Howard"},{"family":"Evason","given":"Kimberley"},{"family":"Dottino","given":"Peter R."},{"family":"Martignetti","given":"John A."},{"family":"Gabra","given":"Hani"},{"family":"Juhl","given":"Hartmut"},{"family":"Akeredolu","given":"Teniola"},{"family":"Stepa","given":"Serghei"},{"family":"Hoon","given":"Dave"},{"family":"Ahn","given":"Keunsoo"},{"family":"Kang","given":"Koo Jeong"},{"family":"Beuschlein","given":"Felix"},{"family":"Breggia","given":"Anne"},{"family":"Birrer","given":"Michael"},{"family":"Bell","given":"Debra"},{"family":"Borad","given":"Mitesh"},{"family":"Bryce","given":"Alan H."},{"family":"Castle","given":"Erik"},{"family":"Chandan","given":"Vishal"},{"family":"Cheville","given":"John"},{"family":"Copland","given":"John A."},{"family":"Farnell","given":"Michael"},{"family":"Flotte","given":"Thomas"},{"family":"Giama","given":"Nasra"},{"family":"Ho","given":"Thai"},{"family":"Kendrick","given":"Michael"},{"family":"Kocher","given":"Jean-Pierre"},{"family":"Kopp","given":"Karla"},{"family":"Moser","given":"Catherine"},{"family":"Nagorney","given":"David"},{"family":"O’Brien","given":"Daniel"},{"family":"O’Neill","given":"Brian Patrick"},{"family":"Patel","given":"Tushar"},{"family":"Petersen","given":"Gloria"},{"family":"Que","given":"Florencia"},{"family":"Rivera","given":"Michael"},{"family":"Roberts","given":"Lewis"},{"family":"Smallridge","given":"Robert"},{"family":"Smyrk","given":"Thomas"},{"family":"Stanton","given":"Melissa"},{"family":"Thompson","given":"R. Houston"},{"family":"Torbenson","given":"Michael"},{"family":"Yang","given":"Ju Dong"},{"family":"Zhang","given":"Lizhi"},{"family":"Brimo","given":"Fadi"},{"family":"Ajani","given":"Jaffer A."},{"family":"Gonzalez","given":"Ana Maria Angulo"},{"family":"Behrens","given":"Carmen"},{"family":"Bondaruk","given":"Jolanta"},{"family":"Broaddus","given":"Russell"},{"family":"Czerniak","given":"Bogdan"},{"family":"Esmaeli","given":"Bita"},{"family":"Fujimoto","given":"Junya"},{"family":"Gershenwald","given":"Jeffrey"},{"family":"Guo","given":"Charles"},{"family":"Lazar","given":"Alexander J."},{"family":"Logothetis","given":"Christopher"},{"family":"Meric-Bernstam","given":"Funda"},{"family":"Moran","given":"Cesar"},{"family":"Ramondetta","given":"Lois"},{"family":"Rice","given":"David"},{"family":"Sood","given":"Anil"},{"family":"Tamboli","given":"Pheroze"},{"family":"Thompson","given":"Timothy"},{"family":"Troncoso","given":"Patricia"},{"family":"Tsao","given":"Anne"},{"family":"Wistuba","given":"Ignacio"},{"family":"Carter","given":"Candace"},{"family":"Haydu","given":"Lauren"},{"family":"Hersey","given":"Peter"},{"family":"Jakrot","given":"Valerie"},{"family":"Kakavand","given":"Hojabr"},{"family":"Kefford","given":"Richard"},{"family":"Lee","given":"Kenneth"},{"family":"Long","given":"Georgina"},{"family":"Mann","given":"Graham"},{"family":"Quinn","given":"Michael"},{"family":"Saw","given":"Robyn"},{"family":"Scolyer","given":"Richard"},{"family":"Shannon","given":"Kerwin"},{"family":"Spillane","given":"Andrew"},{"family":"Stretch","given":"Onathan"},{"family":"Synott","given":"Maria"},{"family":"Thompson","given":"John"},{"family":"Wilmott","given":"James"},{"family":"Al-Ahmadie","given":"Hikmat"},{"family":"Chan","given":"Timothy A."},{"family":"Ghossein","given":"Ronald"},{"family":"Gopalan","given":"Anuradha"},{"family":"Levine","given":"Douglas A."},{"family":"Reuter","given":"Victor"},{"family":"Singer","given":"Samuel"},{"family":"Singh","given":"Bhuvanesh"},{"family":"Tien","given":"Nguyen Viet"},{"family":"Broudy","given":"Thomas"},{"family":"Mirsaidi","given":"Cyrus"},{"family":"Nair","given":"Praveen"},{"family":"Drwiega","given":"Paul"},{"family":"Miller","given":"Judy"},{"family":"Smith","given":"Jennifer"},{"family":"Zaren","given":"Howard"},{"family":"Park","given":"Joong-Won"},{"family":"Hung","given":"Nguyen Phi"},{"family":"Kebebew","given":"Electron"},{"family":"Linehan","given":"W. Marston"},{"family":"Metwalli","given":"Adam R."},{"family":"Pacak","given":"Karel"},{"family":"Pinto","given":"Peter A."},{"family":"Schiffman","given":"Mark"},{"family":"Schmidt","given":"Laura S."},{"family":"Vocke","given":"Cathy D."},{"family":"Wentzensen","given":"Nicolas"},{"family":"Worrell","given":"Robert"},{"family":"Yang","given":"Hannah"},{"family":"Moncrieff","given":"Marc"},{"family":"Goparaju","given":"Chandra"},{"family":"Melamed","given":"Jonathan"},{"family":"Pass","given":"Harvey"},{"family":"Botnariuc","given":"Natalia"},{"family":"Caraman","given":"Irina"},{"family":"Cernat","given":"Mircea"},{"family":"Chemencedji","given":"Inga"},{"family":"Clipca","given":"Adrian"},{"family":"Doruc","given":"Serghei"},{"family":"Gorincioi","given":"Ghenadie"},{"family":"Mura","given":"Sergiu"},{"family":"Pirtac","given":"Maria"},{"family":"Stancul","given":"Irina"},{"family":"Tcaciuc","given":"Diana"},{"family":"Albert","given":"Monique"},{"family":"Alexopoulou","given":"Iakovina"},{"family":"Arnaout","given":"Angel"},{"family":"Bartlett","given":"John"},{"family":"Engel","given":"Jay"},{"family":"Gilbert","given":"Sebastien"},{"family":"Parfitt","given":"Jeremy"},{"family":"Sekhon","given":"Harman"},{"family":"Thomas","given":"George"},{"family":"Rassl","given":"Doris M."},{"family":"Rintoul","given":"Robert C."},{"family":"Bifulco","given":"Carlo"},{"family":"Tamakawa","given":"Raina"},{"family":"Urba","given":"Walter"},{"family":"Hayward","given":"Nicholas"},{"family":"Timmers","given":"Henri"},{"family":"Antenucci","given":"Anna"},{"family":"Facciolo","given":"Francesco"},{"family":"Grazi","given":"Gianluca"},{"family":"Marino","given":"Mirella"},{"family":"Merola","given":"Roberta"},{"family":"Krijger","given":"Ronald","dropping-particle":"de"},{"family":"Gimenez-Roqueplo","given":"Anne-Paule"},{"family":"Piché","given":"Alain"},{"family":"Chevalier","given":"Simone"},{"family":"McKercher","given":"Ginette"},{"family":"Birsoy","given":"Kivanc"},{"family":"Barnett","given":"Gene"},{"family":"Brewer","given":"Cathy"},{"family":"Farver","given":"Carol"},{"family":"Naska","given":"Theresa"},{"family":"Pennell","given":"Nathan A."},{"family":"Raymond","given":"Daniel"},{"family":"Schilero","given":"Cathy"},{"family":"Smolenski","given":"Kathy"},{"family":"Williams","given":"Felicia"},{"family":"Morrison","given":"Carl"},{"family":"Borgia","given":"Jeffrey A."},{"family":"Liptay","given":"Michael J."},{"family":"Pool","given":"Mark"},{"family":"Seder","given":"Christopher W."},{"family":"Junker","given":"Kerstin"},{"family":"Omberg","given":"Larsson"},{"family":"Dinkin","given":"Mikhail"},{"family":"Manikhas","given":"George"},{"family":"Alvaro","given":"Domenico"},{"family":"Bragazzi","given":"Maria Consiglia"},{"family":"Cardinale","given":"Vincenzo"},{"family":"Carpino","given":"Guido"},{"family":"Gaudio","given":"Eugenio"},{"family":"Chesla","given":"David"},{"family":"Cottingham","given":"Sandra"},{"family":"Dubina","given":"Michael"},{"family":"Moiseenko","given":"Fedor"},{"family":"Dhanasekaran","given":"Renumathy"},{"family":"Becker","given":"Karl-Friedrich"},{"family":"Janssen","given":"Klaus-Peter"},{"family":"Slotta-Huspenina","given":"Julia"},{"family":"Abdel-Rahman","given":"Mohamed H."},{"family":"Aziz","given":"Dina"},{"family":"Bell","given":"Sue"},{"family":"Cebulla","given":"Colleen M."},{"family":"Davis","given":"Amy"},{"family":"Duell","given":"Rebecca"},{"family":"Elder","given":"J. Bradley"},{"family":"Hilty","given":"Joe"},{"family":"Kumar","given":"Bahavna"},{"family":"Lang","given":"James"},{"family":"Lehman","given":"Norman L."},{"family":"Mandt","given":"Randy"},{"family":"Nguyen","given":"Phuong"},{"family":"Pilarski","given":"Robert"},{"family":"Rai","given":"Karan"},{"family":"Schoenfield","given":"Lynn"},{"family":"Senecal","given":"Kelly"},{"family":"Wakely","given":"Paul"},{"family":"Hansen","given":"Paul"},{"family":"Lechan","given":"Ronald"},{"family":"Powers","given":"James"},{"family":"Tischler","given":"Arthur"},{"family":"Grizzle","given":"William E."},{"family":"Sexton","given":"Katherine C."},{"family":"Kastl","given":"Alison"},{"family":"Henderson","given":"Joel"},{"family":"Porten","given":"Sima"},{"family":"Waldmann","given":"Jens"},{"family":"Fassnacht","given":"Martin"},{"family":"Asa","given":"Sylvia L."},{"family":"Schadendorf","given":"Dirk"},{"family":"Couce","given":"Marta"},{"family":"Graefen","given":"Markus"},{"family":"Huland","given":"Hartwig"},{"family":"Sauter","given":"Guido"},{"family":"Schlomm","given":"Thorsten"},{"family":"Simon","given":"Ronald"},{"family":"Tennstedt","given":"Pierre"},{"family":"Olabode","given":"Oluwole"},{"family":"Nelson","given":"Mark"},{"family":"Bathe","given":"Oliver"},{"family":"Carroll","given":"Peter R."},{"family":"Chan","given":"June M."},{"family":"Disaia","given":"Philip"},{"family":"Glenn","given":"Pat"},{"family":"Kelley","given":"Robin K."},{"family":"Landen","given":"Charles N."},{"family":"Phillips","given":"Joanna"},{"family":"Prados","given":"Michael"},{"family":"Simko","given":"Jeffry"},{"family":"Smith-McCune","given":"Karen"},{"family":"VandenBerg","given":"Scott"},{"family":"Roggin","given":"Kevin"},{"family":"Fehrenbach","given":"Ashley"},{"family":"Kendler","given":"Ady"},{"family":"Sifri","given":"Suzanne"},{"family":"Steele","given":"Ruth"},{"family":"Jimeno","given":"Antonio"},{"family":"Carey","given":"Francis"},{"family":"Forgie","given":"Ian"},{"family":"Mannelli","given":"Massimo"},{"family":"Carney","given":"Michael"},{"family":"Hernandez","given":"Brenda"},{"family":"Campos","given":"Benito"},{"family":"Herold-Mende","given":"Christel"},{"family":"Jungk","given":"Christin"},{"family":"Unterberg","given":"Andreas"},{"family":"Deimling","given":"Andreas","dropping-particle":"von"},{"family":"Bossler","given":"Aaron"},{"family":"Galbraith","given":"Joseph"},{"family":"Jacobus","given":"Laura"},{"family":"Knudson","given":"Michael"},{"family":"Knutson","given":"Tina"},{"family":"Ma","given":"Deqin"},{"family":"Milhem","given":"Mohammed"},{"family":"Sigmund","given":"Rita"},{"family":"Godwin","given":"Andrew K."},{"family":"Madan","given":"Rashna"},{"family":"Rosenthal","given":"Howard G."},{"family":"Adebamowo","given":"Clement"},{"family":"Adebamowo","given":"Sally N."},{"family":"Boussioutas","given":"Alex"},{"family":"Beer","given":"David"},{"family":"Giordano","given":"Thomas"},{"family":"Mes-Masson","given":"Anne-Marie"},{"family":"Saad","given":"Fred"},{"family":"Bocklage","given":"Therese"},{"family":"Landrum","given":"Lisa"},{"family":"Mannel","given":"Robert"},{"family":"Moore","given":"Kathleen"},{"family":"Moxley","given":"Katherine"},{"family":"Postier","given":"Russel"},{"family":"Walker","given":"Joan"},{"family":"Zuna","given":"Rosemary"},{"family":"Feldman","given":"Michael"},{"family":"Valdivieso","given":"Federico"},{"family":"Dhir","given":"Rajiv"},{"family":"Luketich","given":"James"},{"family":"Pinero","given":"Edna M. Mora"},{"family":"Quintero-Aguilo","given":"Mario"},{"family":"Carlotti","given":"Carlos Gilberto"},{"family":"Santos","given":"Jose Sebastião Dos"},{"family":"Kemp","given":"Rafael"},{"family":"Sankarankuty","given":"Ajith"},{"family":"Tirapelli","given":"Daniela"},{"family":"Catto","given":"James"},{"family":"Agnew","given":"Kathy"},{"family":"Swisher","given":"Elizabeth"},{"family":"Creaney","given":"Jenette"},{"family":"Robinson","given":"Bruce"},{"family":"Shelley","given":"Carl Simon"},{"family":"Godwin","given":"Eryn M."},{"family":"Kendall","given":"Sara"},{"family":"Shipman","given":"Cassaundra"},{"family":"Bradford","given":"Carol"},{"family":"Carey","given":"Thomas"},{"family":"Haddad","given":"Andrea"},{"family":"Moyer","given":"Jeffey"},{"family":"Peterson","given":"Lisa"},{"family":"Prince","given":"Mark"},{"family":"Rozek","given":"Laura"},{"family":"Wolf","given":"Gregory"},{"family":"Bowman","given":"Rayleen"},{"family":"Fong","given":"Kwun M."},{"family":"Yang","given":"Ian"},{"family":"Korst","given":"Robert"},{"family":"Rathmell","given":"W. Kimryn"},{"family":"Fantacone-Campbell","given":"J. Leigh"},{"family":"Hooke","given":"Jeffrey A."},{"family":"Kovatich","given":"Albert J."},{"family":"Shriver","given":"Craig D."},{"family":"DiPersio","given":"John"},{"family":"Drake","given":"Bettina"},{"family":"Govindan","given":"Ramaswamy"},{"family":"Heath","given":"Sharon"},{"family":"Ley","given":"Timothy"},{"family":"Tine","given":"Brian Van"},{"family":"Westervelt","given":"Peter"},{"family":"Rubin","given":"Mark A."},{"family":"Lee","given":"Jung Il"},{"family":"Aredes","given":"Natália D."},{"family":"Mariamidze","given":"Armaz"},{"family":"Spellman","given":"Paul T."},{"family":"Rathmell","given":"W. Kimryn"},{"family":"Linehan","given":"W. Marston"}],"issued":{"date-parts":[["2018",4,5]]},"accessed":{"date-parts":[["2018",4,9]]}}}],"schema":"https://github.com/citation-style-language/schema/raw/master/csl-citation.json"} </w:instrText>
      </w:r>
      <w:r w:rsidR="005C5D78">
        <w:rPr>
          <w:rFonts w:ascii="Calibri" w:hAnsi="Calibri" w:cs="Calibri"/>
          <w:color w:val="000000" w:themeColor="text1"/>
          <w:sz w:val="22"/>
          <w:szCs w:val="22"/>
        </w:rPr>
        <w:fldChar w:fldCharType="separate"/>
      </w:r>
      <w:r w:rsidR="005C5D78" w:rsidRPr="005C5D78">
        <w:rPr>
          <w:rFonts w:ascii="Calibri" w:hAnsi="Calibri" w:cs="Calibri"/>
          <w:color w:val="000000"/>
          <w:sz w:val="22"/>
          <w:vertAlign w:val="superscript"/>
          <w:lang w:val="en-US"/>
        </w:rPr>
        <w:t>3–5</w:t>
      </w:r>
      <w:r w:rsidR="005C5D78">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p>
    <w:p w14:paraId="7AADE332" w14:textId="645A434F" w:rsidR="00F131BF" w:rsidRPr="00B946E4" w:rsidRDefault="00CD4435" w:rsidP="00FA5EEB">
      <w:pPr>
        <w:spacing w:line="360" w:lineRule="auto"/>
        <w:jc w:val="both"/>
        <w:rPr>
          <w:rFonts w:ascii="Calibri" w:hAnsi="Calibri" w:cs="Calibri"/>
          <w:strike/>
          <w:color w:val="000000" w:themeColor="text1"/>
          <w:sz w:val="22"/>
          <w:szCs w:val="22"/>
        </w:rPr>
      </w:pPr>
      <w:r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ingle cell sequencing </w:t>
      </w:r>
      <w:r w:rsidRPr="00D637BA">
        <w:rPr>
          <w:rFonts w:ascii="Calibri" w:hAnsi="Calibri" w:cs="Calibri"/>
          <w:color w:val="000000" w:themeColor="text1"/>
          <w:sz w:val="22"/>
          <w:szCs w:val="22"/>
        </w:rPr>
        <w:t xml:space="preserve">studies </w:t>
      </w:r>
      <w:r w:rsidR="00F131BF" w:rsidRPr="00D637BA">
        <w:rPr>
          <w:rFonts w:ascii="Calibri" w:hAnsi="Calibri" w:cs="Calibri"/>
          <w:color w:val="000000" w:themeColor="text1"/>
          <w:sz w:val="22"/>
          <w:szCs w:val="22"/>
        </w:rPr>
        <w:t>ha</w:t>
      </w:r>
      <w:r w:rsidRPr="00D637BA">
        <w:rPr>
          <w:rFonts w:ascii="Calibri" w:hAnsi="Calibri" w:cs="Calibri"/>
          <w:color w:val="000000" w:themeColor="text1"/>
          <w:sz w:val="22"/>
          <w:szCs w:val="22"/>
        </w:rPr>
        <w:t>ve</w:t>
      </w:r>
      <w:r w:rsidR="00F131BF" w:rsidRPr="00D637BA">
        <w:rPr>
          <w:rFonts w:ascii="Calibri" w:hAnsi="Calibri" w:cs="Calibri"/>
          <w:color w:val="000000" w:themeColor="text1"/>
          <w:sz w:val="22"/>
          <w:szCs w:val="22"/>
        </w:rPr>
        <w:t xml:space="preserve"> shed light on the oncogenic events and cell</w:t>
      </w:r>
      <w:r w:rsidR="009F15FD"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 of origin of </w:t>
      </w:r>
      <w:r w:rsidR="0064168D">
        <w:rPr>
          <w:rFonts w:ascii="Calibri" w:hAnsi="Calibri" w:cs="Calibri"/>
          <w:color w:val="000000" w:themeColor="text1"/>
          <w:sz w:val="22"/>
          <w:szCs w:val="22"/>
        </w:rPr>
        <w:t xml:space="preserve">two common </w:t>
      </w:r>
      <w:r w:rsidR="009F15FD" w:rsidRPr="00D637BA">
        <w:rPr>
          <w:rFonts w:ascii="Calibri" w:hAnsi="Calibri" w:cs="Calibri"/>
          <w:color w:val="000000" w:themeColor="text1"/>
          <w:sz w:val="22"/>
          <w:szCs w:val="22"/>
        </w:rPr>
        <w:t>RCC subtypes</w:t>
      </w:r>
      <w:r w:rsidR="0064168D">
        <w:rPr>
          <w:rFonts w:ascii="Calibri" w:hAnsi="Calibri" w:cs="Calibri"/>
          <w:color w:val="000000" w:themeColor="text1"/>
          <w:sz w:val="22"/>
          <w:szCs w:val="22"/>
        </w:rPr>
        <w:t>,</w:t>
      </w:r>
      <w:r w:rsidR="009F63FD">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clear cell RCC (ccRCC) and type 1 papillary RCC (pRCC</w:t>
      </w:r>
      <w:r w:rsidR="006448F0" w:rsidRPr="00D637BA">
        <w:rPr>
          <w:rFonts w:ascii="Calibri" w:hAnsi="Calibri" w:cs="Calibri"/>
          <w:color w:val="000000" w:themeColor="text1"/>
          <w:sz w:val="22"/>
          <w:szCs w:val="22"/>
        </w:rPr>
        <w:t xml:space="preserve">), suggesting </w:t>
      </w:r>
      <w:r w:rsidR="00F131BF" w:rsidRPr="00D637BA">
        <w:rPr>
          <w:rFonts w:ascii="Calibri" w:hAnsi="Calibri" w:cs="Calibri"/>
          <w:color w:val="000000" w:themeColor="text1"/>
          <w:sz w:val="22"/>
          <w:szCs w:val="22"/>
        </w:rPr>
        <w:t xml:space="preserve">that these tumours may arise from </w:t>
      </w:r>
      <w:r w:rsidR="0064168D">
        <w:rPr>
          <w:rFonts w:ascii="Calibri" w:hAnsi="Calibri" w:cs="Calibri"/>
          <w:color w:val="000000" w:themeColor="text1"/>
          <w:sz w:val="22"/>
          <w:szCs w:val="22"/>
        </w:rPr>
        <w:t>c</w:t>
      </w:r>
      <w:r w:rsidR="0064168D" w:rsidRPr="00D637BA">
        <w:rPr>
          <w:rFonts w:ascii="Calibri" w:hAnsi="Calibri" w:cs="Calibri"/>
          <w:color w:val="000000" w:themeColor="text1"/>
          <w:sz w:val="22"/>
          <w:szCs w:val="22"/>
        </w:rPr>
        <w:t xml:space="preserve">onvoluted proximal tubular cells </w:t>
      </w:r>
      <w:r w:rsidR="0064168D">
        <w:rPr>
          <w:rFonts w:ascii="Calibri" w:hAnsi="Calibri" w:cs="Calibri"/>
          <w:color w:val="000000" w:themeColor="text1"/>
          <w:sz w:val="22"/>
          <w:szCs w:val="22"/>
        </w:rPr>
        <w:t xml:space="preserve">, but might have </w:t>
      </w:r>
      <w:r w:rsidR="00F131BF" w:rsidRPr="00D637BA">
        <w:rPr>
          <w:rFonts w:ascii="Calibri" w:hAnsi="Calibri" w:cs="Calibri"/>
          <w:color w:val="000000" w:themeColor="text1"/>
          <w:sz w:val="22"/>
          <w:szCs w:val="22"/>
        </w:rPr>
        <w:t>divergent fates</w:t>
      </w:r>
      <w:r w:rsidR="005C5D78">
        <w:rPr>
          <w:rFonts w:ascii="Calibri" w:hAnsi="Calibri" w:cs="Calibri"/>
          <w:color w:val="000000" w:themeColor="text1"/>
          <w:sz w:val="22"/>
          <w:szCs w:val="22"/>
        </w:rPr>
        <w:fldChar w:fldCharType="begin"/>
      </w:r>
      <w:r w:rsidR="005C5D78">
        <w:rPr>
          <w:rFonts w:ascii="Calibri" w:hAnsi="Calibri" w:cs="Calibri"/>
          <w:color w:val="000000" w:themeColor="text1"/>
          <w:sz w:val="22"/>
          <w:szCs w:val="22"/>
        </w:rPr>
        <w:instrText xml:space="preserve"> ADDIN ZOTERO_ITEM CSL_CITATION {"citationID":"a2fuabuf78u","properties":{"formattedCitation":"\\super 6\\nosupersub{}","plainCitation":"6","noteIndex":0},"citationItems":[{"id":1181,"uris":["http://zotero.org/users/4775618/items/PIZUTF2C"],"uri":["http://zotero.org/users/4775618/items/PIZUTF2C"],"itemData":{"id":1181,"type":"article-journal","title":"Single-cell transcriptomes from human kidneys reveal the cellular identity of renal tumors","container-title":"Science","page":"594-599","volume":"361","issue":"6402","source":"science.sciencemag.org","abstract":"Pediatric and adult kidney tumors differ\nUnderstanding tumor origins and the similarities and differences between organ-specific cancers is important for determining treatment options. Young et al. generated more than 72,000 single-cell transcriptomes from healthy and cancerous human kidneys. From these data, they determined that Wilms tumor, a pediatric kidney cancer, originates from aberrant fetal cells, whereas adult kidney cancers are likely derived from a specific subtype of proximal convoluted tubular cell.\nScience, this issue p. 594\nMessenger RNA encodes cellular function and phenotype. In the context of human cancer, it defines the identities of malignant cells and the diversity of tumor tissue. We studied 72,501 single-cell transcriptomes of human renal tumors and normal tissue from fetal, pediatric, and adult kidneys. We matched childhood Wilms tumor with specific fetal cell types, thus providing evidence for the hypothesis that Wilms tumor cells are aberrant fetal cells. In adult renal cell carcinoma, we identified a canonical cancer transcriptome that matched a little-known subtype of proximal convoluted tubular cell. Analyses of the tumor composition defined cancer-associated normal cells and delineated a complex vascular endothelial growth factor (VEGF) signaling circuit. Our findings reveal the precise cellular identities and compositions of human kidney tumors.\nSingle-cell mRNAs of normal and cancerous kidney cells reveal the cellular identity of childhood and adult tumors.\nSingle-cell mRNAs of normal and cancerous kidney cells reveal the cellular identity of childhood and adult tumors.","URL":"http://science.sciencemag.org/content/361/6402/594","DOI":"10.1126/science.aat1699","ISSN":"0036-8075, 1095-9203","note":"PMID: 30093597","language":"en","author":[{"family":"Young","given":"Matthew D."},{"family":"Mitchell","given":"Thomas J."},{"family":"Braga","given":"Felipe A. Vieira"},{"family":"Tran","given":"Maxine G. B."},{"family":"Stewart","given":"Benjamin J."},{"family":"Ferdinand","given":"John R."},{"family":"Collord","given":"Grace"},{"family":"Botting","given":"Rachel A."},{"family":"Popescu","given":"Dorin-Mirel"},{"family":"Loudon","given":"Kevin W."},{"family":"Vento-Tormo","given":"Roser"},{"family":"Stephenson","given":"Emily"},{"family":"Cagan","given":"Alex"},{"family":"Farndon","given":"Sarah J."},{"family":"Velasco-Herrera","given":"Martin Del Castillo"},{"family":"Guzzo","given":"Charlotte"},{"family":"Richoz","given":"Nathan"},{"family":"Mamanova","given":"Lira"},{"family":"Aho","given":"Tevita"},{"family":"Armitage","given":"James N."},{"family":"Riddick","given":"Antony C. P."},{"family":"Mushtaq","given":"Imran"},{"family":"Farrell","given":"Stephen"},{"family":"Rampling","given":"Dyanne"},{"family":"Nicholson","given":"James"},{"family":"Filby","given":"Andrew"},{"family":"Burge","given":"Johanna"},{"family":"Lisgo","given":"Steven"},{"family":"Maxwell","given":"Patrick H."},{"family":"Lindsay","given":"Susan"},{"family":"Warren","given":"Anne Y."},{"family":"Stewart","given":"Grant D."},{"family":"Sebire","given":"Neil"},{"family":"Coleman","given":"Nicholas"},{"family":"Haniffa","given":"Muzlifah"},{"family":"Teichmann","given":"Sarah A."},{"family":"Clatworthy","given":"Menna"},{"family":"Behjati","given":"Sam"}],"issued":{"date-parts":[["2018",8,10]]},"accessed":{"date-parts":[["2019",2,17]]}}}],"schema":"https://github.com/citation-style-language/schema/raw/master/csl-citation.json"} </w:instrText>
      </w:r>
      <w:r w:rsidR="005C5D78">
        <w:rPr>
          <w:rFonts w:ascii="Calibri" w:hAnsi="Calibri" w:cs="Calibri"/>
          <w:color w:val="000000" w:themeColor="text1"/>
          <w:sz w:val="22"/>
          <w:szCs w:val="22"/>
        </w:rPr>
        <w:fldChar w:fldCharType="separate"/>
      </w:r>
      <w:r w:rsidR="005C5D78" w:rsidRPr="005C5D78">
        <w:rPr>
          <w:rFonts w:ascii="Calibri" w:hAnsi="Calibri" w:cs="Calibri"/>
          <w:color w:val="000000"/>
          <w:sz w:val="22"/>
          <w:vertAlign w:val="superscript"/>
          <w:lang w:val="en-US"/>
        </w:rPr>
        <w:t>6</w:t>
      </w:r>
      <w:r w:rsidR="005C5D7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The TRACERx Renal </w:t>
      </w:r>
      <w:r w:rsidR="00F131BF" w:rsidRPr="00D637BA">
        <w:rPr>
          <w:rFonts w:ascii="Calibri" w:hAnsi="Calibri" w:cs="Calibri"/>
          <w:color w:val="000000" w:themeColor="text1"/>
          <w:sz w:val="22"/>
          <w:szCs w:val="22"/>
        </w:rPr>
        <w:t xml:space="preserve">studies </w:t>
      </w:r>
      <w:r w:rsidRPr="00D637BA">
        <w:rPr>
          <w:rFonts w:ascii="Calibri" w:hAnsi="Calibri" w:cs="Calibri"/>
          <w:color w:val="000000" w:themeColor="text1"/>
          <w:sz w:val="22"/>
          <w:szCs w:val="22"/>
        </w:rPr>
        <w:t xml:space="preserve">published in 2018 </w:t>
      </w:r>
      <w:r w:rsidR="00F131BF" w:rsidRPr="00D637BA">
        <w:rPr>
          <w:rFonts w:ascii="Calibri" w:hAnsi="Calibri" w:cs="Calibri"/>
          <w:color w:val="000000" w:themeColor="text1"/>
          <w:sz w:val="22"/>
          <w:szCs w:val="22"/>
        </w:rPr>
        <w:t xml:space="preserve">expanded </w:t>
      </w:r>
      <w:r w:rsidRPr="00D637BA">
        <w:rPr>
          <w:rFonts w:ascii="Calibri" w:hAnsi="Calibri" w:cs="Calibri"/>
          <w:color w:val="000000" w:themeColor="text1"/>
          <w:sz w:val="22"/>
          <w:szCs w:val="22"/>
        </w:rPr>
        <w:t xml:space="preserve">our knowledge of </w:t>
      </w:r>
      <w:r w:rsidR="00F131BF" w:rsidRPr="00D637BA">
        <w:rPr>
          <w:rFonts w:ascii="Calibri" w:hAnsi="Calibri" w:cs="Calibri"/>
          <w:color w:val="000000" w:themeColor="text1"/>
          <w:sz w:val="22"/>
          <w:szCs w:val="22"/>
        </w:rPr>
        <w:t>the role of genomics in RCC tumour evolution</w:t>
      </w:r>
      <w:r w:rsidR="005C5D78">
        <w:rPr>
          <w:rFonts w:ascii="Calibri" w:hAnsi="Calibri" w:cs="Calibri"/>
          <w:color w:val="000000" w:themeColor="text1"/>
          <w:sz w:val="22"/>
          <w:szCs w:val="22"/>
        </w:rPr>
        <w:fldChar w:fldCharType="begin"/>
      </w:r>
      <w:r w:rsidR="005C5D78">
        <w:rPr>
          <w:rFonts w:ascii="Calibri" w:hAnsi="Calibri" w:cs="Calibri"/>
          <w:color w:val="000000" w:themeColor="text1"/>
          <w:sz w:val="22"/>
          <w:szCs w:val="22"/>
        </w:rPr>
        <w:instrText xml:space="preserve"> ADDIN ZOTERO_ITEM CSL_CITATION {"citationID":"ako6l1qtt1","properties":{"formattedCitation":"\\super 7\\uc0\\u8211{}9\\nosupersub{}","plainCitation":"7–9","noteIndex":0},"citationItems":[{"id":1025,"uris":["http://zotero.org/users/4775618/items/8MMTZBV7"],"uri":["http://zotero.org/users/4775618/items/8MMTZBV7"],"itemData":{"id":1025,"type":"article-journal","title":"Timing the Landmark Events in the Evolution of Clear Cell Renal Cell Cancer: TRACERx Renal","container-title":"Cell","page":"611-623.e17","volume":"173","issue":"3","source":"PubMed","abstract":"Clear cell renal cell carcinoma (ccRCC) is characterized by near-universal loss of the short arm of chromosome 3, deleting several tumor suppressor genes. We analyzed whole genomes from 95 biopsies across 33 patients with clear cell renal cell carcinoma. We find hotspots of point mutations in the 5' UTR of TERT, targeting a MYC-MAX-MAD1 repressor associated with telomere lengthening. The most common structural abnormality generates simultaneous 3p loss and 5q gain (36% patients), typically through chromothripsis. This event occurs in childhood or adolescence, generally as the initiating event that precedes emergence of the tumor's most recent common ancestor by years to decades. Similar genomic changes drive inherited ccRCC. Modeling differences in age incidence between inherited and sporadic cancers suggests that the number of cells with 3p loss capable of initiating sporadic tumors is no more than a few hundred. Early development of ccRCC follows well-defined evolutionary trajectories, offering opportunity for early intervention.","DOI":"10.1016/j.cell.2018.02.020","ISSN":"1097-4172","note":"PMID: 29656891\nPMCID: PMC5927631","title-short":"Timing the Landmark Events in the Evolution of Clear Cell Renal Cell Cancer","journalAbbreviation":"Cell","language":"eng","author":[{"family":"Mitchell","given":"Thomas J."},{"family":"Turajlic","given":"Samra"},{"family":"Rowan","given":"Andrew"},{"family":"Nicol","given":"David"},{"family":"Farmery","given":"James H. R."},{"family":"O'Brien","given":"Tim"},{"family":"Martincorena","given":"Inigo"},{"family":"Tarpey","given":"Patrick"},{"family":"Angelopoulos","given":"Nicos"},{"family":"Yates","given":"Lucy R."},{"family":"Butler","given":"Adam P."},{"family":"Raine","given":"Keiran"},{"family":"Stewart","given":"Grant D."},{"family":"Challacombe","given":"Ben"},{"family":"Fernando","given":"Archana"},{"family":"Lopez","given":"Jose I."},{"family":"Hazell","given":"Steve"},{"family":"Chandra","given":"Ashish"},{"family":"Chowdhury","given":"Simon"},{"family":"Rudman","given":"Sarah"},{"family":"Soultati","given":"Aspasia"},{"family":"Stamp","given":"Gordon"},{"family":"Fotiadis","given":"Nicos"},{"family":"Pickering","given":"Lisa"},{"family":"Au","given":"Lewis"},{"family":"Spain","given":"Lavinia"},{"family":"Lynch","given":"Joanna"},{"family":"Stares","given":"Mark"},{"family":"Teague","given":"Jon"},{"family":"Maura","given":"Francesco"},{"family":"Wedge","given":"David C."},{"family":"Horswell","given":"Stuart"},{"family":"Chambers","given":"Tim"},{"family":"Litchfield","given":"Kevin"},{"family":"Xu","given":"Hang"},{"family":"Stewart","given":"Aengus"},{"family":"Elaidi","given":"Reza"},{"family":"Oudard","given":"Stéphane"},{"family":"McGranahan","given":"Nicholas"},{"family":"Csabai","given":"Istvan"},{"family":"Gore","given":"Martin"},{"family":"Futreal","given":"P. Andrew"},{"family":"Larkin","given":"James"},{"family":"Lynch","given":"Andy G."},{"family":"Szallasi","given":"Zoltan"},{"family":"Swanton","given":"Charles"},{"family":"Campbell","given":"Peter J."},{"literal":"TRACERx Renal Consortium"}],"issued":{"date-parts":[["2018",4,19]]}}},{"id":1107,"uris":["http://zotero.org/users/4775618/items/493C63L4"],"uri":["http://zotero.org/users/4775618/items/493C63L4"],"itemData":{"id":1107,"type":"article-journal","title":"Deterministic Evolutionary Trajectories Influence Primary Tumor Growth: TRACERx Renal","container-title":"Cell","page":"595-610.e11","volume":"173","issue":"3","source":"www.cell.com","abstract":"&lt;h2&gt;Summary&lt;/h2&gt;&lt;p&gt;The evolutionary features of clear-cell renal cell carcinoma (ccRCC) have not been systematically studied to date. We analyzed 1,206 primary tumor regions from 101 patients recruited into the multi-center prospective study, TRACERx Renal. We observe up to 30 driver events per tumor and show that subclonal diversification is associated with known prognostic parameters. By resolving the patterns of driver event ordering, co-occurrence, and mutual exclusivity at clone level, we show the deterministic nature of clonal evolution. ccRCC can be grouped into seven evolutionary subtypes, ranging from tumors characterized by early fixation of multiple mutational and copy number drivers and rapid metastases to highly branched tumors with &gt;10 subclonal drivers and extensive parallel evolution associated with attenuated progression. We identify genetic diversity and chromosomal complexity as determinants of patient outcome. Our insights reconcile the variable clinical behavior of ccRCC and suggest evolutionary potential as a biomarker for both intervention and surveillance.&lt;/p&gt;","URL":"https://www.cell.com/cell/abstract/S0092-8674(18)30375-1","DOI":"10.1016/j.cell.2018.03.043","ISSN":"0092-8674, 1097-4172","note":"PMID: 29656894","title-short":"Deterministic Evolutionary Trajectories Influence Primary Tumor Growth","journalAbbreviation":"Cell","language":"English","author":[{"family":"Turajlic","given":"Samra"},{"family":"Xu","given":"Hang"},{"family":"Litchfield","given":"Kevin"},{"family":"Rowan","given":"Andrew"},{"family":"Horswell","given":"Stuart"},{"family":"Chambers","given":"Tim"},{"family":"O’Brien","given":"Tim"},{"family":"Lopez","given":"Jose I."},{"family":"Watkins","given":"Thomas B. K."},{"family":"Nicol","given":"David"},{"family":"Stares","given":"Mark"},{"family":"Challacombe","given":"Ben"},{"family":"Hazell","given":"Steve"},{"family":"Chandra","given":"Ashish"},{"family":"Mitchell","given":"Thomas J."},{"family":"Au","given":"Lewis"},{"family":"Eichler-Jonsson","given":"Claudia"},{"family":"Jabbar","given":"Faiz"},{"family":"Soultati","given":"Aspasia"},{"family":"Chowdhury","given":"Simon"},{"family":"Rudman","given":"Sarah"},{"family":"Lynch","given":"Joanna"},{"family":"Fernando","given":"Archana"},{"family":"Stamp","given":"Gordon"},{"family":"Nye","given":"Emma"},{"family":"Stewart","given":"Aengus"},{"family":"Xing","given":"Wei"},{"family":"Smith","given":"Jonathan C."},{"family":"Escudero","given":"Mickael"},{"family":"Huffman","given":"Adam"},{"family":"Matthews","given":"Nik"},{"family":"Elgar","given":"Greg"},{"family":"Phillimore","given":"Ben"},{"family":"Costa","given":"Marta"},{"family":"Begum","given":"Sharmin"},{"family":"Ward","given":"Sophia"},{"family":"Salm","given":"Max"},{"family":"Boeing","given":"Stefan"},{"family":"Fisher","given":"Rosalie"},{"family":"Spain","given":"Lavinia"},{"family":"Navas","given":"Carolina"},{"family":"Grönroos","given":"Eva"},{"family":"Hobor","given":"Sebastijan"},{"family":"Sharma","given":"Sarkhara"},{"family":"Aurangzeb","given":"Ismaeel"},{"family":"Lall","given":"Sharanpreet"},{"family":"Polson","given":"Alexander"},{"family":"Varia","given":"Mary"},{"family":"Horsfield","given":"Catherine"},{"family":"Fotiadis","given":"Nicos"},{"family":"Pickering","given":"Lisa"},{"family":"Schwarz","given":"Roland F."},{"family":"Silva","given":"Bruno"},{"family":"Herrero","given":"Javier"},{"family":"Luscombe","given":"Nick M."},{"family":"Jamal-Hanjani","given":"Mariam"},{"family":"Rosenthal","given":"Rachel"},{"family":"Birkbak","given":"Nicolai J."},{"family":"Wilson","given":"Gareth A."},{"family":"Pipek","given":"Orsolya"},{"family":"Ribli","given":"Dezso"},{"family":"Krzystanek","given":"Marcin"},{"family":"Csabai","given":"Istvan"},{"family":"Szallasi","given":"Zoltan"},{"family":"Gore","given":"Martin"},{"family":"McGranahan","given":"Nicholas"},{"family":"Loo","given":"Peter Van"},{"family":"Campbell","given":"Peter"},{"family":"Larkin","given":"James"},{"family":"Swanton","given":"Charles"}],"issued":{"date-parts":[["2018",4,19]]},"accessed":{"date-parts":[["2019",2,15]]}}},{"id":1108,"uris":["http://zotero.org/users/4775618/items/GZRHIVTK"],"uri":["http://zotero.org/users/4775618/items/GZRHIVTK"],"itemData":{"id":1108,"type":"article-journal","title":"Tracking Cancer Evolution Reveals Constrained Routes to Metastases: TRACERx Renal","container-title":"Cell","page":"581-594.e12","volume":"173","issue":"3","source":"www.cell.com","URL":"https://www.cell.com/cell/abstract/S0092-8674(18)30389-1","DOI":"10.1016/j.cell.2018.03.057","ISSN":"0092-8674, 1097-4172","note":"PMID: 29656895","title-short":"Tracking Cancer Evolution Reveals Constrained Routes to Metastases","journalAbbreviation":"Cell","language":"English","author":[{"family":"Turajlic","given":"Samra"},{"family":"Xu","given":"Hang"},{"family":"Litchfield","given":"Kevin"},{"family":"Rowan","given":"Andrew"},{"family":"Chambers","given":"Tim"},{"family":"Lopez","given":"Jose I."},{"family":"Nicol","given":"David"},{"family":"O’Brien","given":"Tim"},{"family":"Larkin","given":"James"},{"family":"Horswell","given":"Stuart"},{"family":"Stares","given":"Mark"},{"family":"Au","given":"Lewis"},{"family":"Jamal-Hanjani","given":"Mariam"},{"family":"Challacombe","given":"Ben"},{"family":"Chandra","given":"Ashish"},{"family":"Hazell","given":"Steve"},{"family":"Eichler-Jonsson","given":"Claudia"},{"family":"Soultati","given":"Aspasia"},{"family":"Chowdhury","given":"Simon"},{"family":"Rudman","given":"Sarah"},{"family":"Lynch","given":"Joanna"},{"family":"Fernando","given":"Archana"},{"family":"Stamp","given":"Gordon"},{"family":"Nye","given":"Emma"},{"family":"Jabbar","given":"Faiz"},{"family":"Spain","given":"Lavinia"},{"family":"Lall","given":"Sharanpreet"},{"family":"Guarch","given":"Rosa"},{"family":"Falzon","given":"Mary"},{"family":"Proctor","given":"Ian"},{"family":"Pickering","given":"Lisa"},{"family":"Gore","given":"Martin"},{"family":"Watkins","given":"Thomas B. K."},{"family":"Ward","given":"Sophia"},{"family":"Stewart","given":"Aengus"},{"family":"DiNatale","given":"Renzo"},{"family":"Becerra","given":"Maria F."},{"family":"Reznik","given":"Ed"},{"family":"Hsieh","given":"James J."},{"family":"Richmond","given":"Todd A."},{"family":"Mayhew","given":"George F."},{"family":"Hill","given":"Samantha M."},{"family":"McNally","given":"Catherine D."},{"family":"Jones","given":"Carol"},{"family":"Rosenbaum","given":"Heidi"},{"family":"Stanislaw","given":"Stacey"},{"family":"Burgess","given":"Daniel L."},{"family":"Alexander","given":"Nelson R."},{"family":"Swanton","given":"Charles"}],"issued":{"date-parts":[["2018",4,19]]},"accessed":{"date-parts":[["2019",2,15]]}}}],"schema":"https://github.com/citation-style-language/schema/raw/master/csl-citation.json"} </w:instrText>
      </w:r>
      <w:r w:rsidR="005C5D78">
        <w:rPr>
          <w:rFonts w:ascii="Calibri" w:hAnsi="Calibri" w:cs="Calibri"/>
          <w:color w:val="000000" w:themeColor="text1"/>
          <w:sz w:val="22"/>
          <w:szCs w:val="22"/>
        </w:rPr>
        <w:fldChar w:fldCharType="separate"/>
      </w:r>
      <w:r w:rsidR="005C5D78" w:rsidRPr="005C5D78">
        <w:rPr>
          <w:rFonts w:ascii="Calibri" w:hAnsi="Calibri" w:cs="Calibri"/>
          <w:color w:val="000000"/>
          <w:sz w:val="22"/>
          <w:vertAlign w:val="superscript"/>
          <w:lang w:val="en-US"/>
        </w:rPr>
        <w:t>7–9</w:t>
      </w:r>
      <w:r w:rsidR="005C5D7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Loss of </w:t>
      </w:r>
      <w:r w:rsidR="00F131BF" w:rsidRPr="00D637BA">
        <w:rPr>
          <w:rFonts w:ascii="Calibri" w:hAnsi="Calibri" w:cs="Calibri"/>
          <w:color w:val="000000" w:themeColor="text1"/>
          <w:sz w:val="22"/>
          <w:szCs w:val="22"/>
        </w:rPr>
        <w:lastRenderedPageBreak/>
        <w:t>chromosome 3p, a pathognomonic feature of ccRCC occurring in</w:t>
      </w:r>
      <w:r w:rsidR="00E83135"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&gt;90% of patients</w:t>
      </w:r>
      <w:r w:rsidR="005C5D78">
        <w:rPr>
          <w:rFonts w:ascii="Calibri" w:hAnsi="Calibri" w:cs="Calibri"/>
          <w:color w:val="000000" w:themeColor="text1"/>
          <w:sz w:val="22"/>
          <w:szCs w:val="22"/>
        </w:rPr>
        <w:t xml:space="preserve"> </w:t>
      </w:r>
      <w:r w:rsidR="005C5D78">
        <w:rPr>
          <w:rFonts w:ascii="Calibri" w:hAnsi="Calibri" w:cs="Calibri"/>
          <w:color w:val="000000" w:themeColor="text1"/>
          <w:sz w:val="22"/>
          <w:szCs w:val="22"/>
        </w:rPr>
        <w:fldChar w:fldCharType="begin"/>
      </w:r>
      <w:r w:rsidR="00DB5C12">
        <w:rPr>
          <w:rFonts w:ascii="Calibri" w:hAnsi="Calibri" w:cs="Calibri"/>
          <w:color w:val="000000" w:themeColor="text1"/>
          <w:sz w:val="22"/>
          <w:szCs w:val="22"/>
        </w:rPr>
        <w:instrText xml:space="preserve"> ADDIN ZOTERO_ITEM CSL_CITATION {"citationID":"a2a3i5nqil8","properties":{"formattedCitation":"\\super 10,11\\nosupersub{}","plainCitation":"10,11","noteIndex":0},"citationItems":[{"id":363,"uris":["http://zotero.org/users/4775618/items/ZUFWLR5I"],"uri":["http://zotero.org/users/4775618/items/ZUFWLR5I"],"itemData":{"id":363,"type":"article-journal","title":"Comprehensive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Network"}],"issued":{"date-parts":[["2013",7]]},"accessed":{"date-parts":[["2018",4,2]]}}},{"id":1134,"uris":["http://zotero.org/users/4775618/items/A7ZLL4UD"],"uri":["http://zotero.org/users/4775618/items/A7ZLL4UD"],"itemData":{"id":1134,"type":"article-journal","title":"Loss of alleles of loci on the short arm of chromosome 3 in renal cell carcinoma","container-title":"Nature","page":"721","volume":"327","issue":"6124","source":"www-nature-com.ezp.lib.cam.ac.uk","abstract":"Loss of genes at specific chromosomal loci is a characteristic of retinoblastoma1, Wilms' tumour11, transitional cell carcinoma of the bladder2, embryonal tumours3 and small cell carcinoma of the lung4–7. The significance of nonrandom gene loss in these neoplasms is that gene loss on one chromosome may uncover null mutations at corresponding loci of the homologous chromosome8,9. Loss of specific gene products from somatic cells may be critical in the origin or evolution of certain human tumours. Clues to identification of new loci of gene loss in common adult solid tumours may be found in literature that describes chromosomal abnormalities in rare heritable cancers. Karyotypes of tumours in two families with hereditary renal carcinoma showed translocations involving the short arm of chromosome 3 (refs 10 and 11). We have examined tumours from 18 patients with non-hereditary renal cell carcinomas and found loss of alleles at loci on the short arm of chromosome 3 in all eleven of the patients who could be evaluated.","URL":"http://www.nature.com/articles/327721a0","DOI":"10.1038/327721a0","ISSN":"1476-4687","language":"En","author":[{"family":"Zbar","given":"B."},{"family":"Brauch","given":"H."},{"family":"Talmadge","given":"C."},{"family":"Linehan","given":"M."}],"issued":{"date-parts":[["1987",6]]},"accessed":{"date-parts":[["2019",2,16]]}}}],"schema":"https://github.com/citation-style-language/schema/raw/master/csl-citation.json"} </w:instrText>
      </w:r>
      <w:r w:rsidR="005C5D78">
        <w:rPr>
          <w:rFonts w:ascii="Calibri" w:hAnsi="Calibri" w:cs="Calibri"/>
          <w:color w:val="000000" w:themeColor="text1"/>
          <w:sz w:val="22"/>
          <w:szCs w:val="22"/>
        </w:rPr>
        <w:fldChar w:fldCharType="separate"/>
      </w:r>
      <w:r w:rsidR="00DB5C12" w:rsidRPr="00DB5C12">
        <w:rPr>
          <w:rFonts w:ascii="Calibri" w:hAnsi="Calibri" w:cs="Calibri"/>
          <w:color w:val="000000"/>
          <w:sz w:val="22"/>
          <w:vertAlign w:val="superscript"/>
          <w:lang w:val="en-US"/>
        </w:rPr>
        <w:t>10,11</w:t>
      </w:r>
      <w:r w:rsidR="005C5D7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was typically found to be the initiating driver event in sporadic ccRCC</w:t>
      </w:r>
      <w:r w:rsidR="005C5D78">
        <w:rPr>
          <w:rFonts w:ascii="Calibri" w:hAnsi="Calibri" w:cs="Calibri"/>
          <w:color w:val="000000" w:themeColor="text1"/>
          <w:sz w:val="22"/>
          <w:szCs w:val="22"/>
        </w:rPr>
        <w:fldChar w:fldCharType="begin"/>
      </w:r>
      <w:r w:rsidR="00DB5C12">
        <w:rPr>
          <w:rFonts w:ascii="Calibri" w:hAnsi="Calibri" w:cs="Calibri"/>
          <w:color w:val="000000" w:themeColor="text1"/>
          <w:sz w:val="22"/>
          <w:szCs w:val="22"/>
        </w:rPr>
        <w:instrText xml:space="preserve"> ADDIN ZOTERO_ITEM CSL_CITATION {"citationID":"a2a5d08jk62","properties":{"formattedCitation":"\\super 7\\nosupersub{}","plainCitation":"7","noteIndex":0},"citationItems":[{"id":1025,"uris":["http://zotero.org/users/4775618/items/8MMTZBV7"],"uri":["http://zotero.org/users/4775618/items/8MMTZBV7"],"itemData":{"id":1025,"type":"article-journal","title":"Timing the Landmark Events in the Evolution of Clear Cell Renal Cell Cancer: TRACERx Renal","container-title":"Cell","page":"611-623.e17","volume":"173","issue":"3","source":"PubMed","abstract":"Clear cell renal cell carcinoma (ccRCC) is characterized by near-universal loss of the short arm of chromosome 3, deleting several tumor suppressor genes. We analyzed whole genomes from 95 biopsies across 33 patients with clear cell renal cell carcinoma. We find hotspots of point mutations in the 5' UTR of TERT, targeting a MYC-MAX-MAD1 repressor associated with telomere lengthening. The most common structural abnormality generates simultaneous 3p loss and 5q gain (36% patients), typically through chromothripsis. This event occurs in childhood or adolescence, generally as the initiating event that precedes emergence of the tumor's most recent common ancestor by years to decades. Similar genomic changes drive inherited ccRCC. Modeling differences in age incidence between inherited and sporadic cancers suggests that the number of cells with 3p loss capable of initiating sporadic tumors is no more than a few hundred. Early development of ccRCC follows well-defined evolutionary trajectories, offering opportunity for early intervention.","DOI":"10.1016/j.cell.2018.02.020","ISSN":"1097-4172","note":"PMID: 29656891\nPMCID: PMC5927631","title-short":"Timing the Landmark Events in the Evolution of Clear Cell Renal Cell Cancer","journalAbbreviation":"Cell","language":"eng","author":[{"family":"Mitchell","given":"Thomas J."},{"family":"Turajlic","given":"Samra"},{"family":"Rowan","given":"Andrew"},{"family":"Nicol","given":"David"},{"family":"Farmery","given":"James H. R."},{"family":"O'Brien","given":"Tim"},{"family":"Martincorena","given":"Inigo"},{"family":"Tarpey","given":"Patrick"},{"family":"Angelopoulos","given":"Nicos"},{"family":"Yates","given":"Lucy R."},{"family":"Butler","given":"Adam P."},{"family":"Raine","given":"Keiran"},{"family":"Stewart","given":"Grant D."},{"family":"Challacombe","given":"Ben"},{"family":"Fernando","given":"Archana"},{"family":"Lopez","given":"Jose I."},{"family":"Hazell","given":"Steve"},{"family":"Chandra","given":"Ashish"},{"family":"Chowdhury","given":"Simon"},{"family":"Rudman","given":"Sarah"},{"family":"Soultati","given":"Aspasia"},{"family":"Stamp","given":"Gordon"},{"family":"Fotiadis","given":"Nicos"},{"family":"Pickering","given":"Lisa"},{"family":"Au","given":"Lewis"},{"family":"Spain","given":"Lavinia"},{"family":"Lynch","given":"Joanna"},{"family":"Stares","given":"Mark"},{"family":"Teague","given":"Jon"},{"family":"Maura","given":"Francesco"},{"family":"Wedge","given":"David C."},{"family":"Horswell","given":"Stuart"},{"family":"Chambers","given":"Tim"},{"family":"Litchfield","given":"Kevin"},{"family":"Xu","given":"Hang"},{"family":"Stewart","given":"Aengus"},{"family":"Elaidi","given":"Reza"},{"family":"Oudard","given":"Stéphane"},{"family":"McGranahan","given":"Nicholas"},{"family":"Csabai","given":"Istvan"},{"family":"Gore","given":"Martin"},{"family":"Futreal","given":"P. Andrew"},{"family":"Larkin","given":"James"},{"family":"Lynch","given":"Andy G."},{"family":"Szallasi","given":"Zoltan"},{"family":"Swanton","given":"Charles"},{"family":"Campbell","given":"Peter J."},{"literal":"TRACERx Renal Consortium"}],"issued":{"date-parts":[["2018",4,19]]}}}],"schema":"https://github.com/citation-style-language/schema/raw/master/csl-citation.json"} </w:instrText>
      </w:r>
      <w:r w:rsidR="005C5D78">
        <w:rPr>
          <w:rFonts w:ascii="Calibri" w:hAnsi="Calibri" w:cs="Calibri"/>
          <w:color w:val="000000" w:themeColor="text1"/>
          <w:sz w:val="22"/>
          <w:szCs w:val="22"/>
        </w:rPr>
        <w:fldChar w:fldCharType="separate"/>
      </w:r>
      <w:r w:rsidR="00DB5C12" w:rsidRPr="00DB5C12">
        <w:rPr>
          <w:rFonts w:ascii="Calibri" w:hAnsi="Calibri" w:cs="Calibri"/>
          <w:color w:val="000000"/>
          <w:sz w:val="22"/>
          <w:vertAlign w:val="superscript"/>
          <w:lang w:val="en-US"/>
        </w:rPr>
        <w:t>7</w:t>
      </w:r>
      <w:r w:rsidR="005C5D78">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This event occurred</w:t>
      </w:r>
      <w:r w:rsidR="00F131BF" w:rsidRPr="00D637BA">
        <w:rPr>
          <w:rFonts w:ascii="Calibri" w:hAnsi="Calibri" w:cs="Calibri"/>
          <w:color w:val="000000" w:themeColor="text1"/>
          <w:sz w:val="22"/>
          <w:szCs w:val="22"/>
        </w:rPr>
        <w:t xml:space="preserve"> as early as childhood in as little as a few hundred cells, preceding cancer diagnosis by up to 3-5 decades. The </w:t>
      </w:r>
      <w:r w:rsidR="00F131BF" w:rsidRPr="00D637BA">
        <w:rPr>
          <w:rFonts w:ascii="Calibri" w:hAnsi="Calibri" w:cs="Calibri"/>
          <w:i/>
          <w:color w:val="000000" w:themeColor="text1"/>
          <w:sz w:val="22"/>
          <w:szCs w:val="22"/>
        </w:rPr>
        <w:t>VHL</w:t>
      </w:r>
      <w:r w:rsidR="00F131BF" w:rsidRPr="00D637BA">
        <w:rPr>
          <w:rFonts w:ascii="Calibri" w:hAnsi="Calibri" w:cs="Calibri"/>
          <w:color w:val="000000" w:themeColor="text1"/>
          <w:sz w:val="22"/>
          <w:szCs w:val="22"/>
        </w:rPr>
        <w:t xml:space="preserve"> gene</w:t>
      </w:r>
      <w:r w:rsidR="009F15FD" w:rsidRPr="00D637BA">
        <w:rPr>
          <w:rFonts w:ascii="Calibri" w:hAnsi="Calibri" w:cs="Calibri"/>
          <w:color w:val="000000" w:themeColor="text1"/>
          <w:sz w:val="22"/>
          <w:szCs w:val="22"/>
        </w:rPr>
        <w:t>, which encodes the von Hippel-Lindau disease tumour suppressor,</w:t>
      </w:r>
      <w:r w:rsidR="00F131BF" w:rsidRPr="00D637BA">
        <w:rPr>
          <w:rFonts w:ascii="Calibri" w:hAnsi="Calibri" w:cs="Calibri"/>
          <w:color w:val="000000" w:themeColor="text1"/>
          <w:sz w:val="22"/>
          <w:szCs w:val="22"/>
        </w:rPr>
        <w:t xml:space="preserve"> </w:t>
      </w:r>
      <w:r w:rsidR="009F15FD" w:rsidRPr="00D637BA">
        <w:rPr>
          <w:rFonts w:ascii="Calibri" w:hAnsi="Calibri" w:cs="Calibri"/>
          <w:color w:val="000000" w:themeColor="text1"/>
          <w:sz w:val="22"/>
          <w:szCs w:val="22"/>
        </w:rPr>
        <w:t xml:space="preserve">and </w:t>
      </w:r>
      <w:r w:rsidRPr="00D637BA">
        <w:rPr>
          <w:rFonts w:ascii="Calibri" w:hAnsi="Calibri" w:cs="Calibri"/>
          <w:color w:val="000000" w:themeColor="text1"/>
          <w:sz w:val="22"/>
          <w:szCs w:val="22"/>
        </w:rPr>
        <w:t xml:space="preserve">the </w:t>
      </w:r>
      <w:r w:rsidR="00F131BF" w:rsidRPr="00D637BA">
        <w:rPr>
          <w:rFonts w:ascii="Calibri" w:hAnsi="Calibri" w:cs="Calibri"/>
          <w:color w:val="000000" w:themeColor="text1"/>
          <w:sz w:val="22"/>
          <w:szCs w:val="22"/>
        </w:rPr>
        <w:t xml:space="preserve">chromatin-modifying genes </w:t>
      </w:r>
      <w:r w:rsidR="00F131BF" w:rsidRPr="00D637BA">
        <w:rPr>
          <w:rFonts w:ascii="Calibri" w:hAnsi="Calibri" w:cs="Calibri"/>
          <w:i/>
          <w:color w:val="000000" w:themeColor="text1"/>
          <w:sz w:val="22"/>
          <w:szCs w:val="22"/>
        </w:rPr>
        <w:t xml:space="preserve">PBRM1, BAP1 </w:t>
      </w:r>
      <w:r w:rsidR="00F131BF" w:rsidRPr="00D637BA">
        <w:rPr>
          <w:rFonts w:ascii="Calibri" w:hAnsi="Calibri" w:cs="Calibri"/>
          <w:color w:val="000000" w:themeColor="text1"/>
          <w:sz w:val="22"/>
          <w:szCs w:val="22"/>
        </w:rPr>
        <w:t xml:space="preserve">and </w:t>
      </w:r>
      <w:r w:rsidR="00F131BF" w:rsidRPr="00D637BA">
        <w:rPr>
          <w:rFonts w:ascii="Calibri" w:hAnsi="Calibri" w:cs="Calibri"/>
          <w:i/>
          <w:color w:val="000000" w:themeColor="text1"/>
          <w:sz w:val="22"/>
          <w:szCs w:val="22"/>
        </w:rPr>
        <w:t xml:space="preserve">SETD2 </w:t>
      </w:r>
      <w:r w:rsidR="00F131BF" w:rsidRPr="00D637BA">
        <w:rPr>
          <w:rFonts w:ascii="Calibri" w:hAnsi="Calibri" w:cs="Calibri"/>
          <w:color w:val="000000" w:themeColor="text1"/>
          <w:sz w:val="22"/>
          <w:szCs w:val="22"/>
        </w:rPr>
        <w:t xml:space="preserve">are co-located in </w:t>
      </w:r>
      <w:r w:rsidR="009F15FD" w:rsidRPr="00D637BA">
        <w:rPr>
          <w:rFonts w:ascii="Calibri" w:hAnsi="Calibri" w:cs="Calibri"/>
          <w:color w:val="000000" w:themeColor="text1"/>
          <w:sz w:val="22"/>
          <w:szCs w:val="22"/>
        </w:rPr>
        <w:t>chromosome 3p</w:t>
      </w:r>
      <w:r w:rsidR="00DB0F39" w:rsidRPr="00D637BA">
        <w:rPr>
          <w:rFonts w:ascii="Calibri" w:hAnsi="Calibri" w:cs="Calibri"/>
          <w:color w:val="000000" w:themeColor="text1"/>
          <w:sz w:val="22"/>
          <w:szCs w:val="22"/>
        </w:rPr>
        <w:t>. P</w:t>
      </w:r>
      <w:r w:rsidR="00F131BF" w:rsidRPr="00D637BA">
        <w:rPr>
          <w:rFonts w:ascii="Calibri" w:hAnsi="Calibri" w:cs="Calibri"/>
          <w:color w:val="000000" w:themeColor="text1"/>
          <w:sz w:val="22"/>
          <w:szCs w:val="22"/>
        </w:rPr>
        <w:t xml:space="preserve">erhaps unsurprisingly, </w:t>
      </w:r>
      <w:r w:rsidR="00DB0F39" w:rsidRPr="00D637BA">
        <w:rPr>
          <w:rFonts w:ascii="Calibri" w:hAnsi="Calibri" w:cs="Calibri"/>
          <w:color w:val="000000" w:themeColor="text1"/>
          <w:sz w:val="22"/>
          <w:szCs w:val="22"/>
        </w:rPr>
        <w:t xml:space="preserve">mutations in these genes </w:t>
      </w:r>
      <w:r w:rsidR="00F131BF" w:rsidRPr="00D637BA">
        <w:rPr>
          <w:rFonts w:ascii="Calibri" w:hAnsi="Calibri" w:cs="Calibri"/>
          <w:color w:val="000000" w:themeColor="text1"/>
          <w:sz w:val="22"/>
          <w:szCs w:val="22"/>
        </w:rPr>
        <w:t>are the most prevalent somatic gene perturbations found in ccRCC, as patients</w:t>
      </w:r>
      <w:r w:rsidR="00A40AB6">
        <w:rPr>
          <w:rFonts w:ascii="Calibri" w:hAnsi="Calibri" w:cs="Calibri"/>
          <w:color w:val="000000" w:themeColor="text1"/>
          <w:sz w:val="22"/>
          <w:szCs w:val="22"/>
        </w:rPr>
        <w:t xml:space="preserve"> with loss of chromosome 3p</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are rendered vulnerable to complete (biallelic) inactivation of these genes during their lifetime</w:t>
      </w:r>
      <w:r w:rsidR="005C5D78">
        <w:rPr>
          <w:rFonts w:ascii="Calibri" w:hAnsi="Calibri" w:cs="Calibri"/>
          <w:color w:val="000000" w:themeColor="text1"/>
          <w:sz w:val="22"/>
          <w:szCs w:val="22"/>
        </w:rPr>
        <w:fldChar w:fldCharType="begin"/>
      </w:r>
      <w:r w:rsidR="00DB5C12">
        <w:rPr>
          <w:rFonts w:ascii="Calibri" w:hAnsi="Calibri" w:cs="Calibri"/>
          <w:color w:val="000000" w:themeColor="text1"/>
          <w:sz w:val="22"/>
          <w:szCs w:val="22"/>
        </w:rPr>
        <w:instrText xml:space="preserve"> ADDIN ZOTERO_ITEM CSL_CITATION {"citationID":"a21ccaor6gr","properties":{"formattedCitation":"\\super 7,10,12\\nosupersub{}","plainCitation":"7,10,12","noteIndex":0},"citationItems":[{"id":1025,"uris":["http://zotero.org/users/4775618/items/8MMTZBV7"],"uri":["http://zotero.org/users/4775618/items/8MMTZBV7"],"itemData":{"id":1025,"type":"article-journal","title":"Timing the Landmark Events in the Evolution of Clear Cell Renal Cell Cancer: TRACERx Renal","container-title":"Cell","page":"611-623.e17","volume":"173","issue":"3","source":"PubMed","abstract":"Clear cell renal cell carcinoma (ccRCC) is characterized by near-universal loss of the short arm of chromosome 3, deleting several tumor suppressor genes. We analyzed whole genomes from 95 biopsies across 33 patients with clear cell renal cell carcinoma. We find hotspots of point mutations in the 5' UTR of TERT, targeting a MYC-MAX-MAD1 repressor associated with telomere lengthening. The most common structural abnormality generates simultaneous 3p loss and 5q gain (36% patients), typically through chromothripsis. This event occurs in childhood or adolescence, generally as the initiating event that precedes emergence of the tumor's most recent common ancestor by years to decades. Similar genomic changes drive inherited ccRCC. Modeling differences in age incidence between inherited and sporadic cancers suggests that the number of cells with 3p loss capable of initiating sporadic tumors is no more than a few hundred. Early development of ccRCC follows well-defined evolutionary trajectories, offering opportunity for early intervention.","DOI":"10.1016/j.cell.2018.02.020","ISSN":"1097-4172","note":"PMID: 29656891\nPMCID: PMC5927631","title-short":"Timing the Landmark Events in the Evolution of Clear Cell Renal Cell Cancer","journalAbbreviation":"Cell","language":"eng","author":[{"family":"Mitchell","given":"Thomas J."},{"family":"Turajlic","given":"Samra"},{"family":"Rowan","given":"Andrew"},{"family":"Nicol","given":"David"},{"family":"Farmery","given":"James H. R."},{"family":"O'Brien","given":"Tim"},{"family":"Martincorena","given":"Inigo"},{"family":"Tarpey","given":"Patrick"},{"family":"Angelopoulos","given":"Nicos"},{"family":"Yates","given":"Lucy R."},{"family":"Butler","given":"Adam P."},{"family":"Raine","given":"Keiran"},{"family":"Stewart","given":"Grant D."},{"family":"Challacombe","given":"Ben"},{"family":"Fernando","given":"Archana"},{"family":"Lopez","given":"Jose I."},{"family":"Hazell","given":"Steve"},{"family":"Chandra","given":"Ashish"},{"family":"Chowdhury","given":"Simon"},{"family":"Rudman","given":"Sarah"},{"family":"Soultati","given":"Aspasia"},{"family":"Stamp","given":"Gordon"},{"family":"Fotiadis","given":"Nicos"},{"family":"Pickering","given":"Lisa"},{"family":"Au","given":"Lewis"},{"family":"Spain","given":"Lavinia"},{"family":"Lynch","given":"Joanna"},{"family":"Stares","given":"Mark"},{"family":"Teague","given":"Jon"},{"family":"Maura","given":"Francesco"},{"family":"Wedge","given":"David C."},{"family":"Horswell","given":"Stuart"},{"family":"Chambers","given":"Tim"},{"family":"Litchfield","given":"Kevin"},{"family":"Xu","given":"Hang"},{"family":"Stewart","given":"Aengus"},{"family":"Elaidi","given":"Reza"},{"family":"Oudard","given":"Stéphane"},{"family":"McGranahan","given":"Nicholas"},{"family":"Csabai","given":"Istvan"},{"family":"Gore","given":"Martin"},{"family":"Futreal","given":"P. Andrew"},{"family":"Larkin","given":"James"},{"family":"Lynch","given":"Andy G."},{"family":"Szallasi","given":"Zoltan"},{"family":"Swanton","given":"Charles"},{"family":"Campbell","given":"Peter J."},{"literal":"TRACERx Renal Consortium"}],"issued":{"date-parts":[["2018",4,19]]}}},{"id":304,"uris":["http://zotero.org/users/4775618/items/GZXEPCSJ"],"uri":["http://zotero.org/users/4775618/items/GZXEPCSJ"],"itemData":{"id":304,"type":"article-journal","title":"Integrated molecular analysis of clear-cell renal cell carcinoma","container-title":"Nature Genetics","page":"860-867","volume":"45","issue":"8","source":"www.nature.com","abstract":"Clear-cell renal cell carcinoma (ccRCC) is the most prevalent kidney cancer and its molecular pathogenesis is incompletely understood. Here we report an integrated molecular study of ccRCC in which ≥100 ccRCC cases were fully analyzed by whole-genome and/or whole-exome and RNA sequencing as well as by array-based gene expression, copy number and/or methylation analyses. We identified a full spectrum of genetic lesions and analyzed gene expression and DNA methylation signatures and determined their impact on tumor behavior. Defective VHL-mediated proteolysis was a common feature of ccRCC, which was caused not only by VHL inactivation but also by new hotspot TCEB1 mutations, which abolished Elongin C–VHL binding, leading to HIF accumulation. Other newly identified pathways and components recurrently mutated in ccRCC included PI3K-AKT-mTOR signaling, the KEAP1-NRF2-CUL3 apparatus, DNA methylation, p53-related pathways and mRNA processing. This integrated molecular analysis unmasked new correlations between DNA methylation, gene mutation and/or gene expression and copy number profiles, enabling the stratification of clinical risks for patients with ccRCC.","URL":"https://www.nature.com/articles/ng.2699","DOI":"10.1038/ng.2699","ISSN":"1546-1718","language":"en","author":[{"family":"Sato","given":"Yusuke"},{"family":"Yoshizato","given":"Tetsuichi"},{"family":"Shiraishi","given":"Yuichi"},{"family":"Maekawa","given":"Shigekatsu"},{"family":"Okuno","given":"Yusuke"},{"family":"Kamura","given":"Takumi"},{"family":"Shimamura","given":"Teppei"},{"family":"Sato-Otsubo","given":"Aiko"},{"family":"Nagae","given":"Genta"},{"family":"Suzuki","given":"Hiromichi"},{"family":"Nagata","given":"Yasunobu"},{"family":"Yoshida","given":"Kenichi"},{"family":"Kon","given":"Ayana"},{"family":"Suzuki","given":"Yutaka"},{"family":"Chiba","given":"Kenichi"},{"family":"Tanaka","given":"Hiroko"},{"family":"Niida","given":"Atsushi"},{"family":"Fujimoto","given":"Akihiro"},{"family":"Tsunoda","given":"Tatsuhiko"},{"family":"Morikawa","given":"Teppei"},{"family":"Maeda","given":"Daichi"},{"family":"Kume","given":"Haruki"},{"family":"Sugano","given":"Sumio"},{"family":"Fukayama","given":"Masashi"},{"family":"Aburatani","given":"Hiroyuki"},{"family":"Sanada","given":"Masashi"},{"family":"Miyano","given":"Satoru"},{"family":"Homma","given":"Yukio"},{"family":"Ogawa","given":"Seishi"}],"issued":{"date-parts":[["2013",8]]},"accessed":{"date-parts":[["2018",3,27]]}}},{"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5C5D78">
        <w:rPr>
          <w:rFonts w:ascii="Calibri" w:hAnsi="Calibri" w:cs="Calibri"/>
          <w:color w:val="000000" w:themeColor="text1"/>
          <w:sz w:val="22"/>
          <w:szCs w:val="22"/>
        </w:rPr>
        <w:fldChar w:fldCharType="separate"/>
      </w:r>
      <w:r w:rsidR="00DB5C12" w:rsidRPr="00DB5C12">
        <w:rPr>
          <w:rFonts w:ascii="Calibri" w:hAnsi="Calibri" w:cs="Calibri"/>
          <w:color w:val="000000"/>
          <w:sz w:val="22"/>
          <w:vertAlign w:val="superscript"/>
          <w:lang w:val="en-US"/>
        </w:rPr>
        <w:t>7,10,12</w:t>
      </w:r>
      <w:r w:rsidR="005C5D7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r w:rsidR="004661AF" w:rsidRPr="00D637BA">
        <w:rPr>
          <w:rFonts w:ascii="Calibri" w:hAnsi="Calibri" w:cs="Calibri"/>
          <w:color w:val="000000" w:themeColor="text1"/>
          <w:sz w:val="22"/>
          <w:szCs w:val="22"/>
        </w:rPr>
        <w:t xml:space="preserve"> </w:t>
      </w:r>
      <w:r w:rsidR="00DB0F39" w:rsidRPr="00D637BA">
        <w:rPr>
          <w:rFonts w:ascii="Calibri" w:hAnsi="Calibri" w:cs="Calibri"/>
          <w:color w:val="000000" w:themeColor="text1"/>
          <w:sz w:val="22"/>
          <w:szCs w:val="22"/>
        </w:rPr>
        <w:t>T</w:t>
      </w:r>
      <w:r w:rsidR="00F131BF" w:rsidRPr="00D637BA">
        <w:rPr>
          <w:rFonts w:ascii="Calibri" w:hAnsi="Calibri" w:cs="Calibri"/>
          <w:color w:val="000000" w:themeColor="text1"/>
          <w:sz w:val="22"/>
          <w:szCs w:val="22"/>
        </w:rPr>
        <w:t>h</w:t>
      </w:r>
      <w:r w:rsidRPr="00D637BA">
        <w:rPr>
          <w:rFonts w:ascii="Calibri" w:hAnsi="Calibri" w:cs="Calibri"/>
          <w:color w:val="000000" w:themeColor="text1"/>
          <w:sz w:val="22"/>
          <w:szCs w:val="22"/>
        </w:rPr>
        <w:t>e TRACERx Renal studies</w:t>
      </w:r>
      <w:r w:rsidR="00F131BF" w:rsidRPr="00D637BA">
        <w:rPr>
          <w:rFonts w:ascii="Calibri" w:hAnsi="Calibri" w:cs="Calibri"/>
          <w:color w:val="000000" w:themeColor="text1"/>
          <w:sz w:val="22"/>
          <w:szCs w:val="22"/>
        </w:rPr>
        <w:t xml:space="preserve"> </w:t>
      </w:r>
      <w:r w:rsidR="00DB0F39" w:rsidRPr="00D637BA">
        <w:rPr>
          <w:rFonts w:ascii="Calibri" w:hAnsi="Calibri" w:cs="Calibri"/>
          <w:color w:val="000000" w:themeColor="text1"/>
          <w:sz w:val="22"/>
          <w:szCs w:val="22"/>
        </w:rPr>
        <w:t xml:space="preserve">also </w:t>
      </w:r>
      <w:r w:rsidR="00F131BF" w:rsidRPr="00D637BA">
        <w:rPr>
          <w:rFonts w:ascii="Calibri" w:hAnsi="Calibri" w:cs="Calibri"/>
          <w:color w:val="000000" w:themeColor="text1"/>
          <w:sz w:val="22"/>
          <w:szCs w:val="22"/>
        </w:rPr>
        <w:t>identified distinct evolutionary subtypes of ccRCC that correlate with clinical phenotypes and outcomes</w:t>
      </w:r>
      <w:r w:rsidR="00BA073A">
        <w:rPr>
          <w:rFonts w:ascii="Calibri" w:hAnsi="Calibri" w:cs="Calibri"/>
          <w:color w:val="000000" w:themeColor="text1"/>
          <w:sz w:val="22"/>
          <w:szCs w:val="22"/>
        </w:rPr>
        <w:t>,</w:t>
      </w:r>
      <w:r w:rsidR="00DB0F39" w:rsidRPr="00D637BA">
        <w:rPr>
          <w:rFonts w:ascii="Calibri" w:hAnsi="Calibri" w:cs="Calibri"/>
          <w:color w:val="000000" w:themeColor="text1"/>
          <w:sz w:val="22"/>
          <w:szCs w:val="22"/>
        </w:rPr>
        <w:t xml:space="preserve"> </w:t>
      </w:r>
      <w:r w:rsidR="00BA073A">
        <w:rPr>
          <w:rFonts w:ascii="Calibri" w:hAnsi="Calibri" w:cs="Calibri"/>
          <w:color w:val="000000" w:themeColor="text1"/>
          <w:sz w:val="22"/>
          <w:szCs w:val="22"/>
        </w:rPr>
        <w:t>which</w:t>
      </w:r>
      <w:r w:rsidR="00DB0F39"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could be used to guide intervention and surveillance</w:t>
      </w:r>
      <w:r w:rsidR="005C5D78">
        <w:rPr>
          <w:rFonts w:ascii="Calibri" w:hAnsi="Calibri" w:cs="Calibri"/>
          <w:color w:val="000000" w:themeColor="text1"/>
          <w:sz w:val="22"/>
          <w:szCs w:val="22"/>
        </w:rPr>
        <w:fldChar w:fldCharType="begin"/>
      </w:r>
      <w:r w:rsidR="00DB5C12">
        <w:rPr>
          <w:rFonts w:ascii="Calibri" w:hAnsi="Calibri" w:cs="Calibri"/>
          <w:color w:val="000000" w:themeColor="text1"/>
          <w:sz w:val="22"/>
          <w:szCs w:val="22"/>
        </w:rPr>
        <w:instrText xml:space="preserve"> ADDIN ZOTERO_ITEM CSL_CITATION {"citationID":"a1783s3m7jd","properties":{"formattedCitation":"\\super 8,9\\nosupersub{}","plainCitation":"8,9","noteIndex":0},"citationItems":[{"id":1107,"uris":["http://zotero.org/users/4775618/items/493C63L4"],"uri":["http://zotero.org/users/4775618/items/493C63L4"],"itemData":{"id":1107,"type":"article-journal","title":"Deterministic Evolutionary Trajectories Influence Primary Tumor Growth: TRACERx Renal","container-title":"Cell","page":"595-610.e11","volume":"173","issue":"3","source":"www.cell.com","abstract":"&lt;h2&gt;Summary&lt;/h2&gt;&lt;p&gt;The evolutionary features of clear-cell renal cell carcinoma (ccRCC) have not been systematically studied to date. We analyzed 1,206 primary tumor regions from 101 patients recruited into the multi-center prospective study, TRACERx Renal. We observe up to 30 driver events per tumor and show that subclonal diversification is associated with known prognostic parameters. By resolving the patterns of driver event ordering, co-occurrence, and mutual exclusivity at clone level, we show the deterministic nature of clonal evolution. ccRCC can be grouped into seven evolutionary subtypes, ranging from tumors characterized by early fixation of multiple mutational and copy number drivers and rapid metastases to highly branched tumors with &gt;10 subclonal drivers and extensive parallel evolution associated with attenuated progression. We identify genetic diversity and chromosomal complexity as determinants of patient outcome. Our insights reconcile the variable clinical behavior of ccRCC and suggest evolutionary potential as a biomarker for both intervention and surveillance.&lt;/p&gt;","URL":"https://www.cell.com/cell/abstract/S0092-8674(18)30375-1","DOI":"10.1016/j.cell.2018.03.043","ISSN":"0092-8674, 1097-4172","note":"PMID: 29656894","title-short":"Deterministic Evolutionary Trajectories Influence Primary Tumor Growth","journalAbbreviation":"Cell","language":"English","author":[{"family":"Turajlic","given":"Samra"},{"family":"Xu","given":"Hang"},{"family":"Litchfield","given":"Kevin"},{"family":"Rowan","given":"Andrew"},{"family":"Horswell","given":"Stuart"},{"family":"Chambers","given":"Tim"},{"family":"O’Brien","given":"Tim"},{"family":"Lopez","given":"Jose I."},{"family":"Watkins","given":"Thomas B. K."},{"family":"Nicol","given":"David"},{"family":"Stares","given":"Mark"},{"family":"Challacombe","given":"Ben"},{"family":"Hazell","given":"Steve"},{"family":"Chandra","given":"Ashish"},{"family":"Mitchell","given":"Thomas J."},{"family":"Au","given":"Lewis"},{"family":"Eichler-Jonsson","given":"Claudia"},{"family":"Jabbar","given":"Faiz"},{"family":"Soultati","given":"Aspasia"},{"family":"Chowdhury","given":"Simon"},{"family":"Rudman","given":"Sarah"},{"family":"Lynch","given":"Joanna"},{"family":"Fernando","given":"Archana"},{"family":"Stamp","given":"Gordon"},{"family":"Nye","given":"Emma"},{"family":"Stewart","given":"Aengus"},{"family":"Xing","given":"Wei"},{"family":"Smith","given":"Jonathan C."},{"family":"Escudero","given":"Mickael"},{"family":"Huffman","given":"Adam"},{"family":"Matthews","given":"Nik"},{"family":"Elgar","given":"Greg"},{"family":"Phillimore","given":"Ben"},{"family":"Costa","given":"Marta"},{"family":"Begum","given":"Sharmin"},{"family":"Ward","given":"Sophia"},{"family":"Salm","given":"Max"},{"family":"Boeing","given":"Stefan"},{"family":"Fisher","given":"Rosalie"},{"family":"Spain","given":"Lavinia"},{"family":"Navas","given":"Carolina"},{"family":"Grönroos","given":"Eva"},{"family":"Hobor","given":"Sebastijan"},{"family":"Sharma","given":"Sarkhara"},{"family":"Aurangzeb","given":"Ismaeel"},{"family":"Lall","given":"Sharanpreet"},{"family":"Polson","given":"Alexander"},{"family":"Varia","given":"Mary"},{"family":"Horsfield","given":"Catherine"},{"family":"Fotiadis","given":"Nicos"},{"family":"Pickering","given":"Lisa"},{"family":"Schwarz","given":"Roland F."},{"family":"Silva","given":"Bruno"},{"family":"Herrero","given":"Javier"},{"family":"Luscombe","given":"Nick M."},{"family":"Jamal-Hanjani","given":"Mariam"},{"family":"Rosenthal","given":"Rachel"},{"family":"Birkbak","given":"Nicolai J."},{"family":"Wilson","given":"Gareth A."},{"family":"Pipek","given":"Orsolya"},{"family":"Ribli","given":"Dezso"},{"family":"Krzystanek","given":"Marcin"},{"family":"Csabai","given":"Istvan"},{"family":"Szallasi","given":"Zoltan"},{"family":"Gore","given":"Martin"},{"family":"McGranahan","given":"Nicholas"},{"family":"Loo","given":"Peter Van"},{"family":"Campbell","given":"Peter"},{"family":"Larkin","given":"James"},{"family":"Swanton","given":"Charles"}],"issued":{"date-parts":[["2018",4,19]]},"accessed":{"date-parts":[["2019",2,15]]}}},{"id":1108,"uris":["http://zotero.org/users/4775618/items/GZRHIVTK"],"uri":["http://zotero.org/users/4775618/items/GZRHIVTK"],"itemData":{"id":1108,"type":"article-journal","title":"Tracking Cancer Evolution Reveals Constrained Routes to Metastases: TRACERx Renal","container-title":"Cell","page":"581-594.e12","volume":"173","issue":"3","source":"www.cell.com","URL":"https://www.cell.com/cell/abstract/S0092-8674(18)30389-1","DOI":"10.1016/j.cell.2018.03.057","ISSN":"0092-8674, 1097-4172","note":"PMID: 29656895","title-short":"Tracking Cancer Evolution Reveals Constrained Routes to Metastases","journalAbbreviation":"Cell","language":"English","author":[{"family":"Turajlic","given":"Samra"},{"family":"Xu","given":"Hang"},{"family":"Litchfield","given":"Kevin"},{"family":"Rowan","given":"Andrew"},{"family":"Chambers","given":"Tim"},{"family":"Lopez","given":"Jose I."},{"family":"Nicol","given":"David"},{"family":"O’Brien","given":"Tim"},{"family":"Larkin","given":"James"},{"family":"Horswell","given":"Stuart"},{"family":"Stares","given":"Mark"},{"family":"Au","given":"Lewis"},{"family":"Jamal-Hanjani","given":"Mariam"},{"family":"Challacombe","given":"Ben"},{"family":"Chandra","given":"Ashish"},{"family":"Hazell","given":"Steve"},{"family":"Eichler-Jonsson","given":"Claudia"},{"family":"Soultati","given":"Aspasia"},{"family":"Chowdhury","given":"Simon"},{"family":"Rudman","given":"Sarah"},{"family":"Lynch","given":"Joanna"},{"family":"Fernando","given":"Archana"},{"family":"Stamp","given":"Gordon"},{"family":"Nye","given":"Emma"},{"family":"Jabbar","given":"Faiz"},{"family":"Spain","given":"Lavinia"},{"family":"Lall","given":"Sharanpreet"},{"family":"Guarch","given":"Rosa"},{"family":"Falzon","given":"Mary"},{"family":"Proctor","given":"Ian"},{"family":"Pickering","given":"Lisa"},{"family":"Gore","given":"Martin"},{"family":"Watkins","given":"Thomas B. K."},{"family":"Ward","given":"Sophia"},{"family":"Stewart","given":"Aengus"},{"family":"DiNatale","given":"Renzo"},{"family":"Becerra","given":"Maria F."},{"family":"Reznik","given":"Ed"},{"family":"Hsieh","given":"James J."},{"family":"Richmond","given":"Todd A."},{"family":"Mayhew","given":"George F."},{"family":"Hill","given":"Samantha M."},{"family":"McNally","given":"Catherine D."},{"family":"Jones","given":"Carol"},{"family":"Rosenbaum","given":"Heidi"},{"family":"Stanislaw","given":"Stacey"},{"family":"Burgess","given":"Daniel L."},{"family":"Alexander","given":"Nelson R."},{"family":"Swanton","given":"Charles"}],"issued":{"date-parts":[["2018",4,19]]},"accessed":{"date-parts":[["2019",2,15]]}}}],"schema":"https://github.com/citation-style-language/schema/raw/master/csl-citation.json"} </w:instrText>
      </w:r>
      <w:r w:rsidR="005C5D78">
        <w:rPr>
          <w:rFonts w:ascii="Calibri" w:hAnsi="Calibri" w:cs="Calibri"/>
          <w:color w:val="000000" w:themeColor="text1"/>
          <w:sz w:val="22"/>
          <w:szCs w:val="22"/>
        </w:rPr>
        <w:fldChar w:fldCharType="separate"/>
      </w:r>
      <w:r w:rsidR="00DB5C12" w:rsidRPr="00DB5C12">
        <w:rPr>
          <w:rFonts w:ascii="Calibri" w:hAnsi="Calibri" w:cs="Calibri"/>
          <w:color w:val="000000"/>
          <w:sz w:val="22"/>
          <w:vertAlign w:val="superscript"/>
          <w:lang w:val="en-US"/>
        </w:rPr>
        <w:t>8,9</w:t>
      </w:r>
      <w:r w:rsidR="005C5D7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As genomic technology advances, the genetic perturbations implicated in ccRCC continue to expand and include somatic mutations in </w:t>
      </w:r>
      <w:r w:rsidR="00F131BF" w:rsidRPr="00D637BA">
        <w:rPr>
          <w:rFonts w:ascii="Calibri" w:hAnsi="Calibri" w:cs="Calibri"/>
          <w:i/>
          <w:color w:val="000000" w:themeColor="text1"/>
          <w:sz w:val="22"/>
          <w:szCs w:val="22"/>
        </w:rPr>
        <w:t>TERT</w:t>
      </w:r>
      <w:r w:rsidR="00DB5C12">
        <w:rPr>
          <w:rFonts w:ascii="Calibri" w:hAnsi="Calibri" w:cs="Calibri"/>
          <w:i/>
          <w:color w:val="000000" w:themeColor="text1"/>
          <w:sz w:val="22"/>
          <w:szCs w:val="22"/>
        </w:rPr>
        <w:fldChar w:fldCharType="begin"/>
      </w:r>
      <w:r w:rsidR="001D2B77">
        <w:rPr>
          <w:rFonts w:ascii="Calibri" w:hAnsi="Calibri" w:cs="Calibri"/>
          <w:i/>
          <w:color w:val="000000" w:themeColor="text1"/>
          <w:sz w:val="22"/>
          <w:szCs w:val="22"/>
        </w:rPr>
        <w:instrText xml:space="preserve"> ADDIN ZOTERO_ITEM CSL_CITATION {"citationID":"a2dfs4e633n","properties":{"formattedCitation":"\\super 7,13\\nosupersub{}","plainCitation":"7,13","noteIndex":0},"citationItems":[{"id":1025,"uris":["http://zotero.org/users/4775618/items/8MMTZBV7"],"uri":["http://zotero.org/users/4775618/items/8MMTZBV7"],"itemData":{"id":1025,"type":"article-journal","title":"Timing the Landmark Events in the Evolution of Clear Cell Renal Cell Cancer: TRACERx Renal","container-title":"Cell","page":"611-623.e17","volume":"173","issue":"3","source":"PubMed","abstract":"Clear cell renal cell carcinoma (ccRCC) is characterized by near-universal loss of the short arm of chromosome 3, deleting several tumor suppressor genes. We analyzed whole genomes from 95 biopsies across 33 patients with clear cell renal cell carcinoma. We find hotspots of point mutations in the 5' UTR of TERT, targeting a MYC-MAX-MAD1 repressor associated with telomere lengthening. The most common structural abnormality generates simultaneous 3p loss and 5q gain (36% patients), typically through chromothripsis. This event occurs in childhood or adolescence, generally as the initiating event that precedes emergence of the tumor's most recent common ancestor by years to decades. Similar genomic changes drive inherited ccRCC. Modeling differences in age incidence between inherited and sporadic cancers suggests that the number of cells with 3p loss capable of initiating sporadic tumors is no more than a few hundred. Early development of ccRCC follows well-defined evolutionary trajectories, offering opportunity for early intervention.","DOI":"10.1016/j.cell.2018.02.020","ISSN":"1097-4172","note":"PMID: 29656891\nPMCID: PMC5927631","title-short":"Timing the Landmark Events in the Evolution of Clear Cell Renal Cell Cancer","journalAbbreviation":"Cell","language":"eng","author":[{"family":"Mitchell","given":"Thomas J."},{"family":"Turajlic","given":"Samra"},{"family":"Rowan","given":"Andrew"},{"family":"Nicol","given":"David"},{"family":"Farmery","given":"James H. R."},{"family":"O'Brien","given":"Tim"},{"family":"Martincorena","given":"Inigo"},{"family":"Tarpey","given":"Patrick"},{"family":"Angelopoulos","given":"Nicos"},{"family":"Yates","given":"Lucy R."},{"family":"Butler","given":"Adam P."},{"family":"Raine","given":"Keiran"},{"family":"Stewart","given":"Grant D."},{"family":"Challacombe","given":"Ben"},{"family":"Fernando","given":"Archana"},{"family":"Lopez","given":"Jose I."},{"family":"Hazell","given":"Steve"},{"family":"Chandra","given":"Ashish"},{"family":"Chowdhury","given":"Simon"},{"family":"Rudman","given":"Sarah"},{"family":"Soultati","given":"Aspasia"},{"family":"Stamp","given":"Gordon"},{"family":"Fotiadis","given":"Nicos"},{"family":"Pickering","given":"Lisa"},{"family":"Au","given":"Lewis"},{"family":"Spain","given":"Lavinia"},{"family":"Lynch","given":"Joanna"},{"family":"Stares","given":"Mark"},{"family":"Teague","given":"Jon"},{"family":"Maura","given":"Francesco"},{"family":"Wedge","given":"David C."},{"family":"Horswell","given":"Stuart"},{"family":"Chambers","given":"Tim"},{"family":"Litchfield","given":"Kevin"},{"family":"Xu","given":"Hang"},{"family":"Stewart","given":"Aengus"},{"family":"Elaidi","given":"Reza"},{"family":"Oudard","given":"Stéphane"},{"family":"McGranahan","given":"Nicholas"},{"family":"Csabai","given":"Istvan"},{"family":"Gore","given":"Martin"},{"family":"Futreal","given":"P. Andrew"},{"family":"Larkin","given":"James"},{"family":"Lynch","given":"Andy G."},{"family":"Szallasi","given":"Zoltan"},{"family":"Swanton","given":"Charles"},{"family":"Campbell","given":"Peter J."},{"literal":"TRACERx Renal Consortium"}],"issued":{"date-parts":[["2018",4,19]]}}},{"id":1174,"uris":["http://zotero.org/users/4775618/items/Y9H7ACX6"],"uri":["http://zotero.org/users/4775618/items/Y9H7ACX6"],"itemData":{"id":1174,"type":"article-journal","title":"TERT promoter mutations in clear cell renal cell carcinoma","container-title":"International Journal of Cancer","page":"2448-2452","volume":"136","issue":"10","source":"Wiley Online Library","abstract":"We screened promoter region of the telomerase reverse transcriptase (TERT) for activating somatic mutations in 188 tumors from patients with clear cell renal cell carcinoma (ccRCC). Twelve tumors (6.4%) carried a mutation within the core promoter region of the gene. The mutations were less frequent in high grade tumors compared to low grade tumors [odds ratio (OR) = 0.15, 95% confidence interval (CI) = 0.03–0.72, p = 0.02]. Multivariate analysis for cause specific survival showed statistically significant poor outcome in patients with TERT promoter mutations [hazard ratio (HR) = 2.90, 95% CI = 1.13–7.39, p = 0.03]. A common polymorphism (rs2853669) within the locus seemed to act as a modifier of the effect of the mutations on patient survival as the noncarriers of the variant allele with the TERT promoter mutations showed worst survival (HR = 3.34, 95% CI = 1.24–8.98, p = 0.02). We also measured relative telomere length (RTL) in tumors and difference between tumors with and without the TERT promoter mutations was not statistically significant. Similarly, no difference in patient survival based on RTL in tumors was observed. Our study showed a relatively low frequency of TERT promoter mutations in ccRCC. Nevertheless, patients with the mutations, particularly in the absence of the rs2853669 variant showed the worst disease-specific survival. Thus, it is possible that the TERT promoter mutations define a small subset of tumors with an aggressive behavior.","URL":"http://onlinelibrary.wiley.com/doi/abs/10.1002/ijc.29279","DOI":"10.1002/ijc.29279","ISSN":"1097-0215","language":"en","author":[{"family":"Hosen","given":"Ismail"},{"family":"Rachakonda","given":"P. Sivaramakrishna"},{"family":"Heidenreich","given":"Barbara"},{"family":"Sitaram","given":"Raviprakash T."},{"family":"Ljungberg","given":"Börje"},{"family":"Roos","given":"Göran"},{"family":"Hemminki","given":"Kari"},{"family":"Kumar","given":"Rajiv"}],"issued":{"date-parts":[["2015"]]},"accessed":{"date-parts":[["2019",2,17]]}}}],"schema":"https://github.com/citation-style-language/schema/raw/master/csl-citation.json"} </w:instrText>
      </w:r>
      <w:r w:rsidR="00DB5C12">
        <w:rPr>
          <w:rFonts w:ascii="Calibri" w:hAnsi="Calibri" w:cs="Calibri"/>
          <w:i/>
          <w:color w:val="000000" w:themeColor="text1"/>
          <w:sz w:val="22"/>
          <w:szCs w:val="22"/>
        </w:rPr>
        <w:fldChar w:fldCharType="separate"/>
      </w:r>
      <w:r w:rsidR="001D2B77" w:rsidRPr="001D2B77">
        <w:rPr>
          <w:rFonts w:ascii="Calibri" w:hAnsi="Calibri" w:cs="Calibri"/>
          <w:color w:val="000000"/>
          <w:sz w:val="22"/>
          <w:vertAlign w:val="superscript"/>
          <w:lang w:val="en-US"/>
        </w:rPr>
        <w:t>7,13</w:t>
      </w:r>
      <w:r w:rsidR="00DB5C12">
        <w:rPr>
          <w:rFonts w:ascii="Calibri" w:hAnsi="Calibri" w:cs="Calibri"/>
          <w:i/>
          <w:color w:val="000000" w:themeColor="text1"/>
          <w:sz w:val="22"/>
          <w:szCs w:val="22"/>
        </w:rPr>
        <w:fldChar w:fldCharType="end"/>
      </w:r>
      <w:r w:rsidR="00F131BF" w:rsidRPr="00D637BA">
        <w:rPr>
          <w:rFonts w:ascii="Calibri" w:hAnsi="Calibri" w:cs="Calibri"/>
          <w:i/>
          <w:color w:val="000000" w:themeColor="text1"/>
          <w:sz w:val="22"/>
          <w:szCs w:val="22"/>
        </w:rPr>
        <w:t>, PTEN</w:t>
      </w:r>
      <w:r w:rsidR="00DB5C12">
        <w:rPr>
          <w:rFonts w:ascii="Calibri" w:hAnsi="Calibri" w:cs="Calibri"/>
          <w:i/>
          <w:color w:val="000000" w:themeColor="text1"/>
          <w:sz w:val="22"/>
          <w:szCs w:val="22"/>
        </w:rPr>
        <w:fldChar w:fldCharType="begin"/>
      </w:r>
      <w:r w:rsidR="001D2B77">
        <w:rPr>
          <w:rFonts w:ascii="Calibri" w:hAnsi="Calibri" w:cs="Calibri"/>
          <w:i/>
          <w:color w:val="000000" w:themeColor="text1"/>
          <w:sz w:val="22"/>
          <w:szCs w:val="22"/>
        </w:rPr>
        <w:instrText xml:space="preserve"> ADDIN ZOTERO_ITEM CSL_CITATION {"citationID":"a7num6rs32","properties":{"formattedCitation":"\\super 10,12\\nosupersub{}","plainCitation":"10,12","noteIndex":0},"citationItems":[{"id":304,"uris":["http://zotero.org/users/4775618/items/GZXEPCSJ"],"uri":["http://zotero.org/users/4775618/items/GZXEPCSJ"],"itemData":{"id":304,"type":"article-journal","title":"Integrated molecular analysis of clear-cell renal cell carcinoma","container-title":"Nature Genetics","page":"860-867","volume":"45","issue":"8","source":"www.nature.com","abstract":"Clear-cell renal cell carcinoma (ccRCC) is the most prevalent kidney cancer and its molecular pathogenesis is incompletely understood. Here we report an integrated molecular study of ccRCC in which ≥100 ccRCC cases were fully analyzed by whole-genome and/or whole-exome and RNA sequencing as well as by array-based gene expression, copy number and/or methylation analyses. We identified a full spectrum of genetic lesions and analyzed gene expression and DNA methylation signatures and determined their impact on tumor behavior. Defective VHL-mediated proteolysis was a common feature of ccRCC, which was caused not only by VHL inactivation but also by new hotspot TCEB1 mutations, which abolished Elongin C–VHL binding, leading to HIF accumulation. Other newly identified pathways and components recurrently mutated in ccRCC included PI3K-AKT-mTOR signaling, the KEAP1-NRF2-CUL3 apparatus, DNA methylation, p53-related pathways and mRNA processing. This integrated molecular analysis unmasked new correlations between DNA methylation, gene mutation and/or gene expression and copy number profiles, enabling the stratification of clinical risks for patients with ccRCC.","URL":"https://www.nature.com/articles/ng.2699","DOI":"10.1038/ng.2699","ISSN":"1546-1718","language":"en","author":[{"family":"Sato","given":"Yusuke"},{"family":"Yoshizato","given":"Tetsuichi"},{"family":"Shiraishi","given":"Yuichi"},{"family":"Maekawa","given":"Shigekatsu"},{"family":"Okuno","given":"Yusuke"},{"family":"Kamura","given":"Takumi"},{"family":"Shimamura","given":"Teppei"},{"family":"Sato-Otsubo","given":"Aiko"},{"family":"Nagae","given":"Genta"},{"family":"Suzuki","given":"Hiromichi"},{"family":"Nagata","given":"Yasunobu"},{"family":"Yoshida","given":"Kenichi"},{"family":"Kon","given":"Ayana"},{"family":"Suzuki","given":"Yutaka"},{"family":"Chiba","given":"Kenichi"},{"family":"Tanaka","given":"Hiroko"},{"family":"Niida","given":"Atsushi"},{"family":"Fujimoto","given":"Akihiro"},{"family":"Tsunoda","given":"Tatsuhiko"},{"family":"Morikawa","given":"Teppei"},{"family":"Maeda","given":"Daichi"},{"family":"Kume","given":"Haruki"},{"family":"Sugano","given":"Sumio"},{"family":"Fukayama","given":"Masashi"},{"family":"Aburatani","given":"Hiroyuki"},{"family":"Sanada","given":"Masashi"},{"family":"Miyano","given":"Satoru"},{"family":"Homma","given":"Yukio"},{"family":"Ogawa","given":"Seishi"}],"issued":{"date-parts":[["2013",8]]},"accessed":{"date-parts":[["2018",3,27]]}}},{"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DB5C12">
        <w:rPr>
          <w:rFonts w:ascii="Calibri" w:hAnsi="Calibri" w:cs="Calibri"/>
          <w:i/>
          <w:color w:val="000000" w:themeColor="text1"/>
          <w:sz w:val="22"/>
          <w:szCs w:val="22"/>
        </w:rPr>
        <w:fldChar w:fldCharType="separate"/>
      </w:r>
      <w:r w:rsidR="001D2B77" w:rsidRPr="001D2B77">
        <w:rPr>
          <w:rFonts w:ascii="Calibri" w:hAnsi="Calibri" w:cs="Calibri"/>
          <w:color w:val="000000"/>
          <w:sz w:val="22"/>
          <w:vertAlign w:val="superscript"/>
          <w:lang w:val="en-US"/>
        </w:rPr>
        <w:t>10,12</w:t>
      </w:r>
      <w:r w:rsidR="00DB5C12">
        <w:rPr>
          <w:rFonts w:ascii="Calibri" w:hAnsi="Calibri" w:cs="Calibri"/>
          <w:i/>
          <w:color w:val="000000" w:themeColor="text1"/>
          <w:sz w:val="22"/>
          <w:szCs w:val="22"/>
        </w:rPr>
        <w:fldChar w:fldCharType="end"/>
      </w:r>
      <w:r w:rsidR="00F131BF" w:rsidRPr="00D637BA">
        <w:rPr>
          <w:rFonts w:ascii="Calibri" w:hAnsi="Calibri" w:cs="Calibri"/>
          <w:i/>
          <w:color w:val="000000" w:themeColor="text1"/>
          <w:sz w:val="22"/>
          <w:szCs w:val="22"/>
        </w:rPr>
        <w:t>, MYC</w:t>
      </w:r>
      <w:r w:rsidR="00DB5C12">
        <w:rPr>
          <w:rFonts w:ascii="Calibri" w:hAnsi="Calibri" w:cs="Calibri"/>
          <w:i/>
          <w:color w:val="000000" w:themeColor="text1"/>
          <w:sz w:val="22"/>
          <w:szCs w:val="22"/>
        </w:rPr>
        <w:fldChar w:fldCharType="begin"/>
      </w:r>
      <w:r w:rsidR="001D2B77">
        <w:rPr>
          <w:rFonts w:ascii="Calibri" w:hAnsi="Calibri" w:cs="Calibri"/>
          <w:i/>
          <w:color w:val="000000" w:themeColor="text1"/>
          <w:sz w:val="22"/>
          <w:szCs w:val="22"/>
        </w:rPr>
        <w:instrText xml:space="preserve"> ADDIN ZOTERO_ITEM CSL_CITATION {"citationID":"at71poh2th","properties":{"formattedCitation":"\\super 14,15\\nosupersub{}","plainCitation":"14,15","noteIndex":0},"citationItems":[{"id":464,"uris":["http://zotero.org/users/4775618/items/SGZS9S6Q"],"uri":["http://zotero.org/users/4775618/items/SGZS9S6Q"],"itemData":{"id":464,"type":"article-journal","title":"MYC oncogene overexpression drives renal cell carcinoma in a mouse model through glutamine metabolism","container-title":"Proceedings of the National Academy of Sciences of the United States of America","page":"6539-6544","volume":"112","issue":"21","source":"PubMed Central","abstract":"The absence of appropriate transgenic animal models of renal cell carcinomas (RCCs) has made it difficult to identify and test new therapies for this disease. We developed a new transgenic mouse model of a highly aggressive form of RCC in which tumor growth and regression is conditionally regulated by the MYC oncogene. Using desorption electrospray ionization–mass-spectrometric imaging, we found that certain glycerophosphoglycerols and metabolites of the glutaminolytic pathway were higher in abundance in RCC than in normal kidney tissue. Up-regulation of glutaminolytic genes and proteins was identified by genetic analysis and immunohistochemistry, therefore suggesting that RCC tumors are glutamine addicted. Pharmacological inhibition of glutaminase slowed tumor progression in vivo, which may represent a novel therapeutic route for RCC., The MYC oncogene is frequently mutated and overexpressed in human renal cell carcinoma (RCC). However, there have been no studies on the causative role of MYC or any other oncogene in the initiation or maintenance of kidney tumorigenesis. Here, we show through a conditional transgenic mouse model that the MYC oncogene, but not the RAS oncogene, initiates and maintains RCC. Desorption electrospray ionization–mass-spectrometric imaging was used to obtain chemical maps of metabolites and lipids in the mouse RCC samples. Gene expression analysis revealed that the mouse tumors mimicked human RCC. The data suggested that MYC-induced RCC up-regulated the glutaminolytic pathway instead of the glycolytic pathway. The pharmacologic inhibition of glutamine metabolism with bis-2-(5-phenylacetamido-1,2,4-thiadiazol-2-yl)ethyl sulfide impeded MYC-mediated RCC tumor progression. Our studies demonstrate that MYC overexpression causes RCC and points to the inhibition of glutamine metabolism as a potential therapeutic approach for the treatment of this disease.","URL":"https://www.ncbi.nlm.nih.gov/pmc/articles/PMC4450371/","DOI":"10.1073/pnas.1507228112","ISSN":"0027-8424","note":"PMID: 25964345\nPMCID: PMC4450371","journalAbbreviation":"Proc Natl Acad Sci U S A","author":[{"family":"Shroff","given":"Emelyn H."},{"family":"Eberlin","given":"Livia S."},{"family":"Dang","given":"Vanessa M."},{"family":"Gouw","given":"Arvin M."},{"family":"Gabay","given":"Meital"},{"family":"Adam","given":"Stacey J."},{"family":"Bellovin","given":"David I."},{"family":"Tran","given":"Phuoc T."},{"family":"Philbrick","given":"William M."},{"family":"Garcia-Ocana","given":"Adolfo"},{"family":"Casey","given":"Stephanie C."},{"family":"Li","given":"Yulin"},{"family":"Dang","given":"Chi V."},{"family":"Zare","given":"Richard N."},{"family":"Felsher","given":"Dean W."}],"issued":{"date-parts":[["2015",5,26]]},"accessed":{"date-parts":[["2018",4,10]]}}},{"id":1765,"uris":["http://zotero.org/users/4775618/items/T27BLSV8"],"uri":["http://zotero.org/users/4775618/items/T27BLSV8"],"itemData":{"id":1765,"type":"article-journal","title":"MYC pathway is activated in clear cell renal cell carcinoma and essential for proliferation of clear cell renal cell carcinoma cells","container-title":"Cancer Letters","page":"35-43","volume":"273","issue":"1","source":"PubMed","abstract":"Clear cell renal cell carcinoma (ccRCC) is the major and aggressive subtype of RCC. Previously, we identified 383 differentially expressed genes by analyzing full-length cDNA libraries of ccRCC and normal kidney tissues. In this study, we applied functional network analysis to the differentially expressed genes for identifying deregulated molecular pathways in ccRCC, and the results indicated that MYC showed a prominent role in the highest scoring network. The upregulation of MYC expression was validated in ccRCC tissues and cell lines. Furthermore, Knockdown of MYC expression by MYC-specific siRNA significantly inhibited the abilities of uncontrolled proliferation, anchorage-independent growth and arrested cell cycle in the G0/G1 phase in ccRCC cells. Moreover, we found that 37 differentially expressed genes were shown to be MYC-target genes, and the upregulation of the MYC-target genes BCL2, CCND1, PCNA, PGK1, and VEGFA were demonstrated. The expression of these MYC-target genes was significantly correlated with the expression of MYC in ccRCC tissues, and knockdown of MYC also suppressed the expression of these MYC-target genes in ccRCC cells. The recruitment of MYC to the promoter regions of BCL2, CCND1, PCNA, PGK1, and VEGFA was shown by Chromatin immunoprecipitation assay. These results suggest that MYC pathway is activated and plays an essential role in the proliferation of ccRCC cells.","DOI":"10.1016/j.canlet.2008.07.038","ISSN":"1872-7980","note":"PMID: 18809243","journalAbbreviation":"Cancer Lett.","language":"eng","author":[{"family":"Tang","given":"Sai-Wen"},{"family":"Chang","given":"Wen-Hsin"},{"family":"Su","given":"Yih-Ching"},{"family":"Chen","given":"Yu-Chi"},{"family":"Lai","given":"Yen-Han"},{"family":"Wu","given":"Pei-Tzu"},{"family":"Hsu","given":"Chyong-Ing"},{"family":"Lin","given":"Wei-Chou"},{"family":"Lai","given":"Ming-Kuen"},{"family":"Lin","given":"Jung-Yaw"}],"issued":{"date-parts":[["2009",1,8]]}}}],"schema":"https://github.com/citation-style-language/schema/raw/master/csl-citation.json"} </w:instrText>
      </w:r>
      <w:r w:rsidR="00DB5C12">
        <w:rPr>
          <w:rFonts w:ascii="Calibri" w:hAnsi="Calibri" w:cs="Calibri"/>
          <w:i/>
          <w:color w:val="000000" w:themeColor="text1"/>
          <w:sz w:val="22"/>
          <w:szCs w:val="22"/>
        </w:rPr>
        <w:fldChar w:fldCharType="separate"/>
      </w:r>
      <w:r w:rsidR="001D2B77" w:rsidRPr="001D2B77">
        <w:rPr>
          <w:rFonts w:ascii="Calibri" w:hAnsi="Calibri" w:cs="Calibri"/>
          <w:color w:val="000000"/>
          <w:sz w:val="22"/>
          <w:vertAlign w:val="superscript"/>
          <w:lang w:val="en-US"/>
        </w:rPr>
        <w:t>14,15</w:t>
      </w:r>
      <w:r w:rsidR="00DB5C12">
        <w:rPr>
          <w:rFonts w:ascii="Calibri" w:hAnsi="Calibri" w:cs="Calibri"/>
          <w:i/>
          <w:color w:val="000000" w:themeColor="text1"/>
          <w:sz w:val="22"/>
          <w:szCs w:val="22"/>
        </w:rPr>
        <w:fldChar w:fldCharType="end"/>
      </w:r>
      <w:r w:rsidR="00CB1F1C" w:rsidRPr="00D637BA">
        <w:rPr>
          <w:rFonts w:ascii="Calibri" w:hAnsi="Calibri" w:cs="Calibri"/>
          <w:i/>
          <w:color w:val="000000" w:themeColor="text1"/>
          <w:sz w:val="22"/>
          <w:szCs w:val="22"/>
        </w:rPr>
        <w:t>,</w:t>
      </w:r>
      <w:r w:rsidR="00F131BF" w:rsidRPr="00D637BA">
        <w:rPr>
          <w:rFonts w:ascii="Calibri" w:hAnsi="Calibri" w:cs="Calibri"/>
          <w:color w:val="000000" w:themeColor="text1"/>
          <w:sz w:val="22"/>
          <w:szCs w:val="22"/>
        </w:rPr>
        <w:t xml:space="preserve"> and </w:t>
      </w:r>
      <w:r w:rsidR="00F131BF" w:rsidRPr="00D637BA">
        <w:rPr>
          <w:rFonts w:ascii="Calibri" w:hAnsi="Calibri" w:cs="Calibri"/>
          <w:i/>
          <w:color w:val="000000" w:themeColor="text1"/>
          <w:sz w:val="22"/>
          <w:szCs w:val="22"/>
        </w:rPr>
        <w:t>mTOR</w:t>
      </w:r>
      <w:r w:rsidR="00DB5C12">
        <w:rPr>
          <w:rFonts w:ascii="Calibri" w:hAnsi="Calibri" w:cs="Calibri"/>
          <w:i/>
          <w:color w:val="000000" w:themeColor="text1"/>
          <w:sz w:val="22"/>
          <w:szCs w:val="22"/>
        </w:rPr>
        <w:fldChar w:fldCharType="begin"/>
      </w:r>
      <w:r w:rsidR="001D2B77">
        <w:rPr>
          <w:rFonts w:ascii="Calibri" w:hAnsi="Calibri" w:cs="Calibri"/>
          <w:i/>
          <w:color w:val="000000" w:themeColor="text1"/>
          <w:sz w:val="22"/>
          <w:szCs w:val="22"/>
        </w:rPr>
        <w:instrText xml:space="preserve"> ADDIN ZOTERO_ITEM CSL_CITATION {"citationID":"a3k8j8oe3e","properties":{"formattedCitation":"\\super 12\\nosupersub{}","plainCitation":"12","noteIndex":0},"citationItems":[{"id":304,"uris":["http://zotero.org/users/4775618/items/GZXEPCSJ"],"uri":["http://zotero.org/users/4775618/items/GZXEPCSJ"],"itemData":{"id":304,"type":"article-journal","title":"Integrated molecular analysis of clear-cell renal cell carcinoma","container-title":"Nature Genetics","page":"860-867","volume":"45","issue":"8","source":"www.nature.com","abstract":"Clear-cell renal cell carcinoma (ccRCC) is the most prevalent kidney cancer and its molecular pathogenesis is incompletely understood. Here we report an integrated molecular study of ccRCC in which ≥100 ccRCC cases were fully analyzed by whole-genome and/or whole-exome and RNA sequencing as well as by array-based gene expression, copy number and/or methylation analyses. We identified a full spectrum of genetic lesions and analyzed gene expression and DNA methylation signatures and determined their impact on tumor behavior. Defective VHL-mediated proteolysis was a common feature of ccRCC, which was caused not only by VHL inactivation but also by new hotspot TCEB1 mutations, which abolished Elongin C–VHL binding, leading to HIF accumulation. Other newly identified pathways and components recurrently mutated in ccRCC included PI3K-AKT-mTOR signaling, the KEAP1-NRF2-CUL3 apparatus, DNA methylation, p53-related pathways and mRNA processing. This integrated molecular analysis unmasked new correlations between DNA methylation, gene mutation and/or gene expression and copy number profiles, enabling the stratification of clinical risks for patients with ccRCC.","URL":"https://www.nature.com/articles/ng.2699","DOI":"10.1038/ng.2699","ISSN":"1546-1718","language":"en","author":[{"family":"Sato","given":"Yusuke"},{"family":"Yoshizato","given":"Tetsuichi"},{"family":"Shiraishi","given":"Yuichi"},{"family":"Maekawa","given":"Shigekatsu"},{"family":"Okuno","given":"Yusuke"},{"family":"Kamura","given":"Takumi"},{"family":"Shimamura","given":"Teppei"},{"family":"Sato-Otsubo","given":"Aiko"},{"family":"Nagae","given":"Genta"},{"family":"Suzuki","given":"Hiromichi"},{"family":"Nagata","given":"Yasunobu"},{"family":"Yoshida","given":"Kenichi"},{"family":"Kon","given":"Ayana"},{"family":"Suzuki","given":"Yutaka"},{"family":"Chiba","given":"Kenichi"},{"family":"Tanaka","given":"Hiroko"},{"family":"Niida","given":"Atsushi"},{"family":"Fujimoto","given":"Akihiro"},{"family":"Tsunoda","given":"Tatsuhiko"},{"family":"Morikawa","given":"Teppei"},{"family":"Maeda","given":"Daichi"},{"family":"Kume","given":"Haruki"},{"family":"Sugano","given":"Sumio"},{"family":"Fukayama","given":"Masashi"},{"family":"Aburatani","given":"Hiroyuki"},{"family":"Sanada","given":"Masashi"},{"family":"Miyano","given":"Satoru"},{"family":"Homma","given":"Yukio"},{"family":"Ogawa","given":"Seishi"}],"issued":{"date-parts":[["2013",8]]},"accessed":{"date-parts":[["2018",3,27]]}}}],"schema":"https://github.com/citation-style-language/schema/raw/master/csl-citation.json"} </w:instrText>
      </w:r>
      <w:r w:rsidR="00DB5C12">
        <w:rPr>
          <w:rFonts w:ascii="Calibri" w:hAnsi="Calibri" w:cs="Calibri"/>
          <w:i/>
          <w:color w:val="000000" w:themeColor="text1"/>
          <w:sz w:val="22"/>
          <w:szCs w:val="22"/>
        </w:rPr>
        <w:fldChar w:fldCharType="separate"/>
      </w:r>
      <w:r w:rsidR="001D2B77" w:rsidRPr="001D2B77">
        <w:rPr>
          <w:rFonts w:ascii="Calibri" w:hAnsi="Calibri" w:cs="Calibri"/>
          <w:color w:val="000000"/>
          <w:sz w:val="22"/>
          <w:vertAlign w:val="superscript"/>
          <w:lang w:val="en-US"/>
        </w:rPr>
        <w:t>12</w:t>
      </w:r>
      <w:r w:rsidR="00DB5C12">
        <w:rPr>
          <w:rFonts w:ascii="Calibri" w:hAnsi="Calibri" w:cs="Calibri"/>
          <w:i/>
          <w:color w:val="000000" w:themeColor="text1"/>
          <w:sz w:val="22"/>
          <w:szCs w:val="22"/>
        </w:rPr>
        <w:fldChar w:fldCharType="end"/>
      </w:r>
      <w:r w:rsidR="00F131BF" w:rsidRPr="00D637BA">
        <w:rPr>
          <w:rFonts w:ascii="Calibri" w:hAnsi="Calibri" w:cs="Calibri"/>
          <w:color w:val="000000" w:themeColor="text1"/>
          <w:sz w:val="22"/>
          <w:szCs w:val="22"/>
        </w:rPr>
        <w:t xml:space="preserve"> signalling pathways as well as </w:t>
      </w:r>
      <w:r w:rsidR="00DB0F39" w:rsidRPr="00D637BA">
        <w:rPr>
          <w:rFonts w:ascii="Calibri" w:hAnsi="Calibri" w:cs="Calibri"/>
          <w:color w:val="000000" w:themeColor="text1"/>
          <w:sz w:val="22"/>
          <w:szCs w:val="22"/>
        </w:rPr>
        <w:t xml:space="preserve">in </w:t>
      </w:r>
      <w:r w:rsidR="00F131BF" w:rsidRPr="00D637BA">
        <w:rPr>
          <w:rFonts w:ascii="Calibri" w:hAnsi="Calibri" w:cs="Calibri"/>
          <w:color w:val="000000" w:themeColor="text1"/>
          <w:sz w:val="22"/>
          <w:szCs w:val="22"/>
        </w:rPr>
        <w:t>numerous metabolic pathways</w:t>
      </w:r>
      <w:r w:rsidR="00DB5C12">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{"citationID":"a1p8evn3qgl","properties":{"formattedCitation":"\\super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DB5C12">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10</w:t>
      </w:r>
      <w:r w:rsidR="00DB5C12">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004A1233" w:rsidRPr="00D637BA">
        <w:rPr>
          <w:rFonts w:ascii="Calibri" w:hAnsi="Calibri" w:cs="Calibri"/>
          <w:color w:val="000000" w:themeColor="text1"/>
          <w:sz w:val="22"/>
          <w:szCs w:val="22"/>
        </w:rPr>
        <w:t xml:space="preserve"> S</w:t>
      </w:r>
      <w:r w:rsidR="00F131BF" w:rsidRPr="00D637BA">
        <w:rPr>
          <w:rFonts w:ascii="Calibri" w:hAnsi="Calibri" w:cs="Calibri"/>
          <w:color w:val="000000" w:themeColor="text1"/>
          <w:sz w:val="22"/>
          <w:szCs w:val="22"/>
        </w:rPr>
        <w:t>ubtype-specific genetic perturbations</w:t>
      </w:r>
      <w:r w:rsidR="004A1233" w:rsidRPr="00D637BA">
        <w:rPr>
          <w:rFonts w:ascii="Calibri" w:hAnsi="Calibri" w:cs="Calibri"/>
          <w:color w:val="000000" w:themeColor="text1"/>
          <w:sz w:val="22"/>
          <w:szCs w:val="22"/>
        </w:rPr>
        <w:t xml:space="preserve"> have also been identified,</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such as </w:t>
      </w:r>
      <w:r w:rsidR="00592A82" w:rsidRPr="00D637BA">
        <w:rPr>
          <w:rFonts w:ascii="Calibri" w:hAnsi="Calibri" w:cs="Calibri"/>
          <w:color w:val="000000" w:themeColor="text1"/>
          <w:sz w:val="22"/>
          <w:szCs w:val="22"/>
        </w:rPr>
        <w:t xml:space="preserve">mutations in </w:t>
      </w:r>
      <w:r w:rsidR="00F131BF" w:rsidRPr="00D637BA">
        <w:rPr>
          <w:rFonts w:ascii="Calibri" w:hAnsi="Calibri" w:cs="Calibri"/>
          <w:color w:val="000000" w:themeColor="text1"/>
          <w:sz w:val="22"/>
          <w:szCs w:val="22"/>
        </w:rPr>
        <w:t>fumarate hydratase (FH) in type 2 pRCC</w:t>
      </w:r>
      <w:r w:rsidR="00DB5C12">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{"citationID":"aqieg4nhua","properties":{"formattedCitation":"\\super 16\\nosupersub{}","plainCitation":"16","noteIndex":0},"citationItems":[{"id":714,"uris":["http://zotero.org/users/4775618/items/G64B7NRG"],"uri":["http://zotero.org/users/4775618/items/G64B7NRG"],"itemData":{"id":714,"type":"article-journal","title":"Germline mutations in FH predispose to dominantly inherited uterine fibroids, skin leiomyomata and papillary renal cell cancer","container-title":"Nature Genetics","page":"406-410","volume":"30","issue":"4","source":"Crossref","URL":"http://www.nature.com/articles/ng849","DOI":"10.1038/ng849","ISSN":"1061-4036, 1546-1718","language":"en","author":[{"literal":"The Multiple Leiomyoma Consortium"}],"issued":{"date-parts":[["2002",4]]},"accessed":{"date-parts":[["2018",9,2]]}}}],"schema":"https://github.com/citation-style-language/schema/raw/master/csl-citation.json"} </w:instrText>
      </w:r>
      <w:r w:rsidR="00DB5C12">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16</w:t>
      </w:r>
      <w:r w:rsidR="00DB5C12">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p>
    <w:p w14:paraId="012D3A70" w14:textId="23B94B7A" w:rsidR="009432CE" w:rsidRPr="00D637BA" w:rsidRDefault="00F131BF" w:rsidP="00E37025">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RCC is increasingly recognised as a disease of cell metabolism. Before the advent of the </w:t>
      </w:r>
      <w:r w:rsidR="009C48D0"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Omics</w:t>
      </w:r>
      <w:r w:rsidR="009C48D0"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era, at least twelve genes implicated in RCC pathogenesis were identified to have roles in fundamental metabolic processes</w:t>
      </w:r>
      <w:r w:rsidR="00DB5C12">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{"citationID":"a2nfeo937vi","properties":{"formattedCitation":"\\super 17,18\\nosupersub{}","plainCitation":"17,18","noteIndex":0},"citationItems":[{"id":1184,"uris":["http://zotero.org/users/4775618/items/QZKD2IEJ"],"uri":["http://zotero.org/users/4775618/items/QZKD2IEJ"],"itemData":{"id":1184,"type":"article-journal","title":"The metabolic basis of kidney cancer","container-title":"Seminars in Cancer Biology","page":"46-55","volume":"23","issue":"1","source":"PubMed","abstract":"Kidney cancer is not a single disease; it is made up of a number of different types of cancer that occur in the kidney. Each of these different types of kidney cancer can have a different histology, have a different clinical course, can respond differently to therapy and is caused by a different gene. Kidney cancer is essentially a metabolic disease; each of the known genes for kidney cancer, VHL, MET, FLCN, TSC1, TSC2, TFE3, TFEB, MITF, fumarate hydratase (FH), succinate dehydrogenase B (SDHB), succinate dehydrogenase D (SDHD), and PTEN genes is involved in the cells ability to sense oxygen, iron, nutrients or energy. Understanding the metabolic basis of kidney cancer will hopefully provide the foundation for the development of effective forms of therapy for this disease.","DOI":"10.1016/j.semcancer.2012.06.002","ISSN":"1096-3650","note":"PMID: 22705279\nPMCID: PMC3563773","journalAbbreviation":"Semin. Cancer Biol.","language":"eng","author":[{"family":"Linehan","given":"W. Marston"},{"family":"Ricketts","given":"Christopher J."}],"issued":{"date-parts":[["2013",2]]}}},{"id":1152,"uris":["http://zotero.org/users/4775618/items/SQE4THN3"],"uri":["http://zotero.org/users/4775618/items/SQE4THN3"],"itemData":{"id":1152,"type":"article-journal","title":"The genetic basis of kidney cancer: a metabolic disease","container-title":"Nature reviews. Urology","page":"277-285","volume":"7","issue":"5","source":"PubMed Central","abstract":"Kidney cancer is not a single disease but encompasses a number of different types of cancer that occur in the kidney, each caused by a different gene with a different histology and clinical course that responds differently to therapy. Each of the seven known kidney cancer genes, VHL, MET, FLCN, TSC1, TSC2, FH and SDH, is involved in pathways that respond to metabolic stress and/or nutrient stimulation. The VHL protein is a component of the oxygen and iron sensing pathway that regulates HIF levels in the cell. HGF/MET signaling affects the LKB1/AMPK energy sensing cascade. The FLCN/FNIP1/FNIP2 complex binds AMPK and therefore may interact with the cellular energy and nutrient sensing pathways, AMPK-TSC1/2-mTOR and PI3K-Akt-mTOR. TSC1/TSC2 are downstream of AMPK and negatively regulate mTOR in response to cellular energy deficit. FH and SDH play a central role in the mitochondrial tricarboxylic acid (TCA) cycle whose activities are coupled to energy production through oxidative phosphorylation. Mutations in each of these kidney cancer genes result in dysregulation of metabolic pathways involved in oxygen, iron, energy and/or nutrient sensing suggesting that kidney cancer is a disease of cell metabolism. Targeting the fundamental metabolic abnormalities in kidney cancer provides a unique opportunity for the development of more effective forms of therapy for this disease.","URL":"https://www.ncbi.nlm.nih.gov/pmc/articles/PMC2929006/","DOI":"10.1038/nrurol.2010.47","ISSN":"1759-4812","note":"PMID: 20448661\nPMCID: PMC2929006","title-short":"The genetic basis of kidney cancer","journalAbbreviation":"Nat Rev Urol","author":[{"family":"Linehan","given":"W. Marston"},{"family":"Srinivasan","given":"Ramaprasad"},{"family":"Schmidt","given":"Laura S."}],"issued":{"date-parts":[["2010",5]]},"accessed":{"date-parts":[["2019",2,17]]}}}],"schema":"https://github.com/citation-style-language/schema/raw/master/csl-citation.json"} </w:instrText>
      </w:r>
      <w:r w:rsidR="00DB5C12">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17,18</w:t>
      </w:r>
      <w:r w:rsidR="00DB5C12">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One </w:t>
      </w:r>
      <w:r w:rsidR="00CC2B84" w:rsidRPr="00D637BA">
        <w:rPr>
          <w:rFonts w:ascii="Calibri" w:hAnsi="Calibri" w:cs="Calibri"/>
          <w:color w:val="000000" w:themeColor="text1"/>
          <w:sz w:val="22"/>
          <w:szCs w:val="22"/>
        </w:rPr>
        <w:t xml:space="preserve">classic </w:t>
      </w:r>
      <w:r w:rsidRPr="00D637BA">
        <w:rPr>
          <w:rFonts w:ascii="Calibri" w:hAnsi="Calibri" w:cs="Calibri"/>
          <w:color w:val="000000" w:themeColor="text1"/>
          <w:sz w:val="22"/>
          <w:szCs w:val="22"/>
        </w:rPr>
        <w:t xml:space="preserve">example in RCC is the ability of </w:t>
      </w:r>
      <w:r w:rsidRPr="00D637BA">
        <w:rPr>
          <w:rFonts w:ascii="Calibri" w:hAnsi="Calibri" w:cs="Calibri"/>
          <w:i/>
          <w:color w:val="000000" w:themeColor="text1"/>
          <w:sz w:val="22"/>
          <w:szCs w:val="22"/>
        </w:rPr>
        <w:t>VHL</w:t>
      </w:r>
      <w:r w:rsidRPr="00D637BA">
        <w:rPr>
          <w:rFonts w:ascii="Calibri" w:hAnsi="Calibri" w:cs="Calibri"/>
          <w:color w:val="000000" w:themeColor="text1"/>
          <w:sz w:val="22"/>
          <w:szCs w:val="22"/>
        </w:rPr>
        <w:t xml:space="preserve"> inactivation to rewire the normal metabolic adaptation response to oxygen deprivation. </w:t>
      </w:r>
      <w:r w:rsidR="009A0025" w:rsidRPr="00D637BA">
        <w:rPr>
          <w:rFonts w:ascii="Calibri" w:hAnsi="Calibri" w:cs="Calibri"/>
          <w:color w:val="000000" w:themeColor="text1"/>
          <w:sz w:val="22"/>
          <w:szCs w:val="22"/>
        </w:rPr>
        <w:t>In ccRCC, i</w:t>
      </w:r>
      <w:r w:rsidRPr="00D637BA">
        <w:rPr>
          <w:rFonts w:ascii="Calibri" w:hAnsi="Calibri" w:cs="Calibri"/>
          <w:color w:val="000000" w:themeColor="text1"/>
          <w:sz w:val="22"/>
          <w:szCs w:val="22"/>
        </w:rPr>
        <w:t xml:space="preserve">nactivation of </w:t>
      </w:r>
      <w:r w:rsidRPr="00D637BA">
        <w:rPr>
          <w:rFonts w:ascii="Calibri" w:hAnsi="Calibri" w:cs="Calibri"/>
          <w:i/>
          <w:color w:val="000000" w:themeColor="text1"/>
          <w:sz w:val="22"/>
          <w:szCs w:val="22"/>
        </w:rPr>
        <w:t>VHL</w:t>
      </w:r>
      <w:r w:rsidRPr="00D637BA">
        <w:rPr>
          <w:rFonts w:ascii="Calibri" w:hAnsi="Calibri" w:cs="Calibri"/>
          <w:color w:val="000000" w:themeColor="text1"/>
          <w:sz w:val="22"/>
          <w:szCs w:val="22"/>
        </w:rPr>
        <w:t xml:space="preserve"> leads to aberrant accumulation of the transcription factors hypoxia-inducible factor 1α</w:t>
      </w:r>
      <w:r w:rsidR="00DB0F39" w:rsidRPr="00D637BA">
        <w:rPr>
          <w:rFonts w:ascii="Calibri" w:hAnsi="Calibri" w:cs="Calibri"/>
          <w:color w:val="000000" w:themeColor="text1"/>
          <w:sz w:val="22"/>
          <w:szCs w:val="22"/>
        </w:rPr>
        <w:t xml:space="preserve"> (HIF1α)</w:t>
      </w:r>
      <w:r w:rsidRPr="00D637BA">
        <w:rPr>
          <w:rFonts w:ascii="Calibri" w:hAnsi="Calibri" w:cs="Calibri"/>
          <w:color w:val="000000" w:themeColor="text1"/>
          <w:sz w:val="22"/>
          <w:szCs w:val="22"/>
        </w:rPr>
        <w:t xml:space="preserve"> and HIF2α despite normoxia</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{"citationID":"a9gm1tbpce","properties":{"formattedCitation":"\\super 19,20\\nosupersub{}","plainCitation":"19,20","noteIndex":0},"citationItems":[{"id":1067,"uris":["http://zotero.org/users/4775618/items/WT52STQJ"],"uri":["http://zotero.org/users/4775618/items/WT52STQJ"],"itemData":{"id":1067,"type":"article-journal","title":"Targeting of HIF-alpha to the von Hippel-Lindau ubiquitylation complex by O2-regulated prolyl hydroxylation","container-title":"Science (New York, N.Y.)","page":"468-472","volume":"292","issue":"5516","source":"PubMed","abstract":"Hypoxia-inducible factor (HIF) is a transcriptional complex that plays a central role in the regulation of gene expression by oxygen. In oxygenated and iron replete cells, HIF-alpha subunits are rapidly destroyed by a mechanism that involves ubiquitylation by the von Hippel-Lindau tumor suppressor (pVHL) E3 ligase complex. This process is suppressed by hypoxia and iron chelation, allowing transcriptional activation. Here we show that the interaction between human pVHL and a specific domain of the HIF-1alpha subunit is regulated through hydroxylation of a proline residue (HIF-1alpha P564) by an enzyme we have termed HIF-alpha prolyl-hydroxylase (HIF-PH). An absolute requirement for dioxygen as a cosubstrate and iron as cofactor suggests that HIF-PH functions directly as a cellular oxygen sensor.","DOI":"10.1126/science.1059796","ISSN":"0036-8075","note":"PMID: 11292861","journalAbbreviation":"Science","language":"eng","author":[{"family":"Jaakkola","given":"P."},{"family":"Mole","given":"D. R."},{"family":"Tian","given":"Y. M."},{"family":"Wilson","given":"M. I."},{"family":"Gielbert","given":"J."},{"family":"Gaskell","given":"S. J."},{"family":"Kriegsheim","given":"A.","non-dropping-particle":"von"},{"family":"Hebestreit","given":"H. F."},{"family":"Mukherji","given":"M."},{"family":"Schofield","given":"C. J."},{"family":"Maxwell","given":"P. H."},{"family":"Pugh","given":"C. W."},{"family":"Ratcliffe","given":"P. J."}],"issued":{"date-parts":[["2001",4,20]]}}},{"id":1063,"uris":["http://zotero.org/users/4775618/items/LK5SKW76"],"uri":["http://zotero.org/users/4775618/items/LK5SKW76"],"itemData":{"id":1063,"type":"article-journal","title":"The tumour suppressor protein VHL targets hypoxia-inducible factors for oxygen-dependent proteolysis","container-title":"Nature","page":"271-275","volume":"399","issue":"6733","source":"PubMed","abstract":"Hypoxia-inducible factor-1 (HIF-1) has a key role in cellular responses to hypoxia, including the regulation of genes involved in energy metabolism, angiogenesis and apoptosis. The alpha subunits of HIF are rapidly degraded by the proteasome under normal conditions, but are stabilized by hypoxia. Cobaltous ions or iron chelators mimic hypoxia, indicating that the stimuli may interact through effects on a ferroprotein oxygen sensor. Here we demonstrate a critical role for the von Hippel-Lindau (VHL) tumour suppressor gene product pVHL in HIF-1 regulation. In VHL-defective cells, HIF alpha-subunits are constitutively stabilized and HIF-1 is activated. Re-expression of pVHL restored oxygen-dependent instability. pVHL and HIF alpha-subunits co-immunoprecipitate, and pVHL is present in the hypoxic HIF-1 DNA-binding complex. In cells exposed to iron chelation or cobaltous ions, HIF-1 is dissociated from pVHL. These findings indicate that the interaction between HIF-1 and pVHL is iron dependent, and that it is necessary for the oxygen-dependent degradation of HIF alpha-subunits. Thus, constitutive HIF-1 activation may underlie the angiogenic phenotype of VHL-associated tumours. The pVHL/HIF-1 interaction provides a new focus for understanding cellular oxygen sensing.","DOI":"10.1038/20459","ISSN":"0028-0836","note":"PMID: 10353251","journalAbbreviation":"Nature","language":"eng","author":[{"family":"Maxwell","given":"P. H."},{"family":"Wiesener","given":"M. S."},{"family":"Chang","given":"G. W."},{"family":"Clifford","given":"S. C."},{"family":"Vaux","given":"E. C."},{"family":"Cockman","given":"M. E."},{"family":"Wykoff","given":"C. C."},{"family":"Pugh","given":"C. W."},{"family":"Maher","given":"E. R."},{"family":"Ratcliffe","given":"P. J."}],"issued":{"date-parts":[["1999",5,20]]}}}],"schema":"https://github.com/citation-style-language/schema/raw/master/csl-citation.json"}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19,20</w:t>
      </w:r>
      <w:r w:rsidR="004E2CCC">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result</w:t>
      </w:r>
      <w:r w:rsidR="00DB0F39" w:rsidRPr="00D637BA">
        <w:rPr>
          <w:rFonts w:ascii="Calibri" w:hAnsi="Calibri" w:cs="Calibri"/>
          <w:color w:val="000000" w:themeColor="text1"/>
          <w:sz w:val="22"/>
          <w:szCs w:val="22"/>
        </w:rPr>
        <w:t xml:space="preserve">ing in </w:t>
      </w:r>
      <w:r w:rsidRPr="00D637BA">
        <w:rPr>
          <w:rFonts w:ascii="Calibri" w:hAnsi="Calibri" w:cs="Calibri"/>
          <w:color w:val="000000" w:themeColor="text1"/>
          <w:sz w:val="22"/>
          <w:szCs w:val="22"/>
        </w:rPr>
        <w:t>upregulation of pathways involved in glycolysis, fatty acid</w:t>
      </w:r>
      <w:r w:rsidR="002C42DA" w:rsidRPr="00D637BA">
        <w:rPr>
          <w:rFonts w:ascii="Calibri" w:hAnsi="Calibri" w:cs="Calibri"/>
          <w:color w:val="000000" w:themeColor="text1"/>
          <w:sz w:val="22"/>
          <w:szCs w:val="22"/>
        </w:rPr>
        <w:t xml:space="preserve"> synthesis</w:t>
      </w:r>
      <w:r w:rsidRPr="00D637BA">
        <w:rPr>
          <w:rFonts w:ascii="Calibri" w:hAnsi="Calibri" w:cs="Calibri"/>
          <w:color w:val="000000" w:themeColor="text1"/>
          <w:sz w:val="22"/>
          <w:szCs w:val="22"/>
        </w:rPr>
        <w:t xml:space="preserve"> and glycogen synthesis</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{"citationID":"a1ihtneatjn","properties":{"formattedCitation":"\\super 21\\uc0\\u8211{}23\\nosupersub{}","plainCitation":"21–23","noteIndex":0},"citationItems":[{"id":1193,"uris":["http://zotero.org/users/4775618/items/RYTZVMY9"],"uri":["http://zotero.org/users/4775618/items/RYTZVMY9"],"itemData":{"id":1193,"type":"article-journal","title":"Hypoxia Promotes Glycogen Accumulation through Hypoxia Inducible Factor (HIF)-Mediated Induction of Glycogen Synthase 1","container-title":"PLoS ONE","volume":"5","issue":"3","source":"PubMed Central","abstract":"When oxygen becomes limiting, cells reduce mitochondrial respiration and increase ATP production through anaerobic fermentation of glucose. The Hypoxia Inducible Factors (HIFs) play a key role in this metabolic shift by regulating the transcription of key enzymes of glucose metabolism. Here we show that oxygen regulates the expression of the muscle glycogen synthase (GYS1). Hypoxic GYS1 induction requires HIF activity and a Hypoxia Response Element within its promoter. GYS1 gene induction correlated with a significant increase in glycogen synthase activity and glycogen accumulation in cells exposed to hypoxia. Significantly, knockdown of either HIF1α or GYS1 attenuated hypoxia-induced glycogen accumulation, while GYS1 overexpression was sufficient to mimic this effect. Altogether, these results indicate that GYS1 regulation by HIF plays a central role in the hypoxic accumulation of glycogen. Importantly, we found that hypoxia also upregulates the expression of UTP:glucose-1-phosphate urydylyltransferase (UGP2) and 1,4-α glucan branching enzyme (GBE1), two enzymes involved in the biosynthesis of glycogen. Therefore, hypoxia regulates almost all the enzymes involved in glycogen metabolism in a coordinated fashion, leading to its accumulation. Finally, we demonstrated that abrogation of glycogen synthesis, by knock-down of GYS1 expression, impairs hypoxic preconditioning, suggesting a physiological role for the glycogen accumulated during chronic hypoxia. In summary, our results uncover a novel effect of hypoxia on glucose metabolism, further supporting the central importance of metabolic reprogramming in the cellular adaptation to hypoxia.","URL":"https://www.ncbi.nlm.nih.gov/pmc/articles/PMC2837373/","DOI":"10.1371/journal.pone.0009644","ISSN":"1932-6203","note":"PMID: 20300197\nPMCID: PMC2837373","journalAbbreviation":"PLoS One","author":[{"family":"Pescador","given":"Nuria"},{"family":"Villar","given":"Diego"},{"family":"Cifuentes","given":"Daniel"},{"family":"Garcia-Rocha","given":"Mar"},{"family":"Ortiz-Barahona","given":"Amaya"},{"family":"Vazquez","given":"Silvia"},{"family":"Ordoñez","given":"Angel"},{"family":"Cuevas","given":"Yolanda"},{"family":"Saez-Morales","given":"David"},{"family":"Garcia-Bermejo","given":"Maria Laura"},{"family":"Landazuri","given":"Manuel O."},{"family":"Guinovart","given":"Joan"},{"family":"Peso","given":"Luis","non-dropping-particle":"del"}],"issued":{"date-parts":[["2010",3,12]]},"accessed":{"date-parts":[["2019",2,18]]}}},{"id":1189,"uris":["http://zotero.org/users/4775618/items/3I4SX6AB"],"uri":["http://zotero.org/users/4775618/items/3I4SX6AB"],"itemData":{"id":1189,"type":"article-journal","title":"HIF-1 mediates metabolic responses to intratumoral hypoxia and oncogenic mutations","container-title":"The Journal of Clinical Investigation","page":"3664-3671","volume":"123","issue":"9","source":"www.jci.org","URL":"https://www.jci.org/articles/view/67230#B55","DOI":"10.1172/JCI67230","ISSN":"0021-9738","note":"PMID: 0","journalAbbreviation":"J Clin Invest","language":"en","author":[{"family":"Semenza","given":"Gregg L."}],"issued":{"date-parts":[["2013",9,3]]},"accessed":{"date-parts":[["2019",2,18]]}}},{"id":727,"uris":["http://zotero.org/users/4775618/items/JKDISS9Z"],"uri":["http://zotero.org/users/4775618/items/JKDISS9Z"],"itemData":{"id":727,"type":"article-journal","title":"Hypoxia promotes isocitrate dehydrogenase-dependent carboxylation of -ketoglutarate to citrate to support cell growth and viability","container-title":"Proceedings of the National Academy of Sciences","page":"19611-19616","volume":"108","issue":"49","source":"Crossref","URL":"http://www.pnas.org/cgi/doi/10.1073/pnas.1117773108","DOI":"10.1073/pnas.1117773108","ISSN":"0027-8424, 1091-6490","language":"en","author":[{"family":"Wise","given":"D. R."},{"family":"Ward","given":"P. S."},{"family":"Shay","given":"J. E. S."},{"family":"Cross","given":"J. R."},{"family":"Gruber","given":"J. J."},{"family":"Sachdeva","given":"U. M."},{"family":"Platt","given":"J. M."},{"family":"DeMatteo","given":"R. G."},{"family":"Simon","given":"M. C."},{"family":"Thompson","given":"C. B."}],"issued":{"date-parts":[["2011",12,6]]},"accessed":{"date-parts":[["2018",9,3]]}}}],"schema":"https://github.com/citation-style-language/schema/raw/master/csl-citation.json"}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21–23</w:t>
      </w:r>
      <w:r w:rsidR="004E2CCC">
        <w:rPr>
          <w:rFonts w:ascii="Calibri" w:hAnsi="Calibri" w:cs="Calibri"/>
          <w:color w:val="000000" w:themeColor="text1"/>
          <w:sz w:val="22"/>
          <w:szCs w:val="22"/>
        </w:rPr>
        <w:fldChar w:fldCharType="end"/>
      </w:r>
      <w:r w:rsidR="00736246" w:rsidRPr="00D637BA">
        <w:rPr>
          <w:rFonts w:ascii="Calibri" w:hAnsi="Calibri" w:cs="Calibri"/>
          <w:color w:val="000000" w:themeColor="text1"/>
          <w:sz w:val="22"/>
          <w:szCs w:val="22"/>
        </w:rPr>
        <w:t xml:space="preserve">. </w:t>
      </w:r>
      <w:r w:rsidR="0034052F">
        <w:rPr>
          <w:rFonts w:ascii="Calibri" w:hAnsi="Calibri" w:cs="Calibri"/>
          <w:color w:val="000000" w:themeColor="text1"/>
          <w:sz w:val="22"/>
          <w:szCs w:val="22"/>
        </w:rPr>
        <w:t>M</w:t>
      </w:r>
      <w:r w:rsidR="00736246" w:rsidRPr="00D637BA">
        <w:rPr>
          <w:rFonts w:ascii="Calibri" w:hAnsi="Calibri" w:cs="Calibri"/>
          <w:color w:val="000000" w:themeColor="text1"/>
          <w:sz w:val="22"/>
          <w:szCs w:val="22"/>
        </w:rPr>
        <w:t xml:space="preserve">etabolic reprogramming </w:t>
      </w:r>
      <w:r w:rsidR="00AD7AD5" w:rsidRPr="00D637BA">
        <w:rPr>
          <w:rFonts w:ascii="Calibri" w:hAnsi="Calibri" w:cs="Calibri"/>
          <w:color w:val="000000" w:themeColor="text1"/>
          <w:sz w:val="22"/>
          <w:szCs w:val="22"/>
        </w:rPr>
        <w:t>that</w:t>
      </w:r>
      <w:r w:rsidR="00736246" w:rsidRPr="00D637BA">
        <w:rPr>
          <w:rFonts w:ascii="Calibri" w:hAnsi="Calibri" w:cs="Calibri"/>
          <w:color w:val="000000" w:themeColor="text1"/>
          <w:sz w:val="22"/>
          <w:szCs w:val="22"/>
        </w:rPr>
        <w:t xml:space="preserve"> facilitates the capacity</w:t>
      </w:r>
      <w:r w:rsidR="002C42DA" w:rsidRPr="00D637BA">
        <w:rPr>
          <w:rFonts w:ascii="Calibri" w:hAnsi="Calibri" w:cs="Calibri"/>
          <w:color w:val="000000" w:themeColor="text1"/>
          <w:sz w:val="22"/>
          <w:szCs w:val="22"/>
        </w:rPr>
        <w:t xml:space="preserve"> of the neoplasm</w:t>
      </w:r>
      <w:r w:rsidR="00736246" w:rsidRPr="00D637BA">
        <w:rPr>
          <w:rFonts w:ascii="Calibri" w:hAnsi="Calibri" w:cs="Calibri"/>
          <w:color w:val="000000" w:themeColor="text1"/>
          <w:sz w:val="22"/>
          <w:szCs w:val="22"/>
        </w:rPr>
        <w:t xml:space="preserve"> to meet its bioenergetic demands, </w:t>
      </w:r>
      <w:r w:rsidR="00DB0F39" w:rsidRPr="00D637BA">
        <w:rPr>
          <w:rFonts w:ascii="Calibri" w:hAnsi="Calibri" w:cs="Calibri"/>
          <w:color w:val="000000" w:themeColor="text1"/>
          <w:sz w:val="22"/>
          <w:szCs w:val="22"/>
        </w:rPr>
        <w:t>including</w:t>
      </w:r>
      <w:r w:rsidR="00736246" w:rsidRPr="00D637BA">
        <w:rPr>
          <w:rFonts w:ascii="Calibri" w:hAnsi="Calibri" w:cs="Calibri"/>
          <w:color w:val="000000" w:themeColor="text1"/>
          <w:sz w:val="22"/>
          <w:szCs w:val="22"/>
        </w:rPr>
        <w:t xml:space="preserve"> uncontrolled proliferation and the acquisition of other hallmark traits of cancer, is now recognised as </w:t>
      </w:r>
      <w:r w:rsidR="00F542BB" w:rsidRPr="00D637BA">
        <w:rPr>
          <w:rFonts w:ascii="Calibri" w:hAnsi="Calibri" w:cs="Calibri"/>
          <w:color w:val="000000" w:themeColor="text1"/>
          <w:sz w:val="22"/>
          <w:szCs w:val="22"/>
        </w:rPr>
        <w:t xml:space="preserve">having a </w:t>
      </w:r>
      <w:r w:rsidR="00736246" w:rsidRPr="00D637BA">
        <w:rPr>
          <w:rFonts w:ascii="Calibri" w:hAnsi="Calibri" w:cs="Calibri"/>
          <w:color w:val="000000" w:themeColor="text1"/>
          <w:sz w:val="22"/>
          <w:szCs w:val="22"/>
        </w:rPr>
        <w:t>fundamental</w:t>
      </w:r>
      <w:r w:rsidR="00F542BB" w:rsidRPr="00D637BA">
        <w:rPr>
          <w:rFonts w:ascii="Calibri" w:hAnsi="Calibri" w:cs="Calibri"/>
          <w:color w:val="000000" w:themeColor="text1"/>
          <w:sz w:val="22"/>
          <w:szCs w:val="22"/>
        </w:rPr>
        <w:t xml:space="preserve"> role</w:t>
      </w:r>
      <w:r w:rsidR="00736246" w:rsidRPr="00D637BA">
        <w:rPr>
          <w:rFonts w:ascii="Calibri" w:hAnsi="Calibri" w:cs="Calibri"/>
          <w:color w:val="000000" w:themeColor="text1"/>
          <w:sz w:val="22"/>
          <w:szCs w:val="22"/>
        </w:rPr>
        <w:t xml:space="preserve"> in the malignant transformation of cells and in the phenotypic evolution of tumours</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{"citationID":"a1cs5m2gvnt","properties":{"formattedCitation":"\\super 24,25\\nosupersub{}","plainCitation":"24,25","noteIndex":0},"citationItems":[{"id":694,"uris":["http://zotero.org/users/4775618/items/7MWJ388H"],"uri":["http://zotero.org/users/4775618/items/7MWJ388H"],"itemData":{"id":694,"type":"article-journal","title":"Hallmarks of Cancer: The Next Generation","container-title":"Cell","page":"646-674","volume":"144","issue":"5","source":"Crossref","URL":"http://linkinghub.elsevier.com/retrieve/pii/S0092867411001279","DOI":"10.1016/j.cell.2011.02.013","ISSN":"00928674","title-short":"Hallmarks of Cancer","language":"en","author":[{"family":"Hanahan","given":"Douglas"},{"family":"Weinberg","given":"Robert A."}],"issued":{"date-parts":[["2011",3]]},"accessed":{"date-parts":[["2018",9,2]]}}},{"id":695,"uris":["http://zotero.org/users/4775618/items/PVF6TM2Z"],"uri":["http://zotero.org/users/4775618/items/PVF6TM2Z"],"itemData":{"id":695,"type":"article-journal","title":"The Emerging Hallmarks of Cancer Metabolism","container-title":"Cell Metabolism","page":"27-47","volume":"23","issue":"1","source":"ScienceDirect","abstract":"Tumorigenesis is dependent on the reprogramming of cellular metabolism as both direct and indirect consequence of oncogenic mutations. A common feature of cancer cell metabolism is the ability to acquire necessary nutrients from a frequently nutrient-poor environment and utilize these nutrients to both maintain viability and build new biomass. The alterations in intracellular and extracellular metabolites that can accompany cancer-associated metabolic reprogramming have profound effects on gene expression, cellular differentiation, and the tumor microenvironment. In this Perspective, we have organized known cancer-associated metabolic changes into six hallmarks: (1) deregulated uptake of glucose and amino acids, (2) use of opportunistic modes of nutrient acquisition, (3) use of glycolysis/TCA cycle intermediates for biosynthesis and NADPH production, (4) increased demand for nitrogen, (5) alterations in metabolite-driven gene regulation, and (6) metabolic interactions with the microenvironment. While few tumors display all six hallmarks, most display several. The specific hallmarks exhibited by an individual tumor may ultimately contribute to better tumor classification and aid in directing treatment.","URL":"http://www.sciencedirect.com/science/article/pii/S155041311500621X","DOI":"10.1016/j.cmet.2015.12.006","ISSN":"1550-4131","journalAbbreviation":"Cell Metabolism","author":[{"family":"Pavlova","given":"Natalya N."},{"family":"Thompson","given":"Craig B."}],"issued":{"date-parts":[["2016",1,12]]},"accessed":{"date-parts":[["2018",9,2]]}}}],"schema":"https://github.com/citation-style-language/schema/raw/master/csl-citation.json"}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24,25</w:t>
      </w:r>
      <w:r w:rsidR="004E2CCC">
        <w:rPr>
          <w:rFonts w:ascii="Calibri" w:hAnsi="Calibri" w:cs="Calibri"/>
          <w:color w:val="000000" w:themeColor="text1"/>
          <w:sz w:val="22"/>
          <w:szCs w:val="22"/>
        </w:rPr>
        <w:fldChar w:fldCharType="end"/>
      </w:r>
      <w:r w:rsidR="00736246"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HIF has </w:t>
      </w:r>
      <w:r w:rsidR="00F542BB" w:rsidRPr="00D637BA">
        <w:rPr>
          <w:rFonts w:ascii="Calibri" w:hAnsi="Calibri" w:cs="Calibri"/>
          <w:color w:val="000000" w:themeColor="text1"/>
          <w:sz w:val="22"/>
          <w:szCs w:val="22"/>
        </w:rPr>
        <w:t xml:space="preserve">also </w:t>
      </w:r>
      <w:r w:rsidRPr="00D637BA">
        <w:rPr>
          <w:rFonts w:ascii="Calibri" w:hAnsi="Calibri" w:cs="Calibri"/>
          <w:color w:val="000000" w:themeColor="text1"/>
          <w:sz w:val="22"/>
          <w:szCs w:val="22"/>
        </w:rPr>
        <w:t xml:space="preserve">been </w:t>
      </w:r>
      <w:r w:rsidR="00F542BB" w:rsidRPr="00B946E4">
        <w:rPr>
          <w:rFonts w:ascii="Calibri" w:hAnsi="Calibri" w:cs="Calibri"/>
          <w:color w:val="000000" w:themeColor="text1"/>
          <w:sz w:val="22"/>
          <w:szCs w:val="22"/>
        </w:rPr>
        <w:t>identified as</w:t>
      </w:r>
      <w:r w:rsidRPr="00D637BA">
        <w:rPr>
          <w:rFonts w:ascii="Calibri" w:hAnsi="Calibri" w:cs="Calibri"/>
          <w:color w:val="000000" w:themeColor="text1"/>
          <w:sz w:val="22"/>
          <w:szCs w:val="22"/>
        </w:rPr>
        <w:t xml:space="preserve"> a common target for metabolic reprogramming in RCC </w:t>
      </w:r>
      <w:r w:rsidR="00F542BB" w:rsidRPr="00D637BA">
        <w:rPr>
          <w:rFonts w:ascii="Calibri" w:hAnsi="Calibri" w:cs="Calibri"/>
          <w:color w:val="000000" w:themeColor="text1"/>
          <w:sz w:val="22"/>
          <w:szCs w:val="22"/>
        </w:rPr>
        <w:t>owing to</w:t>
      </w:r>
      <w:r w:rsidRPr="00D637BA">
        <w:rPr>
          <w:rFonts w:ascii="Calibri" w:hAnsi="Calibri" w:cs="Calibri"/>
          <w:color w:val="000000" w:themeColor="text1"/>
          <w:sz w:val="22"/>
          <w:szCs w:val="22"/>
        </w:rPr>
        <w:t xml:space="preserve"> genetic perturbations </w:t>
      </w:r>
      <w:r w:rsidR="00F06FD5" w:rsidRPr="00D637BA">
        <w:rPr>
          <w:rFonts w:ascii="Calibri" w:hAnsi="Calibri" w:cs="Calibri"/>
          <w:color w:val="000000" w:themeColor="text1"/>
          <w:sz w:val="22"/>
          <w:szCs w:val="22"/>
        </w:rPr>
        <w:t>that affect</w:t>
      </w:r>
      <w:r w:rsidR="00E30268">
        <w:rPr>
          <w:rFonts w:ascii="Calibri" w:hAnsi="Calibri" w:cs="Calibri"/>
          <w:color w:val="000000" w:themeColor="text1"/>
          <w:sz w:val="22"/>
          <w:szCs w:val="22"/>
        </w:rPr>
        <w:t xml:space="preserve"> the genes </w:t>
      </w:r>
      <w:r w:rsidR="00F542BB" w:rsidRPr="00B946E4">
        <w:rPr>
          <w:rFonts w:ascii="Calibri" w:hAnsi="Calibri" w:cs="Calibri"/>
          <w:color w:val="000000" w:themeColor="text1"/>
          <w:sz w:val="22"/>
          <w:szCs w:val="22"/>
        </w:rPr>
        <w:t>fumarate hydratase (FH)</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{"citationID":"ao3dvo1861","properties":{"formattedCitation":"\\super 26\\uc0\\u8211{}28\\nosupersub{}","plainCitation":"26–28","noteIndex":0},"citationItems":[{"id":367,"uris":["http://zotero.org/users/4775618/items/7IDKHAAU"],"uri":["http://zotero.org/users/4775618/items/7IDKHAAU"],"itemData":{"id":367,"type":"article-journal","title":"HIF overexpression correlates with biallelic loss of fumarate hydratase in renal cancer: Novel role of fumarate in regulation of HIF stability","container-title":"Cancer Cell","page":"143-153","volume":"8","issue":"2","source":"www.cell.com","URL":"http://www.cell.com/cancer-cell/abstract/S1535-6108(05)00226-6","DOI":"10.1016/j.ccr.2005.06.017","ISSN":"1535-6108, 1878-3686","note":"PMID: 16098467","title-short":"HIF overexpression correlates with biallelic loss of fumarate hydratase in renal cancer","journalAbbreviation":"Cancer Cell","language":"English","author":[{"family":"Isaacs","given":"Jennifer S."},{"family":"Jung","given":"Yun Jin"},{"family":"Mole","given":"David R."},{"family":"Lee","given":"Sunmin"},{"family":"Torres-Cabala","given":"Carlos"},{"family":"Chung","given":"Yuen-Li"},{"family":"Merino","given":"Maria"},{"family":"Trepel","given":"Jane"},{"family":"Zbar","given":"Berton"},{"family":"Toro","given":"Jorge"},{"family":"Ratcliffe","given":"Peter J."},{"family":"Linehan","given":"W. Marston"},{"family":"Neckers","given":"Len"}],"issued":{"date-parts":[["2005",8,1]]},"accessed":{"date-parts":[["2018",4,2]]}},"locator":"200"},{"id":283,"uris":["http://zotero.org/users/4775618/items/GSI53XGT"],"uri":["http://zotero.org/users/4775618/items/GSI53XGT"],"itemData":{"id":283,"type":"article-journal","title":"Accumulation of Krebs cycle intermediates and over-expression of HIF1α in tumours which result from germline FH and SDH mutations","container-title":"Human Molecular Genetics","page":"2231-2239","volume":"14","issue":"15","source":"academic.oup.com","abstract":"The nuclear-encoded Krebs cycle enzymes, fumarate hydratase (FH) and succinate dehydrogenase (SDHB, -C and -D), act as tumour suppressors. Germline mutations in FH predispose individuals to leiomyomas and renal cell cancer (HLRCC), whereas mutations in SDH cause paragangliomas and phaeochromocytomas (HPGL). In this study, we have shown that FH-deficient cells and tumours accumulate fumarate and, to a lesser extent, succinate. SDH-deficient tumours principally accumulate succinate. In situ analyses showed that these tumours also have over-expression of hypoxia-inducible factor 1α (HIF1α), activation of HIF1αtargets (such as vascular endothelial growth factor) and high microvessel density. We found no evidence of increased reactive oxygen species in our cells. Our data provide in vivo evidence to support the hypothesis that increased succinate and/or fumarate causes stabilization of HIF1α a plausible mechanism, inhibition of HIF prolyl hydroxylases, has previously been suggested by in vitro studies. The basic mechanism of tumorigenesis in HPGL and HLRCC is likely to be pseudo-hypoxic drive, just as it is in von Hippel–Lindau syndrome.","URL":"https://academic.oup.com/hmg/article/14/15/2231/551734","DOI":"10.1093/hmg/ddi227","ISSN":"0964-6906","journalAbbreviation":"Hum Mol Genet","language":"en","author":[{"family":"Pollard","given":"P. J."},{"family":"Brière","given":"J. J."},{"family":"Alam","given":"N. A."},{"family":"Barwell","given":"J."},{"family":"Barclay","given":"E."},{"family":"Wortham","given":"N. C."},{"family":"Hunt","given":"T."},{"family":"Mitchell","given":"M."},{"family":"Olpin","given":"S."},{"family":"Moat","given":"S. J."},{"family":"Hargreaves","given":"I. P."},{"family":"Heales","given":"S. J."},{"family":"Chung","given":"Y. L."},{"family":"Griffiths","given":"J. R."},{"family":"Dalgleish","given":"A."},{"family":"McGrath","given":"J. A."},{"family":"Gleeson","given":"M. J."},{"family":"Hodgson","given":"S. V."},{"family":"Poulsom","given":"R."},{"family":"Rustin","given":"P."},{"family":"Tomlinson","given":"I. P. M."}],"issued":{"date-parts":[["2005",8,1]]},"accessed":{"date-parts":[["2018",3,24]]}}},{"id":778,"uris":["http://zotero.org/users/4775618/items/IAGRYJXQ"],"uri":["http://zotero.org/users/4775618/items/IAGRYJXQ"],"itemData":{"id":778,"type":"article-journal","title":"Reduced expression of fumarate hydratase in clear cell renal cancer mediates HIF-2α accumulation and promotes migration and invasion","container-title":"PloS One","page":"e21037","volume":"6","issue":"6","source":"PubMed","abstract":"Germline mutations of FH, the gene that encodes for the tricarboxylic acid TCA (TCA) cycle enzyme fumarate hydratase, are associated with an inherited form of cancer referred to as Hereditary Leiomyomatosis and Renal Cell Cancer (HLRCC). Individuals with HLRCC are predisposed to the development of highly malignant and lethal renal cell carcinoma (RCC). The mechanisms of tumorigenesis proposed have largely focused on the biochemical consequences of loss of FH enzymatic activity. While loss of the tumor suppressor gene von Hippel Lindau (VHL) is thought to be an initiating event for the majority of RCCs, a role for FH in sporadic renal cancer has not been explored. Here we report that FH mRNA and protein expression are reduced in clear cell renal cancer, the most common histologic variant of kidney cancer. Moreover, we demonstrate that reduced FH leads to the accumulation of hypoxia inducible factor- 2α (HIF-2α), a transcription factor known to promote renal carcinogenesis. Finally, we demonstrate that overexpression of FH in renal cancer cells inhibits cellular migration and invasion. These data provide novel insights into the tumor suppressor functions of FH in sporadic kidney cancer.","DOI":"10.1371/journal.pone.0021037","ISSN":"1932-6203","note":"PMID: 21695080\nPMCID: PMC3114862","journalAbbreviation":"PLoS ONE","language":"eng","author":[{"family":"Sudarshan","given":"Sunil"},{"family":"Shanmugasundaram","given":"Karthigayan"},{"family":"Naylor","given":"Susan L."},{"family":"Lin","given":"Shu"},{"family":"Livi","given":"Carolina B."},{"family":"O'Neill","given":"Christine F."},{"family":"Parekh","given":"Dipen J."},{"family":"Yeh","given":"I.-Tien"},{"family":"Sun","given":"Lu-Zhe"},{"family":"Block","given":"Karen"}],"issued":{"date-parts":[["2011"]]}}}],"schema":"https://github.com/citation-style-language/schema/raw/master/csl-citation.json"}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26–28</w:t>
      </w:r>
      <w:r w:rsidR="004E2CCC">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succinate dehydrogenase (SDH)</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{"citationID":"a7kkcetcvg","properties":{"formattedCitation":"\\super 26,27,29\\nosupersub{}","plainCitation":"26,27,29","noteIndex":0},"citationItems":[{"id":367,"uris":["http://zotero.org/users/4775618/items/7IDKHAAU"],"uri":["http://zotero.org/users/4775618/items/7IDKHAAU"],"itemData":{"id":367,"type":"article-journal","title":"HIF overexpression correlates with biallelic loss of fumarate hydratase in renal cancer: Novel role of fumarate in regulation of HIF stability","container-title":"Cancer Cell","page":"143-153","volume":"8","issue":"2","source":"www.cell.com","URL":"http://www.cell.com/cancer-cell/abstract/S1535-6108(05)00226-6","DOI":"10.1016/j.ccr.2005.06.017","ISSN":"1535-6108, 1878-3686","note":"PMID: 16098467","title-short":"HIF overexpression correlates with biallelic loss of fumarate hydratase in renal cancer","journalAbbreviation":"Cancer Cell","language":"English","author":[{"family":"Isaacs","given":"Jennifer S."},{"family":"Jung","given":"Yun Jin"},{"family":"Mole","given":"David R."},{"family":"Lee","given":"Sunmin"},{"family":"Torres-Cabala","given":"Carlos"},{"family":"Chung","given":"Yuen-Li"},{"family":"Merino","given":"Maria"},{"family":"Trepel","given":"Jane"},{"family":"Zbar","given":"Berton"},{"family":"Toro","given":"Jorge"},{"family":"Ratcliffe","given":"Peter J."},{"family":"Linehan","given":"W. Marston"},{"family":"Neckers","given":"Len"}],"issued":{"date-parts":[["2005",8,1]]},"accessed":{"date-parts":[["2018",4,2]]}}},{"id":283,"uris":["http://zotero.org/users/4775618/items/GSI53XGT"],"uri":["http://zotero.org/users/4775618/items/GSI53XGT"],"itemData":{"id":283,"type":"article-journal","title":"Accumulation of Krebs cycle intermediates and over-expression of HIF1α in tumours which result from germline FH and SDH mutations","container-title":"Human Molecular Genetics","page":"2231-2239","volume":"14","issue":"15","source":"academic.oup.com","abstract":"The nuclear-encoded Krebs cycle enzymes, fumarate hydratase (FH) and succinate dehydrogenase (SDHB, -C and -D), act as tumour suppressors. Germline mutations in FH predispose individuals to leiomyomas and renal cell cancer (HLRCC), whereas mutations in SDH cause paragangliomas and phaeochromocytomas (HPGL). In this study, we have shown that FH-deficient cells and tumours accumulate fumarate and, to a lesser extent, succinate. SDH-deficient tumours principally accumulate succinate. In situ analyses showed that these tumours also have over-expression of hypoxia-inducible factor 1α (HIF1α), activation of HIF1αtargets (such as vascular endothelial growth factor) and high microvessel density. We found no evidence of increased reactive oxygen species in our cells. Our data provide in vivo evidence to support the hypothesis that increased succinate and/or fumarate causes stabilization of HIF1α a plausible mechanism, inhibition of HIF prolyl hydroxylases, has previously been suggested by in vitro studies. The basic mechanism of tumorigenesis in HPGL and HLRCC is likely to be pseudo-hypoxic drive, just as it is in von Hippel–Lindau syndrome.","URL":"https://academic.oup.com/hmg/article/14/15/2231/551734","DOI":"10.1093/hmg/ddi227","ISSN":"0964-6906","journalAbbreviation":"Hum Mol Genet","language":"en","author":[{"family":"Pollard","given":"P. J."},{"family":"Brière","given":"J. J."},{"family":"Alam","given":"N. A."},{"family":"Barwell","given":"J."},{"family":"Barclay","given":"E."},{"family":"Wortham","given":"N. C."},{"family":"Hunt","given":"T."},{"family":"Mitchell","given":"M."},{"family":"Olpin","given":"S."},{"family":"Moat","given":"S. J."},{"family":"Hargreaves","given":"I. P."},{"family":"Heales","given":"S. J."},{"family":"Chung","given":"Y. L."},{"family":"Griffiths","given":"J. R."},{"family":"Dalgleish","given":"A."},{"family":"McGrath","given":"J. A."},{"family":"Gleeson","given":"M. J."},{"family":"Hodgson","given":"S. V."},{"family":"Poulsom","given":"R."},{"family":"Rustin","given":"P."},{"family":"Tomlinson","given":"I. P. M."}],"issued":{"date-parts":[["2005",8,1]]},"accessed":{"date-parts":[["2018",3,24]]}}},{"id":660,"uris":["http://zotero.org/users/4775618/items/AILNC6X3"],"uri":["http://zotero.org/users/4775618/items/AILNC6X3"],"itemData":{"id":660,"type":"article-journal","title":"Succinate links TCA cycle dysfunction to oncogenesis by inhibiting HIF-alpha prolyl hydroxylase","container-title":"Cancer Cell","page":"77-85","volume":"7","issue":"1","source":"PubMed","abstract":"Several mitochondrial proteins are tumor suppressors. These include succinate dehydrogenase (SDH) and fumarate hydratase, both enzymes of the tricarboxylic acid (TCA) cycle. However, to date, the mechanisms by which defects in the TCA cycle contribute to tumor formation have not been elucidated. Here we describe a mitochondrion-to-cytosol signaling pathway that links mitochondrial dysfunction to oncogenic events: succinate, which accumulates as a result of SDH inhibition, inhibits HIF-alpha prolyl hydroxylases in the cytosol, leading to stabilization and activation of HIF-1alpha. These results suggest a mechanistic link between SDH mutations and HIF-1alpha induction, providing an explanation for the highly vascular tumors that develop in the absence of VHL mutations.","DOI":"10.1016/j.ccr.2004.11.022","ISSN":"1535-6108","note":"PMID: 15652751","journalAbbreviation":"Cancer Cell","language":"eng","author":[{"family":"Selak","given":"Mary A."},{"family":"Armour","given":"Sean M."},{"family":"MacKenzie","given":"Elaine D."},{"family":"Boulahbel","given":"Houda"},{"family":"Watson","given":"David G."},{"family":"Mansfield","given":"Kyle D."},{"family":"Pan","given":"Yi"},{"family":"Simon","given":"M. Celeste"},{"family":"Thompson","given":"Craig B."},{"family":"Gottlieb","given":"Eyal"}],"issued":{"date-parts":[["2005",1]]}}}],"schema":"https://github.com/citation-style-language/schema/raw/master/csl-citation.json"}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26,27,29</w:t>
      </w:r>
      <w:r w:rsidR="004E2CCC">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62333E" w:rsidRPr="00D637BA">
        <w:rPr>
          <w:rFonts w:ascii="Calibri" w:hAnsi="Calibri" w:cs="Calibri"/>
          <w:color w:val="000000" w:themeColor="text1"/>
          <w:sz w:val="22"/>
          <w:szCs w:val="22"/>
        </w:rPr>
        <w:t xml:space="preserve">the </w:t>
      </w:r>
      <w:r w:rsidRPr="00D637BA">
        <w:rPr>
          <w:rFonts w:ascii="Calibri" w:hAnsi="Calibri" w:cs="Calibri"/>
          <w:color w:val="000000" w:themeColor="text1"/>
          <w:sz w:val="22"/>
          <w:szCs w:val="22"/>
        </w:rPr>
        <w:t>tuberous sclerosis complex</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{"citationID":"a1mobhq6clj","properties":{"formattedCitation":"\\super 30\\nosupersub{}","plainCitation":"30","noteIndex":0},"citationItems":[{"id":1216,"uris":["http://zotero.org/users/4775618/items/EWAFX7QU"],"uri":["http://zotero.org/users/4775618/items/EWAFX7QU"],"itemData":{"id":1216,"type":"article-journal","title":"TSC2 regulates VEGF through mTOR-dependent and -independent pathways","container-title":"Cancer Cell","page":"147-158","volume":"4","issue":"2","source":"ScienceDirect","abstract":"Inactivation of the TSC2 tumor suppressor protein causes tuberous sclerosis complex (TSC), a disease characterized by highly vascular tumors. TSC2 has multiple functions including inhibition of mTOR (mammalian target of Rapamycin). We found that TSC2 regulates VEGF through mTOR-dependent and -independent pathways. TSC2 loss results in the accumulation of HIF-1α and increased expression of HIF-responsive genes including VEGF. Wild-type TSC2, but not a disease-associated TSC2 mutant, downregulates HIF. Rapamycin normalizes HIF levels in TSC2−/− cells, indicating that TSC2 regulates HIF by inhibiting mTOR. In contrast, Rapamycin only partially downregulates VEGF in this setting, implying an mTOR-independent link between TSC2 loss and VEGF. This pathway may involve chromatin remodeling since the HDAC inhibitor Trichostatin A downregulates VEGF in TSC2−/− cells.","URL":"http://www.sciencedirect.com/science/article/pii/S1535610803001879","DOI":"10.1016/S1535-6108(03)00187-9","ISSN":"1535-6108","journalAbbreviation":"Cancer Cell","author":[{"family":"Brugarolas","given":"James B"},{"family":"Vazquez","given":"Francisca"},{"family":"Reddy","given":"Archana"},{"family":"Sellers","given":"William R"},{"family":"Kaelin","given":"William G"}],"issued":{"date-parts":[["2003",8,1]]},"accessed":{"date-parts":[["2019",2,18]]}}}],"schema":"https://github.com/citation-style-language/schema/raw/master/csl-citation.json"}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30</w:t>
      </w:r>
      <w:r w:rsidR="004E2CCC">
        <w:rPr>
          <w:rFonts w:ascii="Calibri" w:hAnsi="Calibri" w:cs="Calibri"/>
          <w:color w:val="000000" w:themeColor="text1"/>
          <w:sz w:val="22"/>
          <w:szCs w:val="22"/>
        </w:rPr>
        <w:fldChar w:fldCharType="end"/>
      </w:r>
      <w:r w:rsidR="00ED07D6">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and fructose-</w:t>
      </w:r>
      <w:r w:rsidR="00F542BB" w:rsidRPr="00D637BA">
        <w:rPr>
          <w:rFonts w:ascii="Calibri" w:hAnsi="Calibri" w:cs="Calibri"/>
          <w:color w:val="000000" w:themeColor="text1"/>
          <w:sz w:val="22"/>
          <w:szCs w:val="22"/>
        </w:rPr>
        <w:t>1,6-</w:t>
      </w:r>
      <w:r w:rsidRPr="00D637BA">
        <w:rPr>
          <w:rFonts w:ascii="Calibri" w:hAnsi="Calibri" w:cs="Calibri"/>
          <w:color w:val="000000" w:themeColor="text1"/>
          <w:sz w:val="22"/>
          <w:szCs w:val="22"/>
        </w:rPr>
        <w:t>bisphosphatase 1</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(FBP1)</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{"citationID":"a3kr61evag","properties":{"formattedCitation":"\\super 31\\nosupersub{}","plainCitation":"31","noteIndex":0},"citationItems":[{"id":394,"uris":["http://zotero.org/users/4775618/items/7FVDLTN3"],"uri":["http://zotero.org/users/4775618/items/7FVDLTN3"],"itemData":{"id":394,"type":"article-journal","title":"Fructose-1,6-bisphosphatase opposes renal carcinoma progression","container-title":"Nature","page":"251-255","volume":"513","issue":"7517","source":"PubMed","abstract":"Clear cell renal cell carcinoma (ccRCC), the most common form of kidney cancer, is characterized by elevated glycogen levels and fat deposition. These consistent metabolic alterations are associated with normoxic stabilization of hypoxia-inducible factors (HIFs) secondary to von Hippel-Lindau (VHL) mutations that occur in over 90% of ccRCC tumours. However, kidney-specific VHL deletion in mice fails to elicit ccRCC-specific metabolic phenotypes and tumour formation, suggesting that additional mechanisms are essential. Recent large-scale sequencing analyses revealed the loss of several chromatin remodelling enzymes in a subset of ccRCC (these included polybromo-1, SET domain containing 2 and BRCA1-associated protein-1, among others), indicating that epigenetic perturbations are probably important contributors to the natural history of this disease. Here we used an integrative approach comprising pan-metabolomic profiling and metabolic gene set analysis and determined that the gluconeogenic enzyme fructose-1,6-bisphosphatase 1 (FBP1) is uniformly depleted in over six hundred ccRCC tumours examined. Notably, the human FBP1 locus resides on chromosome 9q22, the loss of which is associated with poor prognosis for ccRCC patients. Our data further indicate that FBP1 inhibits ccRCC progression through two distinct mechanisms. First, FBP1 antagonizes glycolytic flux in renal tubular epithelial cells, the presumptive ccRCC cell of origin, thereby inhibiting a potential Warburg effect. Second, in pVHL (the protein encoded by the VHL gene)-deficient ccRCC cells, FBP1 restrains cell proliferation, glycolysis and the pentose phosphate pathway in a catalytic-activity-independent manner, by inhibiting nuclear HIF function via direct interaction with the HIF inhibitory domain. This unique dual function of the FBP1 protein explains its ubiquitous loss in ccRCC, distinguishing FBP1 from previously identified tumour suppressors that are not consistently mutated in all tumours.","DOI":"10.1038/nature13557","ISSN":"1476-4687","note":"PMID: 25043030\nPMCID: PMC4162811","journalAbbreviation":"Nature","language":"eng","author":[{"family":"Li","given":"Bo"},{"family":"Qiu","given":"Bo"},{"family":"Lee","given":"David S. M."},{"family":"Walton","given":"Zandra E."},{"family":"Ochocki","given":"Joshua D."},{"family":"Mathew","given":"Lijoy K."},{"family":"Mancuso","given":"Anthony"},{"family":"Gade","given":"Terence P. F."},{"family":"Keith","given":"Brian"},{"family":"Nissim","given":"Itzhak"},{"family":"Simon","given":"M. Celeste"}],"issued":{"date-parts":[["2014",9,11]]}}}],"schema":"https://github.com/citation-style-language/schema/raw/master/csl-citation.json"}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31</w:t>
      </w:r>
      <w:r w:rsidR="004E2CCC">
        <w:rPr>
          <w:rFonts w:ascii="Calibri" w:hAnsi="Calibri" w:cs="Calibri"/>
          <w:color w:val="000000" w:themeColor="text1"/>
          <w:sz w:val="22"/>
          <w:szCs w:val="22"/>
        </w:rPr>
        <w:fldChar w:fldCharType="end"/>
      </w:r>
      <w:r w:rsidR="00015438" w:rsidRPr="00D637BA">
        <w:rPr>
          <w:rFonts w:ascii="Calibri" w:hAnsi="Calibri" w:cs="Calibri"/>
          <w:color w:val="000000" w:themeColor="text1"/>
          <w:sz w:val="22"/>
          <w:szCs w:val="22"/>
        </w:rPr>
        <w:t xml:space="preserve">. </w:t>
      </w:r>
      <w:r w:rsidRPr="00B946E4">
        <w:rPr>
          <w:rFonts w:ascii="Calibri" w:hAnsi="Calibri" w:cs="Calibri"/>
          <w:color w:val="000000" w:themeColor="text1"/>
          <w:sz w:val="22"/>
          <w:szCs w:val="22"/>
        </w:rPr>
        <w:t xml:space="preserve">FBP1 </w:t>
      </w:r>
      <w:r w:rsidR="00F542BB" w:rsidRPr="00D637BA">
        <w:rPr>
          <w:rFonts w:ascii="Calibri" w:hAnsi="Calibri" w:cs="Calibri"/>
          <w:color w:val="000000" w:themeColor="text1"/>
          <w:sz w:val="22"/>
          <w:szCs w:val="22"/>
        </w:rPr>
        <w:t>is a</w:t>
      </w:r>
      <w:r w:rsidRPr="00D637BA">
        <w:rPr>
          <w:rFonts w:ascii="Calibri" w:hAnsi="Calibri" w:cs="Calibri"/>
          <w:color w:val="000000" w:themeColor="text1"/>
          <w:sz w:val="22"/>
          <w:szCs w:val="22"/>
        </w:rPr>
        <w:t xml:space="preserve"> key gluconeogenic enzyme </w:t>
      </w:r>
      <w:r w:rsidR="00F542BB" w:rsidRPr="00D637BA">
        <w:rPr>
          <w:rFonts w:ascii="Calibri" w:hAnsi="Calibri" w:cs="Calibri"/>
          <w:color w:val="000000" w:themeColor="text1"/>
          <w:sz w:val="22"/>
          <w:szCs w:val="22"/>
        </w:rPr>
        <w:t>that has been shown</w:t>
      </w:r>
      <w:r w:rsidRPr="00D637BA">
        <w:rPr>
          <w:rFonts w:ascii="Calibri" w:hAnsi="Calibri" w:cs="Calibri"/>
          <w:color w:val="000000" w:themeColor="text1"/>
          <w:sz w:val="22"/>
          <w:szCs w:val="22"/>
        </w:rPr>
        <w:t xml:space="preserve"> to directly interact with HIFs to restrain its transcriptional activity</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{"citationID":"a1i6iaun6ih","properties":{"formattedCitation":"\\super 31\\nosupersub{}","plainCitation":"31","noteIndex":0},"citationItems":[{"id":394,"uris":["http://zotero.org/users/4775618/items/7FVDLTN3"],"uri":["http://zotero.org/users/4775618/items/7FVDLTN3"],"itemData":{"id":394,"type":"article-journal","title":"Fructose-1,6-bisphosphatase opposes renal carcinoma progression","container-title":"Nature","page":"251-255","volume":"513","issue":"7517","source":"PubMed","abstract":"Clear cell renal cell carcinoma (ccRCC), the most common form of kidney cancer, is characterized by elevated glycogen levels and fat deposition. These consistent metabolic alterations are associated with normoxic stabilization of hypoxia-inducible factors (HIFs) secondary to von Hippel-Lindau (VHL) mutations that occur in over 90% of ccRCC tumours. However, kidney-specific VHL deletion in mice fails to elicit ccRCC-specific metabolic phenotypes and tumour formation, suggesting that additional mechanisms are essential. Recent large-scale sequencing analyses revealed the loss of several chromatin remodelling enzymes in a subset of ccRCC (these included polybromo-1, SET domain containing 2 and BRCA1-associated protein-1, among others), indicating that epigenetic perturbations are probably important contributors to the natural history of this disease. Here we used an integrative approach comprising pan-metabolomic profiling and metabolic gene set analysis and determined that the gluconeogenic enzyme fructose-1,6-bisphosphatase 1 (FBP1) is uniformly depleted in over six hundred ccRCC tumours examined. Notably, the human FBP1 locus resides on chromosome 9q22, the loss of which is associated with poor prognosis for ccRCC patients. Our data further indicate that FBP1 inhibits ccRCC progression through two distinct mechanisms. First, FBP1 antagonizes glycolytic flux in renal tubular epithelial cells, the presumptive ccRCC cell of origin, thereby inhibiting a potential Warburg effect. Second, in pVHL (the protein encoded by the VHL gene)-deficient ccRCC cells, FBP1 restrains cell proliferation, glycolysis and the pentose phosphate pathway in a catalytic-activity-independent manner, by inhibiting nuclear HIF function via direct interaction with the HIF inhibitory domain. This unique dual function of the FBP1 protein explains its ubiquitous loss in ccRCC, distinguishing FBP1 from previously identified tumour suppressors that are not consistently mutated in all tumours.","DOI":"10.1038/nature13557","ISSN":"1476-4687","note":"PMID: 25043030\nPMCID: PMC4162811","journalAbbreviation":"Nature","language":"eng","author":[{"family":"Li","given":"Bo"},{"family":"Qiu","given":"Bo"},{"family":"Lee","given":"David S. M."},{"family":"Walton","given":"Zandra E."},{"family":"Ochocki","given":"Joshua D."},{"family":"Mathew","given":"Lijoy K."},{"family":"Mancuso","given":"Anthony"},{"family":"Gade","given":"Terence P. F."},{"family":"Keith","given":"Brian"},{"family":"Nissim","given":"Itzhak"},{"family":"Simon","given":"M. Celeste"}],"issued":{"date-parts":[["2014",9,11]]}}}],"schema":"https://github.com/citation-style-language/schema/raw/master/csl-citation.json"}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31</w:t>
      </w:r>
      <w:r w:rsidR="004E2CCC">
        <w:rPr>
          <w:rFonts w:ascii="Calibri" w:hAnsi="Calibri" w:cs="Calibri"/>
          <w:color w:val="000000" w:themeColor="text1"/>
          <w:sz w:val="22"/>
          <w:szCs w:val="22"/>
        </w:rPr>
        <w:fldChar w:fldCharType="end"/>
      </w:r>
      <w:r w:rsidR="00E37025">
        <w:rPr>
          <w:rFonts w:ascii="Calibri" w:hAnsi="Calibri" w:cs="Calibri"/>
          <w:color w:val="000000" w:themeColor="text1"/>
          <w:sz w:val="22"/>
          <w:szCs w:val="22"/>
        </w:rPr>
        <w:t xml:space="preserve">. </w:t>
      </w:r>
      <w:r w:rsidR="000411E0" w:rsidRPr="00D637BA">
        <w:rPr>
          <w:rFonts w:ascii="Calibri" w:hAnsi="Calibri" w:cs="Calibri"/>
          <w:color w:val="000000" w:themeColor="text1"/>
          <w:sz w:val="22"/>
          <w:szCs w:val="22"/>
        </w:rPr>
        <w:t>The discovery that FPB1</w:t>
      </w:r>
      <w:r w:rsidRPr="00D637BA">
        <w:rPr>
          <w:rFonts w:ascii="Calibri" w:hAnsi="Calibri" w:cs="Calibri"/>
          <w:color w:val="000000" w:themeColor="text1"/>
          <w:sz w:val="22"/>
          <w:szCs w:val="22"/>
        </w:rPr>
        <w:t xml:space="preserve"> is ubiquitously suppressed in ccRCC further supports the</w:t>
      </w:r>
      <w:r w:rsidR="0034052F">
        <w:rPr>
          <w:rFonts w:ascii="Calibri" w:hAnsi="Calibri" w:cs="Calibri"/>
          <w:color w:val="000000" w:themeColor="text1"/>
          <w:sz w:val="22"/>
          <w:szCs w:val="22"/>
        </w:rPr>
        <w:t xml:space="preserve"> classification</w:t>
      </w:r>
      <w:r w:rsidRPr="00D637BA">
        <w:rPr>
          <w:rFonts w:ascii="Calibri" w:hAnsi="Calibri" w:cs="Calibri"/>
          <w:color w:val="000000" w:themeColor="text1"/>
          <w:sz w:val="22"/>
          <w:szCs w:val="22"/>
        </w:rPr>
        <w:t xml:space="preserve"> of RCC as a metabolic disease</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{"citationID":"adfklg0jnj","properties":{"formattedCitation":"\\super 31\\nosupersub{}","plainCitation":"31","noteIndex":0},"citationItems":[{"id":394,"uris":["http://zotero.org/users/4775618/items/7FVDLTN3"],"uri":["http://zotero.org/users/4775618/items/7FVDLTN3"],"itemData":{"id":394,"type":"article-journal","title":"Fructose-1,6-bisphosphatase opposes renal carcinoma progression","container-title":"Nature","page":"251-255","volume":"513","issue":"7517","source":"PubMed","abstract":"Clear cell renal cell carcinoma (ccRCC), the most common form of kidney cancer, is characterized by elevated glycogen levels and fat deposition. These consistent metabolic alterations are associated with normoxic stabilization of hypoxia-inducible factors (HIFs) secondary to von Hippel-Lindau (VHL) mutations that occur in over 90% of ccRCC tumours. However, kidney-specific VHL deletion in mice fails to elicit ccRCC-specific metabolic phenotypes and tumour formation, suggesting that additional mechanisms are essential. Recent large-scale sequencing analyses revealed the loss of several chromatin remodelling enzymes in a subset of ccRCC (these included polybromo-1, SET domain containing 2 and BRCA1-associated protein-1, among others), indicating that epigenetic perturbations are probably important contributors to the natural history of this disease. Here we used an integrative approach comprising pan-metabolomic profiling and metabolic gene set analysis and determined that the gluconeogenic enzyme fructose-1,6-bisphosphatase 1 (FBP1) is uniformly depleted in over six hundred ccRCC tumours examined. Notably, the human FBP1 locus resides on chromosome 9q22, the loss of which is associated with poor prognosis for ccRCC patients. Our data further indicate that FBP1 inhibits ccRCC progression through two distinct mechanisms. First, FBP1 antagonizes glycolytic flux in renal tubular epithelial cells, the presumptive ccRCC cell of origin, thereby inhibiting a potential Warburg effect. Second, in pVHL (the protein encoded by the VHL gene)-deficient ccRCC cells, FBP1 restrains cell proliferation, glycolysis and the pentose phosphate pathway in a catalytic-activity-independent manner, by inhibiting nuclear HIF function via direct interaction with the HIF inhibitory domain. This unique dual function of the FBP1 protein explains its ubiquitous loss in ccRCC, distinguishing FBP1 from previously identified tumour suppressors that are not consistently mutated in all tumours.","DOI":"10.1038/nature13557","ISSN":"1476-4687","note":"PMID: 25043030\nPMCID: PMC4162811","journalAbbreviation":"Nature","language":"eng","author":[{"family":"Li","given":"Bo"},{"family":"Qiu","given":"Bo"},{"family":"Lee","given":"David S. M."},{"family":"Walton","given":"Zandra E."},{"family":"Ochocki","given":"Joshua D."},{"family":"Mathew","given":"Lijoy K."},{"family":"Mancuso","given":"Anthony"},{"family":"Gade","given":"Terence P. F."},{"family":"Keith","given":"Brian"},{"family":"Nissim","given":"Itzhak"},{"family":"Simon","given":"M. Celeste"}],"issued":{"date-parts":[["2014",9,11]]}}}],"schema":"https://github.com/citation-style-language/schema/raw/master/csl-citation.json"}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31</w:t>
      </w:r>
      <w:r w:rsidR="004E2CCC">
        <w:rPr>
          <w:rFonts w:ascii="Calibri" w:hAnsi="Calibri" w:cs="Calibri"/>
          <w:color w:val="000000" w:themeColor="text1"/>
          <w:sz w:val="22"/>
          <w:szCs w:val="22"/>
        </w:rPr>
        <w:fldChar w:fldCharType="end"/>
      </w:r>
      <w:r w:rsidR="004E2CCC">
        <w:rPr>
          <w:rFonts w:ascii="Calibri" w:hAnsi="Calibri" w:cs="Calibri"/>
          <w:color w:val="000000"/>
          <w:sz w:val="22"/>
          <w:lang w:val="en-US"/>
        </w:rPr>
        <w:t xml:space="preserve"> </w:t>
      </w:r>
      <w:r w:rsidR="009432CE" w:rsidRPr="00D637BA">
        <w:rPr>
          <w:rFonts w:ascii="Calibri" w:hAnsi="Calibri" w:cs="Calibri"/>
          <w:color w:val="000000" w:themeColor="text1"/>
          <w:sz w:val="22"/>
          <w:szCs w:val="22"/>
        </w:rPr>
        <w:t>and the</w:t>
      </w:r>
      <w:r w:rsidR="000167D7">
        <w:rPr>
          <w:rFonts w:ascii="Calibri" w:hAnsi="Calibri" w:cs="Calibri"/>
          <w:color w:val="000000" w:themeColor="text1"/>
          <w:sz w:val="22"/>
          <w:szCs w:val="22"/>
        </w:rPr>
        <w:t xml:space="preserve"> </w:t>
      </w:r>
      <w:r w:rsidR="002C42DA" w:rsidRPr="00D637BA">
        <w:rPr>
          <w:rFonts w:ascii="Calibri" w:hAnsi="Calibri" w:cs="Calibri"/>
          <w:color w:val="000000" w:themeColor="text1"/>
          <w:sz w:val="22"/>
          <w:szCs w:val="22"/>
        </w:rPr>
        <w:t xml:space="preserve">identification of </w:t>
      </w:r>
      <w:r w:rsidR="00015438" w:rsidRPr="00D637BA">
        <w:rPr>
          <w:rFonts w:ascii="Calibri" w:hAnsi="Calibri" w:cs="Calibri"/>
          <w:color w:val="000000" w:themeColor="text1"/>
          <w:sz w:val="22"/>
          <w:szCs w:val="22"/>
        </w:rPr>
        <w:t xml:space="preserve">HIF </w:t>
      </w:r>
      <w:r w:rsidR="002C42DA" w:rsidRPr="00D637BA">
        <w:rPr>
          <w:rFonts w:ascii="Calibri" w:hAnsi="Calibri" w:cs="Calibri"/>
          <w:color w:val="000000" w:themeColor="text1"/>
          <w:sz w:val="22"/>
          <w:szCs w:val="22"/>
        </w:rPr>
        <w:t>as</w:t>
      </w:r>
      <w:r w:rsidR="00015438" w:rsidRPr="00D637BA">
        <w:rPr>
          <w:rFonts w:ascii="Calibri" w:hAnsi="Calibri" w:cs="Calibri"/>
          <w:color w:val="000000" w:themeColor="text1"/>
          <w:sz w:val="22"/>
          <w:szCs w:val="22"/>
        </w:rPr>
        <w:t xml:space="preserve"> a common denominator </w:t>
      </w:r>
      <w:r w:rsidR="002C42DA" w:rsidRPr="00D637BA">
        <w:rPr>
          <w:rFonts w:ascii="Calibri" w:hAnsi="Calibri" w:cs="Calibri"/>
          <w:color w:val="000000" w:themeColor="text1"/>
          <w:sz w:val="22"/>
          <w:szCs w:val="22"/>
        </w:rPr>
        <w:t xml:space="preserve">that is </w:t>
      </w:r>
      <w:r w:rsidR="00015438" w:rsidRPr="00D637BA">
        <w:rPr>
          <w:rFonts w:ascii="Calibri" w:hAnsi="Calibri" w:cs="Calibri"/>
          <w:color w:val="000000" w:themeColor="text1"/>
          <w:sz w:val="22"/>
          <w:szCs w:val="22"/>
        </w:rPr>
        <w:t>associated with mul</w:t>
      </w:r>
      <w:r w:rsidR="001E0ACD" w:rsidRPr="00D637BA">
        <w:rPr>
          <w:rFonts w:ascii="Calibri" w:hAnsi="Calibri" w:cs="Calibri"/>
          <w:color w:val="000000" w:themeColor="text1"/>
          <w:sz w:val="22"/>
          <w:szCs w:val="22"/>
        </w:rPr>
        <w:t xml:space="preserve">tiple </w:t>
      </w:r>
      <w:r w:rsidR="00015438" w:rsidRPr="00D637BA">
        <w:rPr>
          <w:rFonts w:ascii="Calibri" w:hAnsi="Calibri" w:cs="Calibri"/>
          <w:color w:val="000000" w:themeColor="text1"/>
          <w:sz w:val="22"/>
          <w:szCs w:val="22"/>
        </w:rPr>
        <w:t xml:space="preserve">RCC subtypes </w:t>
      </w:r>
      <w:r w:rsidR="002C42DA" w:rsidRPr="00D637BA">
        <w:rPr>
          <w:rFonts w:ascii="Calibri" w:hAnsi="Calibri" w:cs="Calibri"/>
          <w:color w:val="000000" w:themeColor="text1"/>
          <w:sz w:val="22"/>
          <w:szCs w:val="22"/>
        </w:rPr>
        <w:t xml:space="preserve">underlies </w:t>
      </w:r>
      <w:r w:rsidR="00015438" w:rsidRPr="00D637BA">
        <w:rPr>
          <w:rFonts w:ascii="Calibri" w:hAnsi="Calibri" w:cs="Calibri"/>
          <w:color w:val="000000" w:themeColor="text1"/>
          <w:sz w:val="22"/>
          <w:szCs w:val="22"/>
        </w:rPr>
        <w:t>it</w:t>
      </w:r>
      <w:r w:rsidR="002C42DA" w:rsidRPr="00D637BA">
        <w:rPr>
          <w:rFonts w:ascii="Calibri" w:hAnsi="Calibri" w:cs="Calibri"/>
          <w:color w:val="000000" w:themeColor="text1"/>
          <w:sz w:val="22"/>
          <w:szCs w:val="22"/>
        </w:rPr>
        <w:t>s</w:t>
      </w:r>
      <w:r w:rsidR="000167D7">
        <w:rPr>
          <w:rFonts w:ascii="Calibri" w:hAnsi="Calibri" w:cs="Calibri"/>
          <w:color w:val="000000" w:themeColor="text1"/>
          <w:sz w:val="22"/>
          <w:szCs w:val="22"/>
        </w:rPr>
        <w:t xml:space="preserve"> </w:t>
      </w:r>
      <w:r w:rsidR="00015438" w:rsidRPr="00D637BA">
        <w:rPr>
          <w:rFonts w:ascii="Calibri" w:hAnsi="Calibri" w:cs="Calibri"/>
          <w:color w:val="000000" w:themeColor="text1"/>
          <w:sz w:val="22"/>
          <w:szCs w:val="22"/>
        </w:rPr>
        <w:t xml:space="preserve">potential </w:t>
      </w:r>
      <w:r w:rsidR="002C42DA" w:rsidRPr="00D637BA">
        <w:rPr>
          <w:rFonts w:ascii="Calibri" w:hAnsi="Calibri" w:cs="Calibri"/>
          <w:color w:val="000000" w:themeColor="text1"/>
          <w:sz w:val="22"/>
          <w:szCs w:val="22"/>
        </w:rPr>
        <w:t xml:space="preserve">as a </w:t>
      </w:r>
      <w:r w:rsidR="00015438" w:rsidRPr="00D637BA">
        <w:rPr>
          <w:rFonts w:ascii="Calibri" w:hAnsi="Calibri" w:cs="Calibri"/>
          <w:color w:val="000000" w:themeColor="text1"/>
          <w:sz w:val="22"/>
          <w:szCs w:val="22"/>
        </w:rPr>
        <w:t>key candidate for RCC therapies</w:t>
      </w:r>
      <w:r w:rsidRPr="00D637BA">
        <w:rPr>
          <w:rFonts w:ascii="Calibri" w:hAnsi="Calibri" w:cs="Calibri"/>
          <w:color w:val="000000" w:themeColor="text1"/>
          <w:sz w:val="22"/>
          <w:szCs w:val="22"/>
        </w:rPr>
        <w:t xml:space="preserve">. </w:t>
      </w:r>
    </w:p>
    <w:p w14:paraId="57FE1BCB" w14:textId="06A5A122" w:rsidR="006E05C6" w:rsidRPr="00D637BA" w:rsidRDefault="00F131BF" w:rsidP="00B946E4">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Further corroborati</w:t>
      </w:r>
      <w:r w:rsidR="000D1DC7">
        <w:rPr>
          <w:rFonts w:ascii="Calibri" w:hAnsi="Calibri" w:cs="Calibri"/>
          <w:color w:val="000000" w:themeColor="text1"/>
          <w:sz w:val="22"/>
          <w:szCs w:val="22"/>
        </w:rPr>
        <w:t>on of</w:t>
      </w:r>
      <w:r w:rsidR="007E78EA">
        <w:rPr>
          <w:rFonts w:ascii="Calibri" w:hAnsi="Calibri" w:cs="Calibri"/>
          <w:color w:val="000000" w:themeColor="text1"/>
          <w:sz w:val="22"/>
          <w:szCs w:val="22"/>
        </w:rPr>
        <w:t xml:space="preserve"> the key role of metabolite reprogramming in RCC</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was provided by the landmark </w:t>
      </w:r>
      <w:r w:rsidR="00FA0538" w:rsidRPr="00D637BA">
        <w:rPr>
          <w:rFonts w:ascii="Calibri" w:hAnsi="Calibri" w:cs="Calibri"/>
          <w:color w:val="000000" w:themeColor="text1"/>
          <w:sz w:val="22"/>
          <w:szCs w:val="22"/>
        </w:rPr>
        <w:t>Cancer Genome Atlas (</w:t>
      </w:r>
      <w:r w:rsidRPr="00D637BA">
        <w:rPr>
          <w:rFonts w:ascii="Calibri" w:hAnsi="Calibri" w:cs="Calibri"/>
          <w:color w:val="000000" w:themeColor="text1"/>
          <w:sz w:val="22"/>
          <w:szCs w:val="22"/>
        </w:rPr>
        <w:t>TCGA</w:t>
      </w:r>
      <w:r w:rsidR="00FA0538"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integrated platform analyses </w:t>
      </w:r>
      <w:r w:rsidR="00FA0538" w:rsidRPr="00D637BA">
        <w:rPr>
          <w:rFonts w:ascii="Calibri" w:hAnsi="Calibri" w:cs="Calibri"/>
          <w:color w:val="000000" w:themeColor="text1"/>
          <w:sz w:val="22"/>
          <w:szCs w:val="22"/>
        </w:rPr>
        <w:t>that studied</w:t>
      </w:r>
      <w:r w:rsidRPr="00D637BA">
        <w:rPr>
          <w:rFonts w:ascii="Calibri" w:hAnsi="Calibri" w:cs="Calibri"/>
          <w:color w:val="000000" w:themeColor="text1"/>
          <w:sz w:val="22"/>
          <w:szCs w:val="22"/>
        </w:rPr>
        <w:t xml:space="preserve"> the genome, transcriptome and proteome of more than 400 ccRCC tumours</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{"citationID":"a21qujh9cne","properties":{"formattedCitation":"\\super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10</w:t>
      </w:r>
      <w:r w:rsidR="004E2CCC">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This study highlighted the extensive metabolic reprogramming </w:t>
      </w:r>
      <w:r w:rsidR="009432CE" w:rsidRPr="00D637BA">
        <w:rPr>
          <w:rFonts w:ascii="Calibri" w:hAnsi="Calibri" w:cs="Calibri"/>
          <w:color w:val="000000" w:themeColor="text1"/>
          <w:sz w:val="22"/>
          <w:szCs w:val="22"/>
        </w:rPr>
        <w:t xml:space="preserve">that occurs </w:t>
      </w:r>
      <w:r w:rsidRPr="00D637BA">
        <w:rPr>
          <w:rFonts w:ascii="Calibri" w:hAnsi="Calibri" w:cs="Calibri"/>
          <w:color w:val="000000" w:themeColor="text1"/>
          <w:sz w:val="22"/>
          <w:szCs w:val="22"/>
        </w:rPr>
        <w:t>in ccRCC</w:t>
      </w:r>
      <w:r w:rsidR="009432CE"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in</w:t>
      </w:r>
      <w:r w:rsidR="009432CE" w:rsidRPr="00B946E4">
        <w:rPr>
          <w:rFonts w:ascii="Calibri" w:hAnsi="Calibri" w:cs="Calibri"/>
          <w:color w:val="000000" w:themeColor="text1"/>
          <w:sz w:val="22"/>
          <w:szCs w:val="22"/>
        </w:rPr>
        <w:t>cluding</w:t>
      </w:r>
      <w:r w:rsidRPr="00D637BA">
        <w:rPr>
          <w:rFonts w:ascii="Calibri" w:hAnsi="Calibri" w:cs="Calibri"/>
          <w:color w:val="000000" w:themeColor="text1"/>
          <w:sz w:val="22"/>
          <w:szCs w:val="22"/>
        </w:rPr>
        <w:t xml:space="preserve"> upregulation of fatty acid synthesis, </w:t>
      </w:r>
      <w:r w:rsidR="00FA0538" w:rsidRPr="00D637BA">
        <w:rPr>
          <w:rFonts w:ascii="Calibri" w:hAnsi="Calibri" w:cs="Calibri"/>
          <w:color w:val="000000" w:themeColor="text1"/>
          <w:sz w:val="22"/>
          <w:szCs w:val="22"/>
        </w:rPr>
        <w:t xml:space="preserve">the </w:t>
      </w:r>
      <w:r w:rsidRPr="00D637BA">
        <w:rPr>
          <w:rFonts w:ascii="Calibri" w:hAnsi="Calibri" w:cs="Calibri"/>
          <w:color w:val="000000" w:themeColor="text1"/>
          <w:sz w:val="22"/>
          <w:szCs w:val="22"/>
        </w:rPr>
        <w:t>pentose phosphate pathway</w:t>
      </w:r>
      <w:r w:rsidR="00FA0538" w:rsidRPr="00D637BA">
        <w:rPr>
          <w:rFonts w:ascii="Calibri" w:hAnsi="Calibri" w:cs="Calibri"/>
          <w:color w:val="000000" w:themeColor="text1"/>
          <w:sz w:val="22"/>
          <w:szCs w:val="22"/>
        </w:rPr>
        <w:t xml:space="preserve"> and</w:t>
      </w:r>
      <w:r w:rsidRPr="00D637BA">
        <w:rPr>
          <w:rFonts w:ascii="Calibri" w:hAnsi="Calibri" w:cs="Calibri"/>
          <w:color w:val="000000" w:themeColor="text1"/>
          <w:sz w:val="22"/>
          <w:szCs w:val="22"/>
        </w:rPr>
        <w:t xml:space="preserve"> glutamine transporters</w:t>
      </w:r>
      <w:r w:rsidR="00B61B02"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and downregulation of the tricarboxylic acid (TCA) cycle</w:t>
      </w:r>
      <w:r w:rsidR="009432CE" w:rsidRPr="00B946E4">
        <w:rPr>
          <w:rFonts w:ascii="Calibri" w:hAnsi="Calibri" w:cs="Calibri"/>
          <w:color w:val="000000" w:themeColor="text1"/>
          <w:sz w:val="22"/>
          <w:szCs w:val="22"/>
        </w:rPr>
        <w:t xml:space="preserve"> (Fig</w:t>
      </w:r>
      <w:r w:rsidR="000D1DC7">
        <w:rPr>
          <w:rFonts w:ascii="Calibri" w:hAnsi="Calibri" w:cs="Calibri"/>
          <w:color w:val="000000" w:themeColor="text1"/>
          <w:sz w:val="22"/>
          <w:szCs w:val="22"/>
        </w:rPr>
        <w:t>.</w:t>
      </w:r>
      <w:r w:rsidR="009432CE" w:rsidRPr="00B946E4">
        <w:rPr>
          <w:rFonts w:ascii="Calibri" w:hAnsi="Calibri" w:cs="Calibri"/>
          <w:color w:val="000000" w:themeColor="text1"/>
          <w:sz w:val="22"/>
          <w:szCs w:val="22"/>
        </w:rPr>
        <w:t xml:space="preserve"> 1). This</w:t>
      </w:r>
      <w:r w:rsidRPr="00D637BA">
        <w:rPr>
          <w:rFonts w:ascii="Calibri" w:hAnsi="Calibri" w:cs="Calibri"/>
          <w:color w:val="000000" w:themeColor="text1"/>
          <w:sz w:val="22"/>
          <w:szCs w:val="22"/>
        </w:rPr>
        <w:t xml:space="preserve"> </w:t>
      </w:r>
      <w:r w:rsidR="009432CE" w:rsidRPr="00B946E4">
        <w:rPr>
          <w:rFonts w:ascii="Calibri" w:hAnsi="Calibri" w:cs="Calibri"/>
          <w:color w:val="000000" w:themeColor="text1"/>
          <w:sz w:val="22"/>
          <w:szCs w:val="22"/>
        </w:rPr>
        <w:t xml:space="preserve">reprogramming </w:t>
      </w:r>
      <w:r w:rsidRPr="00D637BA">
        <w:rPr>
          <w:rFonts w:ascii="Calibri" w:hAnsi="Calibri" w:cs="Calibri"/>
          <w:color w:val="000000" w:themeColor="text1"/>
          <w:sz w:val="22"/>
          <w:szCs w:val="22"/>
        </w:rPr>
        <w:t>correlat</w:t>
      </w:r>
      <w:r w:rsidR="009432CE" w:rsidRPr="00B946E4">
        <w:rPr>
          <w:rFonts w:ascii="Calibri" w:hAnsi="Calibri" w:cs="Calibri"/>
          <w:color w:val="000000" w:themeColor="text1"/>
          <w:sz w:val="22"/>
          <w:szCs w:val="22"/>
        </w:rPr>
        <w:t>ed with</w:t>
      </w:r>
      <w:r w:rsidRPr="00D637BA">
        <w:rPr>
          <w:rFonts w:ascii="Calibri" w:hAnsi="Calibri" w:cs="Calibri"/>
          <w:color w:val="000000" w:themeColor="text1"/>
          <w:sz w:val="22"/>
          <w:szCs w:val="22"/>
        </w:rPr>
        <w:t xml:space="preserve"> </w:t>
      </w:r>
      <w:r w:rsidR="004743B6" w:rsidRPr="00D637BA">
        <w:rPr>
          <w:rFonts w:ascii="Calibri" w:hAnsi="Calibri" w:cs="Calibri"/>
          <w:color w:val="000000" w:themeColor="text1"/>
          <w:sz w:val="22"/>
          <w:szCs w:val="22"/>
        </w:rPr>
        <w:t xml:space="preserve">more aggressive </w:t>
      </w:r>
      <w:r w:rsidRPr="00D637BA">
        <w:rPr>
          <w:rFonts w:ascii="Calibri" w:hAnsi="Calibri" w:cs="Calibri"/>
          <w:color w:val="000000" w:themeColor="text1"/>
          <w:sz w:val="22"/>
          <w:szCs w:val="22"/>
        </w:rPr>
        <w:t xml:space="preserve">disease and </w:t>
      </w:r>
      <w:r w:rsidR="009432CE" w:rsidRPr="00D637BA">
        <w:rPr>
          <w:rFonts w:ascii="Calibri" w:hAnsi="Calibri" w:cs="Calibri"/>
          <w:color w:val="000000" w:themeColor="text1"/>
          <w:sz w:val="22"/>
          <w:szCs w:val="22"/>
        </w:rPr>
        <w:t xml:space="preserve">worse </w:t>
      </w:r>
      <w:r w:rsidRPr="00D637BA">
        <w:rPr>
          <w:rFonts w:ascii="Calibri" w:hAnsi="Calibri" w:cs="Calibri"/>
          <w:color w:val="000000" w:themeColor="text1"/>
          <w:sz w:val="22"/>
          <w:szCs w:val="22"/>
        </w:rPr>
        <w:t>prognosis</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{"citationID":"a1tjmgqqh0d","properties":{"formattedCitation":"\\super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10</w:t>
      </w:r>
      <w:r w:rsidR="004E2CCC">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00264E81">
        <w:rPr>
          <w:rFonts w:ascii="Calibri" w:hAnsi="Calibri" w:cs="Calibri"/>
          <w:color w:val="000000" w:themeColor="text1"/>
          <w:sz w:val="22"/>
          <w:szCs w:val="22"/>
        </w:rPr>
        <w:t xml:space="preserve"> Downregulation of lipid degradation (</w:t>
      </w:r>
      <w:r w:rsidR="00264E81" w:rsidRPr="00264E81">
        <w:rPr>
          <w:rFonts w:ascii="Calibri" w:hAnsi="Calibri" w:cs="Calibri"/>
          <w:color w:val="000000" w:themeColor="text1"/>
          <w:sz w:val="22"/>
          <w:szCs w:val="22"/>
        </w:rPr>
        <w:t>β-oxidation</w:t>
      </w:r>
      <w:r w:rsidR="00264E81">
        <w:rPr>
          <w:rFonts w:ascii="Calibri" w:hAnsi="Calibri" w:cs="Calibri"/>
          <w:color w:val="000000" w:themeColor="text1"/>
          <w:sz w:val="22"/>
          <w:szCs w:val="22"/>
        </w:rPr>
        <w:t xml:space="preserve"> pathway)</w:t>
      </w:r>
      <w:r w:rsidR="004F6907">
        <w:rPr>
          <w:rFonts w:ascii="Calibri" w:hAnsi="Calibri" w:cs="Calibri"/>
          <w:color w:val="000000" w:themeColor="text1"/>
          <w:sz w:val="22"/>
          <w:szCs w:val="22"/>
        </w:rPr>
        <w:t xml:space="preserve"> also correlated with poor prognosis in ccRCC</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{"citationID":"a28qgehqr3o","properties":{"formattedCitation":"\\super 32\\nosupersub{}","plainCitation":"32","noteIndex":0},"citationItems":[{"id":2817,"uris":["http://zotero.org/users/4775618/items/PSDXA2KF"],"uri":["http://zotero.org/users/4775618/items/PSDXA2KF"],"itemData":{"id":2817,"type":"article-journal","title":"HIF drives lipid deposition and cancer in ccRCC via repression of fatty acid metabolism","container-title":"Nature Communications","page":"1-12","volume":"8","issue":"1","source":"www-nature-com.ezp.lib.cam.ac.uk","abstract":"Clear cell renal cancers (ccRCC) display elevated intracellular lipid storage. Here the authors show that such lipid accumulation is due to the repression of carnitine palmitoyltransferase 1A (CPT1A) enzyme that impairs fatty acid (FA) transport into the mitochondrion resulting in reduced FA beta oxidation.","URL":"https://www-nature-com.ezp.lib.cam.ac.uk/articles/s41467-017-01965-8","DOI":"10.1038/s41467-017-01965-8","ISSN":"2041-1723","journalAbbreviation":"Nat Commun","language":"en","author":[{"family":"Du","given":"Weinan"},{"family":"Zhang","given":"Luchang"},{"family":"Brett-Morris","given":"Adina"},{"family":"Aguila","given":"Brittany"},{"family":"Kerner","given":"Janos"},{"family":"Hoppel","given":"Charles L."},{"family":"Puchowicz","given":"Michelle"},{"family":"Serra","given":"Dolors"},{"family":"Herrero","given":"Laura"},{"family":"Rini","given":"Brian I."},{"family":"Campbell","given":"Steven"},{"family":"Welford","given":"Scott M."}],"issued":{"date-parts":[["2017",11,24]]},"accessed":{"date-parts":[["2019",8,21]]}}}],"schema":"https://github.com/citation-style-language/schema/raw/master/csl-citation.json"}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32</w:t>
      </w:r>
      <w:r w:rsidR="004E2CCC">
        <w:rPr>
          <w:rFonts w:ascii="Calibri" w:hAnsi="Calibri" w:cs="Calibri"/>
          <w:color w:val="000000" w:themeColor="text1"/>
          <w:sz w:val="22"/>
          <w:szCs w:val="22"/>
        </w:rPr>
        <w:fldChar w:fldCharType="end"/>
      </w:r>
      <w:r w:rsidR="004F6907">
        <w:rPr>
          <w:rFonts w:ascii="Calibri" w:hAnsi="Calibri" w:cs="Calibri"/>
          <w:color w:val="000000" w:themeColor="text1"/>
          <w:sz w:val="22"/>
          <w:szCs w:val="22"/>
        </w:rPr>
        <w:t>.</w:t>
      </w:r>
      <w:r w:rsidR="00E37025">
        <w:rPr>
          <w:rFonts w:ascii="Calibri" w:hAnsi="Calibri" w:cs="Calibri"/>
          <w:color w:val="000000" w:themeColor="text1"/>
          <w:sz w:val="22"/>
          <w:szCs w:val="22"/>
        </w:rPr>
        <w:t xml:space="preserve"> </w:t>
      </w:r>
      <w:r w:rsidR="008934C6" w:rsidRPr="00D637BA">
        <w:rPr>
          <w:rFonts w:ascii="Calibri" w:hAnsi="Calibri" w:cs="Calibri"/>
          <w:color w:val="000000" w:themeColor="text1"/>
          <w:sz w:val="22"/>
          <w:szCs w:val="22"/>
        </w:rPr>
        <w:t>S</w:t>
      </w:r>
      <w:r w:rsidRPr="00D637BA">
        <w:rPr>
          <w:rFonts w:ascii="Calibri" w:hAnsi="Calibri" w:cs="Calibri"/>
          <w:color w:val="000000" w:themeColor="text1"/>
          <w:sz w:val="22"/>
          <w:szCs w:val="22"/>
        </w:rPr>
        <w:t xml:space="preserve">ubtype-specific </w:t>
      </w:r>
      <w:r w:rsidRPr="00D637BA">
        <w:rPr>
          <w:rFonts w:ascii="Calibri" w:hAnsi="Calibri" w:cs="Calibri"/>
          <w:color w:val="000000" w:themeColor="text1"/>
          <w:sz w:val="22"/>
          <w:szCs w:val="22"/>
        </w:rPr>
        <w:lastRenderedPageBreak/>
        <w:t xml:space="preserve">metabolic gene alterations </w:t>
      </w:r>
      <w:r w:rsidR="008934C6" w:rsidRPr="00D637BA">
        <w:rPr>
          <w:rFonts w:ascii="Calibri" w:hAnsi="Calibri" w:cs="Calibri"/>
          <w:color w:val="000000" w:themeColor="text1"/>
          <w:sz w:val="22"/>
          <w:szCs w:val="22"/>
        </w:rPr>
        <w:t xml:space="preserve">that </w:t>
      </w:r>
      <w:r w:rsidRPr="00D637BA">
        <w:rPr>
          <w:rFonts w:ascii="Calibri" w:hAnsi="Calibri" w:cs="Calibri"/>
          <w:color w:val="000000" w:themeColor="text1"/>
          <w:sz w:val="22"/>
          <w:szCs w:val="22"/>
        </w:rPr>
        <w:t>correlat</w:t>
      </w:r>
      <w:r w:rsidR="008934C6" w:rsidRPr="00D637BA">
        <w:rPr>
          <w:rFonts w:ascii="Calibri" w:hAnsi="Calibri" w:cs="Calibri"/>
          <w:color w:val="000000" w:themeColor="text1"/>
          <w:sz w:val="22"/>
          <w:szCs w:val="22"/>
        </w:rPr>
        <w:t>ed with</w:t>
      </w:r>
      <w:r w:rsidRPr="00D637BA">
        <w:rPr>
          <w:rFonts w:ascii="Calibri" w:hAnsi="Calibri" w:cs="Calibri"/>
          <w:color w:val="000000" w:themeColor="text1"/>
          <w:sz w:val="22"/>
          <w:szCs w:val="22"/>
        </w:rPr>
        <w:t xml:space="preserve"> disease aggression and patient survival were identified in subsequent TCGA studies across the three major RCC subtypes (</w:t>
      </w:r>
      <w:r w:rsidR="006E05C6" w:rsidRPr="00D637BA">
        <w:rPr>
          <w:rFonts w:ascii="Calibri" w:hAnsi="Calibri" w:cs="Calibri"/>
          <w:color w:val="000000" w:themeColor="text1"/>
          <w:sz w:val="22"/>
          <w:szCs w:val="22"/>
        </w:rPr>
        <w:t xml:space="preserve">ccRCC, </w:t>
      </w:r>
      <w:r w:rsidRPr="00D637BA">
        <w:rPr>
          <w:rFonts w:ascii="Calibri" w:hAnsi="Calibri" w:cs="Calibri"/>
          <w:color w:val="000000" w:themeColor="text1"/>
          <w:sz w:val="22"/>
          <w:szCs w:val="22"/>
        </w:rPr>
        <w:t>p</w:t>
      </w:r>
      <w:r w:rsidR="006E05C6" w:rsidRPr="00B946E4">
        <w:rPr>
          <w:rFonts w:ascii="Calibri" w:hAnsi="Calibri" w:cs="Calibri"/>
          <w:color w:val="000000" w:themeColor="text1"/>
          <w:sz w:val="22"/>
          <w:szCs w:val="22"/>
        </w:rPr>
        <w:t>RCC</w:t>
      </w:r>
      <w:r w:rsidRPr="00D637BA">
        <w:rPr>
          <w:rFonts w:ascii="Calibri" w:hAnsi="Calibri" w:cs="Calibri"/>
          <w:color w:val="000000" w:themeColor="text1"/>
          <w:sz w:val="22"/>
          <w:szCs w:val="22"/>
        </w:rPr>
        <w:t xml:space="preserve"> and chromophobe</w:t>
      </w:r>
      <w:r w:rsidR="006E05C6" w:rsidRPr="00D637BA">
        <w:rPr>
          <w:rFonts w:ascii="Calibri" w:hAnsi="Calibri" w:cs="Calibri"/>
          <w:color w:val="000000" w:themeColor="text1"/>
          <w:sz w:val="22"/>
          <w:szCs w:val="22"/>
        </w:rPr>
        <w:t xml:space="preserve"> RCC</w:t>
      </w:r>
      <w:r w:rsidRPr="00D637BA">
        <w:rPr>
          <w:rFonts w:ascii="Calibri" w:hAnsi="Calibri" w:cs="Calibri"/>
          <w:color w:val="000000" w:themeColor="text1"/>
          <w:sz w:val="22"/>
          <w:szCs w:val="22"/>
        </w:rPr>
        <w:t>)</w:t>
      </w:r>
      <w:r w:rsidR="004743B6"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supporting the principle of subtype-specific management and providing potential subtype-specific targets for novel therapies</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{"citationID":"aq7ruib9jr","properties":{"formattedCitation":"\\super 5\\nosupersub{}","plainCitation":"5","noteIndex":0},"citationItems":[{"id":427,"uris":["http://zotero.org/users/4775618/items/ZV692HDZ"],"uri":["http://zotero.org/users/4775618/items/ZV692HDZ"],"itemData":{"id":427,"type":"article-journal","title":"The Cancer Genome Atlas Comprehensive Molecular Characterization of Renal Cell Carcinoma","container-title":"Cell Reports","volume":"0","issue":"0","source":"www.cell.com","abstract":"&lt;h2&gt;Summary&lt;/h2&gt;&lt;p&gt;Renal cell carcinoma (RCC) is not a single disease, but several histologically defined cancers with different genetic drivers, clinical courses, and therapeutic responses. The current study evaluated 843 RCC from the three major histologic subtypes, including 488 clear cell RCC, 274 papillary RCC, and 81 chromophobe RCC. Comprehensive genomic and phenotypic analysis of the RCC subtypes reveals distinctive features of each subtype that provide the foundation for the development of subtype-specific therapeutic and management strategies for patients affected with these cancers. Somatic alteration of &lt;i&gt;BAP1&lt;/i&gt;, &lt;i&gt;PBRM1&lt;/i&gt;, and &lt;i&gt;PTEN&lt;/i&gt; and altered metabolic pathways correlated with subtype-specific decreased survival, while &lt;i&gt;CDKN2A&lt;/i&gt; alteration, increased DNA hypermethylation, and increases in the immune-related Th2 gene expression signature correlated with decreased survival within all major histologic subtypes. CIMP-RCC demonstrated an increased immune signature, and a uniform and distinct metabolic expression pattern identified a subset of metabolically divergent (MD) ChRCC that associated with extremely poor survival.&lt;/p&gt;","URL":"http://www.cell.com/cell-reports/abstract/S2211-1247(18)30436-4","DOI":"10.1016/j.celrep.2018.03.075","ISSN":"2211-1247","note":"PMID: 29617669, 29617669","journalAbbreviation":"Cell Reports","language":"English","author":[{"family":"Ricketts","given":"Christopher J."},{"family":"Cubas","given":"Aguirre A. De"},{"family":"Fan","given":"Huihui"},{"family":"Smith","given":"Christof C."},{"family":"Lang","given":"Martin"},{"family":"Reznik","given":"Ed"},{"family":"Bowlby","given":"Reanne"},{"family":"Gibb","given":"Ewan A."},{"family":"Akbani","given":"Rehan"},{"family":"Beroukhim","given":"Rameen"},{"family":"Bottaro","given":"Donald P."},{"family":"Choueiri","given":"Toni K."},{"family":"Gibbs","given":"Richard A."},{"family":"Godwin","given":"Andrew K."},{"family":"Haake","given":"Scott"},{"family":"Hakimi","given":"A. Ari"},{"family":"Henske","given":"Elizabeth P."},{"family":"Hsieh","given":"James J."},{"family":"Ho","given":"Thai H."},{"family":"Kanchi","given":"Rupa S."},{"family":"Krishnan","given":"Bhavani"},{"family":"Kwaitkowski","given":"David J."},{"family":"Lui","given":"Wembin"},{"family":"Merino","given":"Maria J."},{"family":"Mills","given":"Gordon B."},{"family":"Myers","given":"Jerome"},{"family":"Nickerson","given":"Michael L."},{"family":"Reuter","given":"Victor E."},{"family":"Schmidt","given":"Laura S."},{"family":"Shelley","given":"C. Simon"},{"family":"Shen","given":"Hui"},{"family":"Shuch","given":"Brian"},{"family":"Signoretti","given":"Sabina"},{"family":"Srinivasan","given":"Ramaprasad"},{"family":"Tamboli","given":"Pheroze"},{"family":"Thomas","given":"George"},{"family":"Vincent","given":"Benjamin G."},{"family":"Vocke","given":"Cathy D."},{"family":"Wheeler","given":"David A."},{"family":"Yang","given":"Lixing"},{"family":"Kim","given":"William T."},{"family":"Robertson","given":"A. Gordon"},{"family":"Caesar-Johnson","given":"Samantha J."},{"family":"Demchok","given":"John A."},{"family":"Felau","given":"Ina"},{"family":"Kasapi","given":"Melpomeni"},{"family":"Ferguson","given":"Martin L."},{"family":"Hutter","given":"Carolyn M."},{"family":"Sofia","given":"Heidi J."},{"family":"Tarnuzzer","given":"Roy"},{"family":"Wang","given":"Zhining"},{"family":"Yang","given":"Liming"},{"family":"Zenklusen","given":"Jean C."},{"family":"Zhang","given":"Jiashan (Julia)"},{"family":"Chudamani","given":"Sudha"},{"family":"Liu","given":"Jia"},{"family":"Lolla","given":"Laxmi"},{"family":"Naresh","given":"Rashi"},{"family":"Pihl","given":"Todd"},{"family":"Sun","given":"Qiang"},{"family":"Wan","given":"Yunhu"},{"family":"Wu","given":"Ye"},{"family":"Cho","given":"Juok"},{"family":"DeFreitas","given":"Timothy"},{"family":"Frazer","given":"Scott"},{"family":"Gehlenborg","given":"Nils"},{"family":"Getz","given":"Gad"},{"family":"Heiman","given":"David I."},{"family":"Kim","given":"Jaegil"},{"family":"Lawrence","given":"Michael S."},{"family":"Lin","given":"Pei"},{"family":"Meier","given":"Sam"},{"family":"Noble","given":"Michael S."},{"family":"Saksena","given":"Gordon"},{"family":"Voet","given":"Doug"},{"family":"Zhang","given":"Hailei"},{"family":"Bernard","given":"Brady"},{"family":"Chambwe","given":"Nyasha"},{"family":"Dhankani","given":"Varsha"},{"family":"Knijnenburg","given":"Theo"},{"family":"Kramer","given":"Roger"},{"family":"Leinonen","given":"Kalle"},{"family":"Liu","given":"Yuexin"},{"family":"Miller","given":"Michael"},{"family":"Reynolds","given":"Sheila"},{"family":"Shmulevich","given":"Ilya"},{"family":"Thorsson","given":"Vesteinn"},{"family":"Zhang","given":"Wei"},{"family":"Akbani","given":"Rehan"},{"family":"Broom","given":"Bradley M."},{"family":"Hegde","given":"Apurva M."},{"family":"Ju","given":"Zhenlin"},{"family":"Kanchi","given":"Rupa S."},{"family":"Korkut","given":"Anil"},{"family":"Li","given":"Jun"},{"family":"Liang","given":"Han"},{"family":"Ling","given":"Shiyun"},{"family":"Liu","given":"Wenbin"},{"family":"Lu","given":"Yiling"},{"family":"Mills","given":"Gordon B."},{"family":"Ng","given":"Kwok-Shing"},{"family":"Rao","given":"Arvind"},{"family":"Ryan","given":"Michael"},{"family":"Wang","given":"Jing"},{"family":"Weinstein","given":"John N."},{"family":"Zhang","given":"Jiexin"},{"family":"Abeshouse","given":"Adam"},{"family":"Armenia","given":"Joshua"},{"family":"Chakravarty","given":"Debyani"},{"family":"Chatila","given":"Walid K."},{"family":"Bruijn","given":"Ino","dropping-particle":"de"},{"family":"Gao","given":"Jianjiong"},{"family":"Gross","given":"Benjamin E."},{"family":"Heins","given":"Zachary J."},{"family":"Kundra","given":"Ritika"},{"family":"La","given":"Konnor"},{"family":"Ladanyi","given":"Marc"},{"family":"Luna","given":"Augustin"},{"family":"Nissan","given":"Moriah G."},{"family":"Ochoa","given":"Angelica"},{"family":"Phillips","given":"Sarah M."},{"family":"Reznik","given":"Ed"},{"family":"Sanchez-Vega","given":"Francisco"},{"family":"Sander","given":"Chris"},{"family":"Schultz","given":"Nikolaus"},{"family":"Sheridan","given":"Robert"},{"family":"Sumer","given":"S. Onur"},{"family":"Sun","given":"Yichao"},{"family":"Taylor","given":"Barry S."},{"family":"Wang","given":"Jioajiao"},{"family":"Zhang","given":"Hongxin"},{"family":"Anur","given":"Pavana"},{"family":"Peto","given":"Myron"},{"family":"Spellman","given":"Paul"},{"family":"Benz","given":"Christopher"},{"family":"Stuart","given":"Joshua M."},{"family":"Wong","given":"Christopher K."},{"family":"Yau","given":"Christina"},{"family":"Hayes","given":"D. Neil"},{"family":"Parker","given":"Joel S."},{"family":"Wilkerson","given":"Matthew D."},{"family":"Ally","given":"Adrian"},{"family":"Balasundaram","given":"Miruna"},{"family":"Bowlby","given":"Reanne"},{"family":"Brooks","given":"Denise"},{"family":"Carlsen","given":"Rebecca"},{"family":"Chuah","given":"Eric"},{"family":"Dhalla","given":"Noreen"},{"family":"Holt","given":"Robert"},{"family":"Jones","given":"Steven J. M."},{"family":"Kasaian","given":"Katayoon"},{"family":"Lee","given":"Darlene"},{"family":"Ma","given":"Yussanne"},{"family":"Marra","given":"Marco A."},{"family":"Mayo","given":"Michael"},{"family":"Moore","given":"Richard A."},{"family":"Mungall","given":"Andrew J."},{"family":"Mungall","given":"Karen"},{"family":"Robertson","given":"A. Gordon"},{"family":"Sadeghi","given":"Sara"},{"family":"Schein","given":"Jacqueline E."},{"family":"Sipahimalani","given":"Payal"},{"family":"Tam","given":"Angela"},{"family":"Thiessen","given":"Nina"},{"family":"Tse","given":"Kane"},{"family":"Wong","given":"Tina"},{"family":"Berger","given":"Ashton C."},{"family":"Beroukhim","given":"Rameen"},{"family":"Cherniack","given":"Andrew D."},{"family":"Cibulskis","given":"Carrie"},{"family":"Gabriel","given":"Stacey B."},{"family":"Gao","given":"Galen F."},{"family":"Ha","given":"Gavin"},{"family":"Meyerson","given":"Matthew"},{"family":"Schumacher","given":"Steven E."},{"family":"Shih","given":"Juliann"},{"family":"Kucherlapati","given":"Melanie H."},{"family":"Kucherlapati","given":"Raju S."},{"family":"Baylin","given":"Stephen"},{"family":"Cope","given":"Leslie"},{"family":"Danilova","given":"Ludmila"},{"family":"Bootwalla","given":"Moiz S."},{"family":"Lai","given":"Phillip H."},{"family":"Maglinte","given":"Dennis T."},{"family":"Berg","given":"David J. Van Den"},{"family":"Weisenberger","given":"Daniel J."},{"family":"Auman","given":"J. Todd"},{"family":"Balu","given":"Saianand"},{"family":"Bodenheimer","given":"Tom"},{"family":"Fan","given":"Cheng"},{"family":"Hoadley","given":"Katherine A."},{"family":"Hoyle","given":"Alan P."},{"family":"Jefferys","given":"Stuart R."},{"family":"Jones","given":"Corbin D."},{"family":"Meng","given":"Shaowu"},{"family":"Mieczkowski","given":"Piotr A."},{"family":"Mose","given":"Lisle E."},{"family":"Perou","given":"Amy H."},{"family":"Perou","given":"Charles M."},{"family":"Roach","given":"Jeffrey"},{"family":"Shi","given":"Yan"},{"family":"Simons","given":"Janae V."},{"family":"Skelly","given":"Tara"},{"family":"Soloway","given":"Matthew G."},{"family":"Tan","given":"Donghui"},{"family":"Veluvolu","given":"Umadevi"},{"family":"Fan","given":"Huihui"},{"family":"Hinoue","given":"Toshinori"},{"family":"Laird","given":"Peter W."},{"family":"Shen","given":"Hui"},{"family":"Zhou","given":"Wanding"},{"family":"Bellair","given":"Michelle"},{"family":"Chang","given":"Kyle"},{"family":"Covington","given":"Kyle"},{"family":"Creighton","given":"Chad J."},{"family":"Dinh","given":"Huyen"},{"family":"Doddapaneni","given":"HarshaVardhan"},{"family":"Donehower","given":"Lawrence A."},{"family":"Drummond","given":"Jennifer"},{"family":"Gibbs","given":"Richard A."},{"family":"Glenn","given":"Robert"},{"family":"Hale","given":"Walker"},{"family":"Han","given":"Yi"},{"family":"Hu","given":"Jianhong"},{"family":"Korchina","given":"Viktoriya"},{"family":"Lee","given":"Sandra"},{"family":"Lewis","given":"Lora"},{"family":"Li","given":"Wei"},{"family":"Liu","given":"Xiuping"},{"family":"Morgan","given":"Margaret"},{"family":"Morton","given":"Donna"},{"family":"Muzny","given":"Donna"},{"family":"Santibanez","given":"Jireh"},{"family":"Sheth","given":"Margi"},{"family":"Shinbrot","given":"Eve"},{"family":"Wang","given":"Linghua"},{"family":"Wang","given":"Min"},{"family":"Wheeler","given":"David A."},{"family":"Xi","given":"Liu"},{"family":"Zhao","given":"Fengmei"},{"family":"Hess","given":"Julian"},{"family":"Appelbaum","given":"Elizabeth L."},{"family":"Bailey","given":"Matthew"},{"family":"Cordes","given":"Matthew G."},{"family":"Ding","given":"Li"},{"family":"Fronick","given":"Catrina C."},{"family":"Fulton","given":"Lucinda A."},{"family":"Fulton","given":"Robert S."},{"family":"Kandoth","given":"Cyriac"},{"family":"Mardis","given":"Elaine R."},{"family":"McLellan","given":"Michael D."},{"family":"Miller","given":"Christopher A."},{"family":"Schmidt","given":"Heather K."},{"family":"Wilson","given":"Richard K."},{"family":"Crain","given":"Daniel"},{"family":"Curley","given":"Erin"},{"family":"Gardner","given":"Johanna"},{"family":"Lau","given":"Kevin"},{"family":"Mallery","given":"David"},{"family":"Morris","given":"Scott"},{"family":"Paulauskis","given":"Joseph"},{"family":"Penny","given":"Robert"},{"family":"Shelton","given":"Candace"},{"family":"Shelton","given":"Troy"},{"family":"Sherman","given":"Mark"},{"family":"Thompson","given":"Eric"},{"family":"Yena","given":"Peggy"},{"family":"Bowen","given":"Jay"},{"family":"Gastier-Foster","given":"Julie M."},{"family":"Gerken","given":"Mark"},{"family":"Leraas","given":"Kristen M."},{"family":"Lichtenberg","given":"Tara M."},{"family":"Ramirez","given":"Nilsa C."},{"family":"Wise","given":"Lisa"},{"family":"Zmuda","given":"Erik"},{"family":"Corcoran","given":"Niall"},{"family":"Costello","given":"Tony"},{"family":"Hovens","given":"Christopher"},{"family":"Carvalho","given":"Andre L."},{"family":"Carvalho","given":"Ana C.","dropping-particle":"de"},{"family":"Fregnani","given":"José H."},{"family":"Longatto-Filho","given":"Adhemar"},{"family":"Reis","given":"Rui M."},{"family":"Scapulatempo-Neto","given":"Cristovam"},{"family":"Silveira","given":"Henrique C. S."},{"family":"Vidal","given":"Daniel O."},{"family":"Burnette","given":"Andrew"},{"family":"Eschbacher","given":"Jennifer"},{"family":"Hermes","given":"Beth"},{"family":"Noss","given":"Ardene"},{"family":"Singh","given":"Rosy"},{"family":"Anderson","given":"Matthew L."},{"family":"Castro","given":"Patricia D."},{"family":"Ittmann","given":"Michael"},{"family":"Huntsman","given":"David"},{"family":"Kohl","given":"Bernard"},{"family":"Le","given":"Xuan"},{"family":"Thorp","given":"Richard"},{"family":"Andry","given":"Chris"},{"family":"Duffy","given":"Elizabeth R."},{"family":"Lyadov","given":"Vladimir"},{"family":"Paklina","given":"Oxana"},{"family":"Setdikova","given":"Galiya"},{"family":"Shabunin","given":"Alexey"},{"family":"Tavobilov","given":"Mikhail"},{"family":"McPherson","given":"Christopher"},{"family":"Warnick","given":"Ronald"},{"family":"Berkowitz","given":"Ross"},{"family":"Cramer","given":"Daniel"},{"family":"Feltmate","given":"Colleen"},{"family":"Horowitz","given":"Neil"},{"family":"Kibel","given":"Adam"},{"family":"Muto","given":"Michael"},{"family":"Raut","given":"Chandrajit P."},{"family":"Malykh","given":"Andrei"},{"family":"Barnholtz-Sloan","given":"Jill S."},{"family":"Barrett","given":"Wendi"},{"family":"Devine","given":"Karen"},{"family":"Fulop","given":"Jordonna"},{"family":"Ostrom","given":"Quinn T."},{"family":"Shimmel","given":"Kristen"},{"family":"Wolinsky","given":"Yingli"},{"family":"Sloan","given":"Andrew E."},{"family":"Rose","given":"Agostino De"},{"family":"Giuliante","given":"Felice"},{"family":"Goodman","given":"Marc"},{"family":"Karlan","given":"Beth Y."},{"family":"Hagedorn","given":"Curt H."},{"family":"Eckman","given":"John"},{"family":"Harr","given":"Jodi"},{"family":"Myers","given":"Jerome"},{"family":"Tucker","given":"Kelinda"},{"family":"Zach","given":"Leigh Anne"},{"family":"Deyarmin","given":"Brenda"},{"family":"Hu","given":"Hai"},{"family":"Kvecher","given":"Leonid"},{"family":"Larson","given":"Caroline"},{"family":"Mural","given":"Richard J."},{"family":"Somiari","given":"Stella"},{"family":"Vicha","given":"Ales"},{"family":"Zelinka","given":"Tomas"},{"family":"Bennett","given":"Joseph"},{"family":"Iacocca","given":"Mary"},{"family":"Rabeno","given":"Brenda"},{"family":"Swanson","given":"Patricia"},{"family":"Latour","given":"Mathieu"},{"family":"Lacombe","given":"Louis"},{"family":"Têtu","given":"Bernard"},{"family":"Bergeron","given":"Alain"},{"family":"McGraw","given":"Mary"},{"family":"Staugaitis","given":"Susan M."},{"family":"Chabot","given":"John"},{"family":"Hibshoosh","given":"Hanina"},{"family":"Sepulveda","given":"Antonia"},{"family":"Su","given":"Tao"},{"family":"Wang","given":"Timothy"},{"family":"Potapova","given":"Olga"},{"family":"Voronina","given":"Olga"},{"family":"Desjardins","given":"Laurence"},{"family":"Mariani","given":"Odette"},{"family":"Roman-Roman","given":"Sergio"},{"family":"Sastre","given":"Xavier"},{"family":"Stern","given":"Marc-Henri"},{"family":"Cheng","given":"Feixiong"},{"family":"Signoretti","given":"Sabina"},{"family":"Berchuck","given":"Andrew"},{"family":"Bigner","given":"Darell"},{"family":"Lipp","given":"Eric"},{"family":"Marks","given":"Jeffrey"},{"family":"McCall","given":"Shannon"},{"family":"McLendon","given":"Roger"},{"family":"Secord","given":"Angeles"},{"family":"Sharp","given":"Alexis"},{"family":"Behera","given":"Madhusmita"},{"family":"Brat","given":"Daniel J."},{"family":"Chen","given":"Amy"},{"family":"Delman","given":"Keith"},{"family":"Force","given":"Seth"},{"family":"Khuri","given":"Fadlo"},{"family":"Magliocca","given":"Kelly"},{"family":"Maithel","given":"Shishir"},{"family":"Olson","given":"Jeffrey J."},{"family":"Owonikoko","given":"Taofeek"},{"family":"Pickens","given":"Alan"},{"family":"Ramalingam","given":"Suresh"},{"family":"Shin","given":"Dong M."},{"family":"Sica","given":"Gabriel"},{"family":"Meir","given":"Erwin G. Van"},{"family":"Zhang","given":"Hongzheng"},{"family":"Eijckenboom","given":"Wil"},{"family":"Gillis","given":"Ad"},{"family":"Korpershoek","given":"Esther"},{"family":"Looijenga","given":"Leendert"},{"family":"Oosterhuis","given":"Wolter"},{"family":"Stoop","given":"Hans"},{"family":"Kessel","given":"Kim E.","dropping-particle":"van"},{"family":"Zwarthoff","given":"Ellen C."},{"family":"Calatozzolo","given":"Chiara"},{"family":"Cuppini","given":"Lucia"},{"family":"Cuzzubbo","given":"Stefania"},{"family":"DiMeco","given":"Francesco"},{"family":"Finocchiaro","given":"Gaetano"},{"family":"Mattei","given":"Luca"},{"family":"Perin","given":"Alessandro"},{"family":"Pollo","given":"Bianca"},{"family":"Chen","given":"Chu"},{"family":"Houck","given":"John"},{"family":"Lohavanichbutr","given":"Pawadee"},{"family":"Hartmann","given":"Arndt"},{"family":"Stoehr","given":"Christine"},{"family":"Stoehr","given":"Robert"},{"family":"Taubert","given":"Helge"},{"family":"Wach","given":"Sven"},{"family":"Wullich","given":"Bernd"},{"family":"Kycler","given":"Witold"},{"family":"Murawa","given":"Dawid"},{"family":"Wiznerowicz","given":"Maciej"},{"family":"Chung","given":"Ki"},{"family":"Edenfield","given":"W. Jeffrey"},{"family":"Martin","given":"Julie"},{"family":"Baudin","given":"Eric"},{"family":"Bubley","given":"Glenn"},{"family":"Bueno","given":"Raphael"},{"family":"Rienzo","given":"Assunta De"},{"family":"Richards","given":"William G."},{"family":"Kalkanis","given":"Steven"},{"family":"Mikkelsen","given":"Tom"},{"family":"Noushmehr","given":"Houtan"},{"family":"Scarpace","given":"Lisa"},{"family":"Girard","given":"Nicolas"},{"family":"Aymerich","given":"Marta"},{"family":"Campo","given":"Elias"},{"family":"Giné","given":"Eva"},{"family":"Guillermo","given":"Armando López"},{"family":"Bang","given":"Nguyen Van"},{"family":"Hanh","given":"Phan Thi"},{"family":"Phu","given":"Bui Duc"},{"family":"Tang","given":"Yufang"},{"family":"Colman","given":"Howard"},{"family":"Evason","given":"Kimberley"},{"family":"Dottino","given":"Peter R."},{"family":"Martignetti","given":"John A."},{"family":"Gabra","given":"Hani"},{"family":"Juhl","given":"Hartmut"},{"family":"Akeredolu","given":"Teniola"},{"family":"Stepa","given":"Serghei"},{"family":"Hoon","given":"Dave"},{"family":"Ahn","given":"Keunsoo"},{"family":"Kang","given":"Koo Jeong"},{"family":"Beuschlein","given":"Felix"},{"family":"Breggia","given":"Anne"},{"family":"Birrer","given":"Michael"},{"family":"Bell","given":"Debra"},{"family":"Borad","given":"Mitesh"},{"family":"Bryce","given":"Alan H."},{"family":"Castle","given":"Erik"},{"family":"Chandan","given":"Vishal"},{"family":"Cheville","given":"John"},{"family":"Copland","given":"John A."},{"family":"Farnell","given":"Michael"},{"family":"Flotte","given":"Thomas"},{"family":"Giama","given":"Nasra"},{"family":"Ho","given":"Thai"},{"family":"Kendrick","given":"Michael"},{"family":"Kocher","given":"Jean-Pierre"},{"family":"Kopp","given":"Karla"},{"family":"Moser","given":"Catherine"},{"family":"Nagorney","given":"David"},{"family":"O’Brien","given":"Daniel"},{"family":"O’Neill","given":"Brian Patrick"},{"family":"Patel","given":"Tushar"},{"family":"Petersen","given":"Gloria"},{"family":"Que","given":"Florencia"},{"family":"Rivera","given":"Michael"},{"family":"Roberts","given":"Lewis"},{"family":"Smallridge","given":"Robert"},{"family":"Smyrk","given":"Thomas"},{"family":"Stanton","given":"Melissa"},{"family":"Thompson","given":"R. Houston"},{"family":"Torbenson","given":"Michael"},{"family":"Yang","given":"Ju Dong"},{"family":"Zhang","given":"Lizhi"},{"family":"Brimo","given":"Fadi"},{"family":"Ajani","given":"Jaffer A."},{"family":"Gonzalez","given":"Ana Maria Angulo"},{"family":"Behrens","given":"Carmen"},{"family":"Bondaruk","given":"Jolanta"},{"family":"Broaddus","given":"Russell"},{"family":"Czerniak","given":"Bogdan"},{"family":"Esmaeli","given":"Bita"},{"family":"Fujimoto","given":"Junya"},{"family":"Gershenwald","given":"Jeffrey"},{"family":"Guo","given":"Charles"},{"family":"Lazar","given":"Alexander J."},{"family":"Logothetis","given":"Christopher"},{"family":"Meric-Bernstam","given":"Funda"},{"family":"Moran","given":"Cesar"},{"family":"Ramondetta","given":"Lois"},{"family":"Rice","given":"David"},{"family":"Sood","given":"Anil"},{"family":"Tamboli","given":"Pheroze"},{"family":"Thompson","given":"Timothy"},{"family":"Troncoso","given":"Patricia"},{"family":"Tsao","given":"Anne"},{"family":"Wistuba","given":"Ignacio"},{"family":"Carter","given":"Candace"},{"family":"Haydu","given":"Lauren"},{"family":"Hersey","given":"Peter"},{"family":"Jakrot","given":"Valerie"},{"family":"Kakavand","given":"Hojabr"},{"family":"Kefford","given":"Richard"},{"family":"Lee","given":"Kenneth"},{"family":"Long","given":"Georgina"},{"family":"Mann","given":"Graham"},{"family":"Quinn","given":"Michael"},{"family":"Saw","given":"Robyn"},{"family":"Scolyer","given":"Richard"},{"family":"Shannon","given":"Kerwin"},{"family":"Spillane","given":"Andrew"},{"family":"Stretch","given":"Onathan"},{"family":"Synott","given":"Maria"},{"family":"Thompson","given":"John"},{"family":"Wilmott","given":"James"},{"family":"Al-Ahmadie","given":"Hikmat"},{"family":"Chan","given":"Timothy A."},{"family":"Ghossein","given":"Ronald"},{"family":"Gopalan","given":"Anuradha"},{"family":"Levine","given":"Douglas A."},{"family":"Reuter","given":"Victor"},{"family":"Singer","given":"Samuel"},{"family":"Singh","given":"Bhuvanesh"},{"family":"Tien","given":"Nguyen Viet"},{"family":"Broudy","given":"Thomas"},{"family":"Mirsaidi","given":"Cyrus"},{"family":"Nair","given":"Praveen"},{"family":"Drwiega","given":"Paul"},{"family":"Miller","given":"Judy"},{"family":"Smith","given":"Jennifer"},{"family":"Zaren","given":"Howard"},{"family":"Park","given":"Joong-Won"},{"family":"Hung","given":"Nguyen Phi"},{"family":"Kebebew","given":"Electron"},{"family":"Linehan","given":"W. Marston"},{"family":"Metwalli","given":"Adam R."},{"family":"Pacak","given":"Karel"},{"family":"Pinto","given":"Peter A."},{"family":"Schiffman","given":"Mark"},{"family":"Schmidt","given":"Laura S."},{"family":"Vocke","given":"Cathy D."},{"family":"Wentzensen","given":"Nicolas"},{"family":"Worrell","given":"Robert"},{"family":"Yang","given":"Hannah"},{"family":"Moncrieff","given":"Marc"},{"family":"Goparaju","given":"Chandra"},{"family":"Melamed","given":"Jonathan"},{"family":"Pass","given":"Harvey"},{"family":"Botnariuc","given":"Natalia"},{"family":"Caraman","given":"Irina"},{"family":"Cernat","given":"Mircea"},{"family":"Chemencedji","given":"Inga"},{"family":"Clipca","given":"Adrian"},{"family":"Doruc","given":"Serghei"},{"family":"Gorincioi","given":"Ghenadie"},{"family":"Mura","given":"Sergiu"},{"family":"Pirtac","given":"Maria"},{"family":"Stancul","given":"Irina"},{"family":"Tcaciuc","given":"Diana"},{"family":"Albert","given":"Monique"},{"family":"Alexopoulou","given":"Iakovina"},{"family":"Arnaout","given":"Angel"},{"family":"Bartlett","given":"John"},{"family":"Engel","given":"Jay"},{"family":"Gilbert","given":"Sebastien"},{"family":"Parfitt","given":"Jeremy"},{"family":"Sekhon","given":"Harman"},{"family":"Thomas","given":"George"},{"family":"Rassl","given":"Doris M."},{"family":"Rintoul","given":"Robert C."},{"family":"Bifulco","given":"Carlo"},{"family":"Tamakawa","given":"Raina"},{"family":"Urba","given":"Walter"},{"family":"Hayward","given":"Nicholas"},{"family":"Timmers","given":"Henri"},{"family":"Antenucci","given":"Anna"},{"family":"Facciolo","given":"Francesco"},{"family":"Grazi","given":"Gianluca"},{"family":"Marino","given":"Mirella"},{"family":"Merola","given":"Roberta"},{"family":"Krijger","given":"Ronald","dropping-particle":"de"},{"family":"Gimenez-Roqueplo","given":"Anne-Paule"},{"family":"Piché","given":"Alain"},{"family":"Chevalier","given":"Simone"},{"family":"McKercher","given":"Ginette"},{"family":"Birsoy","given":"Kivanc"},{"family":"Barnett","given":"Gene"},{"family":"Brewer","given":"Cathy"},{"family":"Farver","given":"Carol"},{"family":"Naska","given":"Theresa"},{"family":"Pennell","given":"Nathan A."},{"family":"Raymond","given":"Daniel"},{"family":"Schilero","given":"Cathy"},{"family":"Smolenski","given":"Kathy"},{"family":"Williams","given":"Felicia"},{"family":"Morrison","given":"Carl"},{"family":"Borgia","given":"Jeffrey A."},{"family":"Liptay","given":"Michael J."},{"family":"Pool","given":"Mark"},{"family":"Seder","given":"Christopher W."},{"family":"Junker","given":"Kerstin"},{"family":"Omberg","given":"Larsson"},{"family":"Dinkin","given":"Mikhail"},{"family":"Manikhas","given":"George"},{"family":"Alvaro","given":"Domenico"},{"family":"Bragazzi","given":"Maria Consiglia"},{"family":"Cardinale","given":"Vincenzo"},{"family":"Carpino","given":"Guido"},{"family":"Gaudio","given":"Eugenio"},{"family":"Chesla","given":"David"},{"family":"Cottingham","given":"Sandra"},{"family":"Dubina","given":"Michael"},{"family":"Moiseenko","given":"Fedor"},{"family":"Dhanasekaran","given":"Renumathy"},{"family":"Becker","given":"Karl-Friedrich"},{"family":"Janssen","given":"Klaus-Peter"},{"family":"Slotta-Huspenina","given":"Julia"},{"family":"Abdel-Rahman","given":"Mohamed H."},{"family":"Aziz","given":"Dina"},{"family":"Bell","given":"Sue"},{"family":"Cebulla","given":"Colleen M."},{"family":"Davis","given":"Amy"},{"family":"Duell","given":"Rebecca"},{"family":"Elder","given":"J. Bradley"},{"family":"Hilty","given":"Joe"},{"family":"Kumar","given":"Bahavna"},{"family":"Lang","given":"James"},{"family":"Lehman","given":"Norman L."},{"family":"Mandt","given":"Randy"},{"family":"Nguyen","given":"Phuong"},{"family":"Pilarski","given":"Robert"},{"family":"Rai","given":"Karan"},{"family":"Schoenfield","given":"Lynn"},{"family":"Senecal","given":"Kelly"},{"family":"Wakely","given":"Paul"},{"family":"Hansen","given":"Paul"},{"family":"Lechan","given":"Ronald"},{"family":"Powers","given":"James"},{"family":"Tischler","given":"Arthur"},{"family":"Grizzle","given":"William E."},{"family":"Sexton","given":"Katherine C."},{"family":"Kastl","given":"Alison"},{"family":"Henderson","given":"Joel"},{"family":"Porten","given":"Sima"},{"family":"Waldmann","given":"Jens"},{"family":"Fassnacht","given":"Martin"},{"family":"Asa","given":"Sylvia L."},{"family":"Schadendorf","given":"Dirk"},{"family":"Couce","given":"Marta"},{"family":"Graefen","given":"Markus"},{"family":"Huland","given":"Hartwig"},{"family":"Sauter","given":"Guido"},{"family":"Schlomm","given":"Thorsten"},{"family":"Simon","given":"Ronald"},{"family":"Tennstedt","given":"Pierre"},{"family":"Olabode","given":"Oluwole"},{"family":"Nelson","given":"Mark"},{"family":"Bathe","given":"Oliver"},{"family":"Carroll","given":"Peter R."},{"family":"Chan","given":"June M."},{"family":"Disaia","given":"Philip"},{"family":"Glenn","given":"Pat"},{"family":"Kelley","given":"Robin K."},{"family":"Landen","given":"Charles N."},{"family":"Phillips","given":"Joanna"},{"family":"Prados","given":"Michael"},{"family":"Simko","given":"Jeffry"},{"family":"Smith-McCune","given":"Karen"},{"family":"VandenBerg","given":"Scott"},{"family":"Roggin","given":"Kevin"},{"family":"Fehrenbach","given":"Ashley"},{"family":"Kendler","given":"Ady"},{"family":"Sifri","given":"Suzanne"},{"family":"Steele","given":"Ruth"},{"family":"Jimeno","given":"Antonio"},{"family":"Carey","given":"Francis"},{"family":"Forgie","given":"Ian"},{"family":"Mannelli","given":"Massimo"},{"family":"Carney","given":"Michael"},{"family":"Hernandez","given":"Brenda"},{"family":"Campos","given":"Benito"},{"family":"Herold-Mende","given":"Christel"},{"family":"Jungk","given":"Christin"},{"family":"Unterberg","given":"Andreas"},{"family":"Deimling","given":"Andreas","dropping-particle":"von"},{"family":"Bossler","given":"Aaron"},{"family":"Galbraith","given":"Joseph"},{"family":"Jacobus","given":"Laura"},{"family":"Knudson","given":"Michael"},{"family":"Knutson","given":"Tina"},{"family":"Ma","given":"Deqin"},{"family":"Milhem","given":"Mohammed"},{"family":"Sigmund","given":"Rita"},{"family":"Godwin","given":"Andrew K."},{"family":"Madan","given":"Rashna"},{"family":"Rosenthal","given":"Howard G."},{"family":"Adebamowo","given":"Clement"},{"family":"Adebamowo","given":"Sally N."},{"family":"Boussioutas","given":"Alex"},{"family":"Beer","given":"David"},{"family":"Giordano","given":"Thomas"},{"family":"Mes-Masson","given":"Anne-Marie"},{"family":"Saad","given":"Fred"},{"family":"Bocklage","given":"Therese"},{"family":"Landrum","given":"Lisa"},{"family":"Mannel","given":"Robert"},{"family":"Moore","given":"Kathleen"},{"family":"Moxley","given":"Katherine"},{"family":"Postier","given":"Russel"},{"family":"Walker","given":"Joan"},{"family":"Zuna","given":"Rosemary"},{"family":"Feldman","given":"Michael"},{"family":"Valdivieso","given":"Federico"},{"family":"Dhir","given":"Rajiv"},{"family":"Luketich","given":"James"},{"family":"Pinero","given":"Edna M. Mora"},{"family":"Quintero-Aguilo","given":"Mario"},{"family":"Carlotti","given":"Carlos Gilberto"},{"family":"Santos","given":"Jose Sebastião Dos"},{"family":"Kemp","given":"Rafael"},{"family":"Sankarankuty","given":"Ajith"},{"family":"Tirapelli","given":"Daniela"},{"family":"Catto","given":"James"},{"family":"Agnew","given":"Kathy"},{"family":"Swisher","given":"Elizabeth"},{"family":"Creaney","given":"Jenette"},{"family":"Robinson","given":"Bruce"},{"family":"Shelley","given":"Carl Simon"},{"family":"Godwin","given":"Eryn M."},{"family":"Kendall","given":"Sara"},{"family":"Shipman","given":"Cassaundra"},{"family":"Bradford","given":"Carol"},{"family":"Carey","given":"Thomas"},{"family":"Haddad","given":"Andrea"},{"family":"Moyer","given":"Jeffey"},{"family":"Peterson","given":"Lisa"},{"family":"Prince","given":"Mark"},{"family":"Rozek","given":"Laura"},{"family":"Wolf","given":"Gregory"},{"family":"Bowman","given":"Rayleen"},{"family":"Fong","given":"Kwun M."},{"family":"Yang","given":"Ian"},{"family":"Korst","given":"Robert"},{"family":"Rathmell","given":"W. Kimryn"},{"family":"Fantacone-Campbell","given":"J. Leigh"},{"family":"Hooke","given":"Jeffrey A."},{"family":"Kovatich","given":"Albert J."},{"family":"Shriver","given":"Craig D."},{"family":"DiPersio","given":"John"},{"family":"Drake","given":"Bettina"},{"family":"Govindan","given":"Ramaswamy"},{"family":"Heath","given":"Sharon"},{"family":"Ley","given":"Timothy"},{"family":"Tine","given":"Brian Van"},{"family":"Westervelt","given":"Peter"},{"family":"Rubin","given":"Mark A."},{"family":"Lee","given":"Jung Il"},{"family":"Aredes","given":"Natália D."},{"family":"Mariamidze","given":"Armaz"},{"family":"Spellman","given":"Paul T."},{"family":"Rathmell","given":"W. Kimryn"},{"family":"Linehan","given":"W. Marston"}],"issued":{"date-parts":[["2018",4,5]]},"accessed":{"date-parts":[["2018",4,9]]}}}],"schema":"https://github.com/citation-style-language/schema/raw/master/csl-citation.json"}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5</w:t>
      </w:r>
      <w:r w:rsidR="004E2CCC">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p>
    <w:p w14:paraId="1BAA9006" w14:textId="34CA51E3" w:rsidR="006E05C6" w:rsidRPr="00D637BA" w:rsidRDefault="00F131BF" w:rsidP="00E37025">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Given the metabolic nature of RCC and the emergence of </w:t>
      </w:r>
      <w:r w:rsidR="009C48D0" w:rsidRPr="00D637BA">
        <w:rPr>
          <w:rFonts w:ascii="Calibri" w:hAnsi="Calibri" w:cs="Calibri"/>
          <w:color w:val="000000" w:themeColor="text1"/>
          <w:sz w:val="22"/>
          <w:szCs w:val="22"/>
        </w:rPr>
        <w:t>metabolic reprogramming</w:t>
      </w:r>
      <w:r w:rsidRPr="00D637BA">
        <w:rPr>
          <w:rFonts w:ascii="Calibri" w:hAnsi="Calibri" w:cs="Calibri"/>
          <w:color w:val="000000" w:themeColor="text1"/>
          <w:sz w:val="22"/>
          <w:szCs w:val="22"/>
        </w:rPr>
        <w:t xml:space="preserve"> as a contemporary hallmark of cancer</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{"citationID":"a2l5rsbbimq","properties":{"formattedCitation":"\\super 33\\nosupersub{}","plainCitation":"33","noteIndex":0},"citationItems":[{"id":1225,"uris":["http://zotero.org/users/4775618/items/R2TMFVJB"],"uri":["http://zotero.org/users/4775618/items/R2TMFVJB"],"itemData":{"id":1225,"type":"article-journal","title":"Metabolic reprogramming: a cancer hallmark even warburg did not anticipate","container-title":"Cancer Cell","page":"297-308","volume":"21","issue":"3","source":"PubMed","abstract":"Cancer metabolism has long been equated with aerobic glycolysis, seen by early biochemists as primitive and inefficient. Despite these early beliefs, the metabolic signatures of cancer cells are not passive responses to damaged mitochondria but result from oncogene-directed metabolic reprogramming required to support anabolic growth. Recent evidence suggests that metabolites themselves can be oncogenic by altering cell signaling and blocking cellular differentiation. No longer can cancer-associated alterations in metabolism be viewed as an indirect response to cell proliferation and survival signals. We contend that altered metabolism has attained the status of a core hallmark of cancer.","DOI":"10.1016/j.ccr.2012.02.014","ISSN":"1878-3686","note":"PMID: 22439925\nPMCID: PMC3311998","title-short":"Metabolic reprogramming","journalAbbreviation":"Cancer Cell","language":"eng","author":[{"family":"Ward","given":"Patrick S."},{"family":"Thompson","given":"Craig B."}],"issued":{"date-parts":[["2012",3,20]]}}}],"schema":"https://github.com/citation-style-language/schema/raw/master/csl-citation.json"}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33</w:t>
      </w:r>
      <w:r w:rsidR="004E2CCC">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the field of</w:t>
      </w:r>
      <w:r w:rsidR="0034052F">
        <w:rPr>
          <w:rFonts w:ascii="Calibri" w:hAnsi="Calibri" w:cs="Calibri"/>
          <w:color w:val="000000" w:themeColor="text1"/>
          <w:sz w:val="22"/>
          <w:szCs w:val="22"/>
        </w:rPr>
        <w:t xml:space="preserve"> cancer</w:t>
      </w:r>
      <w:r w:rsidRPr="00D637BA">
        <w:rPr>
          <w:rFonts w:ascii="Calibri" w:hAnsi="Calibri" w:cs="Calibri"/>
          <w:color w:val="000000" w:themeColor="text1"/>
          <w:sz w:val="22"/>
          <w:szCs w:val="22"/>
        </w:rPr>
        <w:t xml:space="preserve"> metabolomics has rapidly developed over the last decade. In general, metabolomics encompasses the ability to globally detect the metabolites present in a system (cell, tissue or organism) under a given set of conditions</w:t>
      </w:r>
      <w:r w:rsidR="004E2CCC">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{"citationID":"av7d06td2e","properties":{"formattedCitation":"\\super 34\\nosupersub{}","plainCitation":"34","noteIndex":0},"citationItems":[{"id":1230,"uris":["http://zotero.org/users/4775618/items/NQKW297V"],"uri":["http://zotero.org/users/4775618/items/NQKW297V"],"itemData":{"id":1230,"type":"article-journal","title":"Metabolomics by numbers: acquiring and understanding global metabolite data","container-title":"Trends in Biotechnology","page":"245-252","volume":"22","issue":"5","source":"ScienceDirect","abstract":"In this postgenomic era, there is a specific need to assign function to orphan genes in order to validate potential targets for drug therapy and to discover new biomarkers of disease. Metabolomics is an emerging field that is complementary to the other ‘omics and proving to have unique advantages. As in transcriptomics or proteomics, a typical metabolic fingerprint or metabolomic experiment is likely to generate thousands of data points, of which only a handful might be needed to describe the problem adequately. Extracting the most meaningful elements of these data is thus key to generating useful new knowledge with mechanistic or explanatory power.","URL":"http://www.sciencedirect.com/science/article/pii/S0167779904000812","DOI":"10.1016/j.tibtech.2004.03.007","ISSN":"0167-7799","title-short":"Metabolomics by numbers","journalAbbreviation":"Trends in Biotechnology","author":[{"family":"Goodacre","given":"Royston"},{"family":"Vaidyanathan","given":"Seetharaman"},{"family":"Dunn","given":"Warwick B."},{"family":"Harrigan","given":"George G."},{"family":"Kell","given":"Douglas B."}],"issued":{"date-parts":[["2004",5,1]]},"accessed":{"date-parts":[["2019",2,19]]}}}],"schema":"https://github.com/citation-style-language/schema/raw/master/csl-citation.json"} </w:instrText>
      </w:r>
      <w:r w:rsidR="004E2CCC">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34</w:t>
      </w:r>
      <w:r w:rsidR="004E2CCC">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483341">
        <w:rPr>
          <w:rFonts w:ascii="Calibri" w:hAnsi="Calibri" w:cs="Calibri"/>
          <w:color w:val="000000" w:themeColor="text1"/>
          <w:sz w:val="22"/>
          <w:szCs w:val="22"/>
        </w:rPr>
        <w:t xml:space="preserve">Crucially, </w:t>
      </w:r>
      <w:r w:rsidRPr="00D637BA">
        <w:rPr>
          <w:rFonts w:ascii="Calibri" w:hAnsi="Calibri" w:cs="Calibri"/>
          <w:color w:val="000000" w:themeColor="text1"/>
          <w:sz w:val="22"/>
          <w:szCs w:val="22"/>
        </w:rPr>
        <w:t>metabolomics</w:t>
      </w:r>
      <w:r w:rsidR="00483341" w:rsidRPr="00483341">
        <w:rPr>
          <w:rFonts w:ascii="Calibri" w:hAnsi="Calibri" w:cs="Calibri"/>
          <w:color w:val="000000" w:themeColor="text1"/>
          <w:sz w:val="22"/>
          <w:szCs w:val="22"/>
        </w:rPr>
        <w:t xml:space="preserve"> </w:t>
      </w:r>
      <w:r w:rsidR="00483341">
        <w:rPr>
          <w:rFonts w:ascii="Calibri" w:hAnsi="Calibri" w:cs="Calibri"/>
          <w:color w:val="000000" w:themeColor="text1"/>
          <w:sz w:val="22"/>
          <w:szCs w:val="22"/>
        </w:rPr>
        <w:t>can</w:t>
      </w:r>
      <w:r w:rsidR="00483341" w:rsidRPr="00D637BA">
        <w:rPr>
          <w:rFonts w:ascii="Calibri" w:hAnsi="Calibri" w:cs="Calibri"/>
          <w:color w:val="000000" w:themeColor="text1"/>
          <w:sz w:val="22"/>
          <w:szCs w:val="22"/>
        </w:rPr>
        <w:t xml:space="preserve"> </w:t>
      </w:r>
      <w:r w:rsidR="00483341">
        <w:rPr>
          <w:rFonts w:ascii="Calibri" w:hAnsi="Calibri" w:cs="Calibri"/>
          <w:color w:val="000000" w:themeColor="text1"/>
          <w:sz w:val="22"/>
          <w:szCs w:val="22"/>
        </w:rPr>
        <w:t>also</w:t>
      </w:r>
      <w:r w:rsidR="0069553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capture the </w:t>
      </w:r>
      <w:r w:rsidR="00FD2639" w:rsidRPr="00D637BA">
        <w:rPr>
          <w:rFonts w:ascii="Calibri" w:hAnsi="Calibri" w:cs="Calibri"/>
          <w:color w:val="000000" w:themeColor="text1"/>
          <w:sz w:val="22"/>
          <w:szCs w:val="22"/>
        </w:rPr>
        <w:t xml:space="preserve">underlying </w:t>
      </w:r>
      <w:r w:rsidRPr="00D637BA">
        <w:rPr>
          <w:rFonts w:ascii="Calibri" w:hAnsi="Calibri" w:cs="Calibri"/>
          <w:color w:val="000000" w:themeColor="text1"/>
          <w:sz w:val="22"/>
          <w:szCs w:val="22"/>
        </w:rPr>
        <w:t>environmental influences and external perturbations</w:t>
      </w:r>
      <w:r w:rsidR="00FD2639" w:rsidRPr="00D637BA">
        <w:rPr>
          <w:rFonts w:ascii="Calibri" w:hAnsi="Calibri" w:cs="Calibri"/>
          <w:color w:val="000000" w:themeColor="text1"/>
          <w:sz w:val="22"/>
          <w:szCs w:val="22"/>
        </w:rPr>
        <w:t xml:space="preserve"> of a system</w:t>
      </w:r>
      <w:r w:rsidR="0019748D">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{"citationID":"a11blkuqh5v","properties":{"formattedCitation":"\\super 34,35\\nosupersub{}","plainCitation":"34,35","noteIndex":0},"citationItems":[{"id":1230,"uris":["http://zotero.org/users/4775618/items/NQKW297V"],"uri":["http://zotero.org/users/4775618/items/NQKW297V"],"itemData":{"id":1230,"type":"article-journal","title":"Metabolomics by numbers: acquiring and understanding global metabolite data","container-title":"Trends in Biotechnology","page":"245-252","volume":"22","issue":"5","source":"ScienceDirect","abstract":"In this postgenomic era, there is a specific need to assign function to orphan genes in order to validate potential targets for drug therapy and to discover new biomarkers of disease. Metabolomics is an emerging field that is complementary to the other ‘omics and proving to have unique advantages. As in transcriptomics or proteomics, a typical metabolic fingerprint or metabolomic experiment is likely to generate thousands of data points, of which only a handful might be needed to describe the problem adequately. Extracting the most meaningful elements of these data is thus key to generating useful new knowledge with mechanistic or explanatory power.","URL":"http://www.sciencedirect.com/science/article/pii/S0167779904000812","DOI":"10.1016/j.tibtech.2004.03.007","ISSN":"0167-7799","title-short":"Metabolomics by numbers","journalAbbreviation":"Trends in Biotechnology","author":[{"family":"Goodacre","given":"Royston"},{"family":"Vaidyanathan","given":"Seetharaman"},{"family":"Dunn","given":"Warwick B."},{"family":"Harrigan","given":"George G."},{"family":"Kell","given":"Douglas B."}],"issued":{"date-parts":[["2004",5,1]]},"accessed":{"date-parts":[["2019",2,19]]}}},{"id":1206,"uris":["http://zotero.org/users/4775618/items/GK43258M"],"uri":["http://zotero.org/users/4775618/items/GK43258M"],"itemData":{"id":1206,"type":"article-journal","title":"‘Omic’ technologies: genomics, transcriptomics, proteomics and metabolomics: The Obstetrician &amp; Gynaecologist","container-title":"The Obstetrician &amp; Gynaecologist","page":"189-195","volume":"13","issue":"3","source":"Crossref","URL":"http://doi.wiley.com/10.1576/toag.13.3.189.27672","DOI":"10.1576/toag.13.3.189.27672","ISSN":"14672561","title-short":"‘Omic’ technologies","language":"en","author":[{"family":"Horgan","given":"Richard P"},{"family":"Kenny","given":"Louise C"}],"issued":{"date-parts":[["2011",7]]},"accessed":{"date-parts":[["2019",2,18]]}}}],"schema":"https://github.com/citation-style-language/schema/raw/master/csl-citation.json"} </w:instrText>
      </w:r>
      <w:r w:rsidR="0019748D">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34,35</w:t>
      </w:r>
      <w:r w:rsidR="0019748D">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00FA0538" w:rsidRPr="00D637BA">
        <w:rPr>
          <w:rFonts w:ascii="Calibri" w:hAnsi="Calibri" w:cs="Calibri"/>
          <w:color w:val="000000" w:themeColor="text1"/>
          <w:sz w:val="22"/>
          <w:szCs w:val="22"/>
        </w:rPr>
        <w:t xml:space="preserve"> As</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the tumour microenvironment has a profound effect on metabolism</w:t>
      </w:r>
      <w:r w:rsidR="0019748D">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{"citationID":"a2gnegutcfd","properties":{"formattedCitation":"\\super 36,37\\nosupersub{}","plainCitation":"36,37","noteIndex":0},"citationItems":[{"id":1239,"uris":["http://zotero.org/users/4775618/items/PA8L7Y8K"],"uri":["http://zotero.org/users/4775618/items/PA8L7Y8K"],"itemData":{"id":1239,"type":"article-journal","title":"Influence of the Tumor Microenvironment on Cancer Cells Metabolic Reprogramming","container-title":"Frontiers in Oncology","volume":"8","source":"PubMed Central","abstract":"As with castles, tumor cells are fortified by surrounding non-malignant cells, such as cancer-associated fibroblasts, immune cells, but also nerve fibers and extracellular matrix. In most cancers, this fortification creates a considerable solid pressure which limits oxygen and nutrient delivery to the tumor cells and causes a hypoxic and nutritional stress. Consequently, tumor cells have to adapt their metabolism to survive and proliferate in this harsh microenvironment. To satisfy their need in energy and biomass, tumor cells develop new capacities to benefit from metabolites of the microenvironment, either by their uptake through the macropinocytosis process or through metabolite transporters, or by a cross-talk with stromal cells and capture of extracellular vesicles that are released by the neighboring cells. However, the microenvironments of primary tumor and metastatic niches differ tremendously in their cellular/acellular components and available nutrients. Therefore, cancer cells must develop a metabolic flexibility conferring on them the ability to satisfy their biomass and energetic demands at both primary and metastasis sites. In this review, we propose a brief overview of how proliferating cancer cells take advantage of their surrounding microenvironment to satisfy their high metabolic demand at both primary and metastasis sites.","URL":"https://www.ncbi.nlm.nih.gov/pmc/articles/PMC5917075/","DOI":"10.3389/fonc.2018.00117","ISSN":"2234-943X","note":"PMID: 29725585\nPMCID: PMC5917075","journalAbbreviation":"Front Oncol","author":[{"family":"Gouirand","given":"Victoire"},{"family":"Guillaumond","given":"Fabienne"},{"family":"Vasseur","given":"Sophie"}],"issued":{"date-parts":[["2018",4,19]]},"accessed":{"date-parts":[["2019",2,19]]}}},{"id":1236,"uris":["http://zotero.org/users/4775618/items/TCUBULAI"],"uri":["http://zotero.org/users/4775618/items/TCUBULAI"],"itemData":{"id":1236,"type":"article-journal","title":"Tumor Microenvironment and Metabolism","container-title":"International Journal of Molecular Sciences","volume":"18","issue":"12","source":"PubMed Central","URL":"https://www.ncbi.nlm.nih.gov/pmc/articles/PMC5751330/","DOI":"10.3390/ijms18122729","ISSN":"1422-0067","note":"PMID: 29258182\nPMCID: PMC5751330","journalAbbreviation":"Int J Mol Sci","author":[{"family":"Yang","given":"Li V."}],"issued":{"date-parts":[["2017",12,16]]},"accessed":{"date-parts":[["2019",2,19]]}}}],"schema":"https://github.com/citation-style-language/schema/raw/master/csl-citation.json"} </w:instrText>
      </w:r>
      <w:r w:rsidR="0019748D">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36,37</w:t>
      </w:r>
      <w:r w:rsidR="0019748D">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integrating  metabolomics with other ‘omics’ studies enables a holistic approach to understanding cancer pathophysiology.</w:t>
      </w:r>
    </w:p>
    <w:p w14:paraId="0F9CDF02" w14:textId="5C61520E" w:rsidR="008934C6" w:rsidRPr="00D637BA" w:rsidRDefault="006E05C6" w:rsidP="00F131BF">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ab/>
      </w:r>
      <w:r w:rsidR="00F131BF" w:rsidRPr="00D637BA">
        <w:rPr>
          <w:rFonts w:ascii="Calibri" w:hAnsi="Calibri" w:cs="Calibri"/>
          <w:color w:val="000000" w:themeColor="text1"/>
          <w:sz w:val="22"/>
          <w:szCs w:val="22"/>
        </w:rPr>
        <w:t>A handful of metabolomic studies in RCC have been performed to date</w:t>
      </w:r>
      <w:r w:rsidR="006F1BF4" w:rsidRPr="00D637BA">
        <w:rPr>
          <w:rFonts w:ascii="Calibri" w:hAnsi="Calibri" w:cs="Calibri"/>
          <w:color w:val="000000" w:themeColor="text1"/>
          <w:sz w:val="22"/>
          <w:szCs w:val="22"/>
        </w:rPr>
        <w:t>. The</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largest </w:t>
      </w:r>
      <w:r w:rsidR="006F1BF4" w:rsidRPr="00D637BA">
        <w:rPr>
          <w:rFonts w:ascii="Calibri" w:hAnsi="Calibri" w:cs="Calibri"/>
          <w:color w:val="000000" w:themeColor="text1"/>
          <w:sz w:val="22"/>
          <w:szCs w:val="22"/>
        </w:rPr>
        <w:t>of these</w:t>
      </w:r>
      <w:r w:rsidR="00F131BF" w:rsidRPr="00D637BA">
        <w:rPr>
          <w:rFonts w:ascii="Calibri" w:hAnsi="Calibri" w:cs="Calibri"/>
          <w:color w:val="000000" w:themeColor="text1"/>
          <w:sz w:val="22"/>
          <w:szCs w:val="22"/>
        </w:rPr>
        <w:t xml:space="preserve"> </w:t>
      </w:r>
      <w:r w:rsidR="006F1BF4" w:rsidRPr="00D637BA">
        <w:rPr>
          <w:rFonts w:ascii="Calibri" w:hAnsi="Calibri" w:cs="Calibri"/>
          <w:color w:val="000000" w:themeColor="text1"/>
          <w:sz w:val="22"/>
          <w:szCs w:val="22"/>
        </w:rPr>
        <w:t xml:space="preserve">studies </w:t>
      </w:r>
      <w:r w:rsidR="00F131BF" w:rsidRPr="00D637BA">
        <w:rPr>
          <w:rFonts w:ascii="Calibri" w:hAnsi="Calibri" w:cs="Calibri"/>
          <w:color w:val="000000" w:themeColor="text1"/>
          <w:sz w:val="22"/>
          <w:szCs w:val="22"/>
        </w:rPr>
        <w:t>profil</w:t>
      </w:r>
      <w:r w:rsidR="006F1BF4" w:rsidRPr="00D637BA">
        <w:rPr>
          <w:rFonts w:ascii="Calibri" w:hAnsi="Calibri" w:cs="Calibri"/>
          <w:color w:val="000000" w:themeColor="text1"/>
          <w:sz w:val="22"/>
          <w:szCs w:val="22"/>
        </w:rPr>
        <w:t>ed</w:t>
      </w:r>
      <w:r w:rsidR="00F131BF" w:rsidRPr="00D637BA">
        <w:rPr>
          <w:rFonts w:ascii="Calibri" w:hAnsi="Calibri" w:cs="Calibri"/>
          <w:color w:val="000000" w:themeColor="text1"/>
          <w:sz w:val="22"/>
          <w:szCs w:val="22"/>
        </w:rPr>
        <w:t xml:space="preserve"> a single cohort of 138 patients with ccRCC</w:t>
      </w:r>
      <w:r w:rsidR="0019748D">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{"citationID":"a1r743frq5","properties":{"formattedCitation":"\\super 38,39\\nosupersub{}","plainCitation":"38,39","noteIndex":0},"citationItems":[{"id":112,"uris":["http://zotero.org/users/4775618/items/ZQQT7K22"],"uri":["http://zotero.org/users/4775618/items/ZQQT7K22"],"itemData":{"id":112,"type":"article-journal","title":"An Integrated Metabolic Atlas of Clear Cell Renal Cell Carcinoma","container-title":"Cancer Cell","page":"104-116","volume":"29","issue":"1","source":"www.cell.com","URL":"http://www.cell.com/cancer-cell/abstract/S1535-6108(15)00468-7","DOI":"10.1016/j.ccell.2015.12.004","ISSN":"1535-6108, 1878-3686","journalAbbreviation":"Cancer Cell","language":"English","author":[{"family":"Hakimi","given":"A. Ari"},{"family":"Reznik","given":"Ed"},{"family":"Lee","given":"Chung-Han"},{"family":"Creighton","given":"Chad J."},{"family":"Brannon","given":"A. Rose"},{"family":"Luna","given":"Augustin"},{"family":"Aksoy","given":"B. Arman"},{"family":"Liu","given":"Eric Minwei"},{"family":"Shen","given":"Ronglai"},{"family":"Lee","given":"William"},{"family":"Chen","given":"Yang"},{"family":"Stirdivant","given":"Steve M."},{"family":"Russo","given":"Paul"},{"family":"Chen","given":"Ying-Bei"},{"family":"Tickoo","given":"Satish K."},{"family":"Reuter","given":"Victor E."},{"family":"Cheng","given":"Emily H."},{"family":"Sander","given":"Chris"},{"family":"Hsieh","given":"James J."}],"issued":{"date-parts":[["2016",1,11]]},"accessed":{"date-parts":[["2017",4,28]]}}},{"id":1245,"uris":["http://zotero.org/users/4775618/items/EWYTJKV5"],"uri":["http://zotero.org/users/4775618/items/EWYTJKV5"],"itemData":{"id":1245,"type":"article-journal","title":"Grade-Dependent Metabolic Reprogramming in Kidney Cancer Revealed by Combined Proteomics and Metabolomics Analysis","container-title":"Cancer Research","page":"2541-2552","volume":"75","issue":"12","source":"PubMed","abstract":"Kidney cancer [or renal cell carcinoma (RCC)] is known as \"the internist's tumor\" because it has protean systemic manifestations, suggesting that it utilizes complex, nonphysiologic metabolic pathways. Given the increasing incidence of this cancer and its lack of effective therapeutic targets, we undertook an extensive analysis of human RCC tissue employing combined grade-dependent proteomics and metabolomics analysis to determine how metabolic reprogramming occurring in this disease allows it to escape available therapeutic approaches. After validation experiments in RCC cell lines that were wild-type or mutant for the Von Hippel-Lindau tumor suppressor, in characterizing higher-grade tumors, we found that the Warburg effect is relatively more prominent at the expense of the tricarboxylic acid cycle and oxidative metabolism in general. Further, we found that the glutamine metabolism pathway acts to inhibit reactive oxygen species, as evidenced by an upregulated glutathione pathway, whereas the β-oxidation pathway is inhibited, leading to increased fatty acylcarnitines. In support of findings from previous urine metabolomics analyses, we also documented tryptophan catabolism associated with immune suppression, which was highly represented in RCC compared with other metabolic pathways. Together, our results offer a rationale to evaluate novel antimetabolic treatment strategies being developed in other disease settings as therapeutic strategies in RCC.","DOI":"10.1158/0008-5472.CAN-14-1703","ISSN":"1538-7445","note":"PMID: 25952651\nPMCID: PMC4470795","journalAbbreviation":"Cancer Res.","language":"eng","author":[{"family":"Wettersten","given":"Hiromi I."},{"family":"Hakimi","given":"A. Ari"},{"family":"Morin","given":"Dexter"},{"family":"Bianchi","given":"Cristina"},{"family":"Johnstone","given":"Megan E."},{"family":"Donohoe","given":"Dallas R."},{"family":"Trott","given":"Josephine F."},{"family":"Aboud","given":"Omran Abu"},{"family":"Stirdivant","given":"Steven"},{"family":"Neri","given":"Bruce"},{"family":"Wolfert","given":"Robert"},{"family":"Stewart","given":"Benjamin"},{"family":"Perego","given":"Roberto"},{"family":"Hsieh","given":"James J."},{"family":"Weiss","given":"Robert H."}],"issued":{"date-parts":[["2015",6,15]]}}}],"schema":"https://github.com/citation-style-language/schema/raw/master/csl-citation.json"} </w:instrText>
      </w:r>
      <w:r w:rsidR="0019748D">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38,39</w:t>
      </w:r>
      <w:r w:rsidR="0019748D">
        <w:rPr>
          <w:rFonts w:ascii="Calibri" w:hAnsi="Calibri" w:cs="Calibri"/>
          <w:color w:val="000000" w:themeColor="text1"/>
          <w:sz w:val="22"/>
          <w:szCs w:val="22"/>
        </w:rPr>
        <w:fldChar w:fldCharType="end"/>
      </w:r>
      <w:r w:rsidR="006F1BF4" w:rsidRPr="00D637BA">
        <w:rPr>
          <w:rFonts w:ascii="Calibri" w:hAnsi="Calibri" w:cs="Calibri"/>
          <w:color w:val="000000" w:themeColor="text1"/>
          <w:sz w:val="22"/>
          <w:szCs w:val="22"/>
        </w:rPr>
        <w:t xml:space="preserve"> and</w:t>
      </w:r>
      <w:r w:rsidR="00F131BF" w:rsidRPr="00D637BA">
        <w:rPr>
          <w:rFonts w:ascii="Calibri" w:hAnsi="Calibri" w:cs="Calibri"/>
          <w:color w:val="000000" w:themeColor="text1"/>
          <w:sz w:val="22"/>
          <w:szCs w:val="22"/>
        </w:rPr>
        <w:t xml:space="preserve"> broadly corroborated several findings from the TCGA study</w:t>
      </w:r>
      <w:r w:rsidR="0019748D">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{"citationID":"a2la3cp2muv","properties":{"formattedCitation":"\\super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19748D">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10</w:t>
      </w:r>
      <w:r w:rsidR="0019748D">
        <w:rPr>
          <w:rFonts w:ascii="Calibri" w:hAnsi="Calibri" w:cs="Calibri"/>
          <w:color w:val="000000" w:themeColor="text1"/>
          <w:sz w:val="22"/>
          <w:szCs w:val="22"/>
        </w:rPr>
        <w:fldChar w:fldCharType="end"/>
      </w:r>
      <w:r w:rsidR="00E37025">
        <w:rPr>
          <w:rFonts w:ascii="Calibri" w:hAnsi="Calibri" w:cs="Calibri"/>
          <w:color w:val="000000" w:themeColor="text1"/>
          <w:sz w:val="22"/>
          <w:szCs w:val="22"/>
        </w:rPr>
        <w:t xml:space="preserve">. </w:t>
      </w:r>
      <w:r w:rsidR="006F1BF4" w:rsidRPr="00D637BA">
        <w:rPr>
          <w:rFonts w:ascii="Calibri" w:hAnsi="Calibri" w:cs="Calibri"/>
          <w:color w:val="000000" w:themeColor="text1"/>
          <w:sz w:val="22"/>
          <w:szCs w:val="22"/>
        </w:rPr>
        <w:t>They identified</w:t>
      </w:r>
      <w:r w:rsidR="00F131BF" w:rsidRPr="00D637BA">
        <w:rPr>
          <w:rFonts w:ascii="Calibri" w:hAnsi="Calibri" w:cs="Calibri"/>
          <w:color w:val="000000" w:themeColor="text1"/>
          <w:sz w:val="22"/>
          <w:szCs w:val="22"/>
        </w:rPr>
        <w:t xml:space="preserve"> a network of metabolic shifts involving upregulation of glycolysis, </w:t>
      </w:r>
      <w:r w:rsidR="006F1BF4" w:rsidRPr="00D637BA">
        <w:rPr>
          <w:rFonts w:ascii="Calibri" w:hAnsi="Calibri" w:cs="Calibri"/>
          <w:color w:val="000000" w:themeColor="text1"/>
          <w:sz w:val="22"/>
          <w:szCs w:val="22"/>
        </w:rPr>
        <w:t xml:space="preserve">the </w:t>
      </w:r>
      <w:r w:rsidR="00F131BF" w:rsidRPr="00D637BA">
        <w:rPr>
          <w:rFonts w:ascii="Calibri" w:hAnsi="Calibri" w:cs="Calibri"/>
          <w:color w:val="000000" w:themeColor="text1"/>
          <w:sz w:val="22"/>
          <w:szCs w:val="22"/>
        </w:rPr>
        <w:t>pentose phosphate pathway</w:t>
      </w:r>
      <w:r w:rsidR="00E059AF"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and glutamine uptake </w:t>
      </w:r>
      <w:r w:rsidR="008934C6" w:rsidRPr="00D637BA">
        <w:rPr>
          <w:rFonts w:ascii="Calibri" w:hAnsi="Calibri" w:cs="Calibri"/>
          <w:color w:val="000000" w:themeColor="text1"/>
          <w:sz w:val="22"/>
          <w:szCs w:val="22"/>
        </w:rPr>
        <w:t xml:space="preserve">that </w:t>
      </w:r>
      <w:r w:rsidR="00F131BF" w:rsidRPr="00D637BA">
        <w:rPr>
          <w:rFonts w:ascii="Calibri" w:hAnsi="Calibri" w:cs="Calibri"/>
          <w:color w:val="000000" w:themeColor="text1"/>
          <w:sz w:val="22"/>
          <w:szCs w:val="22"/>
        </w:rPr>
        <w:t>correlat</w:t>
      </w:r>
      <w:r w:rsidR="008934C6" w:rsidRPr="00D637BA">
        <w:rPr>
          <w:rFonts w:ascii="Calibri" w:hAnsi="Calibri" w:cs="Calibri"/>
          <w:color w:val="000000" w:themeColor="text1"/>
          <w:sz w:val="22"/>
          <w:szCs w:val="22"/>
        </w:rPr>
        <w:t>ed</w:t>
      </w:r>
      <w:r w:rsidR="00F131BF" w:rsidRPr="00D637BA">
        <w:rPr>
          <w:rFonts w:ascii="Calibri" w:hAnsi="Calibri" w:cs="Calibri"/>
          <w:color w:val="000000" w:themeColor="text1"/>
          <w:sz w:val="22"/>
          <w:szCs w:val="22"/>
        </w:rPr>
        <w:t xml:space="preserve"> with disease aggressiveness</w:t>
      </w:r>
      <w:r w:rsidR="00CB7F4A">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{"citationID":"a1tb2t8ojju","properties":{"formattedCitation":"\\super 38,39\\nosupersub{}","plainCitation":"38,39","noteIndex":0},"citationItems":[{"id":112,"uris":["http://zotero.org/users/4775618/items/ZQQT7K22"],"uri":["http://zotero.org/users/4775618/items/ZQQT7K22"],"itemData":{"id":112,"type":"article-journal","title":"An Integrated Metabolic Atlas of Clear Cell Renal Cell Carcinoma","container-title":"Cancer Cell","page":"104-116","volume":"29","issue":"1","source":"www.cell.com","URL":"http://www.cell.com/cancer-cell/abstract/S1535-6108(15)00468-7","DOI":"10.1016/j.ccell.2015.12.004","ISSN":"1535-6108, 1878-3686","journalAbbreviation":"Cancer Cell","language":"English","author":[{"family":"Hakimi","given":"A. Ari"},{"family":"Reznik","given":"Ed"},{"family":"Lee","given":"Chung-Han"},{"family":"Creighton","given":"Chad J."},{"family":"Brannon","given":"A. Rose"},{"family":"Luna","given":"Augustin"},{"family":"Aksoy","given":"B. Arman"},{"family":"Liu","given":"Eric Minwei"},{"family":"Shen","given":"Ronglai"},{"family":"Lee","given":"William"},{"family":"Chen","given":"Yang"},{"family":"Stirdivant","given":"Steve M."},{"family":"Russo","given":"Paul"},{"family":"Chen","given":"Ying-Bei"},{"family":"Tickoo","given":"Satish K."},{"family":"Reuter","given":"Victor E."},{"family":"Cheng","given":"Emily H."},{"family":"Sander","given":"Chris"},{"family":"Hsieh","given":"James J."}],"issued":{"date-parts":[["2016",1,11]]},"accessed":{"date-parts":[["2017",4,28]]}}},{"id":1245,"uris":["http://zotero.org/users/4775618/items/EWYTJKV5"],"uri":["http://zotero.org/users/4775618/items/EWYTJKV5"],"itemData":{"id":1245,"type":"article-journal","title":"Grade-Dependent Metabolic Reprogramming in Kidney Cancer Revealed by Combined Proteomics and Metabolomics Analysis","container-title":"Cancer Research","page":"2541-2552","volume":"75","issue":"12","source":"PubMed","abstract":"Kidney cancer [or renal cell carcinoma (RCC)] is known as \"the internist's tumor\" because it has protean systemic manifestations, suggesting that it utilizes complex, nonphysiologic metabolic pathways. Given the increasing incidence of this cancer and its lack of effective therapeutic targets, we undertook an extensive analysis of human RCC tissue employing combined grade-dependent proteomics and metabolomics analysis to determine how metabolic reprogramming occurring in this disease allows it to escape available therapeutic approaches. After validation experiments in RCC cell lines that were wild-type or mutant for the Von Hippel-Lindau tumor suppressor, in characterizing higher-grade tumors, we found that the Warburg effect is relatively more prominent at the expense of the tricarboxylic acid cycle and oxidative metabolism in general. Further, we found that the glutamine metabolism pathway acts to inhibit reactive oxygen species, as evidenced by an upregulated glutathione pathway, whereas the β-oxidation pathway is inhibited, leading to increased fatty acylcarnitines. In support of findings from previous urine metabolomics analyses, we also documented tryptophan catabolism associated with immune suppression, which was highly represented in RCC compared with other metabolic pathways. Together, our results offer a rationale to evaluate novel antimetabolic treatment strategies being developed in other disease settings as therapeutic strategies in RCC.","DOI":"10.1158/0008-5472.CAN-14-1703","ISSN":"1538-7445","note":"PMID: 25952651\nPMCID: PMC4470795","journalAbbreviation":"Cancer Res.","language":"eng","author":[{"family":"Wettersten","given":"Hiromi I."},{"family":"Hakimi","given":"A. Ari"},{"family":"Morin","given":"Dexter"},{"family":"Bianchi","given":"Cristina"},{"family":"Johnstone","given":"Megan E."},{"family":"Donohoe","given":"Dallas R."},{"family":"Trott","given":"Josephine F."},{"family":"Aboud","given":"Omran Abu"},{"family":"Stirdivant","given":"Steven"},{"family":"Neri","given":"Bruce"},{"family":"Wolfert","given":"Robert"},{"family":"Stewart","given":"Benjamin"},{"family":"Perego","given":"Roberto"},{"family":"Hsieh","given":"James J."},{"family":"Weiss","given":"Robert H."}],"issued":{"date-parts":[["2015",6,15]]}}}],"schema":"https://github.com/citation-style-language/schema/raw/master/csl-citation.json"} </w:instrText>
      </w:r>
      <w:r w:rsidR="00CB7F4A">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38,39</w:t>
      </w:r>
      <w:r w:rsidR="00CB7F4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8934C6" w:rsidRPr="00D637BA">
        <w:rPr>
          <w:rFonts w:ascii="Calibri" w:hAnsi="Calibri" w:cs="Calibri"/>
          <w:color w:val="000000" w:themeColor="text1"/>
          <w:sz w:val="22"/>
          <w:szCs w:val="22"/>
        </w:rPr>
        <w:t>However, i</w:t>
      </w:r>
      <w:r w:rsidR="00F131BF" w:rsidRPr="00D637BA">
        <w:rPr>
          <w:rFonts w:ascii="Calibri" w:hAnsi="Calibri" w:cs="Calibri"/>
          <w:color w:val="000000" w:themeColor="text1"/>
          <w:sz w:val="22"/>
          <w:szCs w:val="22"/>
        </w:rPr>
        <w:t xml:space="preserve">ntegration of this metabolomic data with the TCGA dataset highlighted a lack of </w:t>
      </w:r>
      <w:r w:rsidR="00214779">
        <w:rPr>
          <w:rFonts w:ascii="Calibri" w:hAnsi="Calibri" w:cs="Calibri"/>
          <w:color w:val="000000" w:themeColor="text1"/>
          <w:sz w:val="22"/>
          <w:szCs w:val="22"/>
        </w:rPr>
        <w:t xml:space="preserve">linear correlation </w:t>
      </w:r>
      <w:r w:rsidR="00F131BF" w:rsidRPr="00D637BA">
        <w:rPr>
          <w:rFonts w:ascii="Calibri" w:hAnsi="Calibri" w:cs="Calibri"/>
          <w:color w:val="000000" w:themeColor="text1"/>
          <w:sz w:val="22"/>
          <w:szCs w:val="22"/>
        </w:rPr>
        <w:t xml:space="preserve">between enzyme expression and the </w:t>
      </w:r>
      <w:r w:rsidR="008934C6" w:rsidRPr="00D637BA">
        <w:rPr>
          <w:rFonts w:ascii="Calibri" w:hAnsi="Calibri" w:cs="Calibri"/>
          <w:color w:val="000000" w:themeColor="text1"/>
          <w:sz w:val="22"/>
          <w:szCs w:val="22"/>
        </w:rPr>
        <w:t xml:space="preserve">levels of </w:t>
      </w:r>
      <w:r w:rsidR="00F131BF" w:rsidRPr="00D637BA">
        <w:rPr>
          <w:rFonts w:ascii="Calibri" w:hAnsi="Calibri" w:cs="Calibri"/>
          <w:color w:val="000000" w:themeColor="text1"/>
          <w:sz w:val="22"/>
          <w:szCs w:val="22"/>
        </w:rPr>
        <w:t>corresponding catalysed metabolite</w:t>
      </w:r>
      <w:r w:rsidR="008934C6" w:rsidRPr="00D637BA">
        <w:rPr>
          <w:rFonts w:ascii="Calibri" w:hAnsi="Calibri" w:cs="Calibri"/>
          <w:color w:val="000000" w:themeColor="text1"/>
          <w:sz w:val="22"/>
          <w:szCs w:val="22"/>
        </w:rPr>
        <w:t>s</w:t>
      </w:r>
      <w:r w:rsidR="00CB7F4A">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{"citationID":"a1svgreqfjo","properties":{"formattedCitation":"\\super 38\\nosupersub{}","plainCitation":"38","noteIndex":0},"citationItems":[{"id":112,"uris":["http://zotero.org/users/4775618/items/ZQQT7K22"],"uri":["http://zotero.org/users/4775618/items/ZQQT7K22"],"itemData":{"id":112,"type":"article-journal","title":"An Integrated Metabolic Atlas of Clear Cell Renal Cell Carcinoma","container-title":"Cancer Cell","page":"104-116","volume":"29","issue":"1","source":"www.cell.com","URL":"http://www.cell.com/cancer-cell/abstract/S1535-6108(15)00468-7","DOI":"10.1016/j.ccell.2015.12.004","ISSN":"1535-6108, 1878-3686","journalAbbreviation":"Cancer Cell","language":"English","author":[{"family":"Hakimi","given":"A. Ari"},{"family":"Reznik","given":"Ed"},{"family":"Lee","given":"Chung-Han"},{"family":"Creighton","given":"Chad J."},{"family":"Brannon","given":"A. Rose"},{"family":"Luna","given":"Augustin"},{"family":"Aksoy","given":"B. Arman"},{"family":"Liu","given":"Eric Minwei"},{"family":"Shen","given":"Ronglai"},{"family":"Lee","given":"William"},{"family":"Chen","given":"Yang"},{"family":"Stirdivant","given":"Steve M."},{"family":"Russo","given":"Paul"},{"family":"Chen","given":"Ying-Bei"},{"family":"Tickoo","given":"Satish K."},{"family":"Reuter","given":"Victor E."},{"family":"Cheng","given":"Emily H."},{"family":"Sander","given":"Chris"},{"family":"Hsieh","given":"James J."}],"issued":{"date-parts":[["2016",1,11]]},"accessed":{"date-parts":[["2017",4,28]]}}}],"schema":"https://github.com/citation-style-language/schema/raw/master/csl-citation.json"} </w:instrText>
      </w:r>
      <w:r w:rsidR="00CB7F4A">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38</w:t>
      </w:r>
      <w:r w:rsidR="00CB7F4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This lack of linearity has been theorised to</w:t>
      </w:r>
      <w:r w:rsidR="008934C6" w:rsidRPr="00D637BA">
        <w:rPr>
          <w:rFonts w:ascii="Calibri" w:hAnsi="Calibri" w:cs="Calibri"/>
          <w:color w:val="000000" w:themeColor="text1"/>
          <w:sz w:val="22"/>
          <w:szCs w:val="22"/>
        </w:rPr>
        <w:t xml:space="preserve"> result from the</w:t>
      </w:r>
      <w:r w:rsidR="00F131BF" w:rsidRPr="00D637BA">
        <w:rPr>
          <w:rFonts w:ascii="Calibri" w:hAnsi="Calibri" w:cs="Calibri"/>
          <w:color w:val="000000" w:themeColor="text1"/>
          <w:sz w:val="22"/>
          <w:szCs w:val="22"/>
        </w:rPr>
        <w:t xml:space="preserve"> shunting of metabolites into alternate cancer-reprogrammed pathways</w:t>
      </w:r>
      <w:r w:rsidR="00CB7F4A">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{"citationID":"ara2c7pbar","properties":{"formattedCitation":"\\super 38,40\\nosupersub{}","plainCitation":"38,40","noteIndex":0},"citationItems":[{"id":112,"uris":["http://zotero.org/users/4775618/items/ZQQT7K22"],"uri":["http://zotero.org/users/4775618/items/ZQQT7K22"],"itemData":{"id":112,"type":"article-journal","title":"An Integrated Metabolic Atlas of Clear Cell Renal Cell Carcinoma","container-title":"Cancer Cell","page":"104-116","volume":"29","issue":"1","source":"www.cell.com","URL":"http://www.cell.com/cancer-cell/abstract/S1535-6108(15)00468-7","DOI":"10.1016/j.ccell.2015.12.004","ISSN":"1535-6108, 1878-3686","journalAbbreviation":"Cancer Cell","language":"English","author":[{"family":"Hakimi","given":"A. Ari"},{"family":"Reznik","given":"Ed"},{"family":"Lee","given":"Chung-Han"},{"family":"Creighton","given":"Chad J."},{"family":"Brannon","given":"A. Rose"},{"family":"Luna","given":"Augustin"},{"family":"Aksoy","given":"B. Arman"},{"family":"Liu","given":"Eric Minwei"},{"family":"Shen","given":"Ronglai"},{"family":"Lee","given":"William"},{"family":"Chen","given":"Yang"},{"family":"Stirdivant","given":"Steve M."},{"family":"Russo","given":"Paul"},{"family":"Chen","given":"Ying-Bei"},{"family":"Tickoo","given":"Satish K."},{"family":"Reuter","given":"Victor E."},{"family":"Cheng","given":"Emily H."},{"family":"Sander","given":"Chris"},{"family":"Hsieh","given":"James J."}],"issued":{"date-parts":[["2016",1,11]]},"accessed":{"date-parts":[["2017",4,28]]}}},{"id":113,"uris":["http://zotero.org/users/4775618/items/76VTB6AB"],"uri":["http://zotero.org/users/4775618/items/76VTB6AB"],"itemData":{"id":113,"type":"article-journal","title":"Novel drugs that target the metabolic reprogramming in renal cell cancer","container-title":"Cancer &amp; Metabolism","page":"14","volume":"4","source":"BioMed Central","abstract":"Molecular profiling studies of tumor tissue from patients with clear cell renal cell cancer (ccRCC) have revealed extensive metabolic reprogramming in this disease. Associations were found between metabolic reprogramming, histopathologic Fuhrman grade, and overall survival of patients. Large-scale genomics, proteomics, and metabolomic analyses have been performed to identify the molecular players in this process. Genes involved in glycolysis, the pentose phosphate pathway, glutamine metabolism, and lipogenesis were found to be upregulated in renal cell cancer (RCC) specimens as compared to normal tissue. Preclinical research indicates that mutations in VHL, FBP1, and the PI3K-AKT-mTOR pathway drives aerobic glycolysis through transcriptional activation of the hypoxia-inducible factors (HIF). Mechanistic studies revealed glutamine as an important source for de novo fatty acid synthesis through reductive carboxylation. Amplification of MYC drives reductive carboxylation. In this review, we present a detailed overview of the metabolic changes in RCC in conjunction with potential novel therapeutics. We discuss preclinical studies that have investigated targeted agents that interfere with various aspects of tumor cell metabolism and emphasize their impact specifically on glycolysis, lipogenesis, and tumor growth. Furthermore, we describe a number of phase 1 and 2 clinical trials that have been conducted with these agents.","URL":"http://dx.doi.org/10.1186/s40170-016-0154-8","DOI":"10.1186/s40170-016-0154-8","ISSN":"2049-3002","journalAbbreviation":"Cancer &amp; Metabolism","author":[{"family":"Mijn","given":"Johannes C.","non-dropping-particle":"van der"},{"family":"Panka","given":"David J."},{"family":"Geissler","given":"Andrew K."},{"family":"Verheul","given":"Henk. M."},{"family":"Mier","given":"James W."}],"issued":{"date-parts":[["2016"]]},"accessed":{"date-parts":[["2017",4,28]]}}}],"schema":"https://github.com/citation-style-language/schema/raw/master/csl-citation.json"} </w:instrText>
      </w:r>
      <w:r w:rsidR="00CB7F4A">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38,40</w:t>
      </w:r>
      <w:r w:rsidR="00CB7F4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F867AF">
        <w:rPr>
          <w:rFonts w:ascii="Calibri" w:hAnsi="Calibri" w:cs="Calibri"/>
          <w:color w:val="000000" w:themeColor="text1"/>
          <w:sz w:val="22"/>
          <w:szCs w:val="22"/>
        </w:rPr>
        <w:t>Overall, t</w:t>
      </w:r>
      <w:r w:rsidR="00423F93" w:rsidRPr="00D637BA">
        <w:rPr>
          <w:rFonts w:ascii="Calibri" w:hAnsi="Calibri" w:cs="Calibri"/>
          <w:color w:val="000000" w:themeColor="text1"/>
          <w:sz w:val="22"/>
          <w:szCs w:val="22"/>
        </w:rPr>
        <w:t>he</w:t>
      </w:r>
      <w:r w:rsidR="00F867AF">
        <w:rPr>
          <w:rFonts w:ascii="Calibri" w:hAnsi="Calibri" w:cs="Calibri"/>
          <w:color w:val="000000" w:themeColor="text1"/>
          <w:sz w:val="22"/>
          <w:szCs w:val="22"/>
        </w:rPr>
        <w:t xml:space="preserve">se studies </w:t>
      </w:r>
      <w:r w:rsidR="00423F93" w:rsidRPr="00D637BA">
        <w:rPr>
          <w:rFonts w:ascii="Calibri" w:hAnsi="Calibri" w:cs="Calibri"/>
          <w:color w:val="000000" w:themeColor="text1"/>
          <w:sz w:val="22"/>
          <w:szCs w:val="22"/>
        </w:rPr>
        <w:t xml:space="preserve">suggest that </w:t>
      </w:r>
      <w:r w:rsidR="00F131BF" w:rsidRPr="00D637BA">
        <w:rPr>
          <w:rFonts w:ascii="Calibri" w:hAnsi="Calibri" w:cs="Calibri"/>
          <w:color w:val="000000" w:themeColor="text1"/>
          <w:sz w:val="22"/>
          <w:szCs w:val="22"/>
        </w:rPr>
        <w:t xml:space="preserve">physiological metabolism can be efficiently manipulated by RCC to provide the conditions needed for cancer cells to survive and proliferate. </w:t>
      </w:r>
    </w:p>
    <w:p w14:paraId="69869DCC" w14:textId="7599A8C4" w:rsidR="00F131BF" w:rsidRPr="00D637BA" w:rsidRDefault="008934C6" w:rsidP="00B946E4">
      <w:pPr>
        <w:spacing w:line="360" w:lineRule="auto"/>
        <w:ind w:firstLine="454"/>
        <w:jc w:val="both"/>
        <w:rPr>
          <w:rFonts w:ascii="Calibri" w:hAnsi="Calibri" w:cs="Calibri"/>
          <w:color w:val="000000" w:themeColor="text1"/>
          <w:sz w:val="22"/>
          <w:szCs w:val="22"/>
          <w:lang w:eastAsia="en-GB"/>
        </w:rPr>
      </w:pPr>
      <w:r w:rsidRPr="00D637BA">
        <w:rPr>
          <w:rFonts w:ascii="Calibri" w:hAnsi="Calibri" w:cs="Calibri"/>
          <w:color w:val="000000" w:themeColor="text1"/>
          <w:sz w:val="22"/>
          <w:szCs w:val="22"/>
        </w:rPr>
        <w:t>Th</w:t>
      </w:r>
      <w:r w:rsidR="00F131BF" w:rsidRPr="00D637BA">
        <w:rPr>
          <w:rFonts w:ascii="Calibri" w:hAnsi="Calibri" w:cs="Calibri"/>
          <w:color w:val="000000" w:themeColor="text1"/>
          <w:sz w:val="22"/>
          <w:szCs w:val="22"/>
        </w:rPr>
        <w:t xml:space="preserve">e identification of key genetic mutations </w:t>
      </w:r>
      <w:r w:rsidR="00AD7AD5" w:rsidRPr="00D637BA">
        <w:rPr>
          <w:rFonts w:ascii="Calibri" w:hAnsi="Calibri" w:cs="Calibri"/>
          <w:color w:val="000000" w:themeColor="text1"/>
          <w:sz w:val="22"/>
          <w:szCs w:val="22"/>
        </w:rPr>
        <w:t xml:space="preserve">in genes that </w:t>
      </w:r>
      <w:r w:rsidR="00F131BF" w:rsidRPr="00D637BA">
        <w:rPr>
          <w:rFonts w:ascii="Calibri" w:hAnsi="Calibri" w:cs="Calibri"/>
          <w:color w:val="000000" w:themeColor="text1"/>
          <w:sz w:val="22"/>
          <w:szCs w:val="22"/>
        </w:rPr>
        <w:t>encod</w:t>
      </w:r>
      <w:r w:rsidR="00AD7AD5" w:rsidRPr="00D637BA">
        <w:rPr>
          <w:rFonts w:ascii="Calibri" w:hAnsi="Calibri" w:cs="Calibri"/>
          <w:color w:val="000000" w:themeColor="text1"/>
          <w:sz w:val="22"/>
          <w:szCs w:val="22"/>
        </w:rPr>
        <w:t>e</w:t>
      </w:r>
      <w:r w:rsidR="00F131BF" w:rsidRPr="00D637BA">
        <w:rPr>
          <w:rFonts w:ascii="Calibri" w:hAnsi="Calibri" w:cs="Calibri"/>
          <w:color w:val="000000" w:themeColor="text1"/>
          <w:sz w:val="22"/>
          <w:szCs w:val="22"/>
        </w:rPr>
        <w:t xml:space="preserve"> enzymes</w:t>
      </w:r>
      <w:r w:rsidRPr="00D637BA">
        <w:rPr>
          <w:rFonts w:ascii="Calibri" w:hAnsi="Calibri" w:cs="Calibri"/>
          <w:color w:val="000000" w:themeColor="text1"/>
          <w:sz w:val="22"/>
          <w:szCs w:val="22"/>
        </w:rPr>
        <w:t xml:space="preserve"> with roles</w:t>
      </w:r>
      <w:r w:rsidR="00F131BF" w:rsidRPr="00D637BA">
        <w:rPr>
          <w:rFonts w:ascii="Calibri" w:hAnsi="Calibri" w:cs="Calibri"/>
          <w:color w:val="000000" w:themeColor="text1"/>
          <w:sz w:val="22"/>
          <w:szCs w:val="22"/>
        </w:rPr>
        <w:t xml:space="preserve"> in mitochondrial metabolism</w:t>
      </w:r>
      <w:r w:rsidR="00401918" w:rsidRPr="00D637BA">
        <w:rPr>
          <w:rFonts w:ascii="Calibri" w:hAnsi="Calibri" w:cs="Calibri"/>
          <w:color w:val="000000" w:themeColor="text1"/>
          <w:sz w:val="22"/>
          <w:szCs w:val="22"/>
        </w:rPr>
        <w:t xml:space="preserve"> such as FH and SDH</w:t>
      </w:r>
      <w:r w:rsidR="006F1BF4" w:rsidRPr="00D637BA">
        <w:rPr>
          <w:rFonts w:ascii="Calibri" w:hAnsi="Calibri" w:cs="Calibri"/>
          <w:color w:val="000000" w:themeColor="text1"/>
          <w:sz w:val="22"/>
          <w:szCs w:val="22"/>
        </w:rPr>
        <w:t xml:space="preserve"> in cancer cells</w:t>
      </w:r>
      <w:r w:rsidR="00CB7F4A">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{"citationID":"a3bv7qm00a","properties":{"formattedCitation":"\\super 16,41,42\\nosupersub{}","plainCitation":"16,41,42","noteIndex":0},"citationItems":[{"id":1255,"uris":["http://zotero.org/users/4775618/items/3IQLZG9U"],"uri":["http://zotero.org/users/4775618/items/3IQLZG9U"],"itemData":{"id":1255,"type":"article-journal","title":"Gene mutations in the succinate dehydrogenase subunit SDHB cause susceptibility to familial pheochromocytoma and to familial paraganglioma","container-title":"American Journal of Human Genetics","page":"49-54","volume":"69","issue":"1","source":"PubMed","abstract":"The pheochromocytomas are an important cause of secondary hypertension. Although pheochromocytoma susceptibility may be associated with germline mutations in the tumor-suppressor genes VHL and NF1 and in the proto-oncogene RET, the genetic basis for most cases of nonsyndromic familial pheochromocytoma is unknown. Recently, pheochromocytoma susceptibility has been associated with germline SDHD mutations. Germline SDHD mutations were originally described in hereditary paraganglioma, a dominantly inherited disorder characterized by vascular tumors in the head and the neck, most frequently at the carotid bifurcation. The gene products of two components of succinate dehydrogenase, SDHC and SDHD, anchor the gene products of two other components, SDHA and SDHB, which form the catalytic core, to the inner-mitochondrial membrane. Although mutations in SDHC and in SDHD may cause hereditary paraganglioma, germline SDHA mutations are associated with juvenile encephalopathy, and the phenotypic consequences of SDHB mutations have not been defined. To investigate the genetic causes of pheochromocytoma, we analyzed SDHB and SDHC, in familial and in sporadic cases. Inactivating SDHB mutations were detected in two of the five kindreds with familial pheochromocytoma, two of the three kindreds with pheochromocytoma and paraganglioma susceptibility, and 1 of the 24 cases of sporadic pheochromocytoma. These findings extend the link between mitochondrial dysfunction and tumorigenesis and suggest that germline SDHB mutations are an important cause of pheochromocytoma susceptibility.","DOI":"10.1086/321282","ISSN":"0002-9297","note":"PMID: 11404820\nPMCID: PMC1226047","journalAbbreviation":"Am. J. Hum. Genet.","language":"eng","author":[{"family":"Astuti","given":"D."},{"family":"Latif","given":"F."},{"family":"Dallol","given":"A."},{"family":"Dahia","given":"P. L."},{"family":"Douglas","given":"F."},{"family":"George","given":"E."},{"family":"Sköldberg","given":"F."},{"family":"Husebye","given":"E. S."},{"family":"Eng","given":"C."},{"family":"Maher","given":"E. R."}],"issued":{"date-parts":[["2001",7]]}}},{"id":1253,"uris":["http://zotero.org/users/4775618/items/XSF4IVGV"],"uri":["http://zotero.org/users/4775618/items/XSF4IVGV"],"itemData":{"id":1253,"type":"article-journal","title":"Mutations in SDHC cause autosomal dominant paraganglioma, type 3","container-title":"Nature Genetics","page":"268-270","volume":"26","issue":"3","source":"PubMed","abstract":"Nonchromaffin paragangliomas (PGLs) are usually benign, neural-crest-derived, slow-growing tumours of parasympathetic ganglia. Between 10% and 50% of cases are familial and are transmitted as autosomal dominant traits with incomplete and age-dependent penetrance.","DOI":"10.1038/81551","ISSN":"1061-4036","note":"PMID: 11062460","journalAbbreviation":"Nat. Genet.","language":"eng","author":[{"family":"Niemann","given":"S."},{"family":"Müller","given":"U."}],"issued":{"date-parts":[["2000",11]]}}},{"id":714,"uris":["http://zotero.org/users/4775618/items/G64B7NRG"],"uri":["http://zotero.org/users/4775618/items/G64B7NRG"],"itemData":{"id":714,"type":"article-journal","title":"Germline mutations in FH predispose to dominantly inherited uterine fibroids, skin leiomyomata and papillary renal cell cancer","container-title":"Nature Genetics","page":"406-410","volume":"30","issue":"4","source":"Crossref","URL":"http://www.nature.com/articles/ng849","DOI":"10.1038/ng849","ISSN":"1061-4036, 1546-1718","language":"en","author":[{"literal":"The Multiple Leiomyoma Consortium"}],"issued":{"date-parts":[["2002",4]]},"accessed":{"date-parts":[["2018",9,2]]}}}],"schema":"https://github.com/citation-style-language/schema/raw/master/csl-citation.json"} </w:instrText>
      </w:r>
      <w:r w:rsidR="00CB7F4A">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16,41,42</w:t>
      </w:r>
      <w:r w:rsidR="00CB7F4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paved the way for the discovery and evolution of the oncometabolite paradigm. </w:t>
      </w:r>
      <w:r w:rsidR="006E05C6" w:rsidRPr="00D637BA">
        <w:rPr>
          <w:rFonts w:ascii="Calibri" w:hAnsi="Calibri" w:cs="Calibri"/>
          <w:color w:val="000000" w:themeColor="text1"/>
          <w:sz w:val="22"/>
          <w:szCs w:val="22"/>
        </w:rPr>
        <w:t>O</w:t>
      </w:r>
      <w:r w:rsidR="00F131BF" w:rsidRPr="00D637BA">
        <w:rPr>
          <w:rFonts w:ascii="Calibri" w:hAnsi="Calibri" w:cs="Calibri"/>
          <w:color w:val="000000" w:themeColor="text1"/>
          <w:sz w:val="22"/>
          <w:szCs w:val="22"/>
        </w:rPr>
        <w:t xml:space="preserve">ncometabolites are </w:t>
      </w:r>
      <w:r w:rsidR="006E05C6" w:rsidRPr="00D637BA">
        <w:rPr>
          <w:rFonts w:ascii="Calibri" w:hAnsi="Calibri" w:cs="Calibri"/>
          <w:color w:val="000000" w:themeColor="text1"/>
          <w:sz w:val="22"/>
          <w:szCs w:val="22"/>
        </w:rPr>
        <w:t xml:space="preserve">defined as </w:t>
      </w:r>
      <w:r w:rsidR="00F131BF" w:rsidRPr="00D637BA">
        <w:rPr>
          <w:rFonts w:ascii="Calibri" w:hAnsi="Calibri" w:cs="Calibri"/>
          <w:color w:val="000000" w:themeColor="text1"/>
          <w:sz w:val="22"/>
          <w:szCs w:val="22"/>
        </w:rPr>
        <w:t xml:space="preserve">conventional metabolites that when aberrantly accumulated have pro-oncogenic capabilities that can contribute to tumorigenesis, especially via epigenetic dysregulation, as well as influence tumour phenotype and progression. </w:t>
      </w:r>
      <w:r w:rsidR="0075552C">
        <w:rPr>
          <w:rFonts w:ascii="Calibri" w:hAnsi="Calibri" w:cs="Calibri"/>
          <w:color w:val="000000" w:themeColor="text1"/>
          <w:sz w:val="22"/>
          <w:szCs w:val="22"/>
        </w:rPr>
        <w:t xml:space="preserve">Three </w:t>
      </w:r>
      <w:r w:rsidR="006A087D" w:rsidRPr="00D637BA">
        <w:rPr>
          <w:rFonts w:ascii="Calibri" w:hAnsi="Calibri" w:cs="Calibri"/>
          <w:color w:val="000000" w:themeColor="text1"/>
          <w:sz w:val="22"/>
          <w:szCs w:val="22"/>
        </w:rPr>
        <w:t xml:space="preserve">of the </w:t>
      </w:r>
      <w:r w:rsidR="00F131BF" w:rsidRPr="00D637BA">
        <w:rPr>
          <w:rFonts w:ascii="Calibri" w:hAnsi="Calibri" w:cs="Calibri"/>
          <w:color w:val="000000" w:themeColor="text1"/>
          <w:sz w:val="22"/>
          <w:szCs w:val="22"/>
        </w:rPr>
        <w:t xml:space="preserve">established </w:t>
      </w:r>
      <w:r w:rsidR="00F131BF" w:rsidRPr="00D637BA">
        <w:rPr>
          <w:rFonts w:ascii="Calibri" w:hAnsi="Calibri" w:cs="Calibri"/>
          <w:i/>
          <w:color w:val="000000" w:themeColor="text1"/>
          <w:sz w:val="22"/>
          <w:szCs w:val="22"/>
        </w:rPr>
        <w:t xml:space="preserve">bona fide </w:t>
      </w:r>
      <w:r w:rsidR="00F131BF" w:rsidRPr="00D637BA">
        <w:rPr>
          <w:rFonts w:ascii="Calibri" w:hAnsi="Calibri" w:cs="Calibri"/>
          <w:color w:val="000000" w:themeColor="text1"/>
          <w:sz w:val="22"/>
          <w:szCs w:val="22"/>
        </w:rPr>
        <w:t>oncometabolites</w:t>
      </w:r>
      <w:r w:rsidR="0075552C">
        <w:rPr>
          <w:rFonts w:ascii="Calibri" w:hAnsi="Calibri" w:cs="Calibri"/>
          <w:color w:val="000000" w:themeColor="text1"/>
          <w:sz w:val="22"/>
          <w:szCs w:val="22"/>
        </w:rPr>
        <w:t>; fumarate, succinate and L-2-hydroxyglutarate (L2HG)</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have been implicated in hereditary and sporadic subtypes of RCC. This observation</w:t>
      </w:r>
      <w:r w:rsidR="0087462E">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coupled with the strong metabolic paradigm in RCC</w:t>
      </w:r>
      <w:r w:rsidR="006A087D" w:rsidRPr="00B946E4">
        <w:rPr>
          <w:rFonts w:ascii="Calibri" w:hAnsi="Calibri" w:cs="Calibri"/>
          <w:color w:val="000000" w:themeColor="text1"/>
          <w:sz w:val="22"/>
          <w:szCs w:val="22"/>
        </w:rPr>
        <w:t xml:space="preserve"> and </w:t>
      </w:r>
      <w:r w:rsidR="00F131BF" w:rsidRPr="00D637BA">
        <w:rPr>
          <w:rFonts w:ascii="Calibri" w:hAnsi="Calibri" w:cs="Calibri"/>
          <w:color w:val="000000" w:themeColor="text1"/>
          <w:sz w:val="22"/>
          <w:szCs w:val="22"/>
        </w:rPr>
        <w:t xml:space="preserve">the </w:t>
      </w:r>
      <w:r w:rsidR="00392415" w:rsidRPr="00D637BA">
        <w:rPr>
          <w:rFonts w:ascii="Calibri" w:hAnsi="Calibri" w:cs="Calibri"/>
          <w:color w:val="000000" w:themeColor="text1"/>
          <w:sz w:val="22"/>
          <w:szCs w:val="22"/>
        </w:rPr>
        <w:t xml:space="preserve">extensive </w:t>
      </w:r>
      <w:r w:rsidR="00F131BF" w:rsidRPr="00D637BA">
        <w:rPr>
          <w:rFonts w:ascii="Calibri" w:hAnsi="Calibri" w:cs="Calibri"/>
          <w:color w:val="000000" w:themeColor="text1"/>
          <w:sz w:val="22"/>
          <w:szCs w:val="22"/>
        </w:rPr>
        <w:t>metabolic reprogramming</w:t>
      </w:r>
      <w:r w:rsidR="006A087D" w:rsidRPr="00D637BA">
        <w:rPr>
          <w:rFonts w:ascii="Calibri" w:hAnsi="Calibri" w:cs="Calibri"/>
          <w:color w:val="000000" w:themeColor="text1"/>
          <w:sz w:val="22"/>
          <w:szCs w:val="22"/>
        </w:rPr>
        <w:t xml:space="preserve"> that</w:t>
      </w:r>
      <w:r w:rsidR="00F131BF" w:rsidRPr="00D637BA">
        <w:rPr>
          <w:rFonts w:ascii="Calibri" w:hAnsi="Calibri" w:cs="Calibri"/>
          <w:color w:val="000000" w:themeColor="text1"/>
          <w:sz w:val="22"/>
          <w:szCs w:val="22"/>
        </w:rPr>
        <w:t xml:space="preserve"> underp</w:t>
      </w:r>
      <w:r w:rsidR="006A087D" w:rsidRPr="00B946E4">
        <w:rPr>
          <w:rFonts w:ascii="Calibri" w:hAnsi="Calibri" w:cs="Calibri"/>
          <w:color w:val="000000" w:themeColor="text1"/>
          <w:sz w:val="22"/>
          <w:szCs w:val="22"/>
        </w:rPr>
        <w:t>ins</w:t>
      </w:r>
      <w:r w:rsidR="00F131BF" w:rsidRPr="00D637BA">
        <w:rPr>
          <w:rFonts w:ascii="Calibri" w:hAnsi="Calibri" w:cs="Calibri"/>
          <w:color w:val="000000" w:themeColor="text1"/>
          <w:sz w:val="22"/>
          <w:szCs w:val="22"/>
        </w:rPr>
        <w:t xml:space="preserve"> RCC tumour progression, commands attention to this growing area of cross-over research in oncology and metabolism. </w:t>
      </w:r>
      <w:r w:rsidR="00392415" w:rsidRPr="00D637BA">
        <w:rPr>
          <w:rFonts w:ascii="Calibri" w:hAnsi="Calibri" w:cs="Calibri"/>
          <w:color w:val="000000" w:themeColor="text1"/>
          <w:sz w:val="22"/>
          <w:szCs w:val="22"/>
        </w:rPr>
        <w:t xml:space="preserve">Here, </w:t>
      </w:r>
      <w:r w:rsidR="00392415" w:rsidRPr="00B946E4">
        <w:rPr>
          <w:rFonts w:ascii="Calibri" w:hAnsi="Calibri" w:cs="Calibri"/>
          <w:color w:val="000000" w:themeColor="text1"/>
          <w:sz w:val="22"/>
          <w:szCs w:val="22"/>
          <w:lang w:eastAsia="en-GB"/>
        </w:rPr>
        <w:t>w</w:t>
      </w:r>
      <w:r w:rsidR="006E05C6" w:rsidRPr="00B946E4">
        <w:rPr>
          <w:rFonts w:ascii="Calibri" w:hAnsi="Calibri" w:cs="Calibri"/>
          <w:color w:val="000000" w:themeColor="text1"/>
          <w:sz w:val="22"/>
          <w:szCs w:val="22"/>
          <w:lang w:eastAsia="en-GB"/>
        </w:rPr>
        <w:t xml:space="preserve">e </w:t>
      </w:r>
      <w:r w:rsidR="00392415" w:rsidRPr="00B946E4">
        <w:rPr>
          <w:rFonts w:ascii="Calibri" w:hAnsi="Calibri" w:cs="Calibri"/>
          <w:color w:val="000000" w:themeColor="text1"/>
          <w:sz w:val="22"/>
          <w:szCs w:val="22"/>
          <w:lang w:eastAsia="en-GB"/>
        </w:rPr>
        <w:t xml:space="preserve">review </w:t>
      </w:r>
      <w:r w:rsidR="00F131BF" w:rsidRPr="00D637BA">
        <w:rPr>
          <w:rFonts w:ascii="Calibri" w:hAnsi="Calibri" w:cs="Calibri"/>
          <w:color w:val="000000" w:themeColor="text1"/>
          <w:sz w:val="22"/>
          <w:szCs w:val="22"/>
          <w:lang w:eastAsia="en-GB"/>
        </w:rPr>
        <w:t xml:space="preserve">the </w:t>
      </w:r>
      <w:r w:rsidR="00392415" w:rsidRPr="00B946E4">
        <w:rPr>
          <w:rFonts w:ascii="Calibri" w:hAnsi="Calibri" w:cs="Calibri"/>
          <w:color w:val="000000" w:themeColor="text1"/>
          <w:sz w:val="22"/>
          <w:szCs w:val="22"/>
          <w:lang w:eastAsia="en-GB"/>
        </w:rPr>
        <w:t xml:space="preserve">role of </w:t>
      </w:r>
      <w:r w:rsidR="00F131BF" w:rsidRPr="00D637BA">
        <w:rPr>
          <w:rFonts w:ascii="Calibri" w:hAnsi="Calibri" w:cs="Calibri"/>
          <w:color w:val="000000" w:themeColor="text1"/>
          <w:sz w:val="22"/>
          <w:szCs w:val="22"/>
          <w:lang w:eastAsia="en-GB"/>
        </w:rPr>
        <w:t xml:space="preserve">oncometabolites in RCC, their </w:t>
      </w:r>
      <w:r w:rsidR="004A1233" w:rsidRPr="00D637BA">
        <w:rPr>
          <w:rFonts w:ascii="Calibri" w:hAnsi="Calibri" w:cs="Calibri"/>
          <w:color w:val="000000" w:themeColor="text1"/>
          <w:sz w:val="22"/>
          <w:szCs w:val="22"/>
          <w:lang w:eastAsia="en-GB"/>
        </w:rPr>
        <w:t xml:space="preserve">origins and downstream effects and their potential </w:t>
      </w:r>
      <w:r w:rsidR="00392415" w:rsidRPr="00D637BA">
        <w:rPr>
          <w:rFonts w:ascii="Calibri" w:hAnsi="Calibri" w:cs="Calibri"/>
          <w:color w:val="000000" w:themeColor="text1"/>
          <w:sz w:val="22"/>
          <w:szCs w:val="22"/>
          <w:lang w:eastAsia="en-GB"/>
        </w:rPr>
        <w:t xml:space="preserve">applications as </w:t>
      </w:r>
      <w:r w:rsidR="004A1233" w:rsidRPr="00D637BA">
        <w:rPr>
          <w:rFonts w:ascii="Calibri" w:hAnsi="Calibri" w:cs="Calibri"/>
          <w:color w:val="000000" w:themeColor="text1"/>
          <w:sz w:val="22"/>
          <w:szCs w:val="22"/>
          <w:lang w:eastAsia="en-GB"/>
        </w:rPr>
        <w:t xml:space="preserve">novel therapeutic targets and biomarkers of disease. </w:t>
      </w:r>
    </w:p>
    <w:p w14:paraId="6C6095D7" w14:textId="73AD3EF0" w:rsidR="00F131BF" w:rsidRPr="00D637BA" w:rsidRDefault="00F131BF" w:rsidP="00F131BF">
      <w:pPr>
        <w:spacing w:line="360" w:lineRule="auto"/>
        <w:jc w:val="both"/>
        <w:rPr>
          <w:rFonts w:ascii="Calibri" w:hAnsi="Calibri" w:cs="Calibri"/>
          <w:color w:val="000000" w:themeColor="text1"/>
          <w:sz w:val="22"/>
          <w:szCs w:val="22"/>
        </w:rPr>
      </w:pPr>
    </w:p>
    <w:p w14:paraId="5061472D" w14:textId="22EC4B4F" w:rsidR="00F131BF" w:rsidRPr="00D637BA" w:rsidRDefault="006F1BF4" w:rsidP="00F131BF">
      <w:pPr>
        <w:spacing w:line="360" w:lineRule="auto"/>
        <w:jc w:val="both"/>
        <w:rPr>
          <w:rFonts w:ascii="Calibri" w:hAnsi="Calibri" w:cs="Calibri"/>
          <w:b/>
          <w:color w:val="000000" w:themeColor="text1"/>
          <w:sz w:val="22"/>
          <w:szCs w:val="22"/>
        </w:rPr>
      </w:pPr>
      <w:r w:rsidRPr="00D637BA">
        <w:rPr>
          <w:rFonts w:ascii="Calibri" w:hAnsi="Calibri" w:cs="Calibri"/>
          <w:b/>
          <w:color w:val="000000" w:themeColor="text1"/>
          <w:szCs w:val="22"/>
        </w:rPr>
        <w:t xml:space="preserve">[H1] </w:t>
      </w:r>
      <w:r w:rsidR="00311AA5" w:rsidRPr="00D637BA">
        <w:rPr>
          <w:rFonts w:ascii="Calibri" w:hAnsi="Calibri" w:cs="Calibri"/>
          <w:b/>
          <w:color w:val="000000" w:themeColor="text1"/>
          <w:szCs w:val="22"/>
        </w:rPr>
        <w:t>Origin</w:t>
      </w:r>
      <w:r w:rsidR="00F131BF" w:rsidRPr="00D637BA">
        <w:rPr>
          <w:rFonts w:ascii="Calibri" w:hAnsi="Calibri" w:cs="Calibri"/>
          <w:b/>
          <w:color w:val="000000" w:themeColor="text1"/>
          <w:szCs w:val="22"/>
        </w:rPr>
        <w:t xml:space="preserve"> of the oncometabolite paradigm</w:t>
      </w:r>
    </w:p>
    <w:p w14:paraId="3751821E" w14:textId="7B830497" w:rsidR="001C6EC0" w:rsidRPr="00D637BA" w:rsidRDefault="00F131BF" w:rsidP="00F131BF">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The inception of the oncometabolite paradigm predates </w:t>
      </w:r>
      <w:r w:rsidR="006E05C6" w:rsidRPr="00B946E4">
        <w:rPr>
          <w:rFonts w:ascii="Calibri" w:hAnsi="Calibri" w:cs="Calibri"/>
          <w:color w:val="000000" w:themeColor="text1"/>
          <w:sz w:val="22"/>
          <w:szCs w:val="22"/>
        </w:rPr>
        <w:t>the use of th</w:t>
      </w:r>
      <w:r w:rsidR="00277EFD" w:rsidRPr="00B946E4">
        <w:rPr>
          <w:rFonts w:ascii="Calibri" w:hAnsi="Calibri" w:cs="Calibri"/>
          <w:color w:val="000000" w:themeColor="text1"/>
          <w:sz w:val="22"/>
          <w:szCs w:val="22"/>
        </w:rPr>
        <w:t>is</w:t>
      </w:r>
      <w:r w:rsidR="006E05C6" w:rsidRPr="00B946E4">
        <w:rPr>
          <w:rFonts w:ascii="Calibri" w:hAnsi="Calibri" w:cs="Calibri"/>
          <w:color w:val="000000" w:themeColor="text1"/>
          <w:sz w:val="22"/>
          <w:szCs w:val="22"/>
        </w:rPr>
        <w:t xml:space="preserve"> term</w:t>
      </w:r>
      <w:r w:rsidRPr="00D637BA">
        <w:rPr>
          <w:rFonts w:ascii="Calibri" w:hAnsi="Calibri" w:cs="Calibri"/>
          <w:color w:val="000000" w:themeColor="text1"/>
          <w:sz w:val="22"/>
          <w:szCs w:val="22"/>
        </w:rPr>
        <w:t xml:space="preserve"> in the literature</w:t>
      </w:r>
      <w:r w:rsidR="006E05C6" w:rsidRPr="00B946E4">
        <w:rPr>
          <w:rFonts w:ascii="Calibri" w:hAnsi="Calibri" w:cs="Calibri"/>
          <w:color w:val="000000" w:themeColor="text1"/>
          <w:sz w:val="22"/>
          <w:szCs w:val="22"/>
        </w:rPr>
        <w:t>.</w:t>
      </w:r>
      <w:r w:rsidR="00277EFD" w:rsidRPr="00B946E4">
        <w:rPr>
          <w:rFonts w:ascii="Calibri" w:hAnsi="Calibri" w:cs="Calibri"/>
          <w:color w:val="000000" w:themeColor="text1"/>
          <w:sz w:val="22"/>
          <w:szCs w:val="22"/>
        </w:rPr>
        <w:t xml:space="preserve"> </w:t>
      </w:r>
      <w:r w:rsidR="006E05C6" w:rsidRPr="00B946E4">
        <w:rPr>
          <w:rFonts w:ascii="Calibri" w:hAnsi="Calibri" w:cs="Calibri"/>
          <w:color w:val="000000" w:themeColor="text1"/>
          <w:sz w:val="22"/>
          <w:szCs w:val="22"/>
        </w:rPr>
        <w:t>O</w:t>
      </w:r>
      <w:r w:rsidRPr="00D637BA">
        <w:rPr>
          <w:rFonts w:ascii="Calibri" w:hAnsi="Calibri" w:cs="Calibri"/>
          <w:color w:val="000000" w:themeColor="text1"/>
          <w:sz w:val="22"/>
          <w:szCs w:val="22"/>
        </w:rPr>
        <w:t>ne could argue</w:t>
      </w:r>
      <w:r w:rsidR="006E05C6" w:rsidRPr="00B946E4">
        <w:rPr>
          <w:rFonts w:ascii="Calibri" w:hAnsi="Calibri" w:cs="Calibri"/>
          <w:color w:val="000000" w:themeColor="text1"/>
          <w:sz w:val="22"/>
          <w:szCs w:val="22"/>
        </w:rPr>
        <w:t xml:space="preserve"> that the concept</w:t>
      </w:r>
      <w:r w:rsidRPr="00D637BA">
        <w:rPr>
          <w:rFonts w:ascii="Calibri" w:hAnsi="Calibri" w:cs="Calibri"/>
          <w:color w:val="000000" w:themeColor="text1"/>
          <w:sz w:val="22"/>
          <w:szCs w:val="22"/>
        </w:rPr>
        <w:t xml:space="preserve"> began with Warburg</w:t>
      </w:r>
      <w:r w:rsidR="0075552C">
        <w:rPr>
          <w:rFonts w:ascii="Calibri" w:hAnsi="Calibri" w:cs="Calibri"/>
          <w:color w:val="000000" w:themeColor="text1"/>
          <w:sz w:val="22"/>
          <w:szCs w:val="22"/>
        </w:rPr>
        <w:t>’s</w:t>
      </w:r>
      <w:r w:rsidRPr="00D637BA">
        <w:rPr>
          <w:rFonts w:ascii="Calibri" w:hAnsi="Calibri" w:cs="Calibri"/>
          <w:color w:val="000000" w:themeColor="text1"/>
          <w:sz w:val="22"/>
          <w:szCs w:val="22"/>
        </w:rPr>
        <w:t xml:space="preserve"> hypothesis of aberrant metabolism as an aetiological determinant of cancer</w:t>
      </w:r>
      <w:r w:rsidR="00CB7F4A">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{"citationID":"a2ik30dtlne","properties":{"formattedCitation":"\\super 43,44\\nosupersub{}","plainCitation":"43,44","noteIndex":0},"citationItems":[{"id":2605,"uris":["http://zotero.org/users/4775618/items/8VB4SZ67"],"uri":["http://zotero.org/users/4775618/items/8VB4SZ67"],"itemData":{"id":2605,"type":"article-journal","title":"The Metabolism of Carcinoma Cells","container-title":"The Journal of Cancer Research","page":"148-163","volume":"9","issue":"1","source":"cancerres.aacrjournals.org.ezp.lib.cam.ac.uk","abstract":"When the problem of carcinoma is approached from the metabolic aspect, the first question which arises is: how does the metabolism of growing tissue differ from that of resting? The prospects of finding an answer to this question are good. Whether the mass of a given tissue is to remain constant, or, within a short period to increase many-fold, must be determined by the velocity of those processes which supply the driving forces for growth. Our task is to search for such processes and to compare their velocities in resting tissues and growing tissues.\nIf this question is solved, then the further inquiry must be made as to whether the manner of arrangement of growing cells is manifested in their metabolism. Does the metabolism of tumors, growing in a disorganized manner, differ from the metabolism of orderly cells growing at the same rate. The hope of solving this question must be considered slight in general, and rightly so, if it is only the form-building forces which tumors lack. For of all problems of physiology, that of form is the least approachable.\nYet it seems doubtful that only minute and unimportant differences should exist between the growth of young cells and those of tumors, instead of considerable physico-chemical differences. Progress in the carcinoma problem implies the adoption of the point of view involved by the latter alternative. This has been done and I shall try to show that it is the correct point of view.","URL":"http://cancerres.aacrjournals.org.ezp.lib.cam.ac.uk/content/9/1/148","DOI":"10.1158/jcr.1925.148","ISSN":"0099-7013","language":"en","author":[{"family":"Warburg","given":"Otto"}],"issued":{"date-parts":[["1925",3,1]]},"accessed":{"date-parts":[["2019",6,24]]}}},{"id":1261,"uris":["http://zotero.org/users/4775618/items/8QPBPQHG"],"uri":["http://zotero.org/users/4775618/items/8QPBPQHG"],"itemData":{"id":1261,"type":"article-journal","title":"On the origin of cancer cells","container-title":"Science (New York, N.Y.)","page":"309-314","volume":"123","issue":"3191","source":"PubMed","ISSN":"0036-8075","note":"PMID: 13298683","journalAbbreviation":"Science","language":"eng","author":[{"family":"Warburg","given":"O."}],"issued":{"date-parts":[["1956",2,24]]}}}],"schema":"https://github.com/citation-style-language/schema/raw/master/csl-citation.json"} </w:instrText>
      </w:r>
      <w:r w:rsidR="00CB7F4A">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43,44</w:t>
      </w:r>
      <w:r w:rsidR="00CB7F4A">
        <w:rPr>
          <w:rFonts w:ascii="Calibri" w:hAnsi="Calibri" w:cs="Calibri"/>
          <w:color w:val="000000" w:themeColor="text1"/>
          <w:sz w:val="22"/>
          <w:szCs w:val="22"/>
        </w:rPr>
        <w:fldChar w:fldCharType="end"/>
      </w:r>
      <w:r w:rsidR="00753152" w:rsidRPr="00D637BA">
        <w:rPr>
          <w:rFonts w:ascii="Calibri" w:hAnsi="Calibri" w:cs="Calibri"/>
          <w:color w:val="000000" w:themeColor="text1"/>
          <w:sz w:val="22"/>
          <w:szCs w:val="22"/>
        </w:rPr>
        <w:t xml:space="preserve">. </w:t>
      </w:r>
      <w:r w:rsidR="004656F7" w:rsidRPr="00D637BA">
        <w:rPr>
          <w:rFonts w:ascii="Calibri" w:hAnsi="Calibri" w:cs="Calibri"/>
          <w:color w:val="000000" w:themeColor="text1"/>
          <w:sz w:val="22"/>
          <w:szCs w:val="22"/>
        </w:rPr>
        <w:t>B</w:t>
      </w:r>
      <w:r w:rsidR="004810E0" w:rsidRPr="00D637BA">
        <w:rPr>
          <w:rFonts w:ascii="Calibri" w:hAnsi="Calibri" w:cs="Calibri"/>
          <w:color w:val="000000" w:themeColor="text1"/>
          <w:sz w:val="22"/>
          <w:szCs w:val="22"/>
        </w:rPr>
        <w:t xml:space="preserve">ased on the observation of excessive fermentation </w:t>
      </w:r>
      <w:r w:rsidR="00897E19" w:rsidRPr="00D637BA">
        <w:rPr>
          <w:rFonts w:ascii="Calibri" w:hAnsi="Calibri" w:cs="Calibri"/>
          <w:color w:val="000000" w:themeColor="text1"/>
          <w:sz w:val="22"/>
          <w:szCs w:val="22"/>
        </w:rPr>
        <w:t xml:space="preserve">of glucose </w:t>
      </w:r>
      <w:r w:rsidR="004810E0" w:rsidRPr="00D637BA">
        <w:rPr>
          <w:rFonts w:ascii="Calibri" w:hAnsi="Calibri" w:cs="Calibri"/>
          <w:color w:val="000000" w:themeColor="text1"/>
          <w:sz w:val="22"/>
          <w:szCs w:val="22"/>
        </w:rPr>
        <w:t xml:space="preserve">in mammalian </w:t>
      </w:r>
      <w:r w:rsidR="004810E0" w:rsidRPr="00D637BA">
        <w:rPr>
          <w:rFonts w:ascii="Calibri" w:hAnsi="Calibri" w:cs="Calibri"/>
          <w:color w:val="000000" w:themeColor="text1"/>
          <w:sz w:val="22"/>
          <w:szCs w:val="22"/>
        </w:rPr>
        <w:lastRenderedPageBreak/>
        <w:t>cancer cells</w:t>
      </w:r>
      <w:r w:rsidR="001D27CA" w:rsidRPr="00D637BA">
        <w:rPr>
          <w:rFonts w:ascii="Calibri" w:hAnsi="Calibri" w:cs="Calibri"/>
          <w:color w:val="000000" w:themeColor="text1"/>
          <w:sz w:val="22"/>
          <w:szCs w:val="22"/>
        </w:rPr>
        <w:t xml:space="preserve"> </w:t>
      </w:r>
      <w:r w:rsidR="00F41CAC" w:rsidRPr="00D637BA">
        <w:rPr>
          <w:rFonts w:ascii="Calibri" w:hAnsi="Calibri" w:cs="Calibri"/>
          <w:color w:val="000000" w:themeColor="text1"/>
          <w:sz w:val="22"/>
          <w:szCs w:val="22"/>
        </w:rPr>
        <w:t>irrespective of the</w:t>
      </w:r>
      <w:r w:rsidR="001D27CA" w:rsidRPr="00D637BA">
        <w:rPr>
          <w:rFonts w:ascii="Calibri" w:hAnsi="Calibri" w:cs="Calibri"/>
          <w:color w:val="000000" w:themeColor="text1"/>
          <w:sz w:val="22"/>
          <w:szCs w:val="22"/>
        </w:rPr>
        <w:t xml:space="preserve"> presence of oxygen</w:t>
      </w:r>
      <w:r w:rsidR="004A1233"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4740E9" w:rsidRPr="00D637BA">
        <w:rPr>
          <w:rFonts w:ascii="Calibri" w:hAnsi="Calibri" w:cs="Calibri"/>
          <w:color w:val="000000" w:themeColor="text1"/>
          <w:sz w:val="22"/>
          <w:szCs w:val="22"/>
        </w:rPr>
        <w:t xml:space="preserve">later </w:t>
      </w:r>
      <w:r w:rsidR="00277EFD" w:rsidRPr="00B946E4">
        <w:rPr>
          <w:rFonts w:ascii="Calibri" w:hAnsi="Calibri" w:cs="Calibri"/>
          <w:color w:val="000000" w:themeColor="text1"/>
          <w:sz w:val="22"/>
          <w:szCs w:val="22"/>
        </w:rPr>
        <w:t xml:space="preserve">termed </w:t>
      </w:r>
      <w:r w:rsidR="00507DB4" w:rsidRPr="00D637BA">
        <w:rPr>
          <w:rFonts w:ascii="Calibri" w:hAnsi="Calibri" w:cs="Calibri"/>
          <w:color w:val="000000" w:themeColor="text1"/>
          <w:sz w:val="22"/>
          <w:szCs w:val="22"/>
        </w:rPr>
        <w:t>the</w:t>
      </w:r>
      <w:r w:rsidR="00EF531C" w:rsidRPr="00D637BA">
        <w:rPr>
          <w:rFonts w:ascii="Calibri" w:hAnsi="Calibri" w:cs="Calibri"/>
          <w:color w:val="000000" w:themeColor="text1"/>
          <w:sz w:val="22"/>
          <w:szCs w:val="22"/>
        </w:rPr>
        <w:t xml:space="preserve"> Warbur</w:t>
      </w:r>
      <w:r w:rsidR="004740E9" w:rsidRPr="00D637BA">
        <w:rPr>
          <w:rFonts w:ascii="Calibri" w:hAnsi="Calibri" w:cs="Calibri"/>
          <w:color w:val="000000" w:themeColor="text1"/>
          <w:sz w:val="22"/>
          <w:szCs w:val="22"/>
        </w:rPr>
        <w:t>g effect</w:t>
      </w:r>
      <w:r w:rsidR="00CB7F4A">
        <w:rPr>
          <w:rFonts w:ascii="Calibri" w:hAnsi="Calibri" w:cs="Calibri"/>
          <w:color w:val="000000" w:themeColor="text1"/>
          <w:sz w:val="22"/>
          <w:szCs w:val="22"/>
        </w:rPr>
        <w:fldChar w:fldCharType="begin"/>
      </w:r>
      <w:r w:rsidR="001D2B77">
        <w:rPr>
          <w:rFonts w:ascii="Calibri" w:hAnsi="Calibri" w:cs="Calibri"/>
          <w:color w:val="000000" w:themeColor="text1"/>
          <w:sz w:val="22"/>
          <w:szCs w:val="22"/>
        </w:rPr>
        <w:instrText xml:space="preserve"> ADDIN ZOTERO_ITEM CSL_CITATION {"citationID":"a252rn5h9q9","properties":{"formattedCitation":"\\super 45\\nosupersub{}","plainCitation":"45","noteIndex":0},"citationItems":[{"id":2603,"uris":["http://zotero.org/users/4775618/items/EY7GTXPV"],"uri":["http://zotero.org/users/4775618/items/EY7GTXPV"],"itemData":{"id":2603,"type":"article-journal","title":"Bioenergetics and the problem of tumor growth","container-title":"American Scientist","page":"56-63","volume":"60","issue":"1","source":"PubMed","ISSN":"0003-0996","note":"PMID: 4332766","journalAbbreviation":"Am. Sci.","language":"eng","author":[{"family":"Racker","given":"E."}],"issued":{"date-parts":[["1972",2]]}}}],"schema":"https://github.com/citation-style-language/schema/raw/master/csl-citation.json"} </w:instrText>
      </w:r>
      <w:r w:rsidR="00CB7F4A">
        <w:rPr>
          <w:rFonts w:ascii="Calibri" w:hAnsi="Calibri" w:cs="Calibri"/>
          <w:color w:val="000000" w:themeColor="text1"/>
          <w:sz w:val="22"/>
          <w:szCs w:val="22"/>
        </w:rPr>
        <w:fldChar w:fldCharType="separate"/>
      </w:r>
      <w:r w:rsidR="001D2B77" w:rsidRPr="001D2B77">
        <w:rPr>
          <w:rFonts w:ascii="Calibri" w:hAnsi="Calibri" w:cs="Calibri"/>
          <w:color w:val="000000"/>
          <w:sz w:val="22"/>
          <w:vertAlign w:val="superscript"/>
          <w:lang w:val="en-US"/>
        </w:rPr>
        <w:t>45</w:t>
      </w:r>
      <w:r w:rsidR="00CB7F4A">
        <w:rPr>
          <w:rFonts w:ascii="Calibri" w:hAnsi="Calibri" w:cs="Calibri"/>
          <w:color w:val="000000" w:themeColor="text1"/>
          <w:sz w:val="22"/>
          <w:szCs w:val="22"/>
        </w:rPr>
        <w:fldChar w:fldCharType="end"/>
      </w:r>
      <w:r w:rsidR="00BA5D34" w:rsidRPr="00D637BA">
        <w:rPr>
          <w:rFonts w:ascii="Calibri" w:hAnsi="Calibri" w:cs="Calibri"/>
          <w:color w:val="000000" w:themeColor="text1"/>
          <w:sz w:val="22"/>
          <w:szCs w:val="22"/>
        </w:rPr>
        <w:t xml:space="preserve"> (Fig. 1)</w:t>
      </w:r>
      <w:r w:rsidR="004A1233" w:rsidRPr="00D637BA">
        <w:rPr>
          <w:rFonts w:ascii="Calibri" w:hAnsi="Calibri" w:cs="Calibri"/>
          <w:color w:val="000000" w:themeColor="text1"/>
          <w:sz w:val="22"/>
          <w:szCs w:val="22"/>
        </w:rPr>
        <w:t xml:space="preserve">, </w:t>
      </w:r>
      <w:r w:rsidR="000167D7">
        <w:rPr>
          <w:rFonts w:ascii="Calibri" w:hAnsi="Calibri" w:cs="Calibri"/>
          <w:color w:val="000000" w:themeColor="text1"/>
          <w:sz w:val="22"/>
          <w:szCs w:val="22"/>
        </w:rPr>
        <w:t xml:space="preserve">Otto </w:t>
      </w:r>
      <w:r w:rsidR="004656F7" w:rsidRPr="00D637BA">
        <w:rPr>
          <w:rFonts w:ascii="Calibri" w:hAnsi="Calibri" w:cs="Calibri"/>
          <w:color w:val="000000" w:themeColor="text1"/>
          <w:sz w:val="22"/>
          <w:szCs w:val="22"/>
        </w:rPr>
        <w:t>Warburg postulated</w:t>
      </w:r>
      <w:r w:rsidR="00C05499" w:rsidRPr="00D637BA">
        <w:rPr>
          <w:rFonts w:ascii="Calibri" w:hAnsi="Calibri" w:cs="Calibri"/>
          <w:color w:val="000000" w:themeColor="text1"/>
          <w:sz w:val="22"/>
          <w:szCs w:val="22"/>
        </w:rPr>
        <w:t xml:space="preserve"> that this</w:t>
      </w:r>
      <w:r w:rsidR="004656F7" w:rsidRPr="00D637BA">
        <w:rPr>
          <w:rFonts w:ascii="Calibri" w:hAnsi="Calibri" w:cs="Calibri"/>
          <w:color w:val="000000" w:themeColor="text1"/>
          <w:sz w:val="22"/>
          <w:szCs w:val="22"/>
        </w:rPr>
        <w:t xml:space="preserve"> abnormal compensatory mechanism</w:t>
      </w:r>
      <w:r w:rsidR="00C05499" w:rsidRPr="00D637BA">
        <w:rPr>
          <w:rFonts w:ascii="Calibri" w:hAnsi="Calibri" w:cs="Calibri"/>
          <w:color w:val="000000" w:themeColor="text1"/>
          <w:sz w:val="22"/>
          <w:szCs w:val="22"/>
        </w:rPr>
        <w:t xml:space="preserve"> counteract</w:t>
      </w:r>
      <w:r w:rsidR="00277EFD" w:rsidRPr="00B946E4">
        <w:rPr>
          <w:rFonts w:ascii="Calibri" w:hAnsi="Calibri" w:cs="Calibri"/>
          <w:color w:val="000000" w:themeColor="text1"/>
          <w:sz w:val="22"/>
          <w:szCs w:val="22"/>
        </w:rPr>
        <w:t>ed</w:t>
      </w:r>
      <w:r w:rsidR="00491769" w:rsidRPr="00D637BA">
        <w:rPr>
          <w:rFonts w:ascii="Calibri" w:hAnsi="Calibri" w:cs="Calibri"/>
          <w:color w:val="000000" w:themeColor="text1"/>
          <w:sz w:val="22"/>
          <w:szCs w:val="22"/>
        </w:rPr>
        <w:t xml:space="preserve"> </w:t>
      </w:r>
      <w:r w:rsidR="00897E19" w:rsidRPr="00D637BA">
        <w:rPr>
          <w:rFonts w:ascii="Calibri" w:hAnsi="Calibri" w:cs="Calibri"/>
          <w:color w:val="000000" w:themeColor="text1"/>
          <w:sz w:val="22"/>
          <w:szCs w:val="22"/>
        </w:rPr>
        <w:t xml:space="preserve">an irreversible injury of cellular </w:t>
      </w:r>
      <w:r w:rsidR="00C05499" w:rsidRPr="00D637BA">
        <w:rPr>
          <w:rFonts w:ascii="Calibri" w:hAnsi="Calibri" w:cs="Calibri"/>
          <w:color w:val="000000" w:themeColor="text1"/>
          <w:sz w:val="22"/>
          <w:szCs w:val="22"/>
        </w:rPr>
        <w:t>respiration</w:t>
      </w:r>
      <w:r w:rsidR="00B06F93" w:rsidRPr="00D637BA">
        <w:rPr>
          <w:rFonts w:ascii="Calibri" w:hAnsi="Calibri" w:cs="Calibri"/>
          <w:color w:val="000000" w:themeColor="text1"/>
          <w:sz w:val="22"/>
          <w:szCs w:val="22"/>
        </w:rPr>
        <w:t xml:space="preserve"> and</w:t>
      </w:r>
      <w:r w:rsidR="00C05499" w:rsidRPr="00D637BA">
        <w:rPr>
          <w:rFonts w:ascii="Calibri" w:hAnsi="Calibri" w:cs="Calibri"/>
          <w:color w:val="000000" w:themeColor="text1"/>
          <w:sz w:val="22"/>
          <w:szCs w:val="22"/>
        </w:rPr>
        <w:t xml:space="preserve"> induced </w:t>
      </w:r>
      <w:r w:rsidR="009966A0" w:rsidRPr="00D637BA">
        <w:rPr>
          <w:rFonts w:ascii="Calibri" w:hAnsi="Calibri" w:cs="Calibri"/>
          <w:color w:val="000000" w:themeColor="text1"/>
          <w:sz w:val="22"/>
          <w:szCs w:val="22"/>
        </w:rPr>
        <w:t>an</w:t>
      </w:r>
      <w:r w:rsidR="002200F9" w:rsidRPr="00D637BA">
        <w:rPr>
          <w:rFonts w:ascii="Calibri" w:hAnsi="Calibri" w:cs="Calibri"/>
          <w:color w:val="000000" w:themeColor="text1"/>
          <w:sz w:val="22"/>
          <w:szCs w:val="22"/>
        </w:rPr>
        <w:t xml:space="preserve"> </w:t>
      </w:r>
      <w:r w:rsidR="002D155D" w:rsidRPr="00D637BA">
        <w:rPr>
          <w:rFonts w:ascii="Calibri" w:hAnsi="Calibri" w:cs="Calibri"/>
          <w:color w:val="000000" w:themeColor="text1"/>
          <w:sz w:val="22"/>
          <w:szCs w:val="22"/>
        </w:rPr>
        <w:t>un</w:t>
      </w:r>
      <w:r w:rsidR="00E93643" w:rsidRPr="00D637BA">
        <w:rPr>
          <w:rFonts w:ascii="Calibri" w:hAnsi="Calibri" w:cs="Calibri"/>
          <w:color w:val="000000" w:themeColor="text1"/>
          <w:sz w:val="22"/>
          <w:szCs w:val="22"/>
        </w:rPr>
        <w:t>differentiate</w:t>
      </w:r>
      <w:r w:rsidR="002200F9" w:rsidRPr="00D637BA">
        <w:rPr>
          <w:rFonts w:ascii="Calibri" w:hAnsi="Calibri" w:cs="Calibri"/>
          <w:color w:val="000000" w:themeColor="text1"/>
          <w:sz w:val="22"/>
          <w:szCs w:val="22"/>
        </w:rPr>
        <w:t>d</w:t>
      </w:r>
      <w:r w:rsidR="009966A0" w:rsidRPr="00D637BA">
        <w:rPr>
          <w:rFonts w:ascii="Calibri" w:hAnsi="Calibri" w:cs="Calibri"/>
          <w:color w:val="000000" w:themeColor="text1"/>
          <w:sz w:val="22"/>
          <w:szCs w:val="22"/>
        </w:rPr>
        <w:t xml:space="preserve"> state</w:t>
      </w:r>
      <w:r w:rsidR="00073A13" w:rsidRPr="00D637BA">
        <w:rPr>
          <w:rFonts w:ascii="Calibri" w:hAnsi="Calibri" w:cs="Calibri"/>
          <w:color w:val="000000" w:themeColor="text1"/>
          <w:sz w:val="22"/>
          <w:szCs w:val="22"/>
        </w:rPr>
        <w:t>,</w:t>
      </w:r>
      <w:r w:rsidR="00E93643" w:rsidRPr="00D637BA">
        <w:rPr>
          <w:rFonts w:ascii="Calibri" w:hAnsi="Calibri" w:cs="Calibri"/>
          <w:color w:val="000000" w:themeColor="text1"/>
          <w:sz w:val="22"/>
          <w:szCs w:val="22"/>
        </w:rPr>
        <w:t xml:space="preserve"> giving rise to </w:t>
      </w:r>
      <w:r w:rsidR="00E33A39" w:rsidRPr="00D637BA">
        <w:rPr>
          <w:rFonts w:ascii="Calibri" w:hAnsi="Calibri" w:cs="Calibri"/>
          <w:color w:val="000000" w:themeColor="text1"/>
          <w:sz w:val="22"/>
          <w:szCs w:val="22"/>
        </w:rPr>
        <w:t>“</w:t>
      </w:r>
      <w:r w:rsidR="001E341B" w:rsidRPr="00D637BA">
        <w:rPr>
          <w:rFonts w:ascii="Calibri" w:hAnsi="Calibri" w:cs="Calibri"/>
          <w:color w:val="000000" w:themeColor="text1"/>
          <w:sz w:val="22"/>
          <w:szCs w:val="22"/>
        </w:rPr>
        <w:t>cells that grow wildly</w:t>
      </w:r>
      <w:r w:rsidR="00B06F93" w:rsidRPr="00B946E4">
        <w:rPr>
          <w:rFonts w:ascii="Calibri" w:hAnsi="Calibri" w:cs="Calibri"/>
          <w:color w:val="000000" w:themeColor="text1"/>
          <w:sz w:val="22"/>
          <w:szCs w:val="22"/>
        </w:rPr>
        <w:t xml:space="preserve"> —</w:t>
      </w:r>
      <w:r w:rsidR="001E341B" w:rsidRPr="00D637BA">
        <w:rPr>
          <w:rFonts w:ascii="Calibri" w:hAnsi="Calibri" w:cs="Calibri"/>
          <w:color w:val="000000" w:themeColor="text1"/>
          <w:sz w:val="22"/>
          <w:szCs w:val="22"/>
        </w:rPr>
        <w:t xml:space="preserve"> the cancer cells</w:t>
      </w:r>
      <w:r w:rsidR="00E33A39" w:rsidRPr="00D637BA">
        <w:rPr>
          <w:rFonts w:ascii="Calibri" w:hAnsi="Calibri" w:cs="Calibri"/>
          <w:color w:val="000000" w:themeColor="text1"/>
          <w:sz w:val="22"/>
          <w:szCs w:val="22"/>
        </w:rPr>
        <w:t>”</w:t>
      </w:r>
      <w:r w:rsidR="00CB7F4A">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{"citationID":"arv7ju3h5g","properties":{"formattedCitation":"\\super 43,44\\nosupersub{}","plainCitation":"43,44","noteIndex":0},"citationItems":[{"id":2605,"uris":["http://zotero.org/users/4775618/items/8VB4SZ67"],"uri":["http://zotero.org/users/4775618/items/8VB4SZ67"],"itemData":{"id":2605,"type":"article-journal","title":"The Metabolism of Carcinoma Cells","container-title":"The Journal of Cancer Research","page":"148-163","volume":"9","issue":"1","source":"cancerres.aacrjournals.org.ezp.lib.cam.ac.uk","abstract":"When the problem of carcinoma is approached from the metabolic aspect, the first question which arises is: how does the metabolism of growing tissue differ from that of resting? The prospects of finding an answer to this question are good. Whether the mass of a given tissue is to remain constant, or, within a short period to increase many-fold, must be determined by the velocity of those processes which supply the driving forces for growth. Our task is to search for such processes and to compare their velocities in resting tissues and growing tissues.\nIf this question is solved, then the further inquiry must be made as to whether the manner of arrangement of growing cells is manifested in their metabolism. Does the metabolism of tumors, growing in a disorganized manner, differ from the metabolism of orderly cells growing at the same rate. The hope of solving this question must be considered slight in general, and rightly so, if it is only the form-building forces which tumors lack. For of all problems of physiology, that of form is the least approachable.\nYet it seems doubtful that only minute and unimportant differences should exist between the growth of young cells and those of tumors, instead of considerable physico-chemical differences. Progress in the carcinoma problem implies the adoption of the point of view involved by the latter alternative. This has been done and I shall try to show that it is the correct point of view.","URL":"http://cancerres.aacrjournals.org.ezp.lib.cam.ac.uk/content/9/1/148","DOI":"10.1158/jcr.1925.148","ISSN":"0099-7013","language":"en","author":[{"family":"Warburg","given":"Otto"}],"issued":{"date-parts":[["1925",3,1]]},"accessed":{"date-parts":[["2019",6,24]]}}},{"id":1261,"uris":["http://zotero.org/users/4775618/items/8QPBPQHG"],"uri":["http://zotero.org/users/4775618/items/8QPBPQHG"],"itemData":{"id":1261,"type":"article-journal","title":"On the origin of cancer cells","container-title":"Science (New York, N.Y.)","page":"309-314","volume":"123","issue":"3191","source":"PubMed","ISSN":"0036-8075","note":"PMID: 13298683","journalAbbreviation":"Science","language":"eng","author":[{"family":"Warburg","given":"O."}],"issued":{"date-parts":[["1956",2,24]]}}}],"schema":"https://github.com/citation-style-language/schema/raw/master/csl-citation.json"} </w:instrText>
      </w:r>
      <w:r w:rsidR="00CB7F4A">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43,44</w:t>
      </w:r>
      <w:r w:rsidR="00CB7F4A">
        <w:rPr>
          <w:rFonts w:ascii="Calibri" w:hAnsi="Calibri" w:cs="Calibri"/>
          <w:color w:val="000000" w:themeColor="text1"/>
          <w:sz w:val="22"/>
          <w:szCs w:val="22"/>
        </w:rPr>
        <w:fldChar w:fldCharType="end"/>
      </w:r>
      <w:r w:rsidR="001E341B" w:rsidRPr="00D637BA">
        <w:rPr>
          <w:rFonts w:ascii="Calibri" w:hAnsi="Calibri" w:cs="Calibri"/>
          <w:color w:val="000000" w:themeColor="text1"/>
          <w:sz w:val="22"/>
          <w:szCs w:val="22"/>
        </w:rPr>
        <w:t>.</w:t>
      </w:r>
      <w:r w:rsidR="005679D9" w:rsidRPr="00D637BA">
        <w:rPr>
          <w:rFonts w:ascii="Calibri" w:hAnsi="Calibri" w:cs="Calibri"/>
          <w:color w:val="000000" w:themeColor="text1"/>
          <w:sz w:val="22"/>
          <w:szCs w:val="22"/>
        </w:rPr>
        <w:t xml:space="preserve"> </w:t>
      </w:r>
      <w:r w:rsidR="00716BCB" w:rsidRPr="00D637BA">
        <w:rPr>
          <w:rFonts w:ascii="Calibri" w:hAnsi="Calibri" w:cs="Calibri"/>
          <w:color w:val="000000" w:themeColor="text1"/>
          <w:sz w:val="22"/>
          <w:szCs w:val="22"/>
        </w:rPr>
        <w:t xml:space="preserve">He suggested that </w:t>
      </w:r>
      <w:r w:rsidR="00716BCB" w:rsidRPr="00B946E4">
        <w:rPr>
          <w:rFonts w:ascii="Calibri" w:hAnsi="Calibri" w:cs="Calibri"/>
          <w:color w:val="000000" w:themeColor="text1"/>
          <w:sz w:val="22"/>
          <w:szCs w:val="22"/>
        </w:rPr>
        <w:t>t</w:t>
      </w:r>
      <w:r w:rsidR="00897E19" w:rsidRPr="00D637BA">
        <w:rPr>
          <w:rFonts w:ascii="Calibri" w:hAnsi="Calibri" w:cs="Calibri"/>
          <w:color w:val="000000" w:themeColor="text1"/>
          <w:sz w:val="22"/>
          <w:szCs w:val="22"/>
        </w:rPr>
        <w:t>he prime cause of cancer was mitochondrial dysfunction.</w:t>
      </w:r>
      <w:r w:rsidR="000167D7">
        <w:rPr>
          <w:rFonts w:ascii="Calibri" w:hAnsi="Calibri" w:cs="Calibri"/>
          <w:color w:val="000000" w:themeColor="text1"/>
          <w:sz w:val="22"/>
          <w:szCs w:val="22"/>
        </w:rPr>
        <w:t xml:space="preserve"> </w:t>
      </w:r>
      <w:r w:rsidR="00716BCB" w:rsidRPr="00B946E4">
        <w:rPr>
          <w:rFonts w:ascii="Calibri" w:hAnsi="Calibri" w:cs="Calibri"/>
          <w:color w:val="000000" w:themeColor="text1"/>
          <w:sz w:val="22"/>
          <w:szCs w:val="22"/>
        </w:rPr>
        <w:t xml:space="preserve">Warburg’s hypothesis was soon dismissed, however, owing to the </w:t>
      </w:r>
      <w:r w:rsidRPr="00D637BA">
        <w:rPr>
          <w:rFonts w:ascii="Calibri" w:hAnsi="Calibri" w:cs="Calibri"/>
          <w:color w:val="000000" w:themeColor="text1"/>
          <w:sz w:val="22"/>
          <w:szCs w:val="22"/>
        </w:rPr>
        <w:t xml:space="preserve">discovery of </w:t>
      </w:r>
      <w:r w:rsidR="00E33A39" w:rsidRPr="00D637BA">
        <w:rPr>
          <w:rFonts w:ascii="Calibri" w:hAnsi="Calibri" w:cs="Calibri"/>
          <w:color w:val="000000" w:themeColor="text1"/>
          <w:sz w:val="22"/>
          <w:szCs w:val="22"/>
        </w:rPr>
        <w:t xml:space="preserve">mutated </w:t>
      </w:r>
      <w:r w:rsidRPr="00D637BA">
        <w:rPr>
          <w:rFonts w:ascii="Calibri" w:hAnsi="Calibri" w:cs="Calibri"/>
          <w:color w:val="000000" w:themeColor="text1"/>
          <w:sz w:val="22"/>
          <w:szCs w:val="22"/>
        </w:rPr>
        <w:t>oncogenes and tumour suppressor genes</w:t>
      </w:r>
      <w:r w:rsidR="006D21D7" w:rsidRPr="00D637BA">
        <w:rPr>
          <w:rFonts w:ascii="Calibri" w:hAnsi="Calibri" w:cs="Calibri"/>
          <w:color w:val="000000" w:themeColor="text1"/>
          <w:sz w:val="22"/>
          <w:szCs w:val="22"/>
        </w:rPr>
        <w:t xml:space="preserve">, </w:t>
      </w:r>
      <w:r w:rsidR="00901EA7" w:rsidRPr="00D637BA">
        <w:rPr>
          <w:rFonts w:ascii="Calibri" w:hAnsi="Calibri" w:cs="Calibri"/>
          <w:color w:val="000000" w:themeColor="text1"/>
          <w:sz w:val="22"/>
          <w:szCs w:val="22"/>
        </w:rPr>
        <w:t>and</w:t>
      </w:r>
      <w:r w:rsidR="00E33A39"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altered metabolism </w:t>
      </w:r>
      <w:r w:rsidR="00716BCB" w:rsidRPr="00D637BA">
        <w:rPr>
          <w:rFonts w:ascii="Calibri" w:hAnsi="Calibri" w:cs="Calibri"/>
          <w:color w:val="000000" w:themeColor="text1"/>
          <w:sz w:val="22"/>
          <w:szCs w:val="22"/>
        </w:rPr>
        <w:t xml:space="preserve">was </w:t>
      </w:r>
      <w:r w:rsidR="00261368" w:rsidRPr="00D637BA">
        <w:rPr>
          <w:rFonts w:ascii="Calibri" w:hAnsi="Calibri" w:cs="Calibri"/>
          <w:color w:val="000000" w:themeColor="text1"/>
          <w:sz w:val="22"/>
          <w:szCs w:val="22"/>
        </w:rPr>
        <w:t>postulated</w:t>
      </w:r>
      <w:r w:rsidR="00716BCB" w:rsidRPr="00D637BA">
        <w:rPr>
          <w:rFonts w:ascii="Calibri" w:hAnsi="Calibri" w:cs="Calibri"/>
          <w:color w:val="000000" w:themeColor="text1"/>
          <w:sz w:val="22"/>
          <w:szCs w:val="22"/>
        </w:rPr>
        <w:t xml:space="preserve"> to be</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a bystander effect secondary to the genetic perturbations</w:t>
      </w:r>
      <w:r w:rsidR="00261368" w:rsidRPr="00D637BA">
        <w:rPr>
          <w:rFonts w:ascii="Calibri" w:hAnsi="Calibri" w:cs="Calibri"/>
          <w:color w:val="000000" w:themeColor="text1"/>
          <w:sz w:val="22"/>
          <w:szCs w:val="22"/>
        </w:rPr>
        <w:t xml:space="preserve"> that were</w:t>
      </w:r>
      <w:r w:rsidRPr="00D637BA">
        <w:rPr>
          <w:rFonts w:ascii="Calibri" w:hAnsi="Calibri" w:cs="Calibri"/>
          <w:color w:val="000000" w:themeColor="text1"/>
          <w:sz w:val="22"/>
          <w:szCs w:val="22"/>
        </w:rPr>
        <w:t xml:space="preserve"> identified in numerous cancers</w:t>
      </w:r>
      <w:r w:rsidR="00CB7F4A">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{"citationID":"a2o8295s29f","properties":{"formattedCitation":"\\super 46\\uc0\\u8211{}49\\nosupersub{}","plainCitation":"46–49","noteIndex":0},"citationItems":[{"id":1270,"uris":["http://zotero.org/users/4775618/items/UV3NI2D4"],"uri":["http://zotero.org/users/4775618/items/UV3NI2D4"],"itemData":{"id":1270,"type":"article-journal","title":"Elevated levels of glucose transport and transporter messenger RNA are induced by ras or src oncogenes","container-title":"Science (New York, N.Y.)","page":"1492-1495","volume":"235","issue":"4795","source":"PubMed","abstract":"An accelerated rate of glucose transport is among the most characteristic biochemical markers of cellular transformation. To study the molecular mechanism by which transporter activity is altered, cultured rodent fibroblasts transfected with activated myc, ras, or src oncogenes were used. In myc-transfected cells, the rate of 2-deoxy-D-glucose uptake was unchanged. However, in cells transfected with activated ras and src oncogenes, the rate of glucose uptake was markedly increased. The increased transport rate in ras- and src-transfected cells was paralleled by a marked increase in the amount of glucose transporter protein, as assessed by immunoblots, as well as by a markedly increased abundance of glucose transporter messenger RNA. Exposure of control cells to the tumor-promoting phorbol ester 12-O-tetradecanoyl phorbol-13-acetate (TPA) for 18 hours had a similar effect of increasing the rate of glucose transport and the abundance of transporter messenger RNA. For ras, src, and TPA, the predominant mechanism responsible for activation of the transport system is increased expression of the structural gene encoding the glucose transport protein.","ISSN":"0036-8075","note":"PMID: 3103217","journalAbbreviation":"Science","language":"eng","author":[{"family":"Flier","given":"J. S."},{"family":"Mueckler","given":"M. M."},{"family":"Usher","given":"P."},{"family":"Lodish","given":"H. F."}],"issued":{"date-parts":[["1987",3,20]]}}},{"id":290,"uris":["http://zotero.org/users/4775618/items/PP39XJQC"],"uri":["http://zotero.org/users/4775618/items/PP39XJQC"],"itemData":{"id":290,"type":"article-journal","title":"Inborn and acquired metabolic defects in cancer","container-title":"Journal of Molecular Medicine","page":"213-220","volume":"89","issue":"3","source":"link.springer.com","abstract":"The observation that altered metabolism is the fundamental cause of cancer was made by Otto Warburg nearly a century ago. However, the subsequent identification of oncogenes and tumor suppressor genes has displaced Warburg's theory pointing towards genetic aberrations as the underlining cause of cancer. Nevertheless, in the last decade, cancer-associated mutations have been identified in genes coding for tricarboxylic acid cycle (TCA cycle, also known as Krebs cycle) and closely related enzymes that have essential roles in cellular metabolism. These observations have revived interest in Warburg's hypothesis and prompted a flurry of functional studies in the hope of gaining mechanistic insight into the links between mitochondrial dysfunction, metabolic alterations, and cancer. In this review, we discuss the potential pro-oncogenic signaling role of some TCA cycle metabolites and their derivatives (oncometabolites). In particular, we focus on their effects on dioxygenases, a family of oxygen and α-ketoglutarate-dependent enzymes that control, among other things, the levels and activity of the hypoxia-inducible transcription factors and the activity of DNA and histone demethylases.","URL":"https://link.springer.com/article/10.1007/s00109-011-0728-4","DOI":"10.1007/s00109-011-0728-4","ISSN":"0946-2716, 1432-1440","journalAbbreviation":"J Mol Med","language":"en","author":[{"family":"Frezza","given":"Christian"},{"family":"Pollard","given":"Patrick J."},{"family":"Gottlieb","given":"Eyal"}],"issued":{"date-parts":[["2011",3,1]]},"accessed":{"date-parts":[["2018",3,24]]}}},{"id":1263,"uris":["http://zotero.org/users/4775618/items/BVD9WFRZ"],"uri":["http://zotero.org/users/4775618/items/BVD9WFRZ"],"itemData":{"id":1263,"type":"article-journal","title":"The promise of cancer genetics","container-title":"The Lancet","page":"SII1-SII8","volume":"351","source":"www.thelancet.com","abstract":"The genes that play a major role in the development of cancer are divided into two\nmajor classes, the oncogenes and the tumour-suppressor genes. Oncogenes were discovered\nthrough study of tumour-causing retroviruses in avian and rodent models. These so-called\nacute transforming viruses had each evolved to incorporate a copy of particular mammalian\ngenes into their genomes.1 The normally functioning cellular counterparts of the viral\noncogenes, termed proto-oncogenes, have important roles in diverse signaling pathways\nthat regulate embryonic development, cell renewal in adult tissues, differentiation,\nand programmed cell death.","URL":"https://www.thelancet.com/journals/lancet/article/PIIS0140-6736(98)90326-9/abstract","DOI":"10.1016/S0140-6736(98)90326-9","ISSN":"0140-6736, 1474-547X","note":"PMID: 9606360","journalAbbreviation":"The Lancet","language":"English","author":[{"family":"Haber","given":"Daniel A."},{"family":"Fearon","given":"Eric R."}],"issued":{"date-parts":[["1998",5,1]]},"accessed":{"date-parts":[["2019",2,20]]}}},{"id":1258,"uris":["http://zotero.org/users/4775618/items/ITFUKD2M"],"uri":["http://zotero.org/users/4775618/items/ITFUKD2M"],"itemData":{"id":1258,"type":"article-journal","title":"The Warburg Effect: How Does it Benefit Cancer Cells?","container-title":"Trends in biochemical sciences","page":"211-218","volume":"41","issue":"3","source":"PubMed Central","abstract":"Cancer cells rewire their metabolism to promote growth, survival, proliferation, and long-term maintenance. The common feature of this altered metabolism is increased glucose uptake and fermentation of glucose to lactate. This phenomenon is observed even in the presence of completely functioning mitochondria and together is known as the Warburg Effect. The Warburg Effect has been documented for over 90 years and extensively studied over the past 10 years with thousands of papers reporting to have established either its causes or its functions. Despite this intense interest, the function of the Warburg Effect remains unclear. Here, we analyze several proposed biological explanations for the Warburg Effect, emphasize their rationale, and discuss their controversies.","URL":"https://www.ncbi.nlm.nih.gov/pmc/articles/PMC4783224/","DOI":"10.1016/j.tibs.2015.12.001","ISSN":"0968-0004","note":"PMID: 26778478\nPMCID: PMC4783224","title-short":"The Warburg Effect","journalAbbreviation":"Trends Biochem Sci","author":[{"family":"Liberti","given":"Maria V."},{"family":"Locasale","given":"Jason W."}],"issued":{"date-parts":[["2016",3]]},"accessed":{"date-parts":[["2019",2,20]]}}}],"schema":"https://github.com/citation-style-language/schema/raw/master/csl-citation.json"} </w:instrText>
      </w:r>
      <w:r w:rsidR="00CB7F4A">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46–49</w:t>
      </w:r>
      <w:r w:rsidR="00CB7F4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p>
    <w:p w14:paraId="49B56DFE" w14:textId="2F415FFB" w:rsidR="006C13E1" w:rsidRPr="004A305C" w:rsidRDefault="001C6EC0" w:rsidP="004A305C">
      <w:pPr>
        <w:spacing w:line="360" w:lineRule="auto"/>
        <w:ind w:firstLine="454"/>
        <w:jc w:val="both"/>
        <w:rPr>
          <w:rFonts w:ascii="Calibri" w:hAnsi="Calibri" w:cs="Calibri"/>
          <w:color w:val="000000"/>
          <w:sz w:val="22"/>
          <w:lang w:val="en-US"/>
        </w:rPr>
      </w:pPr>
      <w:r w:rsidRPr="00D637BA">
        <w:rPr>
          <w:rFonts w:ascii="Calibri" w:hAnsi="Calibri" w:cs="Calibri"/>
          <w:color w:val="000000" w:themeColor="text1"/>
          <w:sz w:val="22"/>
          <w:szCs w:val="22"/>
        </w:rPr>
        <w:t xml:space="preserve">In the early 2000s, </w:t>
      </w:r>
      <w:r w:rsidR="00F93504" w:rsidRPr="00D637BA">
        <w:rPr>
          <w:rFonts w:ascii="Calibri" w:hAnsi="Calibri" w:cs="Calibri"/>
          <w:color w:val="000000" w:themeColor="text1"/>
          <w:sz w:val="22"/>
          <w:szCs w:val="22"/>
        </w:rPr>
        <w:t>Warburg’s hypothesis</w:t>
      </w:r>
      <w:r w:rsidR="00F131BF" w:rsidRPr="00D637BA">
        <w:rPr>
          <w:rFonts w:ascii="Calibri" w:hAnsi="Calibri" w:cs="Calibri"/>
          <w:color w:val="000000" w:themeColor="text1"/>
          <w:sz w:val="22"/>
          <w:szCs w:val="22"/>
        </w:rPr>
        <w:t xml:space="preserve"> came full circle when several genetic perturbations in genes encoding two key enzymes in the TCA cycle, </w:t>
      </w:r>
      <w:r w:rsidR="00F131BF" w:rsidRPr="00D637BA">
        <w:rPr>
          <w:rFonts w:ascii="Calibri" w:hAnsi="Calibri" w:cs="Calibri"/>
          <w:i/>
          <w:color w:val="000000" w:themeColor="text1"/>
          <w:sz w:val="22"/>
          <w:szCs w:val="22"/>
        </w:rPr>
        <w:t>FH</w:t>
      </w:r>
      <w:r w:rsidR="004A305C">
        <w:rPr>
          <w:rFonts w:ascii="Calibri" w:hAnsi="Calibri" w:cs="Calibri"/>
          <w:i/>
          <w:color w:val="000000" w:themeColor="text1"/>
          <w:sz w:val="22"/>
          <w:szCs w:val="22"/>
        </w:rPr>
        <w:fldChar w:fldCharType="begin"/>
      </w:r>
      <w:r w:rsidR="00F23309">
        <w:rPr>
          <w:rFonts w:ascii="Calibri" w:hAnsi="Calibri" w:cs="Calibri"/>
          <w:i/>
          <w:color w:val="000000" w:themeColor="text1"/>
          <w:sz w:val="22"/>
          <w:szCs w:val="22"/>
        </w:rPr>
        <w:instrText xml:space="preserve"> ADDIN ZOTERO_ITEM CSL_CITATION {"citationID":"a2f28r3nl5m","properties":{"formattedCitation":"\\super 16\\nosupersub{}","plainCitation":"16","noteIndex":0},"citationItems":[{"id":714,"uris":["http://zotero.org/users/4775618/items/G64B7NRG"],"uri":["http://zotero.org/users/4775618/items/G64B7NRG"],"itemData":{"id":714,"type":"article-journal","title":"Germline mutations in FH predispose to dominantly inherited uterine fibroids, skin leiomyomata and papillary renal cell cancer","container-title":"Nature Genetics","page":"406-410","volume":"30","issue":"4","source":"Crossref","URL":"http://www.nature.com/articles/ng849","DOI":"10.1038/ng849","ISSN":"1061-4036, 1546-1718","language":"en","author":[{"literal":"The Multiple Leiomyoma Consortium"}],"issued":{"date-parts":[["2002",4]]},"accessed":{"date-parts":[["2018",9,2]]}}}],"schema":"https://github.com/citation-style-language/schema/raw/master/csl-citation.json"} </w:instrText>
      </w:r>
      <w:r w:rsidR="004A305C">
        <w:rPr>
          <w:rFonts w:ascii="Calibri" w:hAnsi="Calibri" w:cs="Calibri"/>
          <w:i/>
          <w:color w:val="000000" w:themeColor="text1"/>
          <w:sz w:val="22"/>
          <w:szCs w:val="22"/>
        </w:rPr>
        <w:fldChar w:fldCharType="separate"/>
      </w:r>
      <w:r w:rsidR="00F23309" w:rsidRPr="00F23309">
        <w:rPr>
          <w:rFonts w:ascii="Calibri" w:hAnsi="Calibri" w:cs="Calibri"/>
          <w:color w:val="000000"/>
          <w:sz w:val="22"/>
          <w:vertAlign w:val="superscript"/>
          <w:lang w:val="en-US"/>
        </w:rPr>
        <w:t>16</w:t>
      </w:r>
      <w:r w:rsidR="004A305C">
        <w:rPr>
          <w:rFonts w:ascii="Calibri" w:hAnsi="Calibri" w:cs="Calibri"/>
          <w:i/>
          <w:color w:val="000000" w:themeColor="text1"/>
          <w:sz w:val="22"/>
          <w:szCs w:val="22"/>
        </w:rPr>
        <w:fldChar w:fldCharType="end"/>
      </w:r>
      <w:r w:rsidR="00F131BF" w:rsidRPr="00D637BA">
        <w:rPr>
          <w:rFonts w:ascii="Calibri" w:hAnsi="Calibri" w:cs="Calibri"/>
          <w:color w:val="000000" w:themeColor="text1"/>
          <w:sz w:val="22"/>
          <w:szCs w:val="22"/>
        </w:rPr>
        <w:t xml:space="preserve"> and </w:t>
      </w:r>
      <w:r w:rsidR="00F131BF" w:rsidRPr="00D637BA">
        <w:rPr>
          <w:rFonts w:ascii="Calibri" w:hAnsi="Calibri" w:cs="Calibri"/>
          <w:i/>
          <w:color w:val="000000" w:themeColor="text1"/>
          <w:sz w:val="22"/>
          <w:szCs w:val="22"/>
        </w:rPr>
        <w:t>SDH</w:t>
      </w:r>
      <w:r w:rsidR="004A305C">
        <w:rPr>
          <w:rFonts w:ascii="Calibri" w:hAnsi="Calibri" w:cs="Calibri"/>
          <w:i/>
          <w:color w:val="000000" w:themeColor="text1"/>
          <w:sz w:val="22"/>
          <w:szCs w:val="22"/>
        </w:rPr>
        <w:fldChar w:fldCharType="begin"/>
      </w:r>
      <w:r w:rsidR="00F23309">
        <w:rPr>
          <w:rFonts w:ascii="Calibri" w:hAnsi="Calibri" w:cs="Calibri"/>
          <w:i/>
          <w:color w:val="000000" w:themeColor="text1"/>
          <w:sz w:val="22"/>
          <w:szCs w:val="22"/>
        </w:rPr>
        <w:instrText xml:space="preserve"> ADDIN ZOTERO_ITEM CSL_CITATION {"citationID":"a2jmb580qkm","properties":{"formattedCitation":"\\super 41,42,50\\nosupersub{}","plainCitation":"41,42,50","noteIndex":0},"citationItems":[{"id":1255,"uris":["http://zotero.org/users/4775618/items/3IQLZG9U"],"uri":["http://zotero.org/users/4775618/items/3IQLZG9U"],"itemData":{"id":1255,"type":"article-journal","title":"Gene mutations in the succinate dehydrogenase subunit SDHB cause susceptibility to familial pheochromocytoma and to familial paraganglioma","container-title":"American Journal of Human Genetics","page":"49-54","volume":"69","issue":"1","source":"PubMed","abstract":"The pheochromocytomas are an important cause of secondary hypertension. Although pheochromocytoma susceptibility may be associated with germline mutations in the tumor-suppressor genes VHL and NF1 and in the proto-oncogene RET, the genetic basis for most cases of nonsyndromic familial pheochromocytoma is unknown. Recently, pheochromocytoma susceptibility has been associated with germline SDHD mutations. Germline SDHD mutations were originally described in hereditary paraganglioma, a dominantly inherited disorder characterized by vascular tumors in the head and the neck, most frequently at the carotid bifurcation. The gene products of two components of succinate dehydrogenase, SDHC and SDHD, anchor the gene products of two other components, SDHA and SDHB, which form the catalytic core, to the inner-mitochondrial membrane. Although mutations in SDHC and in SDHD may cause hereditary paraganglioma, germline SDHA mutations are associated with juvenile encephalopathy, and the phenotypic consequences of SDHB mutations have not been defined. To investigate the genetic causes of pheochromocytoma, we analyzed SDHB and SDHC, in familial and in sporadic cases. Inactivating SDHB mutations were detected in two of the five kindreds with familial pheochromocytoma, two of the three kindreds with pheochromocytoma and paraganglioma susceptibility, and 1 of the 24 cases of sporadic pheochromocytoma. These findings extend the link between mitochondrial dysfunction and tumorigenesis and suggest that germline SDHB mutations are an important cause of pheochromocytoma susceptibility.","DOI":"10.1086/321282","ISSN":"0002-9297","note":"PMID: 11404820\nPMCID: PMC1226047","journalAbbreviation":"Am. J. Hum. Genet.","language":"eng","author":[{"family":"Astuti","given":"D."},{"family":"Latif","given":"F."},{"family":"Dallol","given":"A."},{"family":"Dahia","given":"P. L."},{"family":"Douglas","given":"F."},{"family":"George","given":"E."},{"family":"Sköldberg","given":"F."},{"family":"Husebye","given":"E. S."},{"family":"Eng","given":"C."},{"family":"Maher","given":"E. R."}],"issued":{"date-parts":[["2001",7]]}}},{"id":1272,"uris":["http://zotero.org/users/4775618/items/CC2V9Q3B"],"uri":["http://zotero.org/users/4775618/items/CC2V9Q3B"],"itemData":{"id":1272,"type":"article-journal","title":"Mutations in SDHD, a mitochondrial complex II gene, in hereditary paraganglioma","container-title":"Science (New York, N.Y.)","page":"848-851","volume":"287","issue":"5454","source":"PubMed","abstract":"Hereditary paraganglioma (PGL) is characterized by the development of benign, vascularized tumors in the head and neck. The most common tumor site is the carotid body (CB), a chemoreceptive organ that senses oxygen levels in the blood. Analysis of families carrying the PGL1 gene, described here, revealed germ line mutations in the SDHD gene on chromosome 11q23. SDHD encodes a mitochondrial respiratory chain protein-the small subunit of cytochrome b in succinate-ubiquinone oxidoreductase (cybS). In contrast to expectations based on the inheritance pattern of PGL, the SDHD gene showed no evidence of imprinting. These findings indicate that mitochondria play an important role in the pathogenesis of certain tumors and that cybS plays a role in normal CB physiology.","ISSN":"0036-8075","note":"PMID: 10657297","journalAbbreviation":"Science","language":"eng","author":[{"family":"Baysal","given":"B. E."},{"family":"Ferrell","given":"R. E."},{"family":"Willett-Brozick","given":"J. E."},{"family":"Lawrence","given":"E. C."},{"family":"Myssiorek","given":"D."},{"family":"Bosch","given":"A."},{"family":"Mey","given":"A.","non-dropping-particle":"van der"},{"family":"Taschner","given":"P. E."},{"family":"Rubinstein","given":"W. S."},{"family":"Myers","given":"E. N."},{"family":"Richard","given":"C. W."},{"family":"Cornelisse","given":"C. J."},{"family":"Devilee","given":"P."},{"family":"Devlin","given":"B."}],"issued":{"date-parts":[["2000",2,4]]}}},{"id":1253,"uris":["http://zotero.org/users/4775618/items/XSF4IVGV"],"uri":["http://zotero.org/users/4775618/items/XSF4IVGV"],"itemData":{"id":1253,"type":"article-journal","title":"Mutations in SDHC cause autosomal dominant paraganglioma, type 3","container-title":"Nature Genetics","page":"268-270","volume":"26","issue":"3","source":"PubMed","abstract":"Nonchromaffin paragangliomas (PGLs) are usually benign, neural-crest-derived, slow-growing tumours of parasympathetic ganglia. Between 10% and 50% of cases are familial and are transmitted as autosomal dominant traits with incomplete and age-dependent penetrance.","DOI":"10.1038/81551","ISSN":"1061-4036","note":"PMID: 11062460","journalAbbreviation":"Nat. Genet.","language":"eng","author":[{"family":"Niemann","given":"S."},{"family":"Müller","given":"U."}],"issued":{"date-parts":[["2000",11]]}}}],"schema":"https://github.com/citation-style-language/schema/raw/master/csl-citation.json"} </w:instrText>
      </w:r>
      <w:r w:rsidR="004A305C">
        <w:rPr>
          <w:rFonts w:ascii="Calibri" w:hAnsi="Calibri" w:cs="Calibri"/>
          <w:i/>
          <w:color w:val="000000" w:themeColor="text1"/>
          <w:sz w:val="22"/>
          <w:szCs w:val="22"/>
        </w:rPr>
        <w:fldChar w:fldCharType="separate"/>
      </w:r>
      <w:r w:rsidR="00F23309" w:rsidRPr="00F23309">
        <w:rPr>
          <w:rFonts w:ascii="Calibri" w:hAnsi="Calibri" w:cs="Calibri"/>
          <w:color w:val="000000"/>
          <w:sz w:val="22"/>
          <w:vertAlign w:val="superscript"/>
          <w:lang w:val="en-US"/>
        </w:rPr>
        <w:t>41,42,50</w:t>
      </w:r>
      <w:r w:rsidR="004A305C">
        <w:rPr>
          <w:rFonts w:ascii="Calibri" w:hAnsi="Calibri" w:cs="Calibri"/>
          <w:i/>
          <w:color w:val="000000" w:themeColor="text1"/>
          <w:sz w:val="22"/>
          <w:szCs w:val="22"/>
        </w:rPr>
        <w:fldChar w:fldCharType="end"/>
      </w:r>
      <w:r w:rsidR="00261368"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were implicated in the development of </w:t>
      </w:r>
      <w:r w:rsidR="00B0672B" w:rsidRPr="00B946E4">
        <w:rPr>
          <w:rFonts w:ascii="Calibri" w:hAnsi="Calibri" w:cs="Calibri"/>
          <w:color w:val="FF0000"/>
          <w:sz w:val="22"/>
          <w:szCs w:val="22"/>
        </w:rPr>
        <w:t xml:space="preserve">hereditary leiomyomatosis </w:t>
      </w:r>
      <w:r w:rsidR="00F131BF" w:rsidRPr="00B946E4">
        <w:rPr>
          <w:rFonts w:ascii="Calibri" w:hAnsi="Calibri" w:cs="Calibri"/>
          <w:color w:val="FF0000"/>
          <w:sz w:val="22"/>
          <w:szCs w:val="22"/>
        </w:rPr>
        <w:t xml:space="preserve">and </w:t>
      </w:r>
      <w:r w:rsidR="00B0672B" w:rsidRPr="00B946E4">
        <w:rPr>
          <w:rFonts w:ascii="Calibri" w:hAnsi="Calibri" w:cs="Calibri"/>
          <w:color w:val="FF0000"/>
          <w:sz w:val="22"/>
          <w:szCs w:val="22"/>
        </w:rPr>
        <w:t xml:space="preserve">renal cell cancer </w:t>
      </w:r>
      <w:r w:rsidR="00F131BF" w:rsidRPr="00B946E4">
        <w:rPr>
          <w:rFonts w:ascii="Calibri" w:hAnsi="Calibri" w:cs="Calibri"/>
          <w:color w:val="FF0000"/>
          <w:sz w:val="22"/>
          <w:szCs w:val="22"/>
        </w:rPr>
        <w:t>(HLRCC)</w:t>
      </w:r>
      <w:r w:rsidR="004C2FDF" w:rsidRPr="00D637BA">
        <w:rPr>
          <w:rFonts w:ascii="Calibri" w:hAnsi="Calibri" w:cs="Calibri"/>
          <w:sz w:val="22"/>
          <w:szCs w:val="22"/>
        </w:rPr>
        <w:t xml:space="preserve"> </w:t>
      </w:r>
      <w:r w:rsidR="004C2FDF" w:rsidRPr="00D637BA">
        <w:rPr>
          <w:rFonts w:ascii="Calibri" w:hAnsi="Calibri" w:cs="Calibri"/>
          <w:b/>
          <w:color w:val="0000FF"/>
          <w:sz w:val="22"/>
          <w:szCs w:val="22"/>
        </w:rPr>
        <w:t>[G]</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and </w:t>
      </w:r>
      <w:r w:rsidR="00F131BF" w:rsidRPr="00B946E4">
        <w:rPr>
          <w:rFonts w:ascii="Calibri" w:hAnsi="Calibri" w:cs="Calibri"/>
          <w:color w:val="FF0000"/>
          <w:sz w:val="22"/>
          <w:szCs w:val="22"/>
        </w:rPr>
        <w:t xml:space="preserve">hereditary </w:t>
      </w:r>
      <w:r w:rsidR="00B0672B" w:rsidRPr="00B946E4">
        <w:rPr>
          <w:rFonts w:ascii="Calibri" w:hAnsi="Calibri" w:cs="Calibri"/>
          <w:color w:val="FF0000"/>
          <w:sz w:val="22"/>
          <w:szCs w:val="22"/>
        </w:rPr>
        <w:t>paraganglioma</w:t>
      </w:r>
      <w:r w:rsidR="004C2FDF" w:rsidRPr="00B946E4">
        <w:rPr>
          <w:rFonts w:ascii="Calibri" w:hAnsi="Calibri" w:cs="Calibri"/>
          <w:color w:val="FF0000"/>
          <w:sz w:val="22"/>
          <w:szCs w:val="22"/>
        </w:rPr>
        <w:t xml:space="preserve"> </w:t>
      </w:r>
      <w:r w:rsidR="00F131BF" w:rsidRPr="00B946E4">
        <w:rPr>
          <w:rFonts w:ascii="Calibri" w:hAnsi="Calibri" w:cs="Calibri"/>
          <w:color w:val="FF0000"/>
          <w:sz w:val="22"/>
          <w:szCs w:val="22"/>
        </w:rPr>
        <w:t>(PGL)</w:t>
      </w:r>
      <w:r w:rsidR="004C2FDF" w:rsidRPr="00D637BA">
        <w:rPr>
          <w:rFonts w:ascii="Calibri" w:hAnsi="Calibri" w:cs="Calibri"/>
          <w:sz w:val="22"/>
          <w:szCs w:val="22"/>
        </w:rPr>
        <w:t xml:space="preserve"> </w:t>
      </w:r>
      <w:r w:rsidR="004C2FDF" w:rsidRPr="00D637BA">
        <w:rPr>
          <w:rFonts w:ascii="Calibri" w:hAnsi="Calibri" w:cs="Calibri"/>
          <w:b/>
          <w:color w:val="0000FF"/>
          <w:sz w:val="22"/>
          <w:szCs w:val="22"/>
        </w:rPr>
        <w:t>[G]</w:t>
      </w:r>
      <w:r w:rsidR="004C2FDF" w:rsidRPr="00D637BA">
        <w:rPr>
          <w:rFonts w:ascii="Calibri" w:hAnsi="Calibri" w:cs="Calibri"/>
          <w:sz w:val="22"/>
          <w:szCs w:val="22"/>
        </w:rPr>
        <w:t xml:space="preserve"> </w:t>
      </w:r>
      <w:r w:rsidR="00F131BF" w:rsidRPr="00D637BA">
        <w:rPr>
          <w:rFonts w:ascii="Calibri" w:hAnsi="Calibri" w:cs="Calibri"/>
          <w:color w:val="000000" w:themeColor="text1"/>
          <w:sz w:val="22"/>
          <w:szCs w:val="22"/>
        </w:rPr>
        <w:t xml:space="preserve">, respectively. </w:t>
      </w:r>
      <w:r w:rsidR="004A1233" w:rsidRPr="00D637BA">
        <w:rPr>
          <w:rFonts w:ascii="Calibri" w:hAnsi="Calibri" w:cs="Calibri"/>
          <w:color w:val="000000" w:themeColor="text1"/>
          <w:sz w:val="22"/>
          <w:szCs w:val="22"/>
        </w:rPr>
        <w:t>Subsequent s</w:t>
      </w:r>
      <w:r w:rsidR="00F131BF" w:rsidRPr="00D637BA">
        <w:rPr>
          <w:rFonts w:ascii="Calibri" w:hAnsi="Calibri" w:cs="Calibri"/>
          <w:color w:val="000000" w:themeColor="text1"/>
          <w:sz w:val="22"/>
          <w:szCs w:val="22"/>
        </w:rPr>
        <w:t>eminal studies uncovered unconventional and novel role</w:t>
      </w:r>
      <w:r w:rsidR="00284B3F" w:rsidRPr="00D637BA">
        <w:rPr>
          <w:rFonts w:ascii="Calibri" w:hAnsi="Calibri" w:cs="Calibri"/>
          <w:color w:val="000000" w:themeColor="text1"/>
          <w:sz w:val="22"/>
          <w:szCs w:val="22"/>
        </w:rPr>
        <w:t>s</w:t>
      </w:r>
      <w:r w:rsidR="006A087D" w:rsidRPr="00D637BA">
        <w:rPr>
          <w:rFonts w:ascii="Calibri" w:hAnsi="Calibri" w:cs="Calibri"/>
          <w:color w:val="000000" w:themeColor="text1"/>
          <w:sz w:val="22"/>
          <w:szCs w:val="22"/>
        </w:rPr>
        <w:t xml:space="preserve"> of </w:t>
      </w:r>
      <w:r w:rsidR="00F131BF" w:rsidRPr="00D637BA">
        <w:rPr>
          <w:rFonts w:ascii="Calibri" w:hAnsi="Calibri" w:cs="Calibri"/>
          <w:color w:val="000000" w:themeColor="text1"/>
          <w:sz w:val="22"/>
          <w:szCs w:val="22"/>
        </w:rPr>
        <w:t>fumarate and succinate in deregulating the HIF pathway through direct inhibition of prolyl hydroxylase</w:t>
      </w:r>
      <w:r w:rsidR="00785E64"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 (PHD</w:t>
      </w:r>
      <w:r w:rsidR="001676A4"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 </w:t>
      </w:r>
      <w:r w:rsidR="00261368" w:rsidRPr="00D637BA">
        <w:rPr>
          <w:rFonts w:ascii="Calibri" w:hAnsi="Calibri" w:cs="Calibri"/>
          <w:color w:val="000000" w:themeColor="text1"/>
          <w:sz w:val="22"/>
          <w:szCs w:val="22"/>
        </w:rPr>
        <w:t>which have roles in</w:t>
      </w:r>
      <w:r w:rsidR="00F131BF" w:rsidRPr="00D637BA">
        <w:rPr>
          <w:rFonts w:ascii="Calibri" w:hAnsi="Calibri" w:cs="Calibri"/>
          <w:color w:val="000000" w:themeColor="text1"/>
          <w:sz w:val="22"/>
          <w:szCs w:val="22"/>
        </w:rPr>
        <w:t xml:space="preserve"> </w:t>
      </w:r>
      <w:r w:rsidR="000167D7">
        <w:rPr>
          <w:rFonts w:ascii="Calibri" w:hAnsi="Calibri" w:cs="Calibri"/>
          <w:color w:val="000000" w:themeColor="text1"/>
          <w:sz w:val="22"/>
          <w:szCs w:val="22"/>
        </w:rPr>
        <w:t>targeting</w:t>
      </w:r>
      <w:r w:rsidR="00F131BF" w:rsidRPr="00D637BA">
        <w:rPr>
          <w:rFonts w:ascii="Calibri" w:hAnsi="Calibri" w:cs="Calibri"/>
          <w:color w:val="000000" w:themeColor="text1"/>
          <w:sz w:val="22"/>
          <w:szCs w:val="22"/>
        </w:rPr>
        <w:t xml:space="preserve"> HIF </w:t>
      </w:r>
      <w:r w:rsidR="000167D7">
        <w:rPr>
          <w:rFonts w:ascii="Calibri" w:hAnsi="Calibri" w:cs="Calibri"/>
          <w:color w:val="000000" w:themeColor="text1"/>
          <w:sz w:val="22"/>
          <w:szCs w:val="22"/>
        </w:rPr>
        <w:t xml:space="preserve">for </w:t>
      </w:r>
      <w:r w:rsidR="00F131BF" w:rsidRPr="00D637BA">
        <w:rPr>
          <w:rFonts w:ascii="Calibri" w:hAnsi="Calibri" w:cs="Calibri"/>
          <w:color w:val="000000" w:themeColor="text1"/>
          <w:sz w:val="22"/>
          <w:szCs w:val="22"/>
        </w:rPr>
        <w:t>degradation</w:t>
      </w:r>
      <w:r w:rsidR="004A305C">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{"citationID":"a9sn7m5i6b","properties":{"formattedCitation":"\\super 26,27,29\\nosupersub{}","plainCitation":"26,27,29","noteIndex":0},"citationItems":[{"id":367,"uris":["http://zotero.org/users/4775618/items/7IDKHAAU"],"uri":["http://zotero.org/users/4775618/items/7IDKHAAU"],"itemData":{"id":367,"type":"article-journal","title":"HIF overexpression correlates with biallelic loss of fumarate hydratase in renal cancer: Novel role of fumarate in regulation of HIF stability","container-title":"Cancer Cell","page":"143-153","volume":"8","issue":"2","source":"www.cell.com","URL":"http://www.cell.com/cancer-cell/abstract/S1535-6108(05)00226-6","DOI":"10.1016/j.ccr.2005.06.017","ISSN":"1535-6108, 1878-3686","note":"PMID: 16098467","title-short":"HIF overexpression correlates with biallelic loss of fumarate hydratase in renal cancer","journalAbbreviation":"Cancer Cell","language":"English","author":[{"family":"Isaacs","given":"Jennifer S."},{"family":"Jung","given":"Yun Jin"},{"family":"Mole","given":"David R."},{"family":"Lee","given":"Sunmin"},{"family":"Torres-Cabala","given":"Carlos"},{"family":"Chung","given":"Yuen-Li"},{"family":"Merino","given":"Maria"},{"family":"Trepel","given":"Jane"},{"family":"Zbar","given":"Berton"},{"family":"Toro","given":"Jorge"},{"family":"Ratcliffe","given":"Peter J."},{"family":"Linehan","given":"W. Marston"},{"family":"Neckers","given":"Len"}],"issued":{"date-parts":[["2005",8,1]]},"accessed":{"date-parts":[["2018",4,2]]}}},{"id":283,"uris":["http://zotero.org/users/4775618/items/GSI53XGT"],"uri":["http://zotero.org/users/4775618/items/GSI53XGT"],"itemData":{"id":283,"type":"article-journal","title":"Accumulation of Krebs cycle intermediates and over-expression of HIF1α in tumours which result from germline FH and SDH mutations","container-title":"Human Molecular Genetics","page":"2231-2239","volume":"14","issue":"15","source":"academic.oup.com","abstract":"The nuclear-encoded Krebs cycle enzymes, fumarate hydratase (FH) and succinate dehydrogenase (SDHB, -C and -D), act as tumour suppressors. Germline mutations in FH predispose individuals to leiomyomas and renal cell cancer (HLRCC), whereas mutations in SDH cause paragangliomas and phaeochromocytomas (HPGL). In this study, we have shown that FH-deficient cells and tumours accumulate fumarate and, to a lesser extent, succinate. SDH-deficient tumours principally accumulate succinate. In situ analyses showed that these tumours also have over-expression of hypoxia-inducible factor 1α (HIF1α), activation of HIF1αtargets (such as vascular endothelial growth factor) and high microvessel density. We found no evidence of increased reactive oxygen species in our cells. Our data provide in vivo evidence to support the hypothesis that increased succinate and/or fumarate causes stabilization of HIF1α a plausible mechanism, inhibition of HIF prolyl hydroxylases, has previously been suggested by in vitro studies. The basic mechanism of tumorigenesis in HPGL and HLRCC is likely to be pseudo-hypoxic drive, just as it is in von Hippel–Lindau syndrome.","URL":"https://academic.oup.com/hmg/article/14/15/2231/551734","DOI":"10.1093/hmg/ddi227","ISSN":"0964-6906","journalAbbreviation":"Hum Mol Genet","language":"en","author":[{"family":"Pollard","given":"P. J."},{"family":"Brière","given":"J. J."},{"family":"Alam","given":"N. A."},{"family":"Barwell","given":"J."},{"family":"Barclay","given":"E."},{"family":"Wortham","given":"N. C."},{"family":"Hunt","given":"T."},{"family":"Mitchell","given":"M."},{"family":"Olpin","given":"S."},{"family":"Moat","given":"S. J."},{"family":"Hargreaves","given":"I. P."},{"family":"Heales","given":"S. J."},{"family":"Chung","given":"Y. L."},{"family":"Griffiths","given":"J. R."},{"family":"Dalgleish","given":"A."},{"family":"McGrath","given":"J. A."},{"family":"Gleeson","given":"M. J."},{"family":"Hodgson","given":"S. V."},{"family":"Poulsom","given":"R."},{"family":"Rustin","given":"P."},{"family":"Tomlinson","given":"I. P. M."}],"issued":{"date-parts":[["2005",8,1]]},"accessed":{"date-parts":[["2018",3,24]]}}},{"id":660,"uris":["http://zotero.org/users/4775618/items/AILNC6X3"],"uri":["http://zotero.org/users/4775618/items/AILNC6X3"],"itemData":{"id":660,"type":"article-journal","title":"Succinate links TCA cycle dysfunction to oncogenesis by inhibiting HIF-alpha prolyl hydroxylase","container-title":"Cancer Cell","page":"77-85","volume":"7","issue":"1","source":"PubMed","abstract":"Several mitochondrial proteins are tumor suppressors. These include succinate dehydrogenase (SDH) and fumarate hydratase, both enzymes of the tricarboxylic acid (TCA) cycle. However, to date, the mechanisms by which defects in the TCA cycle contribute to tumor formation have not been elucidated. Here we describe a mitochondrion-to-cytosol signaling pathway that links mitochondrial dysfunction to oncogenic events: succinate, which accumulates as a result of SDH inhibition, inhibits HIF-alpha prolyl hydroxylases in the cytosol, leading to stabilization and activation of HIF-1alpha. These results suggest a mechanistic link between SDH mutations and HIF-1alpha induction, providing an explanation for the highly vascular tumors that develop in the absence of VHL mutations.","DOI":"10.1016/j.ccr.2004.11.022","ISSN":"1535-6108","note":"PMID: 15652751","journalAbbreviation":"Cancer Cell","language":"eng","author":[{"family":"Selak","given":"Mary A."},{"family":"Armour","given":"Sean M."},{"family":"MacKenzie","given":"Elaine D."},{"family":"Boulahbel","given":"Houda"},{"family":"Watson","given":"David G."},{"family":"Mansfield","given":"Kyle D."},{"family":"Pan","given":"Yi"},{"family":"Simon","given":"M. Celeste"},{"family":"Thompson","given":"Craig B."},{"family":"Gottlieb","given":"Eyal"}],"issued":{"date-parts":[["2005",1]]}}}],"schema":"https://github.com/citation-style-language/schema/raw/master/csl-citation.json"} </w:instrText>
      </w:r>
      <w:r w:rsidR="004A305C">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26,27,29</w:t>
      </w:r>
      <w:r w:rsidR="004A305C">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Stabilisation of HIF1α</w:t>
      </w:r>
      <w:r w:rsidR="00AC3A5E">
        <w:rPr>
          <w:rFonts w:ascii="Calibri" w:hAnsi="Calibri" w:cs="Calibri"/>
          <w:color w:val="000000" w:themeColor="text1"/>
          <w:sz w:val="22"/>
          <w:szCs w:val="22"/>
        </w:rPr>
        <w:t xml:space="preserve"> and HIF</w:t>
      </w:r>
      <w:r w:rsidR="00F131BF" w:rsidRPr="00D637BA">
        <w:rPr>
          <w:rFonts w:ascii="Calibri" w:hAnsi="Calibri" w:cs="Calibri"/>
          <w:color w:val="000000" w:themeColor="text1"/>
          <w:sz w:val="22"/>
          <w:szCs w:val="22"/>
        </w:rPr>
        <w:t>2α</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alongside upregulation of downstream HIF1 products such as </w:t>
      </w:r>
      <w:r w:rsidRPr="00D637BA">
        <w:rPr>
          <w:rFonts w:ascii="Calibri" w:hAnsi="Calibri" w:cs="Calibri"/>
          <w:color w:val="000000" w:themeColor="text1"/>
          <w:sz w:val="22"/>
          <w:szCs w:val="22"/>
        </w:rPr>
        <w:t>v</w:t>
      </w:r>
      <w:r w:rsidR="00261368" w:rsidRPr="00D637BA">
        <w:rPr>
          <w:rFonts w:ascii="Calibri" w:hAnsi="Calibri" w:cs="Calibri"/>
          <w:color w:val="000000" w:themeColor="text1"/>
          <w:sz w:val="22"/>
          <w:szCs w:val="22"/>
        </w:rPr>
        <w:t>ascular endothelial growth factor (</w:t>
      </w:r>
      <w:r w:rsidR="00F131BF" w:rsidRPr="00D637BA">
        <w:rPr>
          <w:rFonts w:ascii="Calibri" w:hAnsi="Calibri" w:cs="Calibri"/>
          <w:color w:val="000000" w:themeColor="text1"/>
          <w:sz w:val="22"/>
          <w:szCs w:val="22"/>
        </w:rPr>
        <w:t>VEGF</w:t>
      </w:r>
      <w:r w:rsidR="00261368"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and glucose transporter</w:t>
      </w:r>
      <w:r w:rsidR="00B0672B" w:rsidRPr="00D637BA">
        <w:rPr>
          <w:rFonts w:ascii="Calibri" w:hAnsi="Calibri" w:cs="Calibri"/>
          <w:color w:val="000000" w:themeColor="text1"/>
          <w:sz w:val="22"/>
          <w:szCs w:val="22"/>
        </w:rPr>
        <w:t xml:space="preserve"> type 1</w:t>
      </w:r>
      <w:r w:rsidR="00F131BF" w:rsidRPr="00D637BA">
        <w:rPr>
          <w:rFonts w:ascii="Calibri" w:hAnsi="Calibri" w:cs="Calibri"/>
          <w:color w:val="000000" w:themeColor="text1"/>
          <w:sz w:val="22"/>
          <w:szCs w:val="22"/>
        </w:rPr>
        <w:t xml:space="preserve"> (GLUT1) were observed in HLRCC tumours</w:t>
      </w:r>
      <w:r w:rsidR="00F131BF" w:rsidRPr="00D637BA">
        <w:rPr>
          <w:rFonts w:ascii="Calibri" w:hAnsi="Calibri" w:cs="Calibri"/>
          <w:i/>
          <w:color w:val="000000" w:themeColor="text1"/>
          <w:sz w:val="22"/>
          <w:szCs w:val="22"/>
        </w:rPr>
        <w:t xml:space="preserve"> </w:t>
      </w:r>
      <w:r w:rsidR="00F131BF" w:rsidRPr="00D637BA">
        <w:rPr>
          <w:rFonts w:ascii="Calibri" w:hAnsi="Calibri" w:cs="Calibri"/>
          <w:color w:val="000000" w:themeColor="text1"/>
          <w:sz w:val="22"/>
          <w:szCs w:val="22"/>
        </w:rPr>
        <w:t xml:space="preserve">and </w:t>
      </w:r>
      <w:r w:rsidR="00F131BF" w:rsidRPr="00B946E4">
        <w:rPr>
          <w:rFonts w:ascii="Calibri" w:hAnsi="Calibri" w:cs="Calibri"/>
          <w:color w:val="000000" w:themeColor="text1"/>
          <w:sz w:val="22"/>
          <w:szCs w:val="22"/>
        </w:rPr>
        <w:t>SDH</w:t>
      </w:r>
      <w:r w:rsidR="00F131BF" w:rsidRPr="00D637BA">
        <w:rPr>
          <w:rFonts w:ascii="Calibri" w:hAnsi="Calibri" w:cs="Calibri"/>
          <w:i/>
          <w:color w:val="000000" w:themeColor="text1"/>
          <w:sz w:val="22"/>
          <w:szCs w:val="22"/>
        </w:rPr>
        <w:t>-</w:t>
      </w:r>
      <w:r w:rsidR="00F131BF" w:rsidRPr="00D637BA">
        <w:rPr>
          <w:rFonts w:ascii="Calibri" w:hAnsi="Calibri" w:cs="Calibri"/>
          <w:color w:val="000000" w:themeColor="text1"/>
          <w:sz w:val="22"/>
          <w:szCs w:val="22"/>
        </w:rPr>
        <w:t>deficient</w:t>
      </w:r>
      <w:r w:rsidR="000167D7">
        <w:rPr>
          <w:rFonts w:ascii="Calibri" w:hAnsi="Calibri" w:cs="Calibri"/>
          <w:color w:val="000000" w:themeColor="text1"/>
          <w:sz w:val="22"/>
          <w:szCs w:val="22"/>
        </w:rPr>
        <w:t xml:space="preserve"> </w:t>
      </w:r>
      <w:r w:rsidR="0053122E">
        <w:rPr>
          <w:rFonts w:ascii="Calibri" w:hAnsi="Calibri" w:cs="Calibri"/>
          <w:color w:val="000000" w:themeColor="text1"/>
          <w:sz w:val="22"/>
          <w:szCs w:val="22"/>
        </w:rPr>
        <w:t xml:space="preserve">PGLs and associated </w:t>
      </w:r>
      <w:r w:rsidR="0006158D" w:rsidRPr="00B946E4">
        <w:rPr>
          <w:rFonts w:ascii="Calibri" w:hAnsi="Calibri" w:cs="Calibri"/>
          <w:color w:val="FF0000"/>
          <w:sz w:val="22"/>
          <w:szCs w:val="22"/>
        </w:rPr>
        <w:t>phaeochromocytomas</w:t>
      </w:r>
      <w:r w:rsidR="00695BD2">
        <w:rPr>
          <w:rFonts w:ascii="Calibri" w:hAnsi="Calibri" w:cs="Calibri"/>
          <w:color w:val="FF0000"/>
          <w:sz w:val="22"/>
          <w:szCs w:val="22"/>
        </w:rPr>
        <w:t xml:space="preserve"> (PCC)</w:t>
      </w:r>
      <w:r w:rsidR="0006158D">
        <w:rPr>
          <w:rFonts w:ascii="Calibri" w:hAnsi="Calibri" w:cs="Calibri"/>
          <w:sz w:val="22"/>
          <w:szCs w:val="22"/>
        </w:rPr>
        <w:t xml:space="preserve"> </w:t>
      </w:r>
      <w:r w:rsidR="0006158D">
        <w:rPr>
          <w:rFonts w:ascii="Calibri" w:hAnsi="Calibri" w:cs="Calibri"/>
          <w:b/>
          <w:color w:val="0000FF"/>
          <w:sz w:val="22"/>
          <w:szCs w:val="22"/>
        </w:rPr>
        <w:t>[G]</w:t>
      </w:r>
      <w:r w:rsidR="0006158D">
        <w:rPr>
          <w:rFonts w:ascii="Calibri" w:hAnsi="Calibri" w:cs="Calibri"/>
          <w:sz w:val="22"/>
          <w:szCs w:val="22"/>
        </w:rPr>
        <w:t xml:space="preserve"> </w:t>
      </w:r>
      <w:r w:rsidR="00F131BF" w:rsidRPr="00D637BA">
        <w:rPr>
          <w:rFonts w:ascii="Calibri" w:hAnsi="Calibri" w:cs="Calibri"/>
          <w:color w:val="000000" w:themeColor="text1"/>
          <w:sz w:val="22"/>
          <w:szCs w:val="22"/>
        </w:rPr>
        <w:t xml:space="preserve">in the absence of </w:t>
      </w:r>
      <w:r w:rsidR="00F131BF" w:rsidRPr="00D637BA">
        <w:rPr>
          <w:rFonts w:ascii="Calibri" w:hAnsi="Calibri" w:cs="Calibri"/>
          <w:i/>
          <w:color w:val="000000" w:themeColor="text1"/>
          <w:sz w:val="22"/>
          <w:szCs w:val="22"/>
        </w:rPr>
        <w:t>VHL</w:t>
      </w:r>
      <w:r w:rsidR="00F131BF" w:rsidRPr="00D637BA">
        <w:rPr>
          <w:rFonts w:ascii="Calibri" w:hAnsi="Calibri" w:cs="Calibri"/>
          <w:color w:val="000000" w:themeColor="text1"/>
          <w:sz w:val="22"/>
          <w:szCs w:val="22"/>
        </w:rPr>
        <w:t xml:space="preserve"> inactivation</w:t>
      </w:r>
      <w:r w:rsidR="004A305C">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{"citationID":"a25h9tj1mi3","properties":{"formattedCitation":"\\super 26,27\\nosupersub{}","plainCitation":"26,27","noteIndex":0},"citationItems":[{"id":367,"uris":["http://zotero.org/users/4775618/items/7IDKHAAU"],"uri":["http://zotero.org/users/4775618/items/7IDKHAAU"],"itemData":{"id":367,"type":"article-journal","title":"HIF overexpression correlates with biallelic loss of fumarate hydratase in renal cancer: Novel role of fumarate in regulation of HIF stability","container-title":"Cancer Cell","page":"143-153","volume":"8","issue":"2","source":"www.cell.com","URL":"http://www.cell.com/cancer-cell/abstract/S1535-6108(05)00226-6","DOI":"10.1016/j.ccr.2005.06.017","ISSN":"1535-6108, 1878-3686","note":"PMID: 16098467","title-short":"HIF overexpression correlates with biallelic loss of fumarate hydratase in renal cancer","journalAbbreviation":"Cancer Cell","language":"English","author":[{"family":"Isaacs","given":"Jennifer S."},{"family":"Jung","given":"Yun Jin"},{"family":"Mole","given":"David R."},{"family":"Lee","given":"Sunmin"},{"family":"Torres-Cabala","given":"Carlos"},{"family":"Chung","given":"Yuen-Li"},{"family":"Merino","given":"Maria"},{"family":"Trepel","given":"Jane"},{"family":"Zbar","given":"Berton"},{"family":"Toro","given":"Jorge"},{"family":"Ratcliffe","given":"Peter J."},{"family":"Linehan","given":"W. Marston"},{"family":"Neckers","given":"Len"}],"issued":{"date-parts":[["2005",8,1]]},"accessed":{"date-parts":[["2018",4,2]]}}},{"id":283,"uris":["http://zotero.org/users/4775618/items/GSI53XGT"],"uri":["http://zotero.org/users/4775618/items/GSI53XGT"],"itemData":{"id":283,"type":"article-journal","title":"Accumulation of Krebs cycle intermediates and over-expression of HIF1α in tumours which result from germline FH and SDH mutations","container-title":"Human Molecular Genetics","page":"2231-2239","volume":"14","issue":"15","source":"academic.oup.com","abstract":"The nuclear-encoded Krebs cycle enzymes, fumarate hydratase (FH) and succinate dehydrogenase (SDHB, -C and -D), act as tumour suppressors. Germline mutations in FH predispose individuals to leiomyomas and renal cell cancer (HLRCC), whereas mutations in SDH cause paragangliomas and phaeochromocytomas (HPGL). In this study, we have shown that FH-deficient cells and tumours accumulate fumarate and, to a lesser extent, succinate. SDH-deficient tumours principally accumulate succinate. In situ analyses showed that these tumours also have over-expression of hypoxia-inducible factor 1α (HIF1α), activation of HIF1αtargets (such as vascular endothelial growth factor) and high microvessel density. We found no evidence of increased reactive oxygen species in our cells. Our data provide in vivo evidence to support the hypothesis that increased succinate and/or fumarate causes stabilization of HIF1α a plausible mechanism, inhibition of HIF prolyl hydroxylases, has previously been suggested by in vitro studies. The basic mechanism of tumorigenesis in HPGL and HLRCC is likely to be pseudo-hypoxic drive, just as it is in von Hippel–Lindau syndrome.","URL":"https://academic.oup.com/hmg/article/14/15/2231/551734","DOI":"10.1093/hmg/ddi227","ISSN":"0964-6906","journalAbbreviation":"Hum Mol Genet","language":"en","author":[{"family":"Pollard","given":"P. J."},{"family":"Brière","given":"J. J."},{"family":"Alam","given":"N. A."},{"family":"Barwell","given":"J."},{"family":"Barclay","given":"E."},{"family":"Wortham","given":"N. C."},{"family":"Hunt","given":"T."},{"family":"Mitchell","given":"M."},{"family":"Olpin","given":"S."},{"family":"Moat","given":"S. J."},{"family":"Hargreaves","given":"I. P."},{"family":"Heales","given":"S. J."},{"family":"Chung","given":"Y. L."},{"family":"Griffiths","given":"J. R."},{"family":"Dalgleish","given":"A."},{"family":"McGrath","given":"J. A."},{"family":"Gleeson","given":"M. J."},{"family":"Hodgson","given":"S. V."},{"family":"Poulsom","given":"R."},{"family":"Rustin","given":"P."},{"family":"Tomlinson","given":"I. P. M."}],"issued":{"date-parts":[["2005",8,1]]},"accessed":{"date-parts":[["2018",3,24]]}}}],"schema":"https://github.com/citation-style-language/schema/raw/master/csl-citation.json"} </w:instrText>
      </w:r>
      <w:r w:rsidR="004A305C">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26,27</w:t>
      </w:r>
      <w:r w:rsidR="004A305C">
        <w:rPr>
          <w:rFonts w:ascii="Calibri" w:hAnsi="Calibri" w:cs="Calibri"/>
          <w:color w:val="000000" w:themeColor="text1"/>
          <w:sz w:val="22"/>
          <w:szCs w:val="22"/>
        </w:rPr>
        <w:fldChar w:fldCharType="end"/>
      </w:r>
      <w:r w:rsidR="006A087D" w:rsidRPr="00D637BA">
        <w:rPr>
          <w:rFonts w:ascii="Calibri" w:hAnsi="Calibri" w:cs="Calibri"/>
          <w:color w:val="000000" w:themeColor="text1"/>
          <w:sz w:val="22"/>
          <w:szCs w:val="22"/>
        </w:rPr>
        <w:t>. These findings</w:t>
      </w:r>
      <w:r w:rsidR="00F131BF" w:rsidRPr="00D637BA">
        <w:rPr>
          <w:rFonts w:ascii="Calibri" w:hAnsi="Calibri" w:cs="Calibri"/>
          <w:color w:val="000000" w:themeColor="text1"/>
          <w:sz w:val="22"/>
          <w:szCs w:val="22"/>
        </w:rPr>
        <w:t xml:space="preserve"> support </w:t>
      </w:r>
      <w:r w:rsidR="00B0672B" w:rsidRPr="00D637BA">
        <w:rPr>
          <w:rFonts w:ascii="Calibri" w:hAnsi="Calibri" w:cs="Calibri"/>
          <w:color w:val="000000" w:themeColor="text1"/>
          <w:sz w:val="22"/>
          <w:szCs w:val="22"/>
        </w:rPr>
        <w:t xml:space="preserve">a </w:t>
      </w:r>
      <w:r w:rsidR="00F131BF" w:rsidRPr="00D637BA">
        <w:rPr>
          <w:rFonts w:ascii="Calibri" w:hAnsi="Calibri" w:cs="Calibri"/>
          <w:color w:val="000000" w:themeColor="text1"/>
          <w:sz w:val="22"/>
          <w:szCs w:val="22"/>
        </w:rPr>
        <w:t>role of aberrant</w:t>
      </w:r>
      <w:r w:rsidR="00B0672B" w:rsidRPr="00D637BA">
        <w:rPr>
          <w:rFonts w:ascii="Calibri" w:hAnsi="Calibri" w:cs="Calibri"/>
          <w:color w:val="000000" w:themeColor="text1"/>
          <w:sz w:val="22"/>
          <w:szCs w:val="22"/>
        </w:rPr>
        <w:t xml:space="preserve"> accumulation of</w:t>
      </w:r>
      <w:r w:rsidR="00F131BF" w:rsidRPr="00D637BA">
        <w:rPr>
          <w:rFonts w:ascii="Calibri" w:hAnsi="Calibri" w:cs="Calibri"/>
          <w:color w:val="000000" w:themeColor="text1"/>
          <w:sz w:val="22"/>
          <w:szCs w:val="22"/>
        </w:rPr>
        <w:t xml:space="preserve"> </w:t>
      </w:r>
      <w:r w:rsidR="00284B3F" w:rsidRPr="00D637BA">
        <w:rPr>
          <w:rFonts w:ascii="Calibri" w:hAnsi="Calibri" w:cs="Calibri"/>
          <w:color w:val="000000" w:themeColor="text1"/>
          <w:sz w:val="22"/>
          <w:szCs w:val="22"/>
        </w:rPr>
        <w:t xml:space="preserve">fumarate and succinate </w:t>
      </w:r>
      <w:r w:rsidR="00F131BF" w:rsidRPr="00D637BA">
        <w:rPr>
          <w:rFonts w:ascii="Calibri" w:hAnsi="Calibri" w:cs="Calibri"/>
          <w:color w:val="000000" w:themeColor="text1"/>
          <w:sz w:val="22"/>
          <w:szCs w:val="22"/>
        </w:rPr>
        <w:t>in creating the hypoxic signatures and highly vascularised phenotype that are characteristic of these tumours</w:t>
      </w:r>
      <w:r w:rsidR="004A305C">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{"citationID":"anqi0j5mae","properties":{"formattedCitation":"\\super 51\\uc0\\u8211{}55\\nosupersub{}","plainCitation":"51–55","noteIndex":0},"citationItems":[{"id":1459,"uris":["http://zotero.org/users/4775618/items/FYD45399"],"uri":["http://zotero.org/users/4775618/items/FYD45399"],"itemData":{"id":1459,"type":"article-journal","title":"Cells silenced for SDHB expression display characteristic features of the tumor phenotype","container-title":"Cancer Research","page":"4058-4067","volume":"68","issue":"11","source":"PubMed","abstract":"Recently, enzymes of the tricarboxylic acid (TCA) cycle have emerged as novel tumor suppressors. In particular, mutations in the nuclear-encoded subunits of succinate dehydrogenase (SDHB, SDHC, and SDHD) cause paragangliomas and pheochromocytomas. Although the mechanism(s) by which disruption of mitochondrial metabolism leads to neoplasia is largely unknown, increasing evidence points to an activation of pseudohypoxia. In this study, we have shown that silencing of SDHB using DNA-based small interfering RNA resulted in major impairments in cellular proliferation, respiration, and a corresponding shift to glycolysis. The levels of reactive oxygen species, however, were unchanged. As expected, hypoxia-inducible factor-1 alpha (HIF-1 alpha) and HIF-2alpha were up-regulated in chronically silenced cells, suggesting that a pseudohypoxic state was attained. In addition, the c-Jun amino-terminal kinase and p38 kinase stress signaling proteins were hyperphosphorylated in SDHB-silenced cells. Microarray analysis showed that &gt;400 genes were influenced (6-fold or more up-regulation or down-regulation) by silencing of SDHB, confirming the importance of the TCA cycle in cellular metabolism. Examples of dysregulated genes included those involved in proliferation, adhesion, and the hypoxia pathway. Of interest, SDHB-silenced cells had a greater capacity to adhere to extracellular matrix components, including fibronectin and laminin, than control cells, thus suggesting a possible mechanism of tumor initiation. Although transient silencing of the HIF-1 alpha transcription factor in SDHB-silenced cells had little effect on the expression of a subset of up-regulated genes, it partially reversed the adhesion phenotype to fibronectin, pointing to a potentially important role for HIF-1 in this process.","DOI":"10.1158/0008-5472.CAN-07-5580","ISSN":"1538-7445","note":"PMID: 18519664","journalAbbreviation":"Cancer Res.","language":"eng","author":[{"family":"Cervera","given":"Ana M."},{"family":"Apostolova","given":"Nadezda"},{"family":"Crespo","given":"Francisco Luna"},{"family":"Mata","given":"Manuel"},{"family":"McCreath","given":"Kenneth J."}],"issued":{"date-parts":[["2008",6,1]]}}},{"id":1464,"uris":["http://zotero.org/users/4775618/items/KAK9SXUY"],"uri":["http://zotero.org/users/4775618/items/KAK9SXUY"],"itemData":{"id":1464,"type":"article-journal","title":"A HIF1α Regulatory Loop Links Hypoxia and Mitochondrial Signals in Pheochromocytomas","container-title":"PLoS Genetics","volume":"1","issue":"1","source":"PubMed Central","abstract":"Pheochromocytomas are neural crest–derived tumors that arise from inherited or sporadic mutations in at least six independent genes. The proteins encoded by these multiple genes regulate distinct functions. We show here a functional link between tumors with VHL mutations and those with disruption of the genes encoding for succinate dehydrogenase (SDH) subunits B (SDHB) and D (SDHD). A transcription profile of reduced oxidoreductase is detected in all three of these tumor types, together with an angiogenesis/hypoxia profile typical of VHL dysfunction. The oxidoreductase defect, not previously detected in VHL-null tumors, is explained by suppression of the SDHB protein, a component of mitochondrial complex II. The decrease in SDHB is also noted in tumors with SDHD mutations. Gain-of-function and loss-of-function analyses show that the link between hypoxia signals (via VHL) and mitochondrial signals (via SDH) is mediated by HIF1α. These findings explain the shared features of pheochromocytomas with VHL and SDH mutations and suggest an additional mechanism for increased HIF1α activity in tumors.","URL":"https://www.ncbi.nlm.nih.gov/pmc/articles/PMC1183527/","DOI":"10.1371/journal.pgen.0010008","ISSN":"1553-7390","note":"PMID: 16103922\nPMCID: PMC1183527","journalAbbreviation":"PLoS Genet","author":[{"family":"Dahia","given":"Patricia L. M"},{"family":"Ross","given":"Ken N"},{"family":"Wright","given":"Matthew E"},{"family":"Hayashida","given":"César Y"},{"family":"Santagata","given":"Sandro"},{"family":"Barontini","given":"Marta"},{"family":"Kung","given":"Andrew L"},{"family":"Sanso","given":"Gabriela"},{"family":"Powers","given":"James F"},{"family":"Tischler","given":"Arthur S"},{"family":"Hodin","given":"Richard"},{"family":"Heitritter","given":"Shannon"},{"family":"Moore","given":"Francis"},{"family":"Dluhy","given":"Robert"},{"family":"Sosa","given":"Julie Ann"},{"family":"Ocal","given":"I. Tolgay"},{"family":"Benn","given":"Diana E"},{"family":"Marsh","given":"Deborah J"},{"family":"Robinson","given":"Bruce G"},{"family":"Schneider","given":"Katherine"},{"family":"Garber","given":"Judy"},{"family":"Arum","given":"Seth M"},{"family":"Korbonits","given":"Márta"},{"family":"Grossman","given":"Ashley"},{"family":"Pigny","given":"Pascal"},{"family":"Toledo","given":"Sérgio P. A"},{"family":"Nosé","given":"Vania"},{"family":"Li","given":"Cheng"},{"family":"Stiles","given":"Charles D"}],"issued":{"date-parts":[["2005",7]]},"accessed":{"date-parts":[["2019",2,25]]}}},{"id":1453,"uris":["http://zotero.org/users/4775618/items/J5MV73AR"],"uri":["http://zotero.org/users/4775618/items/J5MV73AR"],"itemData":{"id":1453,"type":"article-journal","title":"Research resource: Transcriptional profiling reveals different pseudohypoxic signatures in SDHB and VHL-related pheochromocytomas","container-title":"Molecular Endocrinology (Baltimore, Md.)","page":"2382-2391","volume":"24","issue":"12","source":"PubMed","abstract":"The six major genes involved in hereditary susceptibility for pheochromocytoma (PCC)/paraganglioma (PGL) (RET, VHL, NF1, SDHB, SDHC, and SDHD) have been recently integrated into the same neuronal apoptotic pathway where mutations in any of these genes lead to cell death. In this model, prolyl hydroxylase 3 (EglN3) abrogation plays a pivotal role, but the molecular mechanisms underlying its inactivation are currently unknown. The aim of the study was to decipher specific alterations associated with the different genetic classes of PCCs/PGLs. With this purpose, 84 genetically characterized tumors were analyzed by means of transcriptional profiling. The analysis revealed a hypoxia-inducible factor (HIF)-related signature common to succinate dehydrogenase (SDH) and von Hippel-Lindau (VHL) tumors, that differentiated them from RET and neurofibromatosis type 1 cases. Both canonical HIF-1α and HIF-2α target genes were overexpressed in the SDH/VHL cluster, suggesting that a global HIF deregulation accounts for this common profile. Nevertheless, when we compared VHL tumors with SDHB cases, which often exhibit a malignant behavior, we found that HIF-1α target genes showed a predominant activation in the VHL PCCs. Expression data from 67 HIF target genes was sufficient to cluster SDHB and VHL tumors into two different groups, demonstrating different pseudo-hypoxic signatures. In addition, VHL-mutated tumors showed an unexpected overexpression of EglN3 mRNA that did not lead to significantly different EglN3 protein levels. These findings pave the way for more specific therapeutic approaches for malignant PCCs/PGLs management based on the patient's genetic alteration.","DOI":"10.1210/me.2010-0256","ISSN":"1944-9917","note":"PMID: 20980436\nPMCID: PMC5417372","title-short":"Research resource","journalAbbreviation":"Mol. Endocrinol.","language":"eng","author":[{"family":"López-Jiménez","given":"Elena"},{"family":"Gómez-López","given":"Gonzalo"},{"family":"Leandro-García","given":"L. Javier"},{"family":"Muñoz","given":"Iván"},{"family":"Schiavi","given":"Francesca"},{"family":"Montero-Conde","given":"Cristina"},{"family":"Cubas","given":"Aguirre A.","non-dropping-particle":"de"},{"family":"Ramires","given":"Ricardo"},{"family":"Landa","given":"Iñigo"},{"family":"Leskelä","given":"Susanna"},{"family":"Maliszewska","given":"Agnieszka"},{"family":"Inglada-Pérez","given":"Lucía"},{"family":"Vega","given":"Leticia","non-dropping-particle":"de la"},{"family":"Rodríguez-Antona","given":"Cristina"},{"family":"Letón","given":"Rocío"},{"family":"Bernal","given":"Carmen"},{"family":"Campos","given":"José M.","non-dropping-particle":"de"},{"family":"Diez-Tascón","given":"Cristina"},{"family":"Fraga","given":"Mario F."},{"family":"Boullosa","given":"Cesar"},{"family":"Pisano","given":"David G."},{"family":"Opocher","given":"Giuseppe"},{"family":"Robledo","given":"Mercedes"},{"family":"Cascón","given":"Alberto"}],"issued":{"date-parts":[["2010",12]]}}},{"id":1309,"uris":["http://zotero.org/users/4775618/items/H3QQWWDU"],"uri":["http://zotero.org/users/4775618/items/H3QQWWDU"],"itemData":{"id":1309,"type":"article-journal","title":"Evidence of increased microvessel density and activation of the hypoxia pathway in tumours from the hereditary leiomyomatosis and renal cell cancer syndrome","container-title":"The Journal of Pathology","page":"41-49","volume":"205","issue":"1","source":"PubMed","abstract":"The Mendelian tumour syndromes hereditary leiomyomatosis and renal cell cancer (HLRCC) and hereditary paragangliomatosis with phaeochromocytomas (HPGL) result from mutations in nuclear genes (FH and SDHB/C/D, respectively) that encode Krebs cycle enzymes. HPGL tumours are highly vascular and there is evidence that inactivation of SDH leads to activation of the hypoxia/angiogenesis pathway. In contrast, uterine leiomyomas are not generally regarded as particularly vascular lesions. In order to test the possibility that activation of the hypoxia/angiogenesis pathway contributes to tumourigenesis in HLRCC, increased vascularity and hypoxia pathway activation were searched for in HLRCC tumours. Microvessel density was markedly higher in uterine leiomyomas from HLRCC than in the surrounding myometrium; it was notable that sporadic uterine leiomyomas were actually less vascular than normal myometrium. In HLRCC tumours, there was increased expression of transcripts from the hypoxia-responsive genes vascular endothelial growth factor (VEGF) and BNIP3; sporadic uterine leiomyomas did not show these changes. All uterine leiomyomas showed decreased expression of thrombospondin 1. Although sporadic and HLRCC uterine leiomyomas appear to have identical morphology, their pathways of tumourigenesis may be fundamentally different. As is the case in HPGL, it is probable that failure of the Krebs cycle in HLRCC tumours causes inappropriate signalling that the cell is in a hypoxic state, leading to angiogenesis and perhaps directly to clonal expansion and tumour growth through some uncharacterized, cell-autonomous effect.","DOI":"10.1002/path.1686","ISSN":"0022-3417","note":"PMID: 15586379","journalAbbreviation":"J. Pathol.","language":"eng","author":[{"family":"Pollard","given":"Patrick"},{"family":"Wortham","given":"Noel"},{"family":"Barclay","given":"Ella"},{"family":"Alam","given":"Afrina"},{"family":"Elia","given":"George"},{"family":"Manek","given":"Sanjiv"},{"family":"Poulsom","given":"Richard"},{"family":"Tomlinson","given":"Ian"}],"issued":{"date-parts":[["2005",1]]}}},{"id":1469,"uris":["http://zotero.org/users/4775618/items/JHNHS3CU"],"uri":["http://zotero.org/users/4775618/items/JHNHS3CU"],"itemData":{"id":1469,"type":"article-journal","title":"Distinct expression profile in fumarate-hydratase-deficient uterine fibroids","container-title":"Human Molecular Genetics","page":"97-103","volume":"15","issue":"1","source":"PubMed","abstract":"Defects in mitochondrial enzymes predispose to severe developmental defects as well as tumorigenesis. Heterozygous germline mutations in the nuclear gene encoding fumarate hydratase (FH), an enzyme catalyzing the hydration of fumarate in the Krebs tricarboxylic acid cycle, cause hereditary leiomyomatosis and renal cell cancer; yet the connection between disruption of mitochondrial metabolic pathways and neoplasia remains to be discovered. We have used an expression microarray approach for studying differences in global gene expression pattern caused by mutations in FH. Seven uterine fibroids carrying FH mutations were compared with 15 fibroids with wild-type FH. The two groups showed markedly different expression profiles, and multiple differentially expressed genes were detected. The most significant increase in FH mutants was seen in the expression of carbohydrate metabolism- and glycolysis-related genes. Other significantly up-regulated gene categories in FH mutants were, for example, iron ion homeostasis and oxidoreduction. Genes with lower expression in FH-mutant fibroids belonged to groups such as extracellular matrix, cell adhesion, muscle development and cell contraction. We show that FH mutations alter significantly the expression profiles of fibroids, most strikingly increasing the expression of genes involved in glycolysis.","DOI":"10.1093/hmg/ddi431","ISSN":"0964-6906","note":"PMID: 16319128","journalAbbreviation":"Hum. Mol. Genet.","language":"eng","author":[{"family":"Vanharanta","given":"Sakari"},{"family":"Pollard","given":"Patrick J."},{"family":"Lehtonen","given":"Heli J."},{"family":"Laiho","given":"Päivi"},{"family":"Sjöberg","given":"Jari"},{"family":"Leminen","given":"Arto"},{"family":"Aittomäki","given":"Kristiina"},{"family":"Arola","given":"Johanna"},{"family":"Kruhoffer","given":"Mogens"},{"family":"Orntoft","given":"Torben F."},{"family":"Tomlinson","given":"Ian P."},{"family":"Kiuru","given":"Maija"},{"family":"Arango","given":"Diego"},{"family":"Aaltonen","given":"Lauri A."}],"issued":{"date-parts":[["2006",1,1]]}}}],"schema":"https://github.com/citation-style-language/schema/raw/master/csl-citation.json"} </w:instrText>
      </w:r>
      <w:r w:rsidR="004A305C">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51–55</w:t>
      </w:r>
      <w:r w:rsidR="004A305C">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2C3034">
        <w:rPr>
          <w:rFonts w:ascii="Calibri" w:hAnsi="Calibri" w:cs="Calibri"/>
          <w:color w:val="000000" w:themeColor="text1"/>
          <w:sz w:val="22"/>
          <w:szCs w:val="22"/>
        </w:rPr>
        <w:t>This</w:t>
      </w:r>
      <w:r w:rsidR="004F0640" w:rsidRPr="00D637BA">
        <w:rPr>
          <w:rFonts w:ascii="Calibri" w:hAnsi="Calibri" w:cs="Calibri"/>
          <w:color w:val="000000" w:themeColor="text1"/>
          <w:sz w:val="22"/>
          <w:szCs w:val="22"/>
        </w:rPr>
        <w:t xml:space="preserve"> </w:t>
      </w:r>
      <w:r w:rsidR="004F0640" w:rsidRPr="00B946E4">
        <w:rPr>
          <w:rFonts w:ascii="Calibri" w:hAnsi="Calibri" w:cs="Calibri"/>
          <w:color w:val="FF0000"/>
          <w:sz w:val="22"/>
          <w:szCs w:val="22"/>
        </w:rPr>
        <w:t xml:space="preserve">pseudohypoxic </w:t>
      </w:r>
      <w:r w:rsidR="002530A4">
        <w:rPr>
          <w:rFonts w:ascii="Calibri" w:hAnsi="Calibri" w:cs="Calibri"/>
          <w:color w:val="FF0000"/>
          <w:sz w:val="22"/>
          <w:szCs w:val="22"/>
        </w:rPr>
        <w:t>phenotype</w:t>
      </w:r>
      <w:r w:rsidR="004F0640" w:rsidRPr="00D637BA">
        <w:rPr>
          <w:rFonts w:ascii="Calibri" w:hAnsi="Calibri" w:cs="Calibri"/>
          <w:sz w:val="22"/>
          <w:szCs w:val="22"/>
        </w:rPr>
        <w:t xml:space="preserve"> </w:t>
      </w:r>
      <w:r w:rsidR="004F0640" w:rsidRPr="00D637BA">
        <w:rPr>
          <w:rFonts w:ascii="Calibri" w:hAnsi="Calibri" w:cs="Calibri"/>
          <w:b/>
          <w:color w:val="0000FF"/>
          <w:sz w:val="22"/>
          <w:szCs w:val="22"/>
        </w:rPr>
        <w:t>[G]</w:t>
      </w:r>
      <w:r w:rsidR="004F0640" w:rsidRPr="00D637BA">
        <w:rPr>
          <w:rFonts w:ascii="Calibri" w:hAnsi="Calibri" w:cs="Calibri"/>
          <w:sz w:val="22"/>
          <w:szCs w:val="22"/>
        </w:rPr>
        <w:t xml:space="preserve"> </w:t>
      </w:r>
      <w:r w:rsidR="004E2B53" w:rsidRPr="00D637BA">
        <w:rPr>
          <w:rFonts w:ascii="Calibri" w:hAnsi="Calibri" w:cs="Calibri"/>
          <w:sz w:val="22"/>
          <w:szCs w:val="22"/>
        </w:rPr>
        <w:t xml:space="preserve">is also </w:t>
      </w:r>
      <w:r w:rsidR="004E2B53" w:rsidRPr="00D637BA">
        <w:rPr>
          <w:rFonts w:ascii="Calibri" w:hAnsi="Calibri" w:cs="Calibri"/>
          <w:color w:val="000000" w:themeColor="text1"/>
          <w:sz w:val="22"/>
          <w:szCs w:val="22"/>
        </w:rPr>
        <w:t>characteristic of</w:t>
      </w:r>
      <w:r w:rsidR="004F0640" w:rsidRPr="00D637BA">
        <w:rPr>
          <w:rFonts w:ascii="Calibri" w:hAnsi="Calibri" w:cs="Calibri"/>
          <w:color w:val="000000" w:themeColor="text1"/>
          <w:sz w:val="22"/>
          <w:szCs w:val="22"/>
        </w:rPr>
        <w:t xml:space="preserve"> </w:t>
      </w:r>
      <w:r w:rsidR="004F0640" w:rsidRPr="00B946E4">
        <w:rPr>
          <w:rFonts w:ascii="Calibri" w:hAnsi="Calibri" w:cs="Calibri"/>
          <w:i/>
          <w:color w:val="000000" w:themeColor="text1"/>
          <w:sz w:val="22"/>
          <w:szCs w:val="22"/>
        </w:rPr>
        <w:t>VHL</w:t>
      </w:r>
      <w:r w:rsidR="004E2B53" w:rsidRPr="00D637BA">
        <w:rPr>
          <w:rFonts w:ascii="Calibri" w:hAnsi="Calibri" w:cs="Calibri"/>
          <w:color w:val="000000" w:themeColor="text1"/>
          <w:sz w:val="22"/>
          <w:szCs w:val="22"/>
        </w:rPr>
        <w:t>-</w:t>
      </w:r>
      <w:r w:rsidR="004F0640" w:rsidRPr="00D637BA">
        <w:rPr>
          <w:rFonts w:ascii="Calibri" w:hAnsi="Calibri" w:cs="Calibri"/>
          <w:color w:val="000000" w:themeColor="text1"/>
          <w:sz w:val="22"/>
          <w:szCs w:val="22"/>
        </w:rPr>
        <w:t xml:space="preserve">mutant </w:t>
      </w:r>
      <w:r w:rsidR="004E2B53" w:rsidRPr="00D637BA">
        <w:rPr>
          <w:rFonts w:ascii="Calibri" w:hAnsi="Calibri" w:cs="Calibri"/>
          <w:color w:val="000000" w:themeColor="text1"/>
          <w:sz w:val="22"/>
          <w:szCs w:val="22"/>
        </w:rPr>
        <w:t>RCC</w:t>
      </w:r>
      <w:r w:rsidR="004F0640" w:rsidRPr="00D637BA">
        <w:rPr>
          <w:rFonts w:ascii="Calibri" w:hAnsi="Calibri" w:cs="Calibri"/>
          <w:color w:val="000000" w:themeColor="text1"/>
          <w:sz w:val="22"/>
          <w:szCs w:val="22"/>
        </w:rPr>
        <w:t xml:space="preserve"> and is associated with tumour aggression</w:t>
      </w:r>
      <w:r w:rsidR="004A305C">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{"citationID":"a688sv29s7","properties":{"formattedCitation":"\\super 56,57\\nosupersub{}","plainCitation":"56,57","noteIndex":0},"citationItems":[{"id":681,"uris":["http://zotero.org/users/4775618/items/CCA6AUTS"],"uri":["http://zotero.org/users/4775618/items/CCA6AUTS"],"itemData":{"id":681,"type":"article-journal","title":"Hypoxia, pseudohypoxia and cellular differentiation","container-title":"Experimental Cell Research","page":"192-196","volume":"356","issue":"2","source":"PubMed","abstract":"Tumor hypoxia correlates to aggressive disease, and while this is explained by a variety of factors, one clue to understand this phenomena was the finding that hypoxia induces a de-differentiated, stem cell-like phenotype in neuroblastoma and breast tumor cells. The hypoxia inducible transcription factors (HIFs) are regulated at the translational level by fluctuating oxygen concentrations, but emerging data reveal that both HIF-1α and HIF-2α expression can be induced by aberrantly activated growth factor signaling independently of oxygen levels. Furthermore, HIF-2α is regulated by hypoxia also at the transcriptional level in neuroblastoma and glioma cells. In cultured tumor cells, HIF-2α is stabilized at physiological oxygen concentrations followed by induced expression of classical hypoxia-driven genes, resulting in a pseudohypoxic phenotype. In addition, in neuroblastoma and glioma specimens, a small subset of HIF-2α positive, HIF-1α negative, tumor cells is found adjacent to blood vessels, i.e. in areas with presumably adequate oxygenation. These tumor niches are thus pseudohypoxic, and the HIF-2α expressing cells present immature features. We have postulated that this niche in neuroblastomas encompass the tumor stem cells. Oncogenes or tumor suppressor genes associated with pseudohypoxia are frequently mutated or deleted in the germline, implicating that the pseudohypoxic phenotype indeed is tumorigenic. In summary, the hypoxic and pseudohypoxic phenotypes of solid tumors are attractive therapeutic targets.","DOI":"10.1016/j.yexcr.2017.03.007","ISSN":"1090-2422","note":"PMID: 28284840","journalAbbreviation":"Exp. Cell Res.","language":"eng","author":[{"family":"Mohlin","given":"Sofie"},{"family":"Wigerup","given":"Caroline"},{"family":"Jögi","given":"Annika"},{"family":"Påhlman","given":"Sven"}],"issued":{"date-parts":[["2017"]],"season":"15"}}},{"id":683,"uris":["http://zotero.org/users/4775618/items/9L2QQKCG"],"uri":["http://zotero.org/users/4775618/items/9L2QQKCG"],"itemData":{"id":683,"type":"article-journal","title":"Therapeutic targeting of hypoxia and hypoxia-inducible factors in cancer","container-title":"Pharmacology &amp; Therapeutics","page":"152-169","volume":"164","source":"ScienceDirect","abstract":"Insufficient tissue oxygenation, or hypoxia, contributes to tumor aggressiveness and has a profound impact on clinical outcomes in cancer patients. At decreased oxygen tensions, hypoxia-inducible factors (HIFs) 1 and 2 are stabilized and mediate a hypoxic response, primarily by acting as transcription factors. HIFs exert differential effects on tumor growth and affect important cancer hallmarks including cell proliferation, apoptosis, differentiation, vascularization/angiogenesis, genetic instability, tumor metabolism, tumor immune responses, and invasion and metastasis. As a consequence, HIFs mediate resistance to chemo- and radiotherapy and are associated with poor prognosis in cancer patients. Intriguingly, perivascular tumor cells can also express HIF-2α, thereby forming a “pseudohypoxic” phenotype that further contributes to tumor aggressiveness. Therefore, therapeutic targeting of HIFs in cancer has the potential to improve treatment efficacy. Different strategies to target hypoxic cancer cells and/or HIFs include hypoxia-activated prodrugs and inhibition of HIF dimerization, mRNA or protein expression, DNA binding capacity, and transcriptional activity. Here we review the functions of HIFs in the progression and treatment of malignant solid tumors. We also highlight how HIFs may be targeted to improve the management of patients with therapy-resistant and metastatic cancer.","URL":"http://www.sciencedirect.com/science/article/pii/S0163725816300559","DOI":"10.1016/j.pharmthera.2016.04.009","ISSN":"0163-7258","journalAbbreviation":"Pharmacology &amp; Therapeutics","author":[{"family":"Wigerup","given":"Caroline"},{"family":"Påhlman","given":"Sven"},{"family":"Bexell","given":"Daniel"}],"issued":{"date-parts":[["2016",8,1]]},"accessed":{"date-parts":[["2018",8,27]]}}}],"schema":"https://github.com/citation-style-language/schema/raw/master/csl-citation.json"} </w:instrText>
      </w:r>
      <w:r w:rsidR="004A305C">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56,57</w:t>
      </w:r>
      <w:r w:rsidR="004A305C">
        <w:rPr>
          <w:rFonts w:ascii="Calibri" w:hAnsi="Calibri" w:cs="Calibri"/>
          <w:color w:val="000000" w:themeColor="text1"/>
          <w:sz w:val="22"/>
          <w:szCs w:val="22"/>
        </w:rPr>
        <w:fldChar w:fldCharType="end"/>
      </w:r>
      <w:r w:rsidR="00F131BF" w:rsidRPr="00D637BA">
        <w:rPr>
          <w:rFonts w:ascii="Calibri" w:hAnsi="Calibri" w:cs="Calibri"/>
          <w:i/>
          <w:color w:val="000000" w:themeColor="text1"/>
          <w:sz w:val="22"/>
          <w:szCs w:val="22"/>
        </w:rPr>
        <w:t>.</w:t>
      </w:r>
      <w:r w:rsidR="000167D7">
        <w:rPr>
          <w:rFonts w:ascii="Calibri" w:hAnsi="Calibri" w:cs="Calibri"/>
          <w:color w:val="000000" w:themeColor="text1"/>
          <w:sz w:val="22"/>
          <w:szCs w:val="22"/>
        </w:rPr>
        <w:t xml:space="preserve"> </w:t>
      </w:r>
    </w:p>
    <w:p w14:paraId="2B822D20" w14:textId="15861D1E" w:rsidR="004341C9" w:rsidRPr="00D637BA" w:rsidRDefault="006C13E1" w:rsidP="00F131BF">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ab/>
      </w:r>
      <w:r w:rsidR="00F131BF" w:rsidRPr="00D637BA">
        <w:rPr>
          <w:rFonts w:ascii="Calibri" w:hAnsi="Calibri" w:cs="Calibri"/>
          <w:color w:val="000000" w:themeColor="text1"/>
          <w:sz w:val="22"/>
          <w:szCs w:val="22"/>
        </w:rPr>
        <w:t xml:space="preserve">Dang </w:t>
      </w:r>
      <w:r w:rsidR="00F131BF" w:rsidRPr="00D637BA">
        <w:rPr>
          <w:rFonts w:ascii="Calibri" w:hAnsi="Calibri" w:cs="Calibri"/>
          <w:i/>
          <w:color w:val="000000" w:themeColor="text1"/>
          <w:sz w:val="22"/>
          <w:szCs w:val="22"/>
        </w:rPr>
        <w:t xml:space="preserve">et al </w:t>
      </w:r>
      <w:r w:rsidR="00F131BF" w:rsidRPr="00D637BA">
        <w:rPr>
          <w:rFonts w:ascii="Calibri" w:hAnsi="Calibri" w:cs="Calibri"/>
          <w:color w:val="000000" w:themeColor="text1"/>
          <w:sz w:val="22"/>
          <w:szCs w:val="22"/>
        </w:rPr>
        <w:t>w</w:t>
      </w:r>
      <w:r w:rsidR="001C6EC0" w:rsidRPr="00D637BA">
        <w:rPr>
          <w:rFonts w:ascii="Calibri" w:hAnsi="Calibri" w:cs="Calibri"/>
          <w:color w:val="000000" w:themeColor="text1"/>
          <w:sz w:val="22"/>
          <w:szCs w:val="22"/>
        </w:rPr>
        <w:t>ere</w:t>
      </w:r>
      <w:r w:rsidR="00F131BF" w:rsidRPr="00D637BA">
        <w:rPr>
          <w:rFonts w:ascii="Calibri" w:hAnsi="Calibri" w:cs="Calibri"/>
          <w:color w:val="000000" w:themeColor="text1"/>
          <w:sz w:val="22"/>
          <w:szCs w:val="22"/>
        </w:rPr>
        <w:t xml:space="preserve"> the first group to coin the term ‘oncometabolite’ to describe the potential tumorigenic role of pathological accumulation of the metabolite D-2-</w:t>
      </w:r>
      <w:r w:rsidR="001C6EC0" w:rsidRPr="00D637BA">
        <w:rPr>
          <w:rFonts w:ascii="Calibri" w:hAnsi="Calibri" w:cs="Calibri"/>
          <w:color w:val="000000" w:themeColor="text1"/>
          <w:sz w:val="22"/>
          <w:szCs w:val="22"/>
        </w:rPr>
        <w:t xml:space="preserve">hydroxyglutarate </w:t>
      </w:r>
      <w:r w:rsidR="00F131BF" w:rsidRPr="00D637BA">
        <w:rPr>
          <w:rFonts w:ascii="Calibri" w:hAnsi="Calibri" w:cs="Calibri"/>
          <w:color w:val="000000" w:themeColor="text1"/>
          <w:sz w:val="22"/>
          <w:szCs w:val="22"/>
        </w:rPr>
        <w:t>(D2HG)</w:t>
      </w:r>
      <w:r w:rsidR="00E06414">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{"citationID":"a24raablfge","properties":{"formattedCitation":"\\super 58\\nosupersub{}","plainCitation":"58","noteIndex":0},"citationItems":[{"id":587,"uris":["http://zotero.org/users/4775618/items/D6AQCL24"],"uri":["http://zotero.org/users/4775618/items/D6AQCL24"],"itemData":{"id":587,"type":"article-journal","title":"Cancer-associated IDH1 mutations produce 2-hydroxyglutarate","container-title":"Nature","page":"739-744","volume":"462","issue":"7274","source":"www.nature.com","abstract":"Mutations in the enzyme cytosolic isocitrate dehydrogenase 1 (IDH1) are a common feature of a major subset of primary human brain cancers. These mutations occur at a single amino acid residue of the IDH1 active site, resulting in loss of the enzyme’s ability to catalyse conversion of isocitrate to α-ketoglutarate. However, only a single copy of the gene is mutated in tumours, raising the possibility that the mutations do not result in a simple loss of function. Here we show that cancer-associated IDH1 mutations result in a new ability of the enzyme to catalyse the NADPH-dependent reduction of α-ketoglutarate to R(-)-2-hydroxyglutarate (2HG). Structural studies demonstrate that when arginine 132 is mutated to histidine, residues in the active site are shifted to produce structural changes consistent with reduced oxidative decarboxylation of isocitrate and acquisition of the ability to convert α-ketoglutarate to 2HG. Excess accumulation of 2HG has been shown to lead to an elevated risk of malignant brain tumours in patients with inborn errors of 2HG metabolism. Similarly, in human malignant gliomas harbouring IDH1 mutations, we find markedly elevated levels of 2HG. These data demonstrate that the IDH1 mutations result in production of the onco-metabolite 2HG, and indicate that the excess 2HG which accumulates in vivo contributes to the formation and malignant progression of gliomas.","DOI":"10.1038/nature08617","ISSN":"1476-4687","language":"en","author":[{"family":"Dang","given":"Lenny"},{"family":"White","given":"David W."},{"family":"Gross","given":"Stefan"},{"family":"Bennett","given":"Bryson D."},{"family":"Bittinger","given":"Mark A."},{"family":"Driggers","given":"Edward M."},{"family":"Fantin","given":"Valeria R."},{"family":"Jang","given":"Hyun Gyung"},{"family":"Jin","given":"Shengfang"},{"family":"Keenan","given":"Marie C."},{"family":"Marks","given":"Kevin M."},{"family":"Prins","given":"Robert M."},{"family":"Ward","given":"Patrick S."},{"family":"Yen","given":"Katharine E."},{"family":"Liau","given":"Linda M."},{"family":"Rabinowitz","given":"Joshua D."},{"family":"Cantley","given":"Lewis C."},{"family":"Thompson","given":"Craig B."},{"family":"Heiden","given":"Matthew G. Vander"},{"family":"Su","given":"Shinsan M."}],"issued":{"date-parts":[["2009",12]]},"accessed":{"date-parts":[["2018",8,20]]}}}],"schema":"https://github.com/citation-style-language/schema/raw/master/csl-citation.json"} </w:instrText>
      </w:r>
      <w:r w:rsidR="00E06414">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58</w:t>
      </w:r>
      <w:r w:rsidR="00E06414">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6B216F" w:rsidRPr="00D637BA">
        <w:rPr>
          <w:rFonts w:ascii="Calibri" w:hAnsi="Calibri" w:cs="Calibri"/>
          <w:color w:val="000000" w:themeColor="text1"/>
          <w:sz w:val="22"/>
          <w:szCs w:val="22"/>
        </w:rPr>
        <w:t xml:space="preserve">In </w:t>
      </w:r>
      <w:r w:rsidR="00F131BF" w:rsidRPr="00D637BA">
        <w:rPr>
          <w:rFonts w:ascii="Calibri" w:hAnsi="Calibri" w:cs="Calibri"/>
          <w:color w:val="000000" w:themeColor="text1"/>
          <w:sz w:val="22"/>
          <w:szCs w:val="22"/>
        </w:rPr>
        <w:t>physiological settings, 2-hydroxyglutarate (2HG) exists in two natural isoforms</w:t>
      </w:r>
      <w:r w:rsidR="006B216F"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L2HG and D2HG</w:t>
      </w:r>
      <w:r w:rsidR="0093590B" w:rsidRPr="00D637BA">
        <w:rPr>
          <w:rFonts w:ascii="Calibri" w:hAnsi="Calibri" w:cs="Calibri"/>
          <w:color w:val="000000" w:themeColor="text1"/>
          <w:sz w:val="22"/>
          <w:szCs w:val="22"/>
        </w:rPr>
        <w:t>. These isoforms are</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minor metabolic </w:t>
      </w:r>
      <w:r w:rsidR="0012725B" w:rsidRPr="00D637BA">
        <w:rPr>
          <w:rFonts w:ascii="Calibri" w:hAnsi="Calibri" w:cs="Calibri"/>
          <w:color w:val="000000" w:themeColor="text1"/>
          <w:sz w:val="22"/>
          <w:szCs w:val="22"/>
        </w:rPr>
        <w:t>by-products</w:t>
      </w:r>
      <w:r w:rsidR="00F131BF" w:rsidRPr="00D637BA">
        <w:rPr>
          <w:rFonts w:ascii="Calibri" w:hAnsi="Calibri" w:cs="Calibri"/>
          <w:color w:val="000000" w:themeColor="text1"/>
          <w:sz w:val="22"/>
          <w:szCs w:val="22"/>
        </w:rPr>
        <w:t xml:space="preserve"> </w:t>
      </w:r>
      <w:r w:rsidR="0093590B" w:rsidRPr="00D637BA">
        <w:rPr>
          <w:rFonts w:ascii="Calibri" w:hAnsi="Calibri" w:cs="Calibri"/>
          <w:color w:val="000000" w:themeColor="text1"/>
          <w:sz w:val="22"/>
          <w:szCs w:val="22"/>
        </w:rPr>
        <w:t xml:space="preserve">that are </w:t>
      </w:r>
      <w:r w:rsidR="00F131BF" w:rsidRPr="00D637BA">
        <w:rPr>
          <w:rFonts w:ascii="Calibri" w:hAnsi="Calibri" w:cs="Calibri"/>
          <w:color w:val="000000" w:themeColor="text1"/>
          <w:sz w:val="22"/>
          <w:szCs w:val="22"/>
        </w:rPr>
        <w:t>produced via distinct biological mechanisms and are normally kept at unappreciable levels by conversion back to α-ketoglutarate (αKG</w:t>
      </w:r>
      <w:r w:rsidR="002139BF" w:rsidRPr="00D637BA">
        <w:rPr>
          <w:rFonts w:ascii="Calibri" w:hAnsi="Calibri" w:cs="Calibri"/>
          <w:color w:val="000000" w:themeColor="text1"/>
          <w:sz w:val="22"/>
          <w:szCs w:val="22"/>
        </w:rPr>
        <w:t>, also known as 2-ox</w:t>
      </w:r>
      <w:r w:rsidR="00486B78">
        <w:rPr>
          <w:rFonts w:ascii="Calibri" w:hAnsi="Calibri" w:cs="Calibri"/>
          <w:color w:val="000000" w:themeColor="text1"/>
          <w:sz w:val="22"/>
          <w:szCs w:val="22"/>
        </w:rPr>
        <w:t>o</w:t>
      </w:r>
      <w:r w:rsidR="002139BF" w:rsidRPr="00D637BA">
        <w:rPr>
          <w:rFonts w:ascii="Calibri" w:hAnsi="Calibri" w:cs="Calibri"/>
          <w:color w:val="000000" w:themeColor="text1"/>
          <w:sz w:val="22"/>
          <w:szCs w:val="22"/>
        </w:rPr>
        <w:t>glutarate</w:t>
      </w:r>
      <w:r w:rsidR="00F131BF" w:rsidRPr="00D637BA">
        <w:rPr>
          <w:rFonts w:ascii="Calibri" w:hAnsi="Calibri" w:cs="Calibri"/>
          <w:color w:val="000000" w:themeColor="text1"/>
          <w:sz w:val="22"/>
          <w:szCs w:val="22"/>
        </w:rPr>
        <w:t>via the</w:t>
      </w:r>
      <w:r w:rsidR="0093590B" w:rsidRPr="00D637BA">
        <w:rPr>
          <w:rFonts w:ascii="Calibri" w:hAnsi="Calibri" w:cs="Calibri"/>
          <w:color w:val="000000" w:themeColor="text1"/>
          <w:sz w:val="22"/>
          <w:szCs w:val="22"/>
        </w:rPr>
        <w:t>ir</w:t>
      </w:r>
      <w:r w:rsidR="00F131BF" w:rsidRPr="00D637BA">
        <w:rPr>
          <w:rFonts w:ascii="Calibri" w:hAnsi="Calibri" w:cs="Calibri"/>
          <w:color w:val="000000" w:themeColor="text1"/>
          <w:sz w:val="22"/>
          <w:szCs w:val="22"/>
        </w:rPr>
        <w:t xml:space="preserve"> respective</w:t>
      </w:r>
      <w:r w:rsidR="0093590B" w:rsidRPr="00D637BA">
        <w:rPr>
          <w:rFonts w:ascii="Calibri" w:hAnsi="Calibri" w:cs="Calibri"/>
          <w:color w:val="000000" w:themeColor="text1"/>
          <w:sz w:val="22"/>
          <w:szCs w:val="22"/>
        </w:rPr>
        <w:t xml:space="preserve"> hydroxyglutarate</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dehydrogenase enzymes</w:t>
      </w:r>
      <w:r w:rsidR="0093590B" w:rsidRPr="00D637BA">
        <w:rPr>
          <w:rFonts w:ascii="Calibri" w:hAnsi="Calibri" w:cs="Calibri"/>
          <w:color w:val="000000" w:themeColor="text1"/>
          <w:sz w:val="22"/>
          <w:szCs w:val="22"/>
        </w:rPr>
        <w:t xml:space="preserve"> (L2HGDH and D2HGDH)</w:t>
      </w:r>
      <w:r w:rsidR="00E06414">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{"citationID":"a59n6bs12o","properties":{"formattedCitation":"\\super 59\\uc0\\u8211{}62\\nosupersub{}","plainCitation":"59–62","noteIndex":0},"citationItems":[{"id":1283,"uris":["http://zotero.org/users/4775618/items/KBVUYJFZ"],"uri":["http://zotero.org/users/4775618/items/KBVUYJFZ"],"itemData":{"id":1283,"type":"article-journal","title":"Identification of a dehydrogenase acting on D-2-hydroxyglutarate","container-title":"The Biochemical Journal","page":"35-42","volume":"381","issue":"Pt 1","source":"PubMed","abstract":"Extracts of frozen rat liver were found to catalyse the formation of 3H2O from DL-2-hydroxy[2-3H]glutarate. Three peaks of enzyme activities were observed on separation by chromatography on DEAE-Sepharose. The first and second peaks corresponded to an enzyme acting on L-2-hydroxyglutarate and the third peak corresponded to an enzyme acting on D-2-hydroxyglutarate, as indicated by competitive inhibition of the detritiation of the racemic radioactive compound by the unlabelled L- and D-isomers respectively. The enzyme acting on the D-form was further characterized. It was independent of NAD or NADP and it converted D-2-hydroxyglutarate into a-ketoglutarate, transferring electrons to artificial electron acceptors. It also oxidized D-lactate, D-malate and meso-tartrate and was stimulated by Zn2+, Co2+ and Mn2+, but not by Mg2+ or Ca2+. Subcellular fractionation indicated that it was present in the mitochondrial fraction. The enzyme was further purified by chromatography on Blue Trisacryl and phenyl-Sepharose, up to a stage where only a few bands were still visible by SDS/PAGE. Among the four candidate polypeptides that were identified by MS, one corresponded to a predicted mitochondrial protein homologous with FAD-dependent D-lactate dehydrogenase. The corresponding human protein was expressed in HEK-293 cells and it was shown to catalyse the detritiation of DL-2-hydroxy[2-3H]glutarate with similar properties as the purified rat enzyme.","DOI":"10.1042/BJ20031933","ISSN":"1470-8728","note":"PMID: 15070399\nPMCID: PMC1133759","journalAbbreviation":"Biochem. J.","language":"eng","author":[{"family":"Achouri","given":"Younes"},{"family":"Noël","given":"Gaëtane"},{"family":"Vertommen","given":"Didier"},{"family":"Rider","given":"Mark H."},{"family":"Veiga-Da-Cunha","given":"Maria"},{"family":"Van Schaftingen","given":"Emile"}],"issued":{"date-parts":[["2004",7,1]]}}},{"id":444,"uris":["http://zotero.org/users/4775618/items/U5E9AF2W"],"uri":["http://zotero.org/users/4775618/items/U5E9AF2W"],"itemData":{"id":444,"type":"article-journal","title":"Oncometabolites: A New Paradigm for Oncology, Metabolism, and the Clinical Laboratory","container-title":"Clinical Chemistry","page":"1812-1820","volume":"63","issue":"12","source":"PubMed","abstract":"BACKGROUND: Pediatric clinical laboratories commonly measure tricarboxylic acid cycle intermediates for screening, diagnosis, and monitoring of specific inborn errors of metabolism, such as organic acidurias. In the past decade, the same tricarboxylic acid cycle metabolites have been implicated and studied in cancer. The accumulation of these metabolites in certain cancers not only serves as a biomarker but also directly contributes to cellular transformation, therefore earning them the designation of oncometabolites.\nCONTENT: D\n-2-hydroxyglutarate,L-2-hydroxyglutarate, succinate, and fumarate are the currently recognized oncometabolites. They are structurally similar and share metabolic proximity in the tricarboxylic acid cycle. As a result, they promote tumorigenesis in cancer cells through similar mechanisms. This review summarizes the currently understood common and distinct biological features of these compounds. In addition, we will review the current laboratory methodologies that can be used to quantify these metabolites and their downstream targets.\nSUMMARY: Oncometabolites play an important role in cancer biology. The metabolic pathways that lead to the production of oncometabolites and the downstream signaling pathways that are activated by oncometabolites represent potential therapeutic targets. Clinical laboratories have a critical role to play in the management of oncometabolite-associated cancers through development and validation of sensitive and specific assays that measure oncometabolites and their downstream effectors. These assays can be used as screening tools and for follow-up to measure response to treatment, as well as to detect minimal residual disease and recurrence.","DOI":"10.1373/clinchem.2016.267666","ISSN":"1530-8561","note":"PMID: 29038145","title-short":"Oncometabolites","journalAbbreviation":"Clin. Chem.","language":"eng","author":[{"family":"Collins","given":"Rebecca R. J."},{"family":"Patel","given":"Khushbu"},{"family":"Putnam","given":"William C."},{"family":"Kapur","given":"Payal"},{"family":"Rakheja","given":"Dinesh"}],"issued":{"date-parts":[["2017",12]]}}},{"id":1277,"uris":["http://zotero.org/users/4775618/items/4AW75D6L"],"uri":["http://zotero.org/users/4775618/items/4AW75D6L"],"itemData":{"id":1277,"type":"article-journal","title":"Metabolite damage and its repair or pre-emption","container-title":"Nature Chemical Biology","page":"72-80","volume":"9","issue":"2","source":"www.nature.com","abstract":"It is increasingly evident that metabolites suffer various kinds of damage, that such damage happens in all organisms and that cells have dedicated systems for damage repair and containment. First, chemical biology is demonstrating that diverse metabolites are damaged by side reactions of 'promiscuous' enzymes or by spontaneous chemical reactions, that the products are useless or toxic and that the unchecked buildup of these products can be devastating. Second, genetic and genomic evidence from prokaryotes and eukaryotes is implicating a network of new, conserved enzymes that repair damaged metabolites or somehow pre-empt damage. Metabolite (that is, small-molecule) repair is analogous to macromolecule (DNA and protein) repair and seems from comparative genomic evidence to be equally widespread. Comparative genomics also implies that metabolite repair could be the function of many conserved protein families lacking known activities. How—and how well—cells deal with metabolite damage affects fields ranging from medical genetics to metabolic engineering.","URL":"https://www.nature.com/articles/nchembio.1141","DOI":"10.1038/nchembio.1141","ISSN":"1552-4469","language":"en","author":[{"family":"Linster","given":"Carole L."},{"family":"Van Schaftingen","given":"Emile"},{"family":"Hanson","given":"Andrew D."}],"issued":{"date-parts":[["2013",2]]},"accessed":{"date-parts":[["2019",2,21]]}}},{"id":1286,"uris":["http://zotero.org/users/4775618/items/XMLZNFDI"],"uri":["http://zotero.org/users/4775618/items/XMLZNFDI"],"itemData":{"id":1286,"type":"article-journal","title":"2-Hydroxyglutarate is not a metabolite; d-2-hydroxyglutarate and l-2-hydroxyglutarate are!","container-title":"Proceedings of the National Academy of Sciences of the United States of America","page":"E4939","volume":"110","issue":"51","source":"PubMed Central","URL":"https://www.ncbi.nlm.nih.gov/pmc/articles/PMC3870664/","DOI":"10.1073/pnas.1318777110","ISSN":"0027-8424","note":"PMID: 24319093\nPMCID: PMC3870664","journalAbbreviation":"Proc Natl Acad Sci U S A","author":[{"family":"Struys","given":"Eduard A."}],"issued":{"date-parts":[["2013",12,17]]},"accessed":{"date-parts":[["2019",2,21]]}}}],"schema":"https://github.com/citation-style-language/schema/raw/master/csl-citation.json"} </w:instrText>
      </w:r>
      <w:r w:rsidR="00E06414">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59–62</w:t>
      </w:r>
      <w:r w:rsidR="00E06414">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3F7CD3" w:rsidRPr="00D637BA">
        <w:rPr>
          <w:rFonts w:ascii="Calibri" w:hAnsi="Calibri" w:cs="Calibri"/>
          <w:color w:val="000000" w:themeColor="text1"/>
          <w:sz w:val="22"/>
          <w:szCs w:val="22"/>
        </w:rPr>
        <w:t>Dang et al</w:t>
      </w:r>
      <w:r w:rsidR="0093590B" w:rsidRPr="00D637BA">
        <w:rPr>
          <w:rFonts w:ascii="Calibri" w:hAnsi="Calibri" w:cs="Calibri"/>
          <w:color w:val="000000" w:themeColor="text1"/>
          <w:sz w:val="22"/>
          <w:szCs w:val="22"/>
        </w:rPr>
        <w:t>. reported</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abnormally elevated </w:t>
      </w:r>
      <w:r w:rsidR="001C6EC0" w:rsidRPr="00B946E4">
        <w:rPr>
          <w:rFonts w:ascii="Calibri" w:hAnsi="Calibri" w:cs="Calibri"/>
          <w:color w:val="000000" w:themeColor="text1"/>
          <w:sz w:val="22"/>
          <w:szCs w:val="22"/>
        </w:rPr>
        <w:t xml:space="preserve">levels of </w:t>
      </w:r>
      <w:r w:rsidR="00F131BF" w:rsidRPr="00D637BA">
        <w:rPr>
          <w:rFonts w:ascii="Calibri" w:hAnsi="Calibri" w:cs="Calibri"/>
          <w:color w:val="000000" w:themeColor="text1"/>
          <w:sz w:val="22"/>
          <w:szCs w:val="22"/>
        </w:rPr>
        <w:t xml:space="preserve">D2HG </w:t>
      </w:r>
      <w:r w:rsidR="001A35E9" w:rsidRPr="00D637BA">
        <w:rPr>
          <w:rFonts w:ascii="Calibri" w:hAnsi="Calibri" w:cs="Calibri"/>
          <w:color w:val="000000" w:themeColor="text1"/>
          <w:sz w:val="22"/>
          <w:szCs w:val="22"/>
        </w:rPr>
        <w:t>(up to</w:t>
      </w:r>
      <w:r w:rsidR="00F131BF" w:rsidRPr="00D637BA">
        <w:rPr>
          <w:rFonts w:ascii="Calibri" w:hAnsi="Calibri" w:cs="Calibri"/>
          <w:color w:val="000000" w:themeColor="text1"/>
          <w:sz w:val="22"/>
          <w:szCs w:val="22"/>
        </w:rPr>
        <w:t xml:space="preserve"> </w:t>
      </w:r>
      <w:r w:rsidR="003F7CD3" w:rsidRPr="00D637BA">
        <w:rPr>
          <w:rFonts w:ascii="Calibri" w:hAnsi="Calibri" w:cs="Calibri"/>
          <w:color w:val="000000" w:themeColor="text1"/>
          <w:sz w:val="22"/>
          <w:szCs w:val="22"/>
        </w:rPr>
        <w:t xml:space="preserve">tens of </w:t>
      </w:r>
      <w:r w:rsidR="003F7CD3" w:rsidRPr="00B946E4">
        <w:rPr>
          <w:rFonts w:ascii="Calibri" w:hAnsi="Calibri" w:cs="Calibri"/>
          <w:sz w:val="22"/>
        </w:rPr>
        <w:t>μmo</w:t>
      </w:r>
      <w:r w:rsidR="00D87FE6" w:rsidRPr="00B946E4">
        <w:rPr>
          <w:rFonts w:ascii="Calibri" w:hAnsi="Calibri" w:cs="Calibri"/>
          <w:sz w:val="22"/>
        </w:rPr>
        <w:t>l per gram of tissue</w:t>
      </w:r>
      <w:r w:rsidR="001A35E9" w:rsidRPr="00D637BA">
        <w:rPr>
          <w:rFonts w:ascii="Calibri" w:hAnsi="Calibri" w:cs="Calibri"/>
          <w:color w:val="000000" w:themeColor="text1"/>
          <w:sz w:val="21"/>
          <w:szCs w:val="22"/>
        </w:rPr>
        <w:t>)</w:t>
      </w:r>
      <w:r w:rsidR="00396F1C" w:rsidRPr="00D637BA">
        <w:rPr>
          <w:rFonts w:ascii="Calibri" w:hAnsi="Calibri" w:cs="Calibri"/>
          <w:color w:val="000000" w:themeColor="text1"/>
          <w:sz w:val="21"/>
          <w:szCs w:val="22"/>
        </w:rPr>
        <w:t xml:space="preserve"> </w:t>
      </w:r>
      <w:r w:rsidR="004341C9" w:rsidRPr="00B946E4">
        <w:rPr>
          <w:rFonts w:ascii="Calibri" w:hAnsi="Calibri" w:cs="Calibri"/>
          <w:color w:val="000000" w:themeColor="text1"/>
          <w:sz w:val="22"/>
          <w:szCs w:val="22"/>
        </w:rPr>
        <w:t xml:space="preserve">in patients with malignant gliomas harbouring a single mutant copy of </w:t>
      </w:r>
      <w:r w:rsidR="004341C9" w:rsidRPr="00B946E4">
        <w:rPr>
          <w:rFonts w:ascii="Calibri" w:hAnsi="Calibri" w:cs="Calibri"/>
          <w:i/>
          <w:color w:val="000000" w:themeColor="text1"/>
          <w:sz w:val="22"/>
          <w:szCs w:val="22"/>
        </w:rPr>
        <w:t>IDH1</w:t>
      </w:r>
      <w:r w:rsidR="004341C9" w:rsidRPr="00B946E4">
        <w:rPr>
          <w:rFonts w:ascii="Calibri" w:hAnsi="Calibri" w:cs="Calibri"/>
          <w:color w:val="000000" w:themeColor="text1"/>
          <w:sz w:val="22"/>
          <w:szCs w:val="22"/>
        </w:rPr>
        <w:t>, which encodes isocitrate dehydrogenase (IDH)</w:t>
      </w:r>
      <w:r w:rsidR="00E06414">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{"citationID":"a1vbkhht0df","properties":{"formattedCitation":"\\super 58\\nosupersub{}","plainCitation":"58","noteIndex":0},"citationItems":[{"id":587,"uris":["http://zotero.org/users/4775618/items/D6AQCL24"],"uri":["http://zotero.org/users/4775618/items/D6AQCL24"],"itemData":{"id":587,"type":"article-journal","title":"Cancer-associated IDH1 mutations produce 2-hydroxyglutarate","container-title":"Nature","page":"739-744","volume":"462","issue":"7274","source":"www.nature.com","abstract":"Mutations in the enzyme cytosolic isocitrate dehydrogenase 1 (IDH1) are a common feature of a major subset of primary human brain cancers. These mutations occur at a single amino acid residue of the IDH1 active site, resulting in loss of the enzyme’s ability to catalyse conversion of isocitrate to α-ketoglutarate. However, only a single copy of the gene is mutated in tumours, raising the possibility that the mutations do not result in a simple loss of function. Here we show that cancer-associated IDH1 mutations result in a new ability of the enzyme to catalyse the NADPH-dependent reduction of α-ketoglutarate to R(-)-2-hydroxyglutarate (2HG). Structural studies demonstrate that when arginine 132 is mutated to histidine, residues in the active site are shifted to produce structural changes consistent with reduced oxidative decarboxylation of isocitrate and acquisition of the ability to convert α-ketoglutarate to 2HG. Excess accumulation of 2HG has been shown to lead to an elevated risk of malignant brain tumours in patients with inborn errors of 2HG metabolism. Similarly, in human malignant gliomas harbouring IDH1 mutations, we find markedly elevated levels of 2HG. These data demonstrate that the IDH1 mutations result in production of the onco-metabolite 2HG, and indicate that the excess 2HG which accumulates in vivo contributes to the formation and malignant progression of gliomas.","DOI":"10.1038/nature08617","ISSN":"1476-4687","language":"en","author":[{"family":"Dang","given":"Lenny"},{"family":"White","given":"David W."},{"family":"Gross","given":"Stefan"},{"family":"Bennett","given":"Bryson D."},{"family":"Bittinger","given":"Mark A."},{"family":"Driggers","given":"Edward M."},{"family":"Fantin","given":"Valeria R."},{"family":"Jang","given":"Hyun Gyung"},{"family":"Jin","given":"Shengfang"},{"family":"Keenan","given":"Marie C."},{"family":"Marks","given":"Kevin M."},{"family":"Prins","given":"Robert M."},{"family":"Ward","given":"Patrick S."},{"family":"Yen","given":"Katharine E."},{"family":"Liau","given":"Linda M."},{"family":"Rabinowitz","given":"Joshua D."},{"family":"Cantley","given":"Lewis C."},{"family":"Thompson","given":"Craig B."},{"family":"Heiden","given":"Matthew G. Vander"},{"family":"Su","given":"Shinsan M."}],"issued":{"date-parts":[["2009",12]]},"accessed":{"date-parts":[["2018",8,20]]}}}],"schema":"https://github.com/citation-style-language/schema/raw/master/csl-citation.json"} </w:instrText>
      </w:r>
      <w:r w:rsidR="00E06414">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58</w:t>
      </w:r>
      <w:r w:rsidR="00E06414">
        <w:rPr>
          <w:rFonts w:ascii="Calibri" w:hAnsi="Calibri" w:cs="Calibri"/>
          <w:color w:val="000000" w:themeColor="text1"/>
          <w:sz w:val="22"/>
          <w:szCs w:val="22"/>
        </w:rPr>
        <w:fldChar w:fldCharType="end"/>
      </w:r>
      <w:r w:rsidR="00284B3F" w:rsidRPr="00D637BA">
        <w:rPr>
          <w:rFonts w:ascii="Calibri" w:hAnsi="Calibri" w:cs="Calibri"/>
          <w:color w:val="000000" w:themeColor="text1"/>
          <w:sz w:val="22"/>
          <w:szCs w:val="22"/>
        </w:rPr>
        <w:t>. T</w:t>
      </w:r>
      <w:r w:rsidR="004341C9" w:rsidRPr="00B946E4">
        <w:rPr>
          <w:rFonts w:ascii="Calibri" w:hAnsi="Calibri" w:cs="Calibri"/>
          <w:color w:val="000000" w:themeColor="text1"/>
          <w:sz w:val="22"/>
          <w:szCs w:val="22"/>
        </w:rPr>
        <w:t xml:space="preserve">hese levels </w:t>
      </w:r>
      <w:r w:rsidR="00F131BF" w:rsidRPr="00D637BA">
        <w:rPr>
          <w:rFonts w:ascii="Calibri" w:hAnsi="Calibri" w:cs="Calibri"/>
          <w:color w:val="000000" w:themeColor="text1"/>
          <w:sz w:val="22"/>
          <w:szCs w:val="22"/>
        </w:rPr>
        <w:t xml:space="preserve">were &gt;100-fold greater </w:t>
      </w:r>
      <w:r w:rsidR="004341C9" w:rsidRPr="00B946E4">
        <w:rPr>
          <w:rFonts w:ascii="Calibri" w:hAnsi="Calibri" w:cs="Calibri"/>
          <w:color w:val="000000" w:themeColor="text1"/>
          <w:sz w:val="22"/>
          <w:szCs w:val="22"/>
        </w:rPr>
        <w:t xml:space="preserve">than those in </w:t>
      </w:r>
      <w:r w:rsidR="00F131BF" w:rsidRPr="00D637BA">
        <w:rPr>
          <w:rFonts w:ascii="Calibri" w:hAnsi="Calibri" w:cs="Calibri"/>
          <w:color w:val="000000" w:themeColor="text1"/>
          <w:sz w:val="22"/>
          <w:szCs w:val="22"/>
        </w:rPr>
        <w:t>malignant gliomas with wild</w:t>
      </w:r>
      <w:r w:rsidR="004341C9" w:rsidRPr="00B946E4">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type </w:t>
      </w:r>
      <w:r w:rsidR="00F131BF" w:rsidRPr="00D637BA">
        <w:rPr>
          <w:rFonts w:ascii="Calibri" w:hAnsi="Calibri" w:cs="Calibri"/>
          <w:i/>
          <w:color w:val="000000" w:themeColor="text1"/>
          <w:sz w:val="22"/>
          <w:szCs w:val="22"/>
        </w:rPr>
        <w:t>IDH</w:t>
      </w:r>
      <w:r w:rsidR="00F131BF"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F131BF" w:rsidRPr="00B946E4">
        <w:rPr>
          <w:rFonts w:ascii="Calibri" w:hAnsi="Calibri" w:cs="Calibri"/>
          <w:color w:val="000000" w:themeColor="text1"/>
          <w:sz w:val="22"/>
          <w:szCs w:val="22"/>
        </w:rPr>
        <w:t>IDH</w:t>
      </w:r>
      <w:r w:rsidR="00F131BF" w:rsidRPr="00D637BA">
        <w:rPr>
          <w:rFonts w:ascii="Calibri" w:hAnsi="Calibri" w:cs="Calibri"/>
          <w:i/>
          <w:color w:val="000000" w:themeColor="text1"/>
          <w:sz w:val="22"/>
          <w:szCs w:val="22"/>
        </w:rPr>
        <w:t xml:space="preserve"> </w:t>
      </w:r>
      <w:r w:rsidR="004341C9" w:rsidRPr="00D637BA">
        <w:rPr>
          <w:rFonts w:ascii="Calibri" w:hAnsi="Calibri" w:cs="Calibri"/>
          <w:color w:val="000000" w:themeColor="text1"/>
          <w:sz w:val="22"/>
          <w:szCs w:val="22"/>
        </w:rPr>
        <w:t>is the</w:t>
      </w:r>
      <w:r w:rsidR="00F131BF" w:rsidRPr="00D637BA">
        <w:rPr>
          <w:rFonts w:ascii="Calibri" w:hAnsi="Calibri" w:cs="Calibri"/>
          <w:color w:val="000000" w:themeColor="text1"/>
          <w:sz w:val="22"/>
          <w:szCs w:val="22"/>
        </w:rPr>
        <w:t xml:space="preserve"> TCA cycle enzyme </w:t>
      </w:r>
      <w:r w:rsidR="0093590B" w:rsidRPr="00D637BA">
        <w:rPr>
          <w:rFonts w:ascii="Calibri" w:hAnsi="Calibri" w:cs="Calibri"/>
          <w:color w:val="000000" w:themeColor="text1"/>
          <w:sz w:val="22"/>
          <w:szCs w:val="22"/>
        </w:rPr>
        <w:t xml:space="preserve">that is </w:t>
      </w:r>
      <w:r w:rsidR="00F131BF" w:rsidRPr="00D637BA">
        <w:rPr>
          <w:rFonts w:ascii="Calibri" w:hAnsi="Calibri" w:cs="Calibri"/>
          <w:color w:val="000000" w:themeColor="text1"/>
          <w:sz w:val="22"/>
          <w:szCs w:val="22"/>
        </w:rPr>
        <w:t xml:space="preserve">responsible for the reversible oxidative carboxylation of isocitrate to αKG. Mutation of </w:t>
      </w:r>
      <w:r w:rsidR="00F131BF" w:rsidRPr="00D637BA">
        <w:rPr>
          <w:rFonts w:ascii="Calibri" w:hAnsi="Calibri" w:cs="Calibri"/>
          <w:i/>
          <w:color w:val="000000" w:themeColor="text1"/>
          <w:sz w:val="22"/>
          <w:szCs w:val="22"/>
        </w:rPr>
        <w:t>IDH1</w:t>
      </w:r>
      <w:r w:rsidR="00F131BF" w:rsidRPr="00D637BA">
        <w:rPr>
          <w:rFonts w:ascii="Calibri" w:hAnsi="Calibri" w:cs="Calibri"/>
          <w:color w:val="000000" w:themeColor="text1"/>
          <w:sz w:val="22"/>
          <w:szCs w:val="22"/>
        </w:rPr>
        <w:t xml:space="preserve"> confers a gain-of-function </w:t>
      </w:r>
      <w:r w:rsidR="00F131BF" w:rsidRPr="00B946E4">
        <w:rPr>
          <w:rFonts w:ascii="Calibri" w:hAnsi="Calibri" w:cs="Calibri"/>
          <w:color w:val="FF0000"/>
          <w:sz w:val="22"/>
          <w:szCs w:val="22"/>
        </w:rPr>
        <w:t>neomorphic</w:t>
      </w:r>
      <w:r w:rsidR="0093590B" w:rsidRPr="00D637BA">
        <w:rPr>
          <w:rFonts w:ascii="Calibri" w:hAnsi="Calibri" w:cs="Calibri"/>
          <w:sz w:val="22"/>
          <w:szCs w:val="22"/>
        </w:rPr>
        <w:t xml:space="preserve"> </w:t>
      </w:r>
      <w:r w:rsidR="0093590B" w:rsidRPr="00D637BA">
        <w:rPr>
          <w:rFonts w:ascii="Calibri" w:hAnsi="Calibri" w:cs="Calibri"/>
          <w:b/>
          <w:color w:val="0000FF"/>
          <w:sz w:val="22"/>
          <w:szCs w:val="22"/>
        </w:rPr>
        <w:t>[G]</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activity of IDH that catalyses the reduction of αKG to D2HG, leading to its accumulation</w:t>
      </w:r>
      <w:r w:rsidR="00E06414">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{"citationID":"a2729r09vbg","properties":{"formattedCitation":"\\super 58\\nosupersub{}","plainCitation":"58","noteIndex":0},"citationItems":[{"id":587,"uris":["http://zotero.org/users/4775618/items/D6AQCL24"],"uri":["http://zotero.org/users/4775618/items/D6AQCL24"],"itemData":{"id":587,"type":"article-journal","title":"Cancer-associated IDH1 mutations produce 2-hydroxyglutarate","container-title":"Nature","page":"739-744","volume":"462","issue":"7274","source":"www.nature.com","abstract":"Mutations in the enzyme cytosolic isocitrate dehydrogenase 1 (IDH1) are a common feature of a major subset of primary human brain cancers. These mutations occur at a single amino acid residue of the IDH1 active site, resulting in loss of the enzyme’s ability to catalyse conversion of isocitrate to α-ketoglutarate. However, only a single copy of the gene is mutated in tumours, raising the possibility that the mutations do not result in a simple loss of function. Here we show that cancer-associated IDH1 mutations result in a new ability of the enzyme to catalyse the NADPH-dependent reduction of α-ketoglutarate to R(-)-2-hydroxyglutarate (2HG). Structural studies demonstrate that when arginine 132 is mutated to histidine, residues in the active site are shifted to produce structural changes consistent with reduced oxidative decarboxylation of isocitrate and acquisition of the ability to convert α-ketoglutarate to 2HG. Excess accumulation of 2HG has been shown to lead to an elevated risk of malignant brain tumours in patients with inborn errors of 2HG metabolism. Similarly, in human malignant gliomas harbouring IDH1 mutations, we find markedly elevated levels of 2HG. These data demonstrate that the IDH1 mutations result in production of the onco-metabolite 2HG, and indicate that the excess 2HG which accumulates in vivo contributes to the formation and malignant progression of gliomas.","DOI":"10.1038/nature08617","ISSN":"1476-4687","language":"en","author":[{"family":"Dang","given":"Lenny"},{"family":"White","given":"David W."},{"family":"Gross","given":"Stefan"},{"family":"Bennett","given":"Bryson D."},{"family":"Bittinger","given":"Mark A."},{"family":"Driggers","given":"Edward M."},{"family":"Fantin","given":"Valeria R."},{"family":"Jang","given":"Hyun Gyung"},{"family":"Jin","given":"Shengfang"},{"family":"Keenan","given":"Marie C."},{"family":"Marks","given":"Kevin M."},{"family":"Prins","given":"Robert M."},{"family":"Ward","given":"Patrick S."},{"family":"Yen","given":"Katharine E."},{"family":"Liau","given":"Linda M."},{"family":"Rabinowitz","given":"Joshua D."},{"family":"Cantley","given":"Lewis C."},{"family":"Thompson","given":"Craig B."},{"family":"Heiden","given":"Matthew G. Vander"},{"family":"Su","given":"Shinsan M."}],"issued":{"date-parts":[["2009",12]]},"accessed":{"date-parts":[["2018",8,20]]}}}],"schema":"https://github.com/citation-style-language/schema/raw/master/csl-citation.json"} </w:instrText>
      </w:r>
      <w:r w:rsidR="00E06414">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58</w:t>
      </w:r>
      <w:r w:rsidR="00E06414">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A37743" w:rsidRPr="00D637BA">
        <w:rPr>
          <w:rFonts w:ascii="Calibri" w:hAnsi="Calibri" w:cs="Calibri"/>
          <w:color w:val="000000" w:themeColor="text1"/>
          <w:sz w:val="22"/>
          <w:szCs w:val="22"/>
        </w:rPr>
        <w:t>I</w:t>
      </w:r>
      <w:r w:rsidR="00F131BF" w:rsidRPr="00D637BA">
        <w:rPr>
          <w:rFonts w:ascii="Calibri" w:hAnsi="Calibri" w:cs="Calibri"/>
          <w:color w:val="000000" w:themeColor="text1"/>
          <w:sz w:val="22"/>
          <w:szCs w:val="22"/>
        </w:rPr>
        <w:t>n patients with inborn errors of 2HG metabolism, elevated levels of L2HG have been associated with brain tumours</w:t>
      </w:r>
      <w:r w:rsidR="00E06414">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{"citationID":"a2ggr338qhd","properties":{"formattedCitation":"\\super 63,64\\nosupersub{}","plainCitation":"63,64","noteIndex":0},"citationItems":[{"id":1295,"uris":["http://zotero.org/users/4775618/items/2CBK42TG"],"uri":["http://zotero.org/users/4775618/items/2CBK42TG"],"itemData":{"id":1295,"type":"article-journal","title":"Hydroxyglutaric aciduria and malignant brain tumor: a case report and literature review","container-title":"Journal of Neuro-Oncology","page":"233-236","volume":"91","issue":"2","source":"PubMed","abstract":"L -2-Hydroxyglutaric aciduria (L -2-OHGA) is a rare autosomal recessive inherited encephalopathy. This inborn error, characterized by psychomotor retardation, progressive ataxia and typical magnetic resonance imaging findings, presents in early infancy. To make a definitive diagnosis, an anomalous accumulation of L -2-hydroxyglutaric acid must be detected in body fluids. Here, we present a 17-year-old boy with L: -2-OHGA who developed an anaplastic ependymoma during the course of this disease. We also present a literature review including seven other patients who developed malignant brain tumors during the course of L -2-OHGA. This correlation may indicate a possible increased risk of brain tumors among patients with L -2-hydroxyglutaric aciduria.","DOI":"10.1007/s11060-008-9706-2","ISSN":"0167-594X","note":"PMID: 18931888","title-short":"Hydroxyglutaric aciduria and malignant brain tumor","journalAbbreviation":"J. Neurooncol.","language":"eng","author":[{"family":"Aghili","given":"Mahdi"},{"family":"Zahedi","given":"Fatemeh"},{"family":"Rafiee","given":"Elham"}],"issued":{"date-parts":[["2009",1]]}}},{"id":1302,"uris":["http://zotero.org/users/4775618/items/CCIJIGNJ"],"uri":["http://zotero.org/users/4775618/items/CCIJIGNJ"],"itemData":{"id":1302,"type":"article-journal","title":"L-2-hydroxyglutaric aciduria and brain malignant tumors: a predisposing condition?","container-title":"Neurology","page":"1882-1884","volume":"62","issue":"10","source":"PubMed","abstract":"L-2-hydroxyglutaric aciduria is a rare metabolic encephalopathy displaying a subcortical leukoencephalopathy on MRI. Diagnosis rests on detection of an abnormal accumulation of L-2-hydroxyglutaric acid in body fluids. The authors report on four patients who developed a malignant brain tumor during the course of the disease. This association points to a possible role of L-2-hydroxyglutaric aciduria in predisposing to brain tumorigenesis.","ISSN":"1526-632X","note":"PMID: 15159502","title-short":"L-2-hydroxyglutaric aciduria and brain malignant tumors","journalAbbreviation":"Neurology","language":"eng","author":[{"family":"Moroni","given":"I."},{"family":"Bugiani","given":"M."},{"family":"D'Incerti","given":"L."},{"family":"Maccagnano","given":"C."},{"family":"Rimoldi","given":"M."},{"family":"Bissola","given":"L."},{"family":"Pollo","given":"B."},{"family":"Finocchiaro","given":"G."},{"family":"Uziel","given":"G."}],"issued":{"date-parts":[["2004",5,25]]}}}],"schema":"https://github.com/citation-style-language/schema/raw/master/csl-citation.json"} </w:instrText>
      </w:r>
      <w:r w:rsidR="00E06414">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63,64</w:t>
      </w:r>
      <w:r w:rsidR="00E06414">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as well as </w:t>
      </w:r>
      <w:r w:rsidR="00A37743" w:rsidRPr="00D637BA">
        <w:rPr>
          <w:rFonts w:ascii="Calibri" w:hAnsi="Calibri" w:cs="Calibri"/>
          <w:color w:val="000000" w:themeColor="text1"/>
          <w:sz w:val="22"/>
          <w:szCs w:val="22"/>
        </w:rPr>
        <w:t xml:space="preserve">with </w:t>
      </w:r>
      <w:r w:rsidR="006B216F" w:rsidRPr="00D637BA">
        <w:rPr>
          <w:rFonts w:ascii="Calibri" w:hAnsi="Calibri" w:cs="Calibri"/>
          <w:color w:val="000000" w:themeColor="text1"/>
          <w:sz w:val="22"/>
          <w:szCs w:val="22"/>
        </w:rPr>
        <w:t xml:space="preserve">a </w:t>
      </w:r>
      <w:r w:rsidR="00F131BF" w:rsidRPr="00D637BA">
        <w:rPr>
          <w:rFonts w:ascii="Calibri" w:hAnsi="Calibri" w:cs="Calibri"/>
          <w:color w:val="000000" w:themeColor="text1"/>
          <w:sz w:val="22"/>
          <w:szCs w:val="22"/>
        </w:rPr>
        <w:t>case of Wilms tumour (nephroblastoma)</w:t>
      </w:r>
      <w:r w:rsidR="00E06414">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{"citationID":"ar96e744b3","properties":{"formattedCitation":"\\super 63,65\\nosupersub{}","plainCitation":"63,65","noteIndex":0},"citationItems":[{"id":1295,"uris":["http://zotero.org/users/4775618/items/2CBK42TG"],"uri":["http://zotero.org/users/4775618/items/2CBK42TG"],"itemData":{"id":1295,"type":"article-journal","title":"Hydroxyglutaric aciduria and malignant brain tumor: a case report and literature review","container-title":"Journal of Neuro-Oncology","page":"233-236","volume":"91","issue":"2","source":"PubMed","abstract":"L -2-Hydroxyglutaric aciduria (L -2-OHGA) is a rare autosomal recessive inherited encephalopathy. This inborn error, characterized by psychomotor retardation, progressive ataxia and typical magnetic resonance imaging findings, presents in early infancy. To make a definitive diagnosis, an anomalous accumulation of L -2-hydroxyglutaric acid must be detected in body fluids. Here, we present a 17-year-old boy with L: -2-OHGA who developed an anaplastic ependymoma during the course of this disease. We also present a literature review including seven other patients who developed malignant brain tumors during the course of L -2-OHGA. This correlation may indicate a possible increased risk of brain tumors among patients with L -2-hydroxyglutaric aciduria.","DOI":"10.1007/s11060-008-9706-2","ISSN":"0167-594X","note":"PMID: 18931888","title-short":"Hydroxyglutaric aciduria and malignant brain tumor","journalAbbreviation":"J. Neurooncol.","language":"eng","author":[{"family":"Aghili","given":"Mahdi"},{"family":"Zahedi","given":"Fatemeh"},{"family":"Rafiee","given":"Elham"}],"issued":{"date-parts":[["2009",1]]}}},{"id":450,"uris":["http://zotero.org/users/4775618/items/EMK8I6YE"],"uri":["http://zotero.org/users/4775618/items/EMK8I6YE"],"itemData":{"id":450,"type":"article-journal","title":"Wilms tumor in a child with L-2-hydroxyglutaric aciduria","container-title":"Pediatric and Developmental Pathology: The Official Journal of the Society for Pediatric Pathology and the Paediatric Pathology Society","page":"408-411","volume":"13","issue":"5","source":"PubMed","abstract":"We report a male infant with L-2-hydroxyglutaric aciduria and Wilms tumor. L-2-hydroxyglutaric aciduria is a rare, autosomal-recessive, inborn error of metabolism characterized by a variable degree of progressive encephalopathy. Of the fewer than 100 cases reported in the literature, at least 9 patients have developed tumors of the central nervous system. To our knowledge, the present case is the 1st example of an extracranial tumor associated with L-2-hydroxyglutaric aciduria. This observation potentially widens the tumor spectrum in this metabolic disorder and may lead to further insight into the relationship between L-2-hydroxyglutaric acid and cellular transformation.","DOI":"10.2350/09-12-0768-CR.1","ISSN":"1093-5266","note":"PMID: 20064066","journalAbbreviation":"Pediatr. Dev. Pathol.","language":"eng","author":[{"family":"Rogers","given":"Robert E."},{"family":"Deberardinis","given":"Ralph J."},{"family":"Klesse","given":"Laura J."},{"family":"Boriack","given":"Richard L."},{"family":"Margraf","given":"Linda R."},{"family":"Rakheja","given":"Dinesh"}],"issued":{"date-parts":[["2010",10]]}}}],"schema":"https://github.com/citation-style-language/schema/raw/master/csl-citation.json"} </w:instrText>
      </w:r>
      <w:r w:rsidR="00E06414">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63,65</w:t>
      </w:r>
      <w:r w:rsidR="00E06414">
        <w:rPr>
          <w:rFonts w:ascii="Calibri" w:hAnsi="Calibri" w:cs="Calibri"/>
          <w:color w:val="000000" w:themeColor="text1"/>
          <w:sz w:val="22"/>
          <w:szCs w:val="22"/>
        </w:rPr>
        <w:fldChar w:fldCharType="end"/>
      </w:r>
      <w:r w:rsidR="00E06414">
        <w:rPr>
          <w:rFonts w:ascii="Calibri" w:hAnsi="Calibri" w:cs="Calibri"/>
          <w:color w:val="000000"/>
          <w:sz w:val="22"/>
          <w:lang w:val="en-US"/>
        </w:rPr>
        <w:t xml:space="preserve">; </w:t>
      </w:r>
      <w:r w:rsidR="00F131BF" w:rsidRPr="00D637BA">
        <w:rPr>
          <w:rFonts w:ascii="Calibri" w:hAnsi="Calibri" w:cs="Calibri"/>
          <w:color w:val="000000" w:themeColor="text1"/>
          <w:sz w:val="22"/>
          <w:szCs w:val="22"/>
        </w:rPr>
        <w:t>D2HG accumulations ha</w:t>
      </w:r>
      <w:r w:rsidR="00A37743" w:rsidRPr="00D637BA">
        <w:rPr>
          <w:rFonts w:ascii="Calibri" w:hAnsi="Calibri" w:cs="Calibri"/>
          <w:color w:val="000000" w:themeColor="text1"/>
          <w:sz w:val="22"/>
          <w:szCs w:val="22"/>
        </w:rPr>
        <w:t>ve</w:t>
      </w:r>
      <w:r w:rsidR="00F131BF" w:rsidRPr="00D637BA">
        <w:rPr>
          <w:rFonts w:ascii="Calibri" w:hAnsi="Calibri" w:cs="Calibri"/>
          <w:color w:val="000000" w:themeColor="text1"/>
          <w:sz w:val="22"/>
          <w:szCs w:val="22"/>
        </w:rPr>
        <w:t xml:space="preserve"> not been associated with cancer</w:t>
      </w:r>
      <w:r w:rsidR="00A37743" w:rsidRPr="00D637BA">
        <w:rPr>
          <w:rFonts w:ascii="Calibri" w:hAnsi="Calibri" w:cs="Calibri"/>
          <w:color w:val="000000" w:themeColor="text1"/>
          <w:sz w:val="22"/>
          <w:szCs w:val="22"/>
        </w:rPr>
        <w:t xml:space="preserve"> in </w:t>
      </w:r>
      <w:r w:rsidR="006B216F" w:rsidRPr="00D637BA">
        <w:rPr>
          <w:rFonts w:ascii="Calibri" w:hAnsi="Calibri" w:cs="Calibri"/>
          <w:color w:val="000000" w:themeColor="text1"/>
          <w:sz w:val="22"/>
          <w:szCs w:val="22"/>
        </w:rPr>
        <w:t>these patients</w:t>
      </w:r>
      <w:r w:rsidR="00E06414">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{"citationID":"a5b7imm9q3","properties":{"formattedCitation":"\\super 66\\nosupersub{}","plainCitation":"66","noteIndex":0},"citationItems":[{"id":1304,"uris":["http://zotero.org/users/4775618/items/2E69K66H"],"uri":["http://zotero.org/users/4775618/items/2E69K66H"],"itemData":{"id":1304,"type":"article-journal","title":"IDH2 Mutations in Patients with d-2-Hydroxyglutaric Aciduria","container-title":"Science","page":"336-336","volume":"330","issue":"6002","source":"science.sciencemag.org.ezp.lib.cam.ac.uk","abstract":"Heterozygous somatic mutations in the genes encoding isocitrate dehydrogenase-1 and -2 (IDH1 and IDH2) were recently discovered in human neoplastic disorders. These mutations disable the enzymes’ normal ability to convert isocitrate to 2-ketoglutarate (2-KG) and confer on the enzymes a new function: the ability to convert 2-KG to d-2-hydroxyglutarate (D-2-HG). We have detected heterozygous germline mutations in IDH2 that alter enzyme residue Arg140 in 15 unrelated patients with d-2-hydroxyglutaric aciduria (D-2-HGA), a rare neurometabolic disorder characterized by supraphysiological levels of D-2-HG. These findings provide additional impetus for investigating the role of D-2-HG in the pathophysiology of metabolic disease and cancer.\nA mutation that changes the specificity of an enzyme in human cancer is also found in an inherited metabolic disorder.\nA mutation that changes the specificity of an enzyme in human cancer is also found in an inherited metabolic disorder.","URL":"http://science.sciencemag.org.ezp.lib.cam.ac.uk/content/330/6002/336","DOI":"10.1126/science.1192632","ISSN":"0036-8075, 1095-9203","note":"PMID: 20847235","language":"en","author":[{"family":"Kranendijk","given":"Martijn"},{"family":"Struys","given":"Eduard A."},{"family":"Schaftingen","given":"Emile","dropping-particle":"van"},{"family":"Gibson","given":"K. Michael"},{"family":"Kanhai","given":"Warsha A."},{"family":"Knaap","given":"Marjo S.","dropping-particle":"van der"},{"family":"Amiel","given":"Jeanne"},{"family":"Buist","given":"Neil R."},{"family":"Das","given":"Anibh M."},{"family":"Klerk","given":"Johannis B.","dropping-particle":"de"},{"family":"Feigenbaum","given":"Annette S."},{"family":"Grange","given":"Dorothy K."},{"family":"Hofstede","given":"Floris C."},{"family":"Holme","given":"Elisabeth"},{"family":"Kirk","given":"Edwin P."},{"family":"Korman","given":"Stanley H."},{"family":"Morava","given":"Eva"},{"family":"Morris","given":"Andrew"},{"family":"Smeitink","given":"Jan"},{"family":"Sukhai","given":"Rám N."},{"family":"Vallance","given":"Hilary"},{"family":"Jakobs","given":"Cornelis"},{"family":"Salomons","given":"Gajja S."}],"issued":{"date-parts":[["2010",10,15]]},"accessed":{"date-parts":[["2019",2,21]]}}}],"schema":"https://github.com/citation-style-language/schema/raw/master/csl-citation.json"} </w:instrText>
      </w:r>
      <w:r w:rsidR="00E06414">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66</w:t>
      </w:r>
      <w:r w:rsidR="00E06414">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p>
    <w:p w14:paraId="3EF45CBE" w14:textId="2B11F9B3" w:rsidR="00F131BF" w:rsidRPr="00D637BA" w:rsidRDefault="004341C9" w:rsidP="00B946E4">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A</w:t>
      </w:r>
      <w:r w:rsidR="00F131BF" w:rsidRPr="00D637BA">
        <w:rPr>
          <w:rFonts w:ascii="Calibri" w:hAnsi="Calibri" w:cs="Calibri"/>
          <w:color w:val="000000" w:themeColor="text1"/>
          <w:sz w:val="22"/>
          <w:szCs w:val="22"/>
        </w:rPr>
        <w:t xml:space="preserve"> myriad of oncometabolite-focused studies have expanded upon these</w:t>
      </w:r>
      <w:r w:rsidRPr="00D637BA">
        <w:rPr>
          <w:rFonts w:ascii="Calibri" w:hAnsi="Calibri" w:cs="Calibri"/>
          <w:color w:val="000000" w:themeColor="text1"/>
          <w:sz w:val="22"/>
          <w:szCs w:val="22"/>
        </w:rPr>
        <w:t xml:space="preserve"> initial</w:t>
      </w:r>
      <w:r w:rsidR="00F131BF" w:rsidRPr="00D637BA">
        <w:rPr>
          <w:rFonts w:ascii="Calibri" w:hAnsi="Calibri" w:cs="Calibri"/>
          <w:color w:val="000000" w:themeColor="text1"/>
          <w:sz w:val="22"/>
          <w:szCs w:val="22"/>
        </w:rPr>
        <w:t xml:space="preserve"> findings, establishing a core group of </w:t>
      </w:r>
      <w:r w:rsidR="00F131BF" w:rsidRPr="00D637BA">
        <w:rPr>
          <w:rFonts w:ascii="Calibri" w:hAnsi="Calibri" w:cs="Calibri"/>
          <w:i/>
          <w:color w:val="000000" w:themeColor="text1"/>
          <w:sz w:val="22"/>
          <w:szCs w:val="22"/>
        </w:rPr>
        <w:t xml:space="preserve">bona fide </w:t>
      </w:r>
      <w:r w:rsidR="00F131BF" w:rsidRPr="00D637BA">
        <w:rPr>
          <w:rFonts w:ascii="Calibri" w:hAnsi="Calibri" w:cs="Calibri"/>
          <w:color w:val="000000" w:themeColor="text1"/>
          <w:sz w:val="22"/>
          <w:szCs w:val="22"/>
        </w:rPr>
        <w:t>oncometabolites</w:t>
      </w:r>
      <w:r w:rsidR="00A37743"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fumarate, succinate, L2HG and D2HG</w:t>
      </w:r>
      <w:r w:rsidR="00FF3F8F">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{"citationID":"abmvi5tq3a","properties":{"formattedCitation":"\\super 47,60,67,68\\nosupersub{}","plainCitation":"47,60,67,68","noteIndex":0},"citationItems":[{"id":444,"uris":["http://zotero.org/users/4775618/items/U5E9AF2W"],"uri":["http://zotero.org/users/4775618/items/U5E9AF2W"],"itemData":{"id":444,"type":"article-journal","title":"Oncometabolites: A New Paradigm for Oncology, Metabolism, and the Clinical Laboratory","container-title":"Clinical Chemistry","page":"1812-1820","volume":"63","issue":"12","source":"PubMed","abstract":"BACKGROUND: Pediatric clinical laboratories commonly measure tricarboxylic acid cycle intermediates for screening, diagnosis, and monitoring of specific inborn errors of metabolism, such as organic acidurias. In the past decade, the same tricarboxylic acid cycle metabolites have been implicated and studied in cancer. The accumulation of these metabolites in certain cancers not only serves as a biomarker but also directly contributes to cellular transformation, therefore earning them the designation of oncometabolites.\nCONTENT: D\n-2-hydroxyglutarate,L-2-hydroxyglutarate, succinate, and fumarate are the currently recognized oncometabolites. They are structurally similar and share metabolic proximity in the tricarboxylic acid cycle. As a result, they promote tumorigenesis in cancer cells through similar mechanisms. This review summarizes the currently understood common and distinct biological features of these compounds. In addition, we will review the current laboratory methodologies that can be used to quantify these metabolites and their downstream targets.\nSUMMARY: Oncometabolites play an important role in cancer biology. The metabolic pathways that lead to the production of oncometabolites and the downstream signaling pathways that are activated by oncometabolites represent potential therapeutic targets. Clinical laboratories have a critical role to play in the management of oncometabolite-associated cancers through development and validation of sensitive and specific assays that measure oncometabolites and their downstream effectors. These assays can be used as screening tools and for follow-up to measure response to treatment, as well as to detect minimal residual disease and recurrence.","DOI":"10.1373/clinchem.2016.267666","ISSN":"1530-8561","note":"PMID: 29038145","title-short":"Oncometabolites","journalAbbreviation":"Clin. Chem.","language":"eng","author":[{"family":"Collins","given":"Rebecca R. J."},{"family":"Patel","given":"Khushbu"},{"family":"Putnam","given":"William C."},{"family":"Kapur","given":"Payal"},{"family":"Rakheja","given":"Dinesh"}],"issued":{"date-parts":[["2017",12]]}}},{"id":290,"uris":["http://zotero.org/users/4775618/items/PP39XJQC"],"uri":["http://zotero.org/users/4775618/items/PP39XJQC"],"itemData":{"id":290,"type":"article-journal","title":"Inborn and acquired metabolic defects in cancer","container-title":"Journal of Molecular Medicine","page":"213-220","volume":"89","issue":"3","source":"link.springer.com","abstract":"The observation that altered metabolism is the fundamental cause of cancer was made by Otto Warburg nearly a century ago. However, the subsequent identification of oncogenes and tumor suppressor genes has displaced Warburg's theory pointing towards genetic aberrations as the underlining cause of cancer. Nevertheless, in the last decade, cancer-associated mutations have been identified in genes coding for tricarboxylic acid cycle (TCA cycle, also known as Krebs cycle) and closely related enzymes that have essential roles in cellular metabolism. These observations have revived interest in Warburg's hypothesis and prompted a flurry of functional studies in the hope of gaining mechanistic insight into the links between mitochondrial dysfunction, metabolic alterations, and cancer. In this review, we discuss the potential pro-oncogenic signaling role of some TCA cycle metabolites and their derivatives (oncometabolites). In particular, we focus on their effects on dioxygenases, a family of oxygen and α-ketoglutarate-dependent enzymes that control, among other things, the levels and activity of the hypoxia-inducible transcription factors and the activity of DNA and histone demethylases.","URL":"https://link.springer.com/article/10.1007/s00109-011-0728-4","DOI":"10.1007/s00109-011-0728-4","ISSN":"0946-2716, 1432-1440","journalAbbreviation":"J Mol Med","language":"en","author":[{"family":"Frezza","given":"Christian"},{"family":"Pollard","given":"Patrick J."},{"family":"Gottlieb","given":"Eyal"}],"issued":{"date-parts":[["2011",3,1]]},"accessed":{"date-parts":[["2018",3,24]]}}},{"id":323,"uris":["http://zotero.org/users/4775618/items/JCMXXDI7"],"uri":["http://zotero.org/users/4775618/items/JCMXXDI7"],"itemData":{"id":323,"type":"article-journal","title":"Oncometabolites‐driven tumorigenesis: From genetics to targeted therapy","container-title":"International Journal of Cancer","page":"2237-2248","volume":"135","issue":"10","source":"onlinelibrary.wiley.com","URL":"https://onlinelibrary.wiley.com/doi/abs/10.1002/ijc.29080","DOI":"10.1002/ijc.29080","ISSN":"1097-0215","title-short":"Oncometabolites‐driven tumorigenesis","language":"en","author":[{"family":"Morin","given":"Aurélie"},{"family":"Letouzé","given":"Eric"},{"family":"Gimenez‐Roqueplo","given":"Anne-Paule"},{"family":"Favier","given":"Judith"}],"issued":{"date-parts":[["2014",11,15]]},"accessed":{"date-parts":[["2018",3,29]]}}},{"id":312,"uris":["http://zotero.org/users/4775618/items/E5D5NFC9"],"uri":["http://zotero.org/users/4775618/items/E5D5NFC9"],"itemData":{"id":312,"type":"article-journal","title":"Oncometabolites: Unconventional triggers of oncogenic signalling cascades","container-title":"Free Radical Biology &amp; Medicine","page":"175-181","volume":"100","source":"PubMed Central","abstract":"Cancer is a complex and heterogeneous disease thought to be caused by multiple genetic lesions. The recent finding that enzymes of the tricarboxylic acid (TCA) cycle are mutated in cancer rekindled the hypothesis that altered metabolism might also have a role in cellular transformation. Attempts to link mitochondrial dysfunction to cancer uncovered the unexpected role of small molecule metabolites, now known as oncometabolites, in tumorigenesis. In this review, we describe how oncometabolites can contribute to tumorigenesis. We propose that lesions of oncogenes and tumour suppressors are only one of the possible routes to tumorigenesis, which include accumulation of oncometabolites triggered by environmental cues., \n          \n            \n              •\n              Altered metabolism is an emerging aspect of tumorigenesis.\n            \n            \n              •\n              Damaged mitochondria accumulate metabolites that can activate oncogenic cascades.\n            \n            \n              •\n              Environmental and nutritional cues trigger the accumulation of these metabolites.","URL":"https://www.ncbi.nlm.nih.gov/pmc/articles/PMC5145802/","DOI":"10.1016/j.freeradbiomed.2016.04.025","ISSN":"0891-5849","note":"PMID: 27117029\nPMCID: PMC5145802","title-short":"Oncometabolites","journalAbbreviation":"Free Radic Biol Med","author":[{"family":"Sciacovelli","given":"Marco"},{"family":"Frezza","given":"Christian"}],"issued":{"date-parts":[["2016",11]]},"accessed":{"date-parts":[["2018",3,29]]}}}],"schema":"https://github.com/citation-style-language/schema/raw/master/csl-citation.json"} </w:instrText>
      </w:r>
      <w:r w:rsidR="00FF3F8F">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47,60,67,68</w:t>
      </w:r>
      <w:r w:rsidR="00FF3F8F">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These oncometabolites are increasingly associated with numerous malignancies, </w:t>
      </w:r>
      <w:r w:rsidR="00F131BF" w:rsidRPr="00D637BA">
        <w:rPr>
          <w:rFonts w:ascii="Calibri" w:hAnsi="Calibri" w:cs="Calibri"/>
          <w:bCs/>
          <w:color w:val="000000" w:themeColor="text1"/>
          <w:sz w:val="22"/>
          <w:szCs w:val="22"/>
        </w:rPr>
        <w:t>including</w:t>
      </w:r>
      <w:r w:rsidR="00F131BF" w:rsidRPr="00D637BA">
        <w:rPr>
          <w:rFonts w:ascii="Calibri" w:hAnsi="Calibri" w:cs="Calibri"/>
          <w:color w:val="000000" w:themeColor="text1"/>
          <w:sz w:val="22"/>
          <w:szCs w:val="22"/>
        </w:rPr>
        <w:t xml:space="preserve"> neuroendocrine </w:t>
      </w:r>
      <w:r w:rsidR="00F131BF" w:rsidRPr="00D637BA">
        <w:rPr>
          <w:rFonts w:ascii="Calibri" w:hAnsi="Calibri" w:cs="Calibri"/>
          <w:color w:val="000000" w:themeColor="text1"/>
          <w:sz w:val="22"/>
          <w:szCs w:val="22"/>
        </w:rPr>
        <w:lastRenderedPageBreak/>
        <w:t>tumours</w:t>
      </w:r>
      <w:r w:rsidR="001C2FAC">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{"citationID":"a25vubmbbnc","properties":{"formattedCitation":"\\super 50,69,70\\nosupersub{}","plainCitation":"50,69,70","noteIndex":0},"citationItems":[{"id":1272,"uris":["http://zotero.org/users/4775618/items/CC2V9Q3B"],"uri":["http://zotero.org/users/4775618/items/CC2V9Q3B"],"itemData":{"id":1272,"type":"article-journal","title":"Mutations in SDHD, a mitochondrial complex II gene, in hereditary paraganglioma","container-title":"Science (New York, N.Y.)","page":"848-851","volume":"287","issue":"5454","source":"PubMed","abstract":"Hereditary paraganglioma (PGL) is characterized by the development of benign, vascularized tumors in the head and neck. The most common tumor site is the carotid body (CB), a chemoreceptive organ that senses oxygen levels in the blood. Analysis of families carrying the PGL1 gene, described here, revealed germ line mutations in the SDHD gene on chromosome 11q23. SDHD encodes a mitochondrial respiratory chain protein-the small subunit of cytochrome b in succinate-ubiquinone oxidoreductase (cybS). In contrast to expectations based on the inheritance pattern of PGL, the SDHD gene showed no evidence of imprinting. These findings indicate that mitochondria play an important role in the pathogenesis of certain tumors and that cybS plays a role in normal CB physiology.","ISSN":"0036-8075","note":"PMID: 10657297","journalAbbreviation":"Science","language":"eng","author":[{"family":"Baysal","given":"B. E."},{"family":"Ferrell","given":"R. E."},{"family":"Willett-Brozick","given":"J. E."},{"family":"Lawrence","given":"E. C."},{"family":"Myssiorek","given":"D."},{"family":"Bosch","given":"A."},{"family":"Mey","given":"A.","non-dropping-particle":"van der"},{"family":"Taschner","given":"P. E."},{"family":"Rubinstein","given":"W. S."},{"family":"Myers","given":"E. N."},{"family":"Richard","given":"C. W."},{"family":"Cornelisse","given":"C. J."},{"family":"Devilee","given":"P."},{"family":"Devlin","given":"B."}],"issued":{"date-parts":[["2000",2,4]]}}},{"id":619,"uris":["http://zotero.org/users/4775618/items/CHQEENK9"],"uri":["http://zotero.org/users/4775618/items/CHQEENK9"],"itemData":{"id":619,"type":"article-journal","title":"Germline mutations in FH confer predisposition to malignant pheochromocytomas and paragangliomas","container-title":"Human Molecular Genetics","page":"2440-2446","volume":"23","issue":"9","source":"PubMed","abstract":"Malignant pheochromocytoma (PCC) and paraganglioma (PGL) are mostly caused by germline mutations of SDHB, encoding a subunit of succinate dehydrogenase. Using whole-exome sequencing, we recently identified a mutation in the FH gene encoding fumarate hydratase, in a PCC with an 'SDH-like' molecular phenotype. Here, we investigated the role of FH in PCC/PGL predisposition, by screening for germline FH mutations in a large international cohort of patients. We screened 598 patients with PCC/PGL without mutations in known PCC/PGL susceptibility genes. We searched for FH germline mutations and large deletions, by direct sequencing and multiplex ligation-dependent probe amplification methods. Global alterations in DNA methylation and protein succination were assessed by immunohistochemical staining for 5-hydroxymethylcytosine (5-hmC) and S-(2-succinyl) cysteine (2SC), respectively. We identified five pathogenic germline FH mutations (four missense and one splice mutation) in five patients. Somatic inactivation of the second allele, resulting in a loss of fumarate hydratase activity, was demonstrated in tumors with FH mutations. Low tumor levels of 5-hmC, resembling those in SDHB-deficient tumors, and positive 2SC staining were detected in tumors with FH mutations. Clinically, metastatic phenotype (P = 0.007) and multiple tumors (P = 0.02) were significantly more frequent in patients with FH mutations than those without such mutations. This study reveals a new role for FH in susceptibility to malignant and/or multiple PCC/PGL. Remarkably, FH-deficient PCC/PGLs display the same pattern of epigenetic deregulation as SDHB-mutated malignant PCC/PGL. Therefore, we propose that mutation screening for FH should be included in PCC/PGL genetic testing, at least for tumors with malignant behavior.","DOI":"10.1093/hmg/ddt639","ISSN":"1460-2083","note":"PMID: 24334767","journalAbbreviation":"Hum. Mol. Genet.","language":"eng","author":[{"family":"Castro-Vega","given":"Luis Jaime"},{"family":"Buffet","given":"Alexandre"},{"family":"De Cubas","given":"Aguirre A."},{"family":"Cascón","given":"Alberto"},{"family":"Menara","given":"Mélanie"},{"family":"Khalifa","given":"Emmanuel"},{"family":"Amar","given":"Laurence"},{"family":"Azriel","given":"Sharona"},{"family":"Bourdeau","given":"Isabelle"},{"family":"Chabre","given":"Olivier"},{"family":"Currás-Freixes","given":"Maria"},{"family":"Franco-Vidal","given":"Valérie"},{"family":"Guillaud-Bataille","given":"Marine"},{"family":"Simian","given":"Christophe"},{"family":"Morin","given":"Aurélie"},{"family":"Letón","given":"Rocío"},{"family":"Gómez-Graña","given":"Alvaro"},{"family":"Pollard","given":"Patrick J."},{"family":"Rustin","given":"Pierre"},{"family":"Robledo","given":"Mercedes"},{"family":"Favier","given":"Judith"},{"family":"Gimenez-Roqueplo","given":"Anne-Paule"}],"issued":{"date-parts":[["2014",5,1]]}}},{"id":624,"uris":["http://zotero.org/users/4775618/items/TUH5H6RG"],"uri":["http://zotero.org/users/4775618/items/TUH5H6RG"],"itemData":{"id":624,"type":"article-journal","title":"SDH5 mutations and familial paraganglioma: somewhere Warburg is smiling","container-title":"Cancer Cell","page":"180-182","volume":"16","issue":"3","source":"PubMed","abstract":"Paragangliomas have been linked to mutations affecting the succinate dehydrogenase complex. In a recent issue of Science, Rutter and coworkers showed that SDH5 is required for the flavination of SDHA, which is necessary for SDH assembly and function. Moreover, they detected SDH5 mutations in a large kindred with familial paraganglioma.","DOI":"10.1016/j.ccr.2009.08.013","ISSN":"1878-3686","note":"PMID: 19732718","title-short":"SDH5 mutations and familial paraganglioma","journalAbbreviation":"Cancer Cell","language":"eng","author":[{"family":"Kaelin","given":"William G."}],"issued":{"date-parts":[["2009",9,8]]}}}],"schema":"https://github.com/citation-style-language/schema/raw/master/csl-citation.json"} </w:instrText>
      </w:r>
      <w:r w:rsidR="001C2FAC">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50,69,70</w:t>
      </w:r>
      <w:r w:rsidR="001C2FAC">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brain tumours</w:t>
      </w:r>
      <w:r w:rsidR="001C2FAC">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{"citationID":"a2k87dg8rhh","properties":{"formattedCitation":"\\super 71,72\\nosupersub{}","plainCitation":"71,72","noteIndex":0},"citationItems":[{"id":331,"uris":["http://zotero.org/users/4775618/items/CH9YES7I"],"uri":["http://zotero.org/users/4775618/items/CH9YES7I"],"itemData":{"id":331,"type":"article-journal","title":"Oncometabolite 2-Hydroxyglutarate Is a Competitive Inhibitor of α-Ketoglutarate-Dependent Dioxygenases","container-title":"Cancer cell","page":"17-30","volume":"19","issue":"1","source":"PubMed Central","abstract":"IDH1 and IDH2 mutations occur frequently in gliomas and acute myeloid leukemia, leading to simultaneous loss and gain of activities in the production of α-ketoglutarate (α-KG) and 2-hydroxyglutarate (2-HG), respectively. Here we demonstrate that 2-HG is a competitive inhibitor of multiple α-KG-dependent dioxygenases, including histone demethylases and the TET family of 5-methlycytosine (5mC) hydroxylases. 2-HG occupies the same space as α-KG does in the active site of histone demethylases. Ectopic expression of tumor-derived IDH1 and IDH2 mutants inhibits histone demethylation and 5mC hydroxylation. In glioma, IDH1 mutations are associated with increased histone methylation and decreased 5-hydroxylmethylcytosine (5hmC). Hence, tumor-derived IDH1 and IDH2 mutations reduce α-KG and accumulate an α-KG antagonist, 2-HG, leading to genome-wide histone and DNA methylation alterations.","URL":"https://www.ncbi.nlm.nih.gov/pmc/articles/PMC3229304/","DOI":"10.1016/j.ccr.2010.12.014","ISSN":"1535-6108","note":"PMID: 21251613\nPMCID: PMC3229304","journalAbbreviation":"Cancer Cell","author":[{"family":"Xu","given":"Wei"},{"family":"Yang","given":"Hui"},{"family":"Liu","given":"Ying"},{"family":"Yang","given":"Ying"},{"family":"Wang","given":"Ping"},{"family":"Kim","given":"Se-Hee"},{"family":"Ito","given":"Shinsuke"},{"family":"Yang","given":"Chen"},{"family":"Wang","given":"Pu"},{"family":"Xiao","given":"Meng-Tao"},{"family":"Liu","given":"Li-xia"},{"family":"Jiang","given":"Wen-qing"},{"family":"Liu","given":"Jing"},{"family":"Zhang","given":"Jin-ye"},{"family":"Wang","given":"Bin"},{"family":"Frye","given":"Stephen"},{"family":"Zhang","given":"Yi"},{"family":"Xu","given":"Yan-hui"},{"family":"Lei","given":"Qun-ying"},{"family":"Guan","given":"Kun-Liang"},{"family":"Zhao","given":"Shi-min"},{"family":"Xiong","given":"Yue"}],"issued":{"date-parts":[["2011",1,18]]},"accessed":{"date-parts":[["2018",3,29]]}}},{"id":630,"uris":["http://zotero.org/users/4775618/items/EDYFZN5J"],"uri":["http://zotero.org/users/4775618/items/EDYFZN5J"],"itemData":{"id":630,"type":"article-journal","title":"IDH1 and IDH2 Mutations in Gliomas","container-title":"The New England journal of medicine","page":"765-773","volume":"360","issue":"8","source":"PubMed Central","abstract":"BACKGROUND\nA recent genomewide mutational analysis of glioblastomas (World Health Organization [WHO] grade IV glioma) revealed somatic mutations of the isocitrate dehydrogenase 1 gene (IDH1) in a fraction of such tumors, most frequently in tumors that were known to have evolved from lower-grade gliomas (secondary glioblastomas).\n\nMETHODS\nWe determined the sequence of the IDH1 gene and the related IDH2 gene in 445 central nervous system (CNS) tumors and 494 non-CNS tumors. The enzymatic activity of the proteins that were produced from normal and mutant IDH1 and IDH2 genes was determined in cultured glioma cells that were transfected with these genes.\n\nRESULTS\nWe identified mutations that affected amino acid 132 of IDH1 in more than 70% of WHO grade II and III astrocytomas and oligodendrogliomas and in glioblastomas that developed from these lower-grade lesions. Tumors without mutations in IDH1 often had mutations affecting the analogous amino acid (R172) of the IDH2 gene. Tumors with IDH1 or IDH2 mutations had distinctive genetic and clinical characteristics, and patients with such tumors had a better outcome than those with wild-type IDH genes. Each of four tested IDH1 and IDH2 mutations reduced the enzymatic activity of the encoded protein.\n\nCONCLUSIONS\nMutations of NADP+-dependent isocitrate dehydrogenases encoded by IDH1 and IDH2 occur in a majority of several types of malignant gliomas.","URL":"https://www.ncbi.nlm.nih.gov/pmc/articles/PMC2820383/","DOI":"10.1056/NEJMoa0808710","ISSN":"0028-4793","note":"PMID: 19228619\nPMCID: PMC2820383","journalAbbreviation":"N Engl J Med","author":[{"family":"Yan","given":"Hai"},{"family":"Parsons","given":"D. Williams"},{"family":"Jin","given":"Genglin"},{"family":"McLendon","given":"Roger"},{"family":"Rasheed","given":"B. Ahmed"},{"family":"Yuan","given":"Weishi"},{"family":"Kos","given":"Ivan"},{"family":"Batinic-Haberle","given":"Ines"},{"family":"Jones","given":"Siân"},{"family":"Riggins","given":"Gregory J."},{"family":"Friedman","given":"Henry"},{"family":"Friedman","given":"Allan"},{"family":"Reardon","given":"David"},{"family":"Herndon","given":"James"},{"family":"Kinzler","given":"Kenneth W."},{"family":"Velculescu","given":"Victor E."},{"family":"Vogelstein","given":"Bert"},{"family":"Bigner","given":"Darell D."}],"issued":{"date-parts":[["2009",2,19]]},"accessed":{"date-parts":[["2018",8,25]]}}}],"schema":"https://github.com/citation-style-language/schema/raw/master/csl-citation.json"} </w:instrText>
      </w:r>
      <w:r w:rsidR="001C2FAC">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71,72</w:t>
      </w:r>
      <w:r w:rsidR="001C2FAC">
        <w:rPr>
          <w:rFonts w:ascii="Calibri" w:hAnsi="Calibri" w:cs="Calibri"/>
          <w:color w:val="000000" w:themeColor="text1"/>
          <w:sz w:val="22"/>
          <w:szCs w:val="22"/>
        </w:rPr>
        <w:fldChar w:fldCharType="end"/>
      </w:r>
      <w:r w:rsidR="00F131BF" w:rsidRPr="00D637BA">
        <w:rPr>
          <w:rFonts w:ascii="Calibri" w:hAnsi="Calibri" w:cs="Calibri"/>
          <w:i/>
          <w:iCs/>
          <w:color w:val="000000" w:themeColor="text1"/>
          <w:sz w:val="22"/>
          <w:szCs w:val="22"/>
        </w:rPr>
        <w:t xml:space="preserve">, </w:t>
      </w:r>
      <w:r w:rsidR="00F131BF" w:rsidRPr="00D637BA">
        <w:rPr>
          <w:rFonts w:ascii="Calibri" w:hAnsi="Calibri" w:cs="Calibri"/>
          <w:color w:val="000000" w:themeColor="text1"/>
          <w:sz w:val="22"/>
          <w:szCs w:val="22"/>
        </w:rPr>
        <w:t>haematological malignancies</w:t>
      </w:r>
      <w:r w:rsidR="001C2FAC">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{"citationID":"ae7ogb6cet","properties":{"formattedCitation":"\\super 73,74\\nosupersub{}","plainCitation":"73,74","noteIndex":0},"citationItems":[{"id":626,"uris":["http://zotero.org/users/4775618/items/N3W3EWX3"],"uri":["http://zotero.org/users/4775618/items/N3W3EWX3"],"itemData":{"id":626,"type":"article-journal","title":"Cancer-associated metabolite 2-hydroxyglutarate accumulates in acute myelogenous leukemia with isocitrate dehydrogenase 1 and 2 mutations","container-title":"The Journal of Experimental Medicine","page":"339-344","volume":"207","issue":"2","source":"PubMed","abstract":"Mutations in isocitrate dehydrogenase 1 and 2 (IDH1/2), are present in most gliomas and secondary glioblastomas, but are rare in other neoplasms. IDH1/2 mutations are heterozygous, and affect a single arginine residue. Recently, IDH1 mutations were identified in 8% of acute myelogenous leukemia (AML) patients. A glioma study revealed that IDH1 mutations cause a gain-of-function, resulting in the production and accumulation of 2-hydroxyglutarate (2-HG). Genotyping of 145 AML biopsies identified 11 IDH1 R132 mutant samples. Liquid chromatography-mass spectrometry metabolite screening revealed increased 2-HG levels in IDH1 R132 mutant cells and sera, and uncovered two IDH2 R172K mutations. IDH1/2 mutations were associated with normal karyotypes. Recombinant IDH1 R132C and IDH2 R172K proteins catalyze the novel nicotinamide adenine dinucleotide phosphate (NADPH)-dependent reduction of alpha-ketoglutarate (alpha-KG) to 2-HG. The IDH1 R132C mutation commonly found in AML reduces the affinity for isocitrate, and increases the affinity for NADPH and alpha-KG. This prevents the oxidative decarboxylation of isocitrate to alpha-KG, and facilitates the conversion of alpha-KG to 2-HG. IDH1/2 mutations confer an enzymatic gain of function that dramatically increases 2-HG in AML. This provides an explanation for the heterozygous acquisition of these mutations during tumorigenesis. 2-HG is a tractable metabolic biomarker of mutant IDH1/2 enzyme activity.","DOI":"10.1084/jem.20092506","ISSN":"1540-9538","note":"PMID: 20142433\nPMCID: PMC2822606","journalAbbreviation":"J. Exp. Med.","language":"eng","author":[{"family":"Gross","given":"Stefan"},{"family":"Cairns","given":"Rob A."},{"family":"Minden","given":"Mark D."},{"family":"Driggers","given":"Edward M."},{"family":"Bittinger","given":"Mark A."},{"family":"Jang","given":"Hyun Gyung"},{"family":"Sasaki","given":"Masato"},{"family":"Jin","given":"Shengfang"},{"family":"Schenkein","given":"David P."},{"family":"Su","given":"Shinsan M."},{"family":"Dang","given":"Lenny"},{"family":"Fantin","given":"Valeria R."},{"family":"Mak","given":"Tak W."}],"issued":{"date-parts":[["2010",2,15]]}}},{"id":628,"uris":["http://zotero.org/users/4775618/items/R69BU6NN"],"uri":["http://zotero.org/users/4775618/items/R69BU6NN"],"itemData":{"id":628,"type":"article-journal","title":"The common feature of leukemia-associated IDH1 and IDH2 mutations is a neomorphic enzyme activity converting alpha-ketoglutarate to 2-hydroxyglutarate","container-title":"Cancer Cell","page":"225-234","volume":"17","issue":"3","source":"PubMed","abstract":"The somatic mutations in cytosolic isocitrate dehydrogenase 1 (IDH1) observed in gliomas can lead to the production of 2-hydroxyglutarate (2HG). Here, we report that tumor 2HG is elevated in a high percentage of patients with cytogenetically normal acute myeloid leukemia (AML). Surprisingly, less than half of cases with elevated 2HG possessed IDH1 mutations. The remaining cases with elevated 2HG had mutations in IDH2, the mitochondrial homolog of IDH1. These data demonstrate that a shared feature of all cancer-associated IDH mutations is production of the oncometabolite 2HG. Furthermore, AML patients with IDH mutations display a significantly reduced number of other well characterized AML-associated mutations and/or associated chromosomal abnormalities, potentially implicating IDH mutation in a distinct mechanism of AML pathogenesis.","DOI":"10.1016/j.ccr.2010.01.020","ISSN":"1878-3686","note":"PMID: 20171147\nPMCID: PMC2849316","journalAbbreviation":"Cancer Cell","language":"eng","author":[{"family":"Ward","given":"Patrick S."},{"family":"Patel","given":"Jay"},{"family":"Wise","given":"David R."},{"family":"Abdel-Wahab","given":"Omar"},{"family":"Bennett","given":"Bryson D."},{"family":"Coller","given":"Hilary A."},{"family":"Cross","given":"Justin R."},{"family":"Fantin","given":"Valeria R."},{"family":"Hedvat","given":"Cyrus V."},{"family":"Perl","given":"Alexander E."},{"family":"Rabinowitz","given":"Joshua D."},{"family":"Carroll","given":"Martin"},{"family":"Su","given":"Shinsan M."},{"family":"Sharp","given":"Kim A."},{"family":"Levine","given":"Ross L."},{"family":"Thompson","given":"Craig B."}],"issued":{"date-parts":[["2010",3,16]]}}}],"schema":"https://github.com/citation-style-language/schema/raw/master/csl-citation.json"} </w:instrText>
      </w:r>
      <w:r w:rsidR="001C2FAC">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73,74</w:t>
      </w:r>
      <w:r w:rsidR="001C2FAC">
        <w:rPr>
          <w:rFonts w:ascii="Calibri" w:hAnsi="Calibri" w:cs="Calibri"/>
          <w:color w:val="000000" w:themeColor="text1"/>
          <w:sz w:val="22"/>
          <w:szCs w:val="22"/>
        </w:rPr>
        <w:fldChar w:fldCharType="end"/>
      </w:r>
      <w:r w:rsidR="00F131BF" w:rsidRPr="00D637BA">
        <w:rPr>
          <w:rFonts w:ascii="Calibri" w:hAnsi="Calibri" w:cs="Calibri"/>
          <w:i/>
          <w:iCs/>
          <w:color w:val="000000" w:themeColor="text1"/>
          <w:sz w:val="22"/>
          <w:szCs w:val="22"/>
        </w:rPr>
        <w:t xml:space="preserve">, </w:t>
      </w:r>
      <w:r w:rsidR="00F131BF" w:rsidRPr="00D637BA">
        <w:rPr>
          <w:rFonts w:ascii="Calibri" w:hAnsi="Calibri" w:cs="Calibri"/>
          <w:color w:val="000000" w:themeColor="text1"/>
          <w:sz w:val="22"/>
          <w:szCs w:val="22"/>
        </w:rPr>
        <w:t>head and neck squamous cell carcinoma</w:t>
      </w:r>
      <w:r w:rsidR="001C2FAC">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{"citationID":"ac4qchd85h","properties":{"formattedCitation":"\\super 75\\nosupersub{}","plainCitation":"75","noteIndex":0},"citationItems":[{"id":650,"uris":["http://zotero.org/users/4775618/items/7HFEX8QY"],"uri":["http://zotero.org/users/4775618/items/7HFEX8QY"],"itemData":{"id":650,"type":"article-journal","title":"Metabolomic analysis identifies differentially produced oral metabolites, including the oncometabolite 2-hydroxyglutarate, in patients with head and neck squamous cell carcinoma","container-title":"BBA Clinical","page":"8-15","volume":"7","source":"ScienceDirect","abstract":"Background\nMetabolomics represents a promising approach for discovering novel targets and biomarkers in head and neck squamous cell carcinoma (HNSCC). Here we used metabolomics to identify oral metabolites associated with HNSCC.\nMethods\nTumor and adjacent normal tissue from surgical resections and presurgical oral washes as well as oral washes were collected from healthy participants. Metabolites extractions of these samples were analyzed by liquid chromatography-mass spectroscopy (LC/MS), LC/MS/MS and gas chromatography-MS (GC/MS).\nResults\nAmong 28 samples obtained from 7 HNSCC cases and 7 controls, 422 metabolites were detected (269 identified and 153 unidentified). Oral washes contained 12 and 23 metabolites in healthy controls and HNSCC patients, respectively, with phosphate and lactate being the most abundant. Small molecules related to energy metabolism were significantly elevated in HNSCC patients compared to controls. Levels of beta-alanine, alpha-hydroxyisovalerate, tryptophan, and hexanoylcarnitine were elevated in HNSCC oral washes compared to healthy controls (range 7.8-12.2-fold). Resection tissues contained 22 metabolites, of which eight were overproduced in tumor by 1.9- to 12-fold compared to controls. TCA cycle analogs 2-hydroxyglutarate (2-HG) and 3-GMP were detected exclusively in tumor tissues. Targeted quantification of 2-HG in a representative HNSCC patient showed increase in tumor tissue (14.7μg/mL), but undetectable in normal tissue. Moreover, high levels of 2-HG were detected in HNSCC cell lines but not in healthy primary oral keratinocyte cultures.\nConclusions\nOral metabolites related to energy metabolism were elevated in HNSCC, and acylcarnitine and 2HG may have potential as non-invasive biomarkers. Further validation in clinical studies is warranted.","URL":"http://www.sciencedirect.com/science/article/pii/S221464741630068X","DOI":"10.1016/j.bbacli.2016.12.001","ISSN":"2214-6474","journalAbbreviation":"BBA Clinical","author":[{"family":"Mukherjee","given":"Pranab K."},{"family":"Funchain","given":"Pauline"},{"family":"Retuerto","given":"Mauricio"},{"family":"Jurevic","given":"Richard J."},{"family":"Fowler","given":"Nicole"},{"family":"Burkey","given":"Brian"},{"family":"Eng","given":"Charis"},{"family":"Ghannoum","given":"Mahmoud A"}],"issued":{"date-parts":[["2017",6,1]]},"accessed":{"date-parts":[["2018",8,26]]}}}],"schema":"https://github.com/citation-style-language/schema/raw/master/csl-citation.json"} </w:instrText>
      </w:r>
      <w:r w:rsidR="001C2FAC">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75</w:t>
      </w:r>
      <w:r w:rsidR="001C2FAC">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and hereditary and sporadic forms of RCC</w:t>
      </w:r>
      <w:r w:rsidR="001C2FAC">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{"citationID":"a2bhogl7i1b","properties":{"formattedCitation":"\\super 60,76\\uc0\\u8211{}79\\nosupersub{}","plainCitation":"60,76–79","noteIndex":0},"citationItems":[{"id":444,"uris":["http://zotero.org/users/4775618/items/U5E9AF2W"],"uri":["http://zotero.org/users/4775618/items/U5E9AF2W"],"itemData":{"id":444,"type":"article-journal","title":"Oncometabolites: A New Paradigm for Oncology, Metabolism, and the Clinical Laboratory","container-title":"Clinical Chemistry","page":"1812-1820","volume":"63","issue":"12","source":"PubMed","abstract":"BACKGROUND: Pediatric clinical laboratories commonly measure tricarboxylic acid cycle intermediates for screening, diagnosis, and monitoring of specific inborn errors of metabolism, such as organic acidurias. In the past decade, the same tricarboxylic acid cycle metabolites have been implicated and studied in cancer. The accumulation of these metabolites in certain cancers not only serves as a biomarker but also directly contributes to cellular transformation, therefore earning them the designation of oncometabolites.\nCONTENT: D\n-2-hydroxyglutarate,L-2-hydroxyglutarate, succinate, and fumarate are the currently recognized oncometabolites. They are structurally similar and share metabolic proximity in the tricarboxylic acid cycle. As a result, they promote tumorigenesis in cancer cells through similar mechanisms. This review summarizes the currently understood common and distinct biological features of these compounds. In addition, we will review the current laboratory methodologies that can be used to quantify these metabolites and their downstream targets.\nSUMMARY: Oncometabolites play an important role in cancer biology. The metabolic pathways that lead to the production of oncometabolites and the downstream signaling pathways that are activated by oncometabolites represent potential therapeutic targets. Clinical laboratories have a critical role to play in the management of oncometabolite-associated cancers through development and validation of sensitive and specific assays that measure oncometabolites and their downstream effectors. These assays can be used as screening tools and for follow-up to measure response to treatment, as well as to detect minimal residual disease and recurrence.","DOI":"10.1373/clinchem.2016.267666","ISSN":"1530-8561","note":"PMID: 29038145","title-short":"Oncometabolites","journalAbbreviation":"Clin. Chem.","language":"eng","author":[{"family":"Collins","given":"Rebecca R. J."},{"family":"Patel","given":"Khushbu"},{"family":"Putnam","given":"William C."},{"family":"Kapur","given":"Payal"},{"family":"Rakheja","given":"Dinesh"}],"issued":{"date-parts":[["2017",12]]}}},{"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id":338,"uris":["http://zotero.org/users/4775618/items/NH6M7PMD"],"uri":["http://zotero.org/users/4775618/items/NH6M7PMD"],"itemData":{"id":338,"type":"article-journal","title":"Fumarate is an epigenetic modifier that elicits epithelial-to-mesenchymal transition","container-title":"Nature","page":"544-547","volume":"537","issue":"7621","source":"www.nature.com","abstract":"Mutations of the tricarboxylic acid cycle enzyme fumarate hydratase cause hereditary leiomyomatosis and renal cell cancer1. Fumarate hydratase-deficient renal cancers are highly aggressive and metastasize even when small, leading to a very poor clinical outcome2. Fumarate, a small molecule metabolite that accumulates in fumarate hydratase-deficient cells, plays a key role in cell transformation, making it a bona fide oncometabolite3. Fumarate has been shown to inhibit α-ketoglutarate-dependent dioxygenases that are involved in DNA and histone demethylation4,5. However, the link between fumarate accumulation, epigenetic changes, and tumorigenesis is unclear. Here we show that loss of fumarate hydratase and the subsequent accumulation of fumarate in mouse and human cells elicits an epithelial-to-mesenchymal-transition (EMT), a phenotypic switch associated with cancer initiation, invasion, and metastasis6. We demonstrate that fumarate inhibits Tet-mediated demethylation of a regulatory region of the antimetastatic miRNA cluster6 mir-200ba429, leading to the expression of EMT-related transcription factors and enhanced migratory properties. These epigenetic and phenotypic changes are recapitulated by the incubation of fumarate hydratase-proficient cells with cell-permeable fumarate. Loss of fumarate hydratase is associated with suppression of miR-200 and the EMT signature in renal cancer and is associated with poor clinical outcome. These results imply that loss of fumarate hydratase and fumarate accumulation contribute to the aggressive features of fumarate hydratase-deficient tumours.","URL":"https://www.nature.com/articles/nature19353","DOI":"10.1038/nature19353","ISSN":"1476-4687","language":"en","author":[{"family":"Sciacovelli","given":"Marco"},{"family":"Gonçalves","given":"Emanuel"},{"family":"Johnson","given":"Timothy Isaac"},{"family":"Zecchini","given":"Vincent Roberto"},{"family":"Costa","given":"Ana Sofia Henriques","non-dropping-particle":"da"},{"family":"Gaude","given":"Edoardo"},{"family":"Drubbel","given":"Alizee Vercauteren"},{"family":"Theobald","given":"Sebastian Julian"},{"family":"Abbo","given":"Sandra Riekje"},{"family":"Tran","given":"Maxine Gia Binh"},{"family":"Rajeeve","given":"Vinothini"},{"family":"Cardaci","given":"Simone"},{"family":"Foster","given":"Sarah"},{"family":"Yun","given":"Haiyang"},{"family":"Cutillas","given":"Pedro"},{"family":"Warren","given":"Anne"},{"family":"Gnanapragasam","given":"Vincent"},{"family":"Gottlieb","given":"Eyal"},{"family":"Franze","given":"Kristian"},{"family":"Huntly","given":"Brian"},{"family":"Maher","given":"Eamonn Richard"},{"family":"Maxwell","given":"Patrick Henry"},{"family":"Saez-Rodriguez","given":"Julio"},{"family":"Frezza","given":"Christian"}],"issued":{"date-parts":[["2016",9]]},"accessed":{"date-parts":[["2018",3,29]]}}},{"id":371,"uris":["http://zotero.org/users/4775618/items/TWDZHBU3"],"uri":["http://zotero.org/users/4775618/items/TWDZHBU3"],"itemData":{"id":371,"type":"article-journal","title":"Aberrant succination of proteins in fumarate hydratase‐deficient mice and HLRCC patients is a robust biomarker of mutation status","container-title":"The Journal of Pathology","page":"4-11","volume":"225","issue":"1","source":"onlinelibrary.wiley.com (Atypon)","abstract":"Abstract Germline mutations in the FH gene encoding the Krebs cycle enzyme fumarate hydratase predispose to hereditary leiomyomatosis and renal cell cancer (HLRCC) syndrome. FH?deficient cells and tissues accumulate high levels of fumarate, which may act as an oncometabolite and contribute to tumourigenesis. A recently proposed role for fumarate in the covalent modification of cysteine residues to S?(2?succinyl) cysteine (2SC) (termed protein succination) prompted us to assess 2SC levels in our existing models of HLRCC. Herein, using a previously characterized antibody against 2SC, we show that genetic ablation of FH causes high levels of protein succination. We next hypothesized that immunohistochemistry for 2SC would serve as a metabolic biomarker for the in situ detection of FH?deficient tissues. Robust detection of 2SC was observed in Fh1 (murine FH)?deficient renal cysts and in a retrospective series of HLRCC tumours (n = 16) with established FH mutations. Importantly, 2SC was undetectable in normal tissues (n = 200) and tumour types not associated with HLRCC (n = 1342). In a prospective evaluation of cases referred for genetic testing for HLRCC, the presence of 2SC?modified proteins (2SCP) correctly predicted genetic alterations in FH in every case. In two series of unselected type II papillary renal cancer (PRCC), prospectively analysed by 2SCP staining followed by genetic analysis, the biomarker accurately identified previously unsuspected FH mutations (2/33 and 1/36). The investigation of whether metabolites in other tumour types produce protein modification signature(s) that can be assayed using similar strategies will be of interest in future studies of cancer. Copyright ? 2011 Pathological Society of Great Britain and Ireland. Published by John Wiley &amp; Sons, Ltd.","URL":"https://onlinelibrary.wiley.com/doi/full/10.1002/path.2932","DOI":"10.1002/path.2932","ISSN":"0022-3417","journalAbbreviation":"The Journal of Pathology","author":[{"literal":"Bardella Chiara"},{"literal":"El‐Bahrawy Mona"},{"literal":"Frizzell Norma"},{"literal":"Adam Julie"},{"literal":"Ternette Nicola"},{"literal":"Hatipoglu Emine"},{"literal":"Howarth Kimberley"},{"literal":"O'Flaherty Linda"},{"literal":"Roberts Ian"},{"literal":"Turner Gareth"},{"literal":"Taylor Jennifer"},{"literal":"Giaslakiotis Konstantinos"},{"literal":"Macaulay Valentine M"},{"literal":"Harris Adrian L"},{"literal":"Chandra Ashish"},{"literal":"Lehtonen Heli J"},{"literal":"Launonen Virpi"},{"literal":"Aaltonen Lauri A"},{"literal":"Pugh Christopher W"},{"literal":"Mihai Radu"},{"literal":"Trudgian David"},{"literal":"Kessler Benedikt"},{"literal":"Baynes John W"},{"literal":"Ratcliffe Peter J"},{"literal":"Tomlinson Ian P"},{"literal":"Pollard Patrick J"}],"issued":{"date-parts":[["2011",5,10]]},"accessed":{"date-parts":[["2018",4,2]]}}},{"id":357,"uris":["http://zotero.org/users/4775618/items/WRIDLH5D"],"uri":["http://zotero.org/users/4775618/items/WRIDLH5D"],"itemData":{"id":357,"type":"article-journal","title":"Succination of Keap1 and activation of Nrf2-dependent antioxidant pathways in FH-deficient papillary renal cell carcinoma type-2","container-title":"Cancer cell","page":"418-420","volume":"20","issue":"4","source":"PubMed Central","abstract":"Fumarate hydratase (FH) is a tumor suppressor, but how it acts is unclear. Two reports in this issue of Cancer Cell reveal that FH-deficiency leads to succination of Keap1, stabilization of Nrf2, and induction of stress-response genes including HMOX1, which is important for the survival of FH-deficient cells.","URL":"https://www.ncbi.nlm.nih.gov/pmc/articles/PMC3226726/","DOI":"10.1016/j.ccr.2011.10.005","ISSN":"1535-6108","note":"PMID: 22014567\nPMCID: PMC3226726","journalAbbreviation":"Cancer Cell","author":[{"family":"Kinch","given":"Lisa"},{"family":"Grishin","given":"Nick V."},{"family":"Brugarolas","given":"James"}],"issued":{"date-parts":[["2011",10,18]]},"accessed":{"date-parts":[["2018",3,29]]}}}],"schema":"https://github.com/citation-style-language/schema/raw/master/csl-citation.json"} </w:instrText>
      </w:r>
      <w:r w:rsidR="001C2FAC">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60,76–79</w:t>
      </w:r>
      <w:r w:rsidR="001C2FAC">
        <w:rPr>
          <w:rFonts w:ascii="Calibri" w:hAnsi="Calibri" w:cs="Calibri"/>
          <w:color w:val="000000" w:themeColor="text1"/>
          <w:sz w:val="22"/>
          <w:szCs w:val="22"/>
        </w:rPr>
        <w:fldChar w:fldCharType="end"/>
      </w:r>
      <w:r w:rsidR="00A044FE" w:rsidRPr="00D637BA">
        <w:rPr>
          <w:rFonts w:ascii="Calibri" w:hAnsi="Calibri" w:cs="Calibri"/>
          <w:color w:val="000000" w:themeColor="text1"/>
          <w:sz w:val="22"/>
          <w:szCs w:val="22"/>
        </w:rPr>
        <w:t>.</w:t>
      </w:r>
    </w:p>
    <w:p w14:paraId="3F96C53B" w14:textId="77777777" w:rsidR="00F131BF" w:rsidRPr="00D637BA" w:rsidRDefault="00F131BF" w:rsidP="00F131BF">
      <w:pPr>
        <w:spacing w:line="360" w:lineRule="auto"/>
        <w:jc w:val="both"/>
        <w:rPr>
          <w:rFonts w:ascii="Calibri" w:hAnsi="Calibri" w:cs="Calibri"/>
          <w:color w:val="000000" w:themeColor="text1"/>
          <w:sz w:val="22"/>
          <w:szCs w:val="22"/>
        </w:rPr>
      </w:pPr>
    </w:p>
    <w:p w14:paraId="1DB93F27" w14:textId="5517C065" w:rsidR="00F131BF" w:rsidRPr="00D637BA" w:rsidRDefault="00A37743" w:rsidP="00090C63">
      <w:pPr>
        <w:spacing w:line="360" w:lineRule="auto"/>
        <w:jc w:val="both"/>
        <w:rPr>
          <w:rFonts w:ascii="Calibri" w:hAnsi="Calibri" w:cs="Calibri"/>
          <w:b/>
          <w:color w:val="000000" w:themeColor="text1"/>
          <w:sz w:val="22"/>
          <w:szCs w:val="22"/>
        </w:rPr>
      </w:pPr>
      <w:r w:rsidRPr="00D637BA">
        <w:rPr>
          <w:rFonts w:ascii="Calibri" w:hAnsi="Calibri" w:cs="Calibri"/>
          <w:b/>
          <w:color w:val="000000" w:themeColor="text1"/>
          <w:szCs w:val="22"/>
        </w:rPr>
        <w:t xml:space="preserve">[H1] </w:t>
      </w:r>
      <w:r w:rsidR="00F131BF" w:rsidRPr="00D637BA">
        <w:rPr>
          <w:rFonts w:ascii="Calibri" w:hAnsi="Calibri" w:cs="Calibri"/>
          <w:b/>
          <w:color w:val="000000" w:themeColor="text1"/>
          <w:sz w:val="22"/>
          <w:szCs w:val="22"/>
        </w:rPr>
        <w:t>Endogenous origins</w:t>
      </w:r>
      <w:r w:rsidR="00090C63" w:rsidRPr="00B946E4">
        <w:rPr>
          <w:rFonts w:ascii="Calibri" w:hAnsi="Calibri" w:cs="Calibri"/>
          <w:b/>
          <w:color w:val="000000" w:themeColor="text1"/>
          <w:sz w:val="22"/>
          <w:szCs w:val="22"/>
        </w:rPr>
        <w:t xml:space="preserve"> of oncometabolites </w:t>
      </w:r>
    </w:p>
    <w:p w14:paraId="39D4D8FC" w14:textId="0B3CBAE3" w:rsidR="00D907A2" w:rsidRPr="00D637BA" w:rsidRDefault="00F131BF" w:rsidP="00F131BF">
      <w:pPr>
        <w:spacing w:line="360" w:lineRule="auto"/>
        <w:jc w:val="both"/>
        <w:rPr>
          <w:rFonts w:ascii="Calibri" w:hAnsi="Calibri" w:cs="Calibri"/>
          <w:i/>
          <w:color w:val="000000" w:themeColor="text1"/>
          <w:sz w:val="22"/>
          <w:szCs w:val="22"/>
        </w:rPr>
      </w:pPr>
      <w:r w:rsidRPr="00D637BA">
        <w:rPr>
          <w:rFonts w:ascii="Calibri" w:hAnsi="Calibri" w:cs="Calibri"/>
          <w:color w:val="000000" w:themeColor="text1"/>
          <w:sz w:val="22"/>
          <w:szCs w:val="22"/>
        </w:rPr>
        <w:t>Identification of loss-of-function mutations in genes encoding the key TCA cycle enzymes SDH and FH</w:t>
      </w:r>
      <w:r w:rsidR="00820B90"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w:t>
      </w:r>
      <w:r w:rsidR="00820B90" w:rsidRPr="00D637BA">
        <w:rPr>
          <w:rFonts w:ascii="Calibri" w:hAnsi="Calibri" w:cs="Calibri"/>
          <w:color w:val="000000" w:themeColor="text1"/>
          <w:sz w:val="22"/>
          <w:szCs w:val="22"/>
        </w:rPr>
        <w:t xml:space="preserve">which </w:t>
      </w:r>
      <w:r w:rsidRPr="00D637BA">
        <w:rPr>
          <w:rFonts w:ascii="Calibri" w:hAnsi="Calibri" w:cs="Calibri"/>
          <w:color w:val="000000" w:themeColor="text1"/>
          <w:sz w:val="22"/>
          <w:szCs w:val="22"/>
        </w:rPr>
        <w:t>lead to the accumulation of succinate and fumarate</w:t>
      </w:r>
      <w:r w:rsidR="00A37743"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respectively, as well as </w:t>
      </w:r>
      <w:r w:rsidR="00820B90" w:rsidRPr="00D637BA">
        <w:rPr>
          <w:rFonts w:ascii="Calibri" w:hAnsi="Calibri" w:cs="Calibri"/>
          <w:color w:val="000000" w:themeColor="text1"/>
          <w:sz w:val="22"/>
          <w:szCs w:val="22"/>
        </w:rPr>
        <w:t xml:space="preserve">a </w:t>
      </w:r>
      <w:r w:rsidRPr="00D637BA">
        <w:rPr>
          <w:rFonts w:ascii="Calibri" w:hAnsi="Calibri" w:cs="Calibri"/>
          <w:color w:val="000000" w:themeColor="text1"/>
          <w:sz w:val="22"/>
          <w:szCs w:val="22"/>
        </w:rPr>
        <w:t>gain-of-function mutation in IDH</w:t>
      </w:r>
      <w:r w:rsidR="00820B90" w:rsidRPr="00D637BA">
        <w:rPr>
          <w:rFonts w:ascii="Calibri" w:hAnsi="Calibri" w:cs="Calibri"/>
          <w:color w:val="000000" w:themeColor="text1"/>
          <w:sz w:val="22"/>
          <w:szCs w:val="22"/>
        </w:rPr>
        <w:t>, which</w:t>
      </w:r>
      <w:r w:rsidRPr="00D637BA">
        <w:rPr>
          <w:rFonts w:ascii="Calibri" w:hAnsi="Calibri" w:cs="Calibri"/>
          <w:color w:val="000000" w:themeColor="text1"/>
          <w:sz w:val="22"/>
          <w:szCs w:val="22"/>
        </w:rPr>
        <w:t xml:space="preserve"> </w:t>
      </w:r>
      <w:r w:rsidR="000167D7">
        <w:rPr>
          <w:rFonts w:ascii="Calibri" w:hAnsi="Calibri" w:cs="Calibri"/>
          <w:color w:val="000000" w:themeColor="text1"/>
          <w:sz w:val="22"/>
          <w:szCs w:val="22"/>
        </w:rPr>
        <w:t>results in</w:t>
      </w:r>
      <w:r w:rsidRPr="00D637BA">
        <w:rPr>
          <w:rFonts w:ascii="Calibri" w:hAnsi="Calibri" w:cs="Calibri"/>
          <w:color w:val="000000" w:themeColor="text1"/>
          <w:sz w:val="22"/>
          <w:szCs w:val="22"/>
        </w:rPr>
        <w:t xml:space="preserve"> the accumulation of D2HG, has led to appreciat</w:t>
      </w:r>
      <w:r w:rsidR="00820B90" w:rsidRPr="00D637BA">
        <w:rPr>
          <w:rFonts w:ascii="Calibri" w:hAnsi="Calibri" w:cs="Calibri"/>
          <w:color w:val="000000" w:themeColor="text1"/>
          <w:sz w:val="22"/>
          <w:szCs w:val="22"/>
        </w:rPr>
        <w:t>ion of</w:t>
      </w:r>
      <w:r w:rsidRPr="00D637BA">
        <w:rPr>
          <w:rFonts w:ascii="Calibri" w:hAnsi="Calibri" w:cs="Calibri"/>
          <w:color w:val="000000" w:themeColor="text1"/>
          <w:sz w:val="22"/>
          <w:szCs w:val="22"/>
        </w:rPr>
        <w:t xml:space="preserve"> how these genetic perturbations act as tumour suppressor genes and oncogenes</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{"citationID":"apcccahu0b","properties":{"formattedCitation":"\\super 27,47,67,80\\nosupersub{}","plainCitation":"27,47,67,80","noteIndex":0},"citationItems":[{"id":290,"uris":["http://zotero.org/users/4775618/items/PP39XJQC"],"uri":["http://zotero.org/users/4775618/items/PP39XJQC"],"itemData":{"id":290,"type":"article-journal","title":"Inborn and acquired metabolic defects in cancer","container-title":"Journal of Molecular Medicine","page":"213-220","volume":"89","issue":"3","source":"link.springer.com","abstract":"The observation that altered metabolism is the fundamental cause of cancer was made by Otto Warburg nearly a century ago. However, the subsequent identification of oncogenes and tumor suppressor genes has displaced Warburg's theory pointing towards genetic aberrations as the underlining cause of cancer. Nevertheless, in the last decade, cancer-associated mutations have been identified in genes coding for tricarboxylic acid cycle (TCA cycle, also known as Krebs cycle) and closely related enzymes that have essential roles in cellular metabolism. These observations have revived interest in Warburg's hypothesis and prompted a flurry of functional studies in the hope of gaining mechanistic insight into the links between mitochondrial dysfunction, metabolic alterations, and cancer. In this review, we discuss the potential pro-oncogenic signaling role of some TCA cycle metabolites and their derivatives (oncometabolites). In particular, we focus on their effects on dioxygenases, a family of oxygen and α-ketoglutarate-dependent enzymes that control, among other things, the levels and activity of the hypoxia-inducible transcription factors and the activity of DNA and histone demethylases.","URL":"https://link.springer.com/article/10.1007/s00109-011-0728-4","DOI":"10.1007/s00109-011-0728-4","ISSN":"0946-2716, 1432-1440","journalAbbreviation":"J Mol Med","language":"en","author":[{"family":"Frezza","given":"Christian"},{"family":"Pollard","given":"Patrick J."},{"family":"Gottlieb","given":"Eyal"}],"issued":{"date-parts":[["2011",3,1]]},"accessed":{"date-parts":[["2018",3,24]]}}},{"id":707,"uris":["http://zotero.org/users/4775618/items/U5WK52TM"],"uri":["http://zotero.org/users/4775618/items/U5WK52TM"],"itemData":{"id":707,"type":"article-journal","title":"Mitochondrial tumour suppressors: a genetic and biochemical update","container-title":"Nature Reviews Cancer","page":"857-866","volume":"5","issue":"11","source":"www.nature.com","abstract":"Since the discovery 5 years ago that the D-subunit of succinate dehydrogenase (SDHD) can behave as a classic tumour suppressor, other nuclear-encoded mitochondrial proteins (SDHB, SDHC and fumarate hydratase) have been implicated in tumour susceptibility. Mutations in these proteins are principally involved in familial predisposition to benign tumours, but the spectrum of inherited lesions is increasingly recognized to include malignant tumours, such as malignant phaeochromocytomas and renal cell carcinomas. Here we review recent advances in the field of mitochondrial tumour suppressors, the biochemical pathway that links mitochondrial dysfunction with tumorigenesis, and potential therapeutic approaches to these malignancies.","URL":"https://www.nature.com/articles/nrc1737","DOI":"10.1038/nrc1737","ISSN":"1474-1768","title-short":"Mitochondrial tumour suppressors","language":"en","author":[{"family":"Gottlieb","given":"Eyal"},{"family":"Tomlinson","given":"Ian P. M."}],"issued":{"date-parts":[["2005",11]]},"accessed":{"date-parts":[["2018",9,2]]}}},{"id":323,"uris":["http://zotero.org/users/4775618/items/JCMXXDI7"],"uri":["http://zotero.org/users/4775618/items/JCMXXDI7"],"itemData":{"id":323,"type":"article-journal","title":"Oncometabolites‐driven tumorigenesis: From genetics to targeted therapy","container-title":"International Journal of Cancer","page":"2237-2248","volume":"135","issue":"10","source":"onlinelibrary.wiley.com","URL":"https://onlinelibrary.wiley.com/doi/abs/10.1002/ijc.29080","DOI":"10.1002/ijc.29080","ISSN":"1097-0215","title-short":"Oncometabolites‐driven tumorigenesis","language":"en","author":[{"family":"Morin","given":"Aurélie"},{"family":"Letouzé","given":"Eric"},{"family":"Gimenez‐Roqueplo","given":"Anne-Paule"},{"family":"Favier","given":"Judith"}],"issued":{"date-parts":[["2014",11,15]]},"accessed":{"date-parts":[["2018",3,29]]}}},{"id":283,"uris":["http://zotero.org/users/4775618/items/GSI53XGT"],"uri":["http://zotero.org/users/4775618/items/GSI53XGT"],"itemData":{"id":283,"type":"article-journal","title":"Accumulation of Krebs cycle intermediates and over-expression of HIF1α in tumours which result from germline FH and SDH mutations","container-title":"Human Molecular Genetics","page":"2231-2239","volume":"14","issue":"15","source":"academic.oup.com","abstract":"The nuclear-encoded Krebs cycle enzymes, fumarate hydratase (FH) and succinate dehydrogenase (SDHB, -C and -D), act as tumour suppressors. Germline mutations in FH predispose individuals to leiomyomas and renal cell cancer (HLRCC), whereas mutations in SDH cause paragangliomas and phaeochromocytomas (HPGL). In this study, we have shown that FH-deficient cells and tumours accumulate fumarate and, to a lesser extent, succinate. SDH-deficient tumours principally accumulate succinate. In situ analyses showed that these tumours also have over-expression of hypoxia-inducible factor 1α (HIF1α), activation of HIF1αtargets (such as vascular endothelial growth factor) and high microvessel density. We found no evidence of increased reactive oxygen species in our cells. Our data provide in vivo evidence to support the hypothesis that increased succinate and/or fumarate causes stabilization of HIF1α a plausible mechanism, inhibition of HIF prolyl hydroxylases, has previously been suggested by in vitro studies. The basic mechanism of tumorigenesis in HPGL and HLRCC is likely to be pseudo-hypoxic drive, just as it is in von Hippel–Lindau syndrome.","URL":"https://academic.oup.com/hmg/article/14/15/2231/551734","DOI":"10.1093/hmg/ddi227","ISSN":"0964-6906","journalAbbreviation":"Hum Mol Genet","language":"en","author":[{"family":"Pollard","given":"P. J."},{"family":"Brière","given":"J. J."},{"family":"Alam","given":"N. A."},{"family":"Barwell","given":"J."},{"family":"Barclay","given":"E."},{"family":"Wortham","given":"N. C."},{"family":"Hunt","given":"T."},{"family":"Mitchell","given":"M."},{"family":"Olpin","given":"S."},{"family":"Moat","given":"S. J."},{"family":"Hargreaves","given":"I. P."},{"family":"Heales","given":"S. J."},{"family":"Chung","given":"Y. L."},{"family":"Griffiths","given":"J. R."},{"family":"Dalgleish","given":"A."},{"family":"McGrath","given":"J. A."},{"family":"Gleeson","given":"M. J."},{"family":"Hodgson","given":"S. V."},{"family":"Poulsom","given":"R."},{"family":"Rustin","given":"P."},{"family":"Tomlinson","given":"I. P. M."}],"issued":{"date-parts":[["2005",8,1]]},"accessed":{"date-parts":[["2018",3,24]]}}}],"schema":"https://github.com/citation-style-language/schema/raw/master/csl-citation.json"}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27,47,67,80</w:t>
      </w:r>
      <w:r w:rsidR="00E8321B">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A132C3" w:rsidRPr="00D637BA">
        <w:rPr>
          <w:rFonts w:ascii="Calibri" w:hAnsi="Calibri" w:cs="Calibri"/>
          <w:color w:val="000000" w:themeColor="text1"/>
          <w:sz w:val="22"/>
          <w:szCs w:val="22"/>
        </w:rPr>
        <w:t>Mutations in b</w:t>
      </w:r>
      <w:r w:rsidRPr="00D637BA">
        <w:rPr>
          <w:rFonts w:ascii="Calibri" w:hAnsi="Calibri" w:cs="Calibri"/>
          <w:color w:val="000000" w:themeColor="text1"/>
          <w:sz w:val="22"/>
          <w:szCs w:val="22"/>
        </w:rPr>
        <w:t xml:space="preserve">oth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 xml:space="preserve"> and </w:t>
      </w:r>
      <w:r w:rsidRPr="00D637BA">
        <w:rPr>
          <w:rFonts w:ascii="Calibri" w:hAnsi="Calibri" w:cs="Calibri"/>
          <w:i/>
          <w:color w:val="000000" w:themeColor="text1"/>
          <w:sz w:val="22"/>
          <w:szCs w:val="22"/>
        </w:rPr>
        <w:t>SDH</w:t>
      </w:r>
      <w:r w:rsidRPr="00D637BA">
        <w:rPr>
          <w:rFonts w:ascii="Calibri" w:hAnsi="Calibri" w:cs="Calibri"/>
          <w:color w:val="000000" w:themeColor="text1"/>
          <w:sz w:val="22"/>
          <w:szCs w:val="22"/>
        </w:rPr>
        <w:t xml:space="preserve"> </w:t>
      </w:r>
      <w:r w:rsidR="00DD5717" w:rsidRPr="00D637BA">
        <w:rPr>
          <w:rFonts w:ascii="Calibri" w:hAnsi="Calibri" w:cs="Calibri"/>
          <w:color w:val="000000" w:themeColor="text1"/>
          <w:sz w:val="22"/>
          <w:szCs w:val="22"/>
        </w:rPr>
        <w:t xml:space="preserve">subunits </w:t>
      </w:r>
      <w:r w:rsidRPr="00D637BA">
        <w:rPr>
          <w:rFonts w:ascii="Calibri" w:hAnsi="Calibri" w:cs="Calibri"/>
          <w:color w:val="000000" w:themeColor="text1"/>
          <w:sz w:val="22"/>
          <w:szCs w:val="22"/>
        </w:rPr>
        <w:t>in tumours follow Knudson’s ‘two hit’ hypothesis of tumorigenesis</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{"citationID":"ajnuafd5d0","properties":{"formattedCitation":"\\super 81\\nosupersub{}","plainCitation":"81","noteIndex":0},"citationItems":[{"id":1103,"uris":["http://zotero.org/users/4775618/items/DT45WDK5"],"uri":["http://zotero.org/users/4775618/items/DT45WDK5"],"itemData":{"id":1103,"type":"article-journal","title":"Mutation and Cancer: Statistical Study of Retinoblastoma","container-title":"Proceedings of the National Academy of Sciences","page":"820-823","volume":"68","issue":"4","source":"www-pnas-org.ezp.lib.cam.ac.uk","abstract":"Based upon observations on 48 cases of retinoblastoma and published reports, the hypothesis is developed that retinoblastoma is a cancer caused by two mutational events. In the dominantly inherited form, one mutation is inherited via the germinal cells and the second occurs in somatic cells. In the nonhereditary form, both mutations occur in somatic cells.\nThe second mutation produces an average of three retinoblastomas per individual inheriting the first mutation. Using Poisson statistics, one can calculate that this number (three) can explain the occasional gene carrier who gets no tumor, those who develop only unilateral tumors, and those who develop bilateral tumors, as well as explaining instances of multiple tumors in one eye.\nThis value for the mean number of tumors occurring in genetic carriers may be used to estimate the mutation rate for each mutation. The germinal and somatic rates for the first, and the somatic rate for the second, mutation, are approximately equal. The germinal mutation may arise in some instances from a delayed mutation.","URL":"https://www.pnas.org/content/68/4/820","DOI":"10.1073/pnas.68.4.820","ISSN":"0027-8424, 1091-6490","note":"PMID: 5279523","title-short":"Mutation and Cancer","journalAbbreviation":"PNAS","language":"en","author":[{"family":"Knudson","given":"Alfred G."}],"issued":{"date-parts":[["1971",4,1]]},"accessed":{"date-parts":[["2019",2,15]]}}}],"schema":"https://github.com/citation-style-language/schema/raw/master/csl-citation.json"}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81</w:t>
      </w:r>
      <w:r w:rsidR="00E8321B">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In patients with </w:t>
      </w:r>
      <w:r w:rsidRPr="00E37025">
        <w:rPr>
          <w:rFonts w:ascii="Calibri" w:hAnsi="Calibri" w:cs="Calibri"/>
          <w:color w:val="FF0000"/>
          <w:sz w:val="22"/>
          <w:szCs w:val="22"/>
        </w:rPr>
        <w:t>heterozygous germline mutations</w:t>
      </w:r>
      <w:r w:rsidR="0006158D">
        <w:rPr>
          <w:rFonts w:ascii="Calibri" w:hAnsi="Calibri" w:cs="Calibri"/>
          <w:color w:val="FF0000"/>
          <w:sz w:val="22"/>
          <w:szCs w:val="22"/>
        </w:rPr>
        <w:t xml:space="preserve"> </w:t>
      </w:r>
      <w:r w:rsidR="0006158D" w:rsidRPr="00D637BA">
        <w:rPr>
          <w:rFonts w:ascii="Calibri" w:hAnsi="Calibri" w:cs="Calibri"/>
          <w:b/>
          <w:color w:val="0000FF"/>
          <w:sz w:val="22"/>
          <w:szCs w:val="22"/>
        </w:rPr>
        <w:t>[G]</w:t>
      </w:r>
      <w:r w:rsidR="0006158D">
        <w:rPr>
          <w:rFonts w:ascii="Calibri" w:hAnsi="Calibri" w:cs="Calibri"/>
          <w:color w:val="000000" w:themeColor="text1"/>
          <w:sz w:val="22"/>
          <w:szCs w:val="22"/>
        </w:rPr>
        <w:t xml:space="preserve"> </w:t>
      </w:r>
      <w:r w:rsidRPr="00E37025">
        <w:rPr>
          <w:rFonts w:ascii="Calibri" w:hAnsi="Calibri" w:cs="Calibri"/>
          <w:color w:val="FF0000"/>
          <w:sz w:val="22"/>
          <w:szCs w:val="22"/>
        </w:rPr>
        <w:t xml:space="preserve"> </w:t>
      </w:r>
      <w:r w:rsidR="00A132C3" w:rsidRPr="00D637BA">
        <w:rPr>
          <w:rFonts w:ascii="Calibri" w:hAnsi="Calibri" w:cs="Calibri"/>
          <w:color w:val="000000" w:themeColor="text1"/>
          <w:sz w:val="22"/>
          <w:szCs w:val="22"/>
        </w:rPr>
        <w:t xml:space="preserve">in </w:t>
      </w:r>
      <w:r w:rsidRPr="00D637BA">
        <w:rPr>
          <w:rFonts w:ascii="Calibri" w:hAnsi="Calibri" w:cs="Calibri"/>
          <w:i/>
          <w:color w:val="000000" w:themeColor="text1"/>
          <w:sz w:val="22"/>
          <w:szCs w:val="22"/>
        </w:rPr>
        <w:t xml:space="preserve">SDH </w:t>
      </w:r>
      <w:r w:rsidRPr="00D637BA">
        <w:rPr>
          <w:rFonts w:ascii="Calibri" w:hAnsi="Calibri" w:cs="Calibri"/>
          <w:color w:val="000000" w:themeColor="text1"/>
          <w:sz w:val="22"/>
          <w:szCs w:val="22"/>
        </w:rPr>
        <w:t xml:space="preserve">or </w:t>
      </w:r>
      <w:r w:rsidRPr="00D637BA">
        <w:rPr>
          <w:rFonts w:ascii="Calibri" w:hAnsi="Calibri" w:cs="Calibri"/>
          <w:i/>
          <w:color w:val="000000" w:themeColor="text1"/>
          <w:sz w:val="22"/>
          <w:szCs w:val="22"/>
        </w:rPr>
        <w:t>FH</w:t>
      </w:r>
      <w:r w:rsidR="00695BD2">
        <w:rPr>
          <w:rFonts w:ascii="Calibri" w:hAnsi="Calibri" w:cs="Calibri"/>
          <w:i/>
          <w:color w:val="000000" w:themeColor="text1"/>
          <w:sz w:val="22"/>
          <w:szCs w:val="22"/>
        </w:rPr>
        <w:t xml:space="preserve"> </w:t>
      </w:r>
      <w:r w:rsidR="00695BD2">
        <w:rPr>
          <w:rFonts w:ascii="Calibri" w:hAnsi="Calibri" w:cs="Calibri"/>
          <w:color w:val="000000" w:themeColor="text1"/>
          <w:sz w:val="22"/>
          <w:szCs w:val="22"/>
        </w:rPr>
        <w:t>(that is, inheritance of one mutated allele)</w:t>
      </w:r>
      <w:r w:rsidRPr="00D637BA">
        <w:rPr>
          <w:rFonts w:ascii="Calibri" w:hAnsi="Calibri" w:cs="Calibri"/>
          <w:color w:val="000000" w:themeColor="text1"/>
          <w:sz w:val="22"/>
          <w:szCs w:val="22"/>
        </w:rPr>
        <w:t xml:space="preserve">, </w:t>
      </w:r>
      <w:r w:rsidRPr="00B946E4">
        <w:rPr>
          <w:rFonts w:ascii="Calibri" w:hAnsi="Calibri" w:cs="Calibri"/>
          <w:color w:val="FF0000"/>
          <w:sz w:val="22"/>
          <w:szCs w:val="22"/>
        </w:rPr>
        <w:t xml:space="preserve">loss of heterozygosity </w:t>
      </w:r>
      <w:r w:rsidR="000900C0" w:rsidRPr="00B946E4">
        <w:rPr>
          <w:rFonts w:ascii="Calibri" w:hAnsi="Calibri" w:cs="Calibri"/>
          <w:color w:val="FF0000"/>
          <w:sz w:val="22"/>
          <w:szCs w:val="22"/>
        </w:rPr>
        <w:t>(LOH)</w:t>
      </w:r>
      <w:r w:rsidR="00A132C3" w:rsidRPr="00D637BA">
        <w:rPr>
          <w:rFonts w:ascii="Calibri" w:hAnsi="Calibri" w:cs="Calibri"/>
          <w:sz w:val="22"/>
          <w:szCs w:val="22"/>
        </w:rPr>
        <w:t xml:space="preserve"> </w:t>
      </w:r>
      <w:r w:rsidR="00A132C3" w:rsidRPr="00D637BA">
        <w:rPr>
          <w:rFonts w:ascii="Calibri" w:hAnsi="Calibri" w:cs="Calibri"/>
          <w:b/>
          <w:color w:val="0000FF"/>
          <w:sz w:val="22"/>
          <w:szCs w:val="22"/>
        </w:rPr>
        <w:t>[G]</w:t>
      </w:r>
      <w:r w:rsidR="000167D7">
        <w:rPr>
          <w:rFonts w:ascii="Calibri" w:hAnsi="Calibri" w:cs="Calibri"/>
          <w:color w:val="000000" w:themeColor="text1"/>
          <w:sz w:val="22"/>
          <w:szCs w:val="22"/>
        </w:rPr>
        <w:t xml:space="preserve"> </w:t>
      </w:r>
      <w:r w:rsidR="00A37743" w:rsidRPr="00D637BA">
        <w:rPr>
          <w:rFonts w:ascii="Calibri" w:hAnsi="Calibri" w:cs="Calibri"/>
          <w:color w:val="000000" w:themeColor="text1"/>
          <w:sz w:val="22"/>
          <w:szCs w:val="22"/>
        </w:rPr>
        <w:t>(</w:t>
      </w:r>
      <w:r w:rsidR="00A132C3" w:rsidRPr="00D637BA">
        <w:rPr>
          <w:rFonts w:ascii="Calibri" w:hAnsi="Calibri" w:cs="Calibri"/>
          <w:color w:val="000000" w:themeColor="text1"/>
          <w:sz w:val="22"/>
          <w:szCs w:val="22"/>
        </w:rPr>
        <w:t>that is,</w:t>
      </w:r>
      <w:r w:rsidRPr="00D637BA">
        <w:rPr>
          <w:rFonts w:ascii="Calibri" w:hAnsi="Calibri" w:cs="Calibri"/>
          <w:color w:val="000000" w:themeColor="text1"/>
          <w:sz w:val="22"/>
          <w:szCs w:val="22"/>
        </w:rPr>
        <w:t xml:space="preserve"> loss of the </w:t>
      </w:r>
      <w:r w:rsidR="0006158D">
        <w:rPr>
          <w:rFonts w:ascii="Calibri" w:hAnsi="Calibri" w:cs="Calibri"/>
          <w:color w:val="000000" w:themeColor="text1"/>
          <w:sz w:val="22"/>
          <w:szCs w:val="22"/>
        </w:rPr>
        <w:t xml:space="preserve">remaining </w:t>
      </w:r>
      <w:r w:rsidRPr="00D637BA">
        <w:rPr>
          <w:rFonts w:ascii="Calibri" w:hAnsi="Calibri" w:cs="Calibri"/>
          <w:color w:val="000000" w:themeColor="text1"/>
          <w:sz w:val="22"/>
          <w:szCs w:val="22"/>
        </w:rPr>
        <w:t>wild</w:t>
      </w:r>
      <w:r w:rsidR="00A132C3"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type allele</w:t>
      </w:r>
      <w:r w:rsidR="00A37743"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seems to be the factor</w:t>
      </w:r>
      <w:r w:rsidR="00A132C3" w:rsidRPr="00D637BA">
        <w:rPr>
          <w:rFonts w:ascii="Calibri" w:hAnsi="Calibri" w:cs="Calibri"/>
          <w:color w:val="000000" w:themeColor="text1"/>
          <w:sz w:val="22"/>
          <w:szCs w:val="22"/>
        </w:rPr>
        <w:t xml:space="preserve"> that leads to</w:t>
      </w:r>
      <w:r w:rsidRPr="00D637BA">
        <w:rPr>
          <w:rFonts w:ascii="Calibri" w:hAnsi="Calibri" w:cs="Calibri"/>
          <w:color w:val="000000" w:themeColor="text1"/>
          <w:sz w:val="22"/>
          <w:szCs w:val="22"/>
        </w:rPr>
        <w:t xml:space="preserve"> tumorigenesis</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{"citationID":"aqm8j7e186","properties":{"formattedCitation":"\\super 47,67,80\\nosupersub{}","plainCitation":"47,67,80","noteIndex":0},"citationItems":[{"id":290,"uris":["http://zotero.org/users/4775618/items/PP39XJQC"],"uri":["http://zotero.org/users/4775618/items/PP39XJQC"],"itemData":{"id":290,"type":"article-journal","title":"Inborn and acquired metabolic defects in cancer","container-title":"Journal of Molecular Medicine","page":"213-220","volume":"89","issue":"3","source":"link.springer.com","abstract":"The observation that altered metabolism is the fundamental cause of cancer was made by Otto Warburg nearly a century ago. However, the subsequent identification of oncogenes and tumor suppressor genes has displaced Warburg's theory pointing towards genetic aberrations as the underlining cause of cancer. Nevertheless, in the last decade, cancer-associated mutations have been identified in genes coding for tricarboxylic acid cycle (TCA cycle, also known as Krebs cycle) and closely related enzymes that have essential roles in cellular metabolism. These observations have revived interest in Warburg's hypothesis and prompted a flurry of functional studies in the hope of gaining mechanistic insight into the links between mitochondrial dysfunction, metabolic alterations, and cancer. In this review, we discuss the potential pro-oncogenic signaling role of some TCA cycle metabolites and their derivatives (oncometabolites). In particular, we focus on their effects on dioxygenases, a family of oxygen and α-ketoglutarate-dependent enzymes that control, among other things, the levels and activity of the hypoxia-inducible transcription factors and the activity of DNA and histone demethylases.","URL":"https://link.springer.com/article/10.1007/s00109-011-0728-4","DOI":"10.1007/s00109-011-0728-4","ISSN":"0946-2716, 1432-1440","journalAbbreviation":"J Mol Med","language":"en","author":[{"family":"Frezza","given":"Christian"},{"family":"Pollard","given":"Patrick J."},{"family":"Gottlieb","given":"Eyal"}],"issued":{"date-parts":[["2011",3,1]]},"accessed":{"date-parts":[["2018",3,24]]}}},{"id":707,"uris":["http://zotero.org/users/4775618/items/U5WK52TM"],"uri":["http://zotero.org/users/4775618/items/U5WK52TM"],"itemData":{"id":707,"type":"article-journal","title":"Mitochondrial tumour suppressors: a genetic and biochemical update","container-title":"Nature Reviews Cancer","page":"857-866","volume":"5","issue":"11","source":"www.nature.com","abstract":"Since the discovery 5 years ago that the D-subunit of succinate dehydrogenase (SDHD) can behave as a classic tumour suppressor, other nuclear-encoded mitochondrial proteins (SDHB, SDHC and fumarate hydratase) have been implicated in tumour susceptibility. Mutations in these proteins are principally involved in familial predisposition to benign tumours, but the spectrum of inherited lesions is increasingly recognized to include malignant tumours, such as malignant phaeochromocytomas and renal cell carcinomas. Here we review recent advances in the field of mitochondrial tumour suppressors, the biochemical pathway that links mitochondrial dysfunction with tumorigenesis, and potential therapeutic approaches to these malignancies.","URL":"https://www.nature.com/articles/nrc1737","DOI":"10.1038/nrc1737","ISSN":"1474-1768","title-short":"Mitochondrial tumour suppressors","language":"en","author":[{"family":"Gottlieb","given":"Eyal"},{"family":"Tomlinson","given":"Ian P. M."}],"issued":{"date-parts":[["2005",11]]},"accessed":{"date-parts":[["2018",9,2]]}}},{"id":323,"uris":["http://zotero.org/users/4775618/items/JCMXXDI7"],"uri":["http://zotero.org/users/4775618/items/JCMXXDI7"],"itemData":{"id":323,"type":"article-journal","title":"Oncometabolites‐driven tumorigenesis: From genetics to targeted therapy","container-title":"International Journal of Cancer","page":"2237-2248","volume":"135","issue":"10","source":"onlinelibrary.wiley.com","URL":"https://onlinelibrary.wiley.com/doi/abs/10.1002/ijc.29080","DOI":"10.1002/ijc.29080","ISSN":"1097-0215","title-short":"Oncometabolites‐driven tumorigenesis","language":"en","author":[{"family":"Morin","given":"Aurélie"},{"family":"Letouzé","given":"Eric"},{"family":"Gimenez‐Roqueplo","given":"Anne-Paule"},{"family":"Favier","given":"Judith"}],"issued":{"date-parts":[["2014",11,15]]},"accessed":{"date-parts":[["2018",3,29]]}}}],"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47,67,80</w:t>
      </w:r>
      <w:r w:rsidR="00E8321B">
        <w:rPr>
          <w:rFonts w:ascii="Calibri" w:hAnsi="Calibri" w:cs="Calibri"/>
          <w:color w:val="000000" w:themeColor="text1"/>
          <w:sz w:val="22"/>
          <w:szCs w:val="22"/>
        </w:rPr>
        <w:fldChar w:fldCharType="end"/>
      </w:r>
      <w:r w:rsidR="00A132C3" w:rsidRPr="00D637BA">
        <w:rPr>
          <w:rFonts w:ascii="Calibri" w:hAnsi="Calibri" w:cs="Calibri"/>
          <w:i/>
          <w:color w:val="000000" w:themeColor="text1"/>
          <w:sz w:val="22"/>
          <w:szCs w:val="22"/>
        </w:rPr>
        <w:t xml:space="preserve">. </w:t>
      </w:r>
    </w:p>
    <w:p w14:paraId="200E3F53" w14:textId="744C67FD" w:rsidR="00757683" w:rsidRPr="00B946E4" w:rsidRDefault="00F131BF" w:rsidP="00B946E4">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SDH is composed of four subunits (SDHA, SDHB, SDHC and SDHD) </w:t>
      </w:r>
      <w:r w:rsidR="00D907A2" w:rsidRPr="00D637BA">
        <w:rPr>
          <w:rFonts w:ascii="Calibri" w:hAnsi="Calibri" w:cs="Calibri"/>
          <w:color w:val="000000" w:themeColor="text1"/>
          <w:sz w:val="22"/>
          <w:szCs w:val="22"/>
        </w:rPr>
        <w:t>and</w:t>
      </w:r>
      <w:r w:rsidRPr="00D637BA">
        <w:rPr>
          <w:rFonts w:ascii="Calibri" w:hAnsi="Calibri" w:cs="Calibri"/>
          <w:color w:val="000000" w:themeColor="text1"/>
          <w:sz w:val="22"/>
          <w:szCs w:val="22"/>
        </w:rPr>
        <w:t xml:space="preserve"> two assembly factors (SDHAF1 and SDHAF2), each </w:t>
      </w:r>
      <w:r w:rsidR="002D5B27" w:rsidRPr="00D637BA">
        <w:rPr>
          <w:rFonts w:ascii="Calibri" w:hAnsi="Calibri" w:cs="Calibri"/>
          <w:color w:val="000000" w:themeColor="text1"/>
          <w:sz w:val="22"/>
          <w:szCs w:val="22"/>
        </w:rPr>
        <w:t xml:space="preserve">of which is </w:t>
      </w:r>
      <w:r w:rsidRPr="00D637BA">
        <w:rPr>
          <w:rFonts w:ascii="Calibri" w:hAnsi="Calibri" w:cs="Calibri"/>
          <w:color w:val="000000" w:themeColor="text1"/>
          <w:sz w:val="22"/>
          <w:szCs w:val="22"/>
        </w:rPr>
        <w:t>encoded by distinct genes across multiple chromosomes</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{"citationID":"a1gilp1stup","properties":{"formattedCitation":"\\super 86\\nosupersub{}","plainCitation":"86","noteIndex":0},"citationItems":[{"id":1323,"uris":["http://zotero.org/users/4775618/items/HCBTSPGY"],"uri":["http://zotero.org/users/4775618/items/HCBTSPGY"],"itemData":{"id":1323,"type":"article-journal","title":"Protein-mediated assembly of succinate dehydrogenase and its cofactors","container-title":"Critical Reviews in Biochemistry and Molecular Biology","page":"168-180","volume":"50","issue":"2","source":"Taylor and Francis+NEJM","abstract":"Succinate dehydrogenase (or complex II; SDH) is a heterotetrameric protein complex that links the tribarboxylic acid cycle with the electron transport chain. SDH is composed of four nuclear-encoded subunits that must translocate independently to the mitochondria and assemble into a mature protein complex embedded in the inner mitochondrial membrane. Recently, it has become clear that failure to assemble functional SDH complexes can result in cancer and neurodegenerative syndromes. The effort to thoroughly elucidate the SDH assembly pathway has resulted in the discovery of four subunit-specific assembly factors that aid in the maturation of individual subunits and support the assembly of the intact complex. This review will focus on these assembly factors and assess the contribution of each factor to the assembly of SDH. Finally, we propose a model of the SDH assembly pathway that incorporates all extant data.","URL":"https://doi.org/10.3109/10409238.2014.990556","DOI":"10.3109/10409238.2014.990556","ISSN":"1040-9238","note":"PMID: 25488574","author":[{"family":"Vranken","given":"Jonathan G. Van"},{"family":"Na","given":"Un"},{"family":"Winge","given":"Dennis R."},{"family":"Rutter","given":"Jared"}],"issued":{"date-parts":[["2015",3,4]]},"accessed":{"date-parts":[["2019",2,22]]}}}],"schema":"https://github.com/citation-style-language/schema/raw/master/csl-citation.json"}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86</w:t>
      </w:r>
      <w:r w:rsidR="00E8321B">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L</w:t>
      </w:r>
      <w:r w:rsidR="002D5B27" w:rsidRPr="00D637BA">
        <w:rPr>
          <w:rFonts w:ascii="Calibri" w:hAnsi="Calibri" w:cs="Calibri"/>
          <w:color w:val="000000" w:themeColor="text1"/>
          <w:sz w:val="22"/>
          <w:szCs w:val="22"/>
        </w:rPr>
        <w:t>OH</w:t>
      </w:r>
      <w:r w:rsidRPr="00D637BA">
        <w:rPr>
          <w:rFonts w:ascii="Calibri" w:hAnsi="Calibri" w:cs="Calibri"/>
          <w:color w:val="000000" w:themeColor="text1"/>
          <w:sz w:val="22"/>
          <w:szCs w:val="22"/>
        </w:rPr>
        <w:t xml:space="preserve"> in multiple subunits of </w:t>
      </w:r>
      <w:r w:rsidRPr="00D637BA">
        <w:rPr>
          <w:rFonts w:ascii="Calibri" w:hAnsi="Calibri" w:cs="Calibri"/>
          <w:i/>
          <w:color w:val="000000" w:themeColor="text1"/>
          <w:sz w:val="22"/>
          <w:szCs w:val="22"/>
        </w:rPr>
        <w:t>SDH</w:t>
      </w:r>
      <w:r w:rsidRPr="00D637BA">
        <w:rPr>
          <w:rFonts w:ascii="Calibri" w:hAnsi="Calibri" w:cs="Calibri"/>
          <w:color w:val="000000" w:themeColor="text1"/>
          <w:sz w:val="22"/>
          <w:szCs w:val="22"/>
        </w:rPr>
        <w:t xml:space="preserve"> predisposes to a variety of cancers including</w:t>
      </w:r>
      <w:r w:rsidR="006651F7">
        <w:rPr>
          <w:rFonts w:ascii="Calibri" w:hAnsi="Calibri" w:cs="Calibri"/>
          <w:color w:val="000000" w:themeColor="text1"/>
          <w:sz w:val="22"/>
          <w:szCs w:val="22"/>
        </w:rPr>
        <w:t xml:space="preserve"> PGL and</w:t>
      </w:r>
      <w:r w:rsidRPr="00D637BA">
        <w:rPr>
          <w:rFonts w:ascii="Calibri" w:hAnsi="Calibri" w:cs="Calibri"/>
          <w:color w:val="000000" w:themeColor="text1"/>
          <w:sz w:val="22"/>
          <w:szCs w:val="22"/>
        </w:rPr>
        <w:t xml:space="preserve"> </w:t>
      </w:r>
      <w:r w:rsidR="004D7BD0" w:rsidRPr="00D637BA">
        <w:rPr>
          <w:rFonts w:ascii="Calibri" w:hAnsi="Calibri" w:cs="Calibri"/>
          <w:color w:val="000000" w:themeColor="text1"/>
          <w:sz w:val="22"/>
          <w:szCs w:val="22"/>
        </w:rPr>
        <w:t xml:space="preserve">SDH-deficient </w:t>
      </w:r>
      <w:r w:rsidRPr="00D637BA">
        <w:rPr>
          <w:rFonts w:ascii="Calibri" w:hAnsi="Calibri" w:cs="Calibri"/>
          <w:color w:val="000000" w:themeColor="text1"/>
          <w:sz w:val="22"/>
          <w:szCs w:val="22"/>
        </w:rPr>
        <w:t>RCC</w:t>
      </w:r>
      <w:r w:rsidR="004D7BD0" w:rsidRPr="00D637BA">
        <w:rPr>
          <w:rFonts w:ascii="Calibri" w:hAnsi="Calibri" w:cs="Calibri"/>
          <w:color w:val="000000" w:themeColor="text1"/>
          <w:sz w:val="22"/>
          <w:szCs w:val="22"/>
        </w:rPr>
        <w:t xml:space="preserve">, </w:t>
      </w:r>
      <w:r w:rsidR="00D907A2" w:rsidRPr="00D637BA">
        <w:rPr>
          <w:rFonts w:ascii="Calibri" w:hAnsi="Calibri" w:cs="Calibri"/>
          <w:color w:val="000000" w:themeColor="text1"/>
          <w:sz w:val="22"/>
          <w:szCs w:val="22"/>
        </w:rPr>
        <w:t xml:space="preserve">which is </w:t>
      </w:r>
      <w:r w:rsidR="004D7BD0" w:rsidRPr="00D637BA">
        <w:rPr>
          <w:rFonts w:ascii="Calibri" w:hAnsi="Calibri" w:cs="Calibri"/>
          <w:color w:val="000000" w:themeColor="text1"/>
          <w:sz w:val="22"/>
          <w:szCs w:val="22"/>
        </w:rPr>
        <w:t>a very rare</w:t>
      </w:r>
      <w:r w:rsidR="00906BA0" w:rsidRPr="00D637BA">
        <w:rPr>
          <w:rFonts w:ascii="Calibri" w:hAnsi="Calibri" w:cs="Calibri"/>
          <w:color w:val="000000" w:themeColor="text1"/>
          <w:sz w:val="22"/>
          <w:szCs w:val="22"/>
        </w:rPr>
        <w:t xml:space="preserve"> </w:t>
      </w:r>
      <w:r w:rsidR="0062035F" w:rsidRPr="00D637BA">
        <w:rPr>
          <w:rFonts w:ascii="Calibri" w:hAnsi="Calibri" w:cs="Calibri"/>
          <w:color w:val="000000" w:themeColor="text1"/>
          <w:sz w:val="22"/>
          <w:szCs w:val="22"/>
        </w:rPr>
        <w:t xml:space="preserve">(0.2% of all RCCs) </w:t>
      </w:r>
      <w:r w:rsidR="00906BA0" w:rsidRPr="00D637BA">
        <w:rPr>
          <w:rFonts w:ascii="Calibri" w:hAnsi="Calibri" w:cs="Calibri"/>
          <w:color w:val="000000" w:themeColor="text1"/>
          <w:sz w:val="22"/>
          <w:szCs w:val="22"/>
        </w:rPr>
        <w:t>and aggressive</w:t>
      </w:r>
      <w:r w:rsidR="004D7BD0" w:rsidRPr="00D637BA">
        <w:rPr>
          <w:rFonts w:ascii="Calibri" w:hAnsi="Calibri" w:cs="Calibri"/>
          <w:color w:val="000000" w:themeColor="text1"/>
          <w:sz w:val="22"/>
          <w:szCs w:val="22"/>
        </w:rPr>
        <w:t xml:space="preserve"> disease</w:t>
      </w:r>
      <w:r w:rsidR="00DD5717" w:rsidRPr="00D637BA">
        <w:rPr>
          <w:rFonts w:ascii="Calibri" w:hAnsi="Calibri" w:cs="Calibri"/>
          <w:color w:val="000000" w:themeColor="text1"/>
          <w:sz w:val="22"/>
          <w:szCs w:val="22"/>
        </w:rPr>
        <w:t xml:space="preserve"> with </w:t>
      </w:r>
      <w:r w:rsidR="0090431D">
        <w:rPr>
          <w:rFonts w:ascii="Calibri" w:hAnsi="Calibri" w:cs="Calibri"/>
          <w:color w:val="000000" w:themeColor="text1"/>
          <w:sz w:val="22"/>
          <w:szCs w:val="22"/>
        </w:rPr>
        <w:t>early</w:t>
      </w:r>
      <w:r w:rsidR="00DD5717" w:rsidRPr="00D637BA">
        <w:rPr>
          <w:rFonts w:ascii="Calibri" w:hAnsi="Calibri" w:cs="Calibri"/>
          <w:color w:val="000000" w:themeColor="text1"/>
          <w:sz w:val="22"/>
          <w:szCs w:val="22"/>
        </w:rPr>
        <w:t xml:space="preserve"> onset (mean 37-46 years)</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{"citationID":"a3abhmskda","properties":{"formattedCitation":"\\super 5,83,85,87\\uc0\\u8211{}89\\nosupersub{}","plainCitation":"5,83,85,87–89","noteIndex":0},"citationItems":[{"id":2648,"uris":["http://zotero.org/users/4775618/items/K3MEE8TW"],"uri":["http://zotero.org/users/4775618/items/K3MEE8TW"],"itemData":{"id":2648,"type":"article-journal","title":"Persistent Severe Hyperlactatemia and Metabolic Derangement in Lethal SDHB-Mutated Metastatic Kidney Cancer: Clinical Challenges and Examples of Extreme Warburg Effect","container-title":"Precision Oncology","source":"ascopubs-org.ezp.lib.cam.ac.uk","archive_location":"world","abstract":"Purpose To describe the unique clinical features, determine the genomics, and investigate the metabolic derangement of an extremely rare form of a hereditary lethal kidney cancer syndrome. Patients and Methods Three patients with lethal kidney cancer (age 19, 20, and 37 years) exhibiting persistent (1 to 3 months) extremely high levels of blood lactate (&gt; 5 mM) despite normal oxygen perfusion, highly avid tumors on [18F]fluorodeoxyglucose positron emission tomography (PET), and pleomorphic histopathologic features were identified and treated in a single institute. Integrated studies including whole-genome sequencing (WGS), targeted sequencing, immunohistochemistry, cell-based assays, and 18F-glutamine PET imaging were performed to investigate this rare kidney cancer syndrome. Results All three patients with kidney cancer were initially given various diagnoses as a result of diverse tumor histopathology and atypical clinical presentations. The correct diagnoses of these SDHB-mutated renal cell carcinomas were first made based on cancer genomics. Genomic studies of the blood and tumors of these patients identified three different kinds of germline loss-of-function mutations in the SDHB gene and the common loss of heterozygosity in the remaining SDHB allele thorough somatic chromosome 1p deletion. In one patient, WGS revealed that a germline mutation of SDHB coupled with loss of heterozygosity was the sole genetic event. Cancer evolution analysis of SDHB tumors based on WGS demonstrated that SDHB in kidney epithelium fulfills the Knudson two-hit criteria as a major tumor suppressor gene. SDHB−/− tumor cells displayed increase in glucose uptake and lactate production, alteration in mitochondrial architecture, and defect in oxidative respiration. 18F-Glutamine PET imaging studies demonstrated increased glutamine metabolism. Conclusion SDHB-deficient metastatic renal cell carcinoma is a rare, aggressive form of kidney cancer that manifests with clinical evidence of a severe Warburg effect, and genomic studies demonstrated two genetic hits at SDHB genes during kidney tumorigenesis.","URL":"https://ascopubs-org.ezp.lib.cam.ac.uk/doi/pdf/10.1200/PO.16.00007","DOI":"10.1200/PO.16.00007","title-short":"Persistent Severe Hyperlactatemia and Metabolic Derangement in Lethal SDHB-Mutated Metastatic Kidney Cancer","language":"en","author":[{"family":"Lee","given":"Chung-Han"},{"family":"Gundem","given":"Gunes"},{"family":"Lee","given":"William"},{"family":"Chen","given":"Ying-Bei"},{"family":"Cross","given":"Justin R."},{"family":"Dong","given":"Yiyu"},{"family":"Redzematovic","given":"Almedina"},{"family":"Mano","given":"Roy"},{"family":"Wei","given":"Elizabeth Y."},{"family":"Cheng","given":"Emily H."},{"family":"Srinivasan","given":"Ramaprasad"},{"family":"Oschwald","given":"Dayna"},{"family":"Hakimi","given":"A. Ari"},{"family":"Dunphy","given":"Mark P."},{"family":"Linehan","given":"W. Marston"},{"family":"Papaemmanuil","given":"Elli"},{"family":"Hsieh","given":"James J."}],"issued":{"date-parts":[["2017",5,4]]},"accessed":{"date-parts":[["2019",6,26]]}}},{"id":1331,"uris":["http://zotero.org/users/4775618/items/3WIYKWXM"],"uri":["http://zotero.org/users/4775618/items/3WIYKWXM"],"itemData":{"id":1331,"type":"article-journal","title":"Biallelic inactivation of the SDHC gene in renal carcinoma associated with paraganglioma syndrome type 3","container-title":"Endocrine-Related Cancer","page":"283-290","volume":"19","issue":"3","source":"PubMed","abstract":"The etiology and pathogenesis of renal cell carcinoma (RCC) are only partially understood. Key findings in hereditary RCC, which may be site specific or a component of a syndrome, have contributed to our current understanding. Important heritable syndromes of RCC are those associated with pheochromocytoma, especially von Hippel-Lindau disease (VHL) associated with germline VHL mutations, and pheochromocytoma and paraganglioma syndrome (PGL) associated with mutations in one of the four genes (SDHA-D) encoding succinate dehydrogenase. A subset of individuals with SDHB and SDHD germline DNA mutations and variants develop RCC. RCC has never been described as a component of SDHC-associated PGL3. The European-American Pheochromocytoma and Paraganglioma Registry comprises 35 registrants with germline SDHC mutations. A new registrant had carotid body tumor (CBT) and his mother had CBT and bilateral RCC. Blood DNA, paragangliomas, and RCCs were analyzed for mutations and loss-of-heterozygosity (LOH) in/flanking SDHC and VHL. The proband with unilateral CBT had a germline SDHC c.3G&gt;A (p.M1I) mutation. His mutation-positive mother had CBT at age 42, clear cell RCC (ccRCC) at age 68, and papillary RCC (pRCC) at age 69. Both paraganglial tumors showed somatic LOH of the SDHC locus. Both ccRCC and pRCC did not have a somatic SDHC mutation but showed LOH for intragenic and flanking markers of the SDHC locus. LOH was also present for the VHL locus. Our findings suggest that RCC is a component of PGL3. Biallelic inactivation of the SDHC gene may represent a new pathway of pathogenesis of syndromic and nonsyndromic RCC, perhaps of both clear cell and papillary histologies.","DOI":"10.1530/ERC-11-0324","ISSN":"1479-6821","note":"PMID: 22351710","journalAbbreviation":"Endocr. Relat. Cancer","language":"eng","author":[{"family":"Malinoc","given":"Angelica"},{"family":"Sullivan","given":"Maren"},{"family":"Wiech","given":"Thorsten"},{"family":"Schmid","given":"Kurt Werner"},{"family":"Jilg","given":"Cordula"},{"family":"Straeter","given":"Joern"},{"family":"Deger","given":"Serdar"},{"family":"Hoffmann","given":"Michael M."},{"family":"Bosse","given":"Alexander"},{"family":"Rasp","given":"Gerd"},{"family":"Eng","given":"Charis"},{"family":"Neumann","given":"Hartmut P. H."}],"issued":{"date-parts":[["2012",6]]}}},{"id":1668,"uris":["http://zotero.org/users/4775618/items/YGKWGXX8"],"uri":["http://zotero.org/users/4775618/items/YGKWGXX8"],"itemData":{"id":1668,"type":"article-journal","title":"SDH-deficient renal cell carcinoma associated with biallelic mutation in succinate dehydrogenase A: comprehensive genetic profiling and its relation to therapy response","container-title":"npj Precision Oncology","page":"9","volume":"2","issue":"1","source":"www-nature-com.ezp.lib.cam.ac.uk","abstract":"Succinate dehydrogenase (SDH)-deficient renal cell carcinoma (RCC) is a rare RCC subtype that is caused by biallelic mutation of one of the four subunits of the SDH complex (SDHA, B, C, and D) and results in inactivation of the SDH enzyme. Here we describe a case of genetically characterized SDH-deficient RCC caused by biallelic (germline plus somatic) SDHA mutations. SDHA pathogenic variants were detected using comprehensive genomic profiling and SDH absence was subsequently confirmed by immunohistochemistry. Very little is known regarding the genomic context of SDH-deficient RCC. Interestingly we found genomic amplifications commonly observed in RCC but there was an absence of additional variants in common cancer driver genes. Prior to genetic testing a PD-1 inhibitor treatment was administered. However, following the genetic results a succession of tyrosine kinase inhibitors were administered as targeted treatment options and we highlight how the genetic results provide a rationale for their effectiveness. We also describe how the genetic results benefited the patient by empowering him to adopt dietary and lifestyle changes in accordance with knowledge of the mechanisms of SDH-related tumorigenesis.","URL":"https://www-nature-com.ezp.lib.cam.ac.uk/articles/s41698-018-0053-2","DOI":"10.1038/s41698-018-0053-2","ISSN":"2397-768X","title-short":"SDH-deficient renal cell carcinoma associated with biallelic mutation in succinate dehydrogenase A","language":"En","author":[{"family":"McEvoy","given":"Christopher R."},{"family":"Koe","given":"Lisa"},{"family":"Choong","given":"David Y."},{"family":"Leong","given":"Huei San"},{"family":"Xu","given":"Huiling"},{"family":"Karikios","given":"Deme"},{"family":"Plew","given":"Jeffrey D."},{"family":"Prall","given":"Owen W."},{"family":"Fellowes","given":"Andrew P."},{"family":"Fox","given":"Stephen B."}],"issued":{"date-parts":[["2018",3,20]]},"accessed":{"date-parts":[["2019",3,3]]}}},{"id":1326,"uris":["http://zotero.org/users/4775618/items/WA6VSXZZ"],"uri":["http://zotero.org/users/4775618/items/WA6VSXZZ"],"itemData":{"id":1326,"type":"article-journal","title":"Germline Mutations and Variants in the Succinate Dehydrogenase Genes in Cowden and Cowden-like Syndromes","container-title":"The American Journal of Human Genetics","page":"261-268","volume":"83","issue":"2","source":"ScienceDirect","abstract":"Individuals with PTEN mutations have Cowden syndrome (CS), associated with breast, thyroid, and endometrial neoplasias. Many more patients with features of CS, not meeting diagnostic criteria (termed CS-like), are evaluated by clinicians for CS-related cancer risk. Germline mutations in succinate dehydrogenase subunits SDHB-D cause pheochromocytoma-paraganglioma syndrome. One to five percent of SDHB/SDHD mutation carriers have renal cell or papillary thyroid carcinomas, which are also CS-related features. SDHB-D may be candidate susceptibility genes for some PTEN mutation-negative individuals with CS-like cancers. To address this hypothesis, germline SDHB-D mutation analysis in 375 PTEN mutation-negative CS/CS-like individuals was performed, followed by functional analysis of identified SDH mutations/variants. Of 375 PTEN mutation-negative CS/CS-like individuals, 74 (20%) had increased manganese superoxide dismutase (MnSOD) expression, a manifestation of mitochondrial dysfunction. Among these, 10 (13.5%) had germline mutations/variants in SDHB (n = 3) or SDHD (7), not found in 700 controls (p &lt; 0.001). Compared to PTEN mutation-positive CS/CS-like individuals, those with SDH mutations/variants were enriched for carcinomas of the female breast (6/9 SDH versus 30/107 PTEN, p &lt; 0.001), thyroid (5/10 versus 15/106, p &lt; 0.001), and kidney (2/10 versus 4/230, p = 0.026). In the absence of PTEN alteration, CS/CS-like-related SDH mutations/variants show increased phosphorylation of AKT and/or MAPK, downstream manifestations of PTEN dysfunction. Germline SDH mutations/variants occur in a subset of PTEN mutation-negative CS/CS-like individuals and are associated with increased frequencies of breast, thyroid, and renal cancers beyond those conferred by germline PTEN mutations. SDH testing should be considered for germline PTEN mutation-negative CS/CS-like individuals, especially in the setting of breast, thyroid, and/or renal cancers.","URL":"http://www.sciencedirect.com/science/article/pii/S0002929708004114","DOI":"10.1016/j.ajhg.2008.07.011","ISSN":"0002-9297","journalAbbreviation":"The American Journal of Human Genetics","author":[{"family":"Ni","given":"Ying"},{"family":"Zbuk","given":"Kevin M."},{"family":"Sadler","given":"Tammy"},{"family":"Patocs","given":"Attila"},{"family":"Lobo","given":"Glenn"},{"family":"Edelman","given":"Emily"},{"family":"Platzer","given":"Petra"},{"family":"Orloff","given":"Mohammed S."},{"family":"Waite","given":"Kristin A."},{"family":"Eng","given":"Charis"}],"issued":{"date-parts":[["2008",8,8]]},"accessed":{"date-parts":[["2019",2,22]]}}},{"id":427,"uris":["http://zotero.org/users/4775618/items/ZV692HDZ"],"uri":["http://zotero.org/users/4775618/items/ZV692HDZ"],"itemData":{"id":427,"type":"article-journal","title":"The Cancer Genome Atlas Comprehensive Molecular Characterization of Renal Cell Carcinoma","container-title":"Cell Reports","volume":"0","issue":"0","source":"www.cell.com","abstract":"&lt;h2&gt;Summary&lt;/h2&gt;&lt;p&gt;Renal cell carcinoma (RCC) is not a single disease, but several histologically defined cancers with different genetic drivers, clinical courses, and therapeutic responses. The current study evaluated 843 RCC from the three major histologic subtypes, including 488 clear cell RCC, 274 papillary RCC, and 81 chromophobe RCC. Comprehensive genomic and phenotypic analysis of the RCC subtypes reveals distinctive features of each subtype that provide the foundation for the development of subtype-specific therapeutic and management strategies for patients affected with these cancers. Somatic alteration of &lt;i&gt;BAP1&lt;/i&gt;, &lt;i&gt;PBRM1&lt;/i&gt;, and &lt;i&gt;PTEN&lt;/i&gt; and altered metabolic pathways correlated with subtype-specific decreased survival, while &lt;i&gt;CDKN2A&lt;/i&gt; alteration, increased DNA hypermethylation, and increases in the immune-related Th2 gene expression signature correlated with decreased survival within all major histologic subtypes. CIMP-RCC demonstrated an increased immune signature, and a uniform and distinct metabolic expression pattern identified a subset of metabolically divergent (MD) ChRCC that associated with extremely poor survival.&lt;/p&gt;","URL":"http://www.cell.com/cell-reports/abstract/S2211-1247(18)30436-4","DOI":"10.1016/j.celrep.2018.03.075","ISSN":"2211-1247","note":"PMID: 29617669, 29617669","journalAbbreviation":"Cell Reports","language":"English","author":[{"family":"Ricketts","given":"Christopher J."},{"family":"Cubas","given":"Aguirre A. De"},{"family":"Fan","given":"Huihui"},{"family":"Smith","given":"Christof C."},{"family":"Lang","given":"Martin"},{"family":"Reznik","given":"Ed"},{"family":"Bowlby","given":"Reanne"},{"family":"Gibb","given":"Ewan A."},{"family":"Akbani","given":"Rehan"},{"family":"Beroukhim","given":"Rameen"},{"family":"Bottaro","given":"Donald P."},{"family":"Choueiri","given":"Toni K."},{"family":"Gibbs","given":"Richard A."},{"family":"Godwin","given":"Andrew K."},{"family":"Haake","given":"Scott"},{"family":"Hakimi","given":"A. Ari"},{"family":"Henske","given":"Elizabeth P."},{"family":"Hsieh","given":"James J."},{"family":"Ho","given":"Thai H."},{"family":"Kanchi","given":"Rupa S."},{"family":"Krishnan","given":"Bhavani"},{"family":"Kwaitkowski","given":"David J."},{"family":"Lui","given":"Wembin"},{"family":"Merino","given":"Maria J."},{"family":"Mills","given":"Gordon B."},{"family":"Myers","given":"Jerome"},{"family":"Nickerson","given":"Michael L."},{"family":"Reuter","given":"Victor E."},{"family":"Schmidt","given":"Laura S."},{"family":"Shelley","given":"C. Simon"},{"family":"Shen","given":"Hui"},{"family":"Shuch","given":"Brian"},{"family":"Signoretti","given":"Sabina"},{"family":"Srinivasan","given":"Ramaprasad"},{"family":"Tamboli","given":"Pheroze"},{"family":"Thomas","given":"George"},{"family":"Vincent","given":"Benjamin G."},{"family":"Vocke","given":"Cathy D."},{"family":"Wheeler","given":"David A."},{"family":"Yang","given":"Lixing"},{"family":"Kim","given":"William T."},{"family":"Robertson","given":"A. Gordon"},{"family":"Caesar-Johnson","given":"Samantha J."},{"family":"Demchok","given":"John A."},{"family":"Felau","given":"Ina"},{"family":"Kasapi","given":"Melpomeni"},{"family":"Ferguson","given":"Martin L."},{"family":"Hutter","given":"Carolyn M."},{"family":"Sofia","given":"Heidi J."},{"family":"Tarnuzzer","given":"Roy"},{"family":"Wang","given":"Zhining"},{"family":"Yang","given":"Liming"},{"family":"Zenklusen","given":"Jean C."},{"family":"Zhang","given":"Jiashan (Julia)"},{"family":"Chudamani","given":"Sudha"},{"family":"Liu","given":"Jia"},{"family":"Lolla","given":"Laxmi"},{"family":"Naresh","given":"Rashi"},{"family":"Pihl","given":"Todd"},{"family":"Sun","given":"Qiang"},{"family":"Wan","given":"Yunhu"},{"family":"Wu","given":"Ye"},{"family":"Cho","given":"Juok"},{"family":"DeFreitas","given":"Timothy"},{"family":"Frazer","given":"Scott"},{"family":"Gehlenborg","given":"Nils"},{"family":"Getz","given":"Gad"},{"family":"Heiman","given":"David I."},{"family":"Kim","given":"Jaegil"},{"family":"Lawrence","given":"Michael S."},{"family":"Lin","given":"Pei"},{"family":"Meier","given":"Sam"},{"family":"Noble","given":"Michael S."},{"family":"Saksena","given":"Gordon"},{"family":"Voet","given":"Doug"},{"family":"Zhang","given":"Hailei"},{"family":"Bernard","given":"Brady"},{"family":"Chambwe","given":"Nyasha"},{"family":"Dhankani","given":"Varsha"},{"family":"Knijnenburg","given":"Theo"},{"family":"Kramer","given":"Roger"},{"family":"Leinonen","given":"Kalle"},{"family":"Liu","given":"Yuexin"},{"family":"Miller","given":"Michael"},{"family":"Reynolds","given":"Sheila"},{"family":"Shmulevich","given":"Ilya"},{"family":"Thorsson","given":"Vesteinn"},{"family":"Zhang","given":"Wei"},{"family":"Akbani","given":"Rehan"},{"family":"Broom","given":"Bradley M."},{"family":"Hegde","given":"Apurva M."},{"family":"Ju","given":"Zhenlin"},{"family":"Kanchi","given":"Rupa S."},{"family":"Korkut","given":"Anil"},{"family":"Li","given":"Jun"},{"family":"Liang","given":"Han"},{"family":"Ling","given":"Shiyun"},{"family":"Liu","given":"Wenbin"},{"family":"Lu","given":"Yiling"},{"family":"Mills","given":"Gordon B."},{"family":"Ng","given":"Kwok-Shing"},{"family":"Rao","given":"Arvind"},{"family":"Ryan","given":"Michael"},{"family":"Wang","given":"Jing"},{"family":"Weinstein","given":"John N."},{"family":"Zhang","given":"Jiexin"},{"family":"Abeshouse","given":"Adam"},{"family":"Armenia","given":"Joshua"},{"family":"Chakravarty","given":"Debyani"},{"family":"Chatila","given":"Walid K."},{"family":"Bruijn","given":"Ino","dropping-particle":"de"},{"family":"Gao","given":"Jianjiong"},{"family":"Gross","given":"Benjamin E."},{"family":"Heins","given":"Zachary J."},{"family":"Kundra","given":"Ritika"},{"family":"La","given":"Konnor"},{"family":"Ladanyi","given":"Marc"},{"family":"Luna","given":"Augustin"},{"family":"Nissan","given":"Moriah G."},{"family":"Ochoa","given":"Angelica"},{"family":"Phillips","given":"Sarah M."},{"family":"Reznik","given":"Ed"},{"family":"Sanchez-Vega","given":"Francisco"},{"family":"Sander","given":"Chris"},{"family":"Schultz","given":"Nikolaus"},{"family":"Sheridan","given":"Robert"},{"family":"Sumer","given":"S. Onur"},{"family":"Sun","given":"Yichao"},{"family":"Taylor","given":"Barry S."},{"family":"Wang","given":"Jioajiao"},{"family":"Zhang","given":"Hongxin"},{"family":"Anur","given":"Pavana"},{"family":"Peto","given":"Myron"},{"family":"Spellman","given":"Paul"},{"family":"Benz","given":"Christopher"},{"family":"Stuart","given":"Joshua M."},{"family":"Wong","given":"Christopher K."},{"family":"Yau","given":"Christina"},{"family":"Hayes","given":"D. Neil"},{"family":"Parker","given":"Joel S."},{"family":"Wilkerson","given":"Matthew D."},{"family":"Ally","given":"Adrian"},{"family":"Balasundaram","given":"Miruna"},{"family":"Bowlby","given":"Reanne"},{"family":"Brooks","given":"Denise"},{"family":"Carlsen","given":"Rebecca"},{"family":"Chuah","given":"Eric"},{"family":"Dhalla","given":"Noreen"},{"family":"Holt","given":"Robert"},{"family":"Jones","given":"Steven J. M."},{"family":"Kasaian","given":"Katayoon"},{"family":"Lee","given":"Darlene"},{"family":"Ma","given":"Yussanne"},{"family":"Marra","given":"Marco A."},{"family":"Mayo","given":"Michael"},{"family":"Moore","given":"Richard A."},{"family":"Mungall","given":"Andrew J."},{"family":"Mungall","given":"Karen"},{"family":"Robertson","given":"A. Gordon"},{"family":"Sadeghi","given":"Sara"},{"family":"Schein","given":"Jacqueline E."},{"family":"Sipahimalani","given":"Payal"},{"family":"Tam","given":"Angela"},{"family":"Thiessen","given":"Nina"},{"family":"Tse","given":"Kane"},{"family":"Wong","given":"Tina"},{"family":"Berger","given":"Ashton C."},{"family":"Beroukhim","given":"Rameen"},{"family":"Cherniack","given":"Andrew D."},{"family":"Cibulskis","given":"Carrie"},{"family":"Gabriel","given":"Stacey B."},{"family":"Gao","given":"Galen F."},{"family":"Ha","given":"Gavin"},{"family":"Meyerson","given":"Matthew"},{"family":"Schumacher","given":"Steven E."},{"family":"Shih","given":"Juliann"},{"family":"Kucherlapati","given":"Melanie H."},{"family":"Kucherlapati","given":"Raju S."},{"family":"Baylin","given":"Stephen"},{"family":"Cope","given":"Leslie"},{"family":"Danilova","given":"Ludmila"},{"family":"Bootwalla","given":"Moiz S."},{"family":"Lai","given":"Phillip H."},{"family":"Maglinte","given":"Dennis T."},{"family":"Berg","given":"David J. Van Den"},{"family":"Weisenberger","given":"Daniel J."},{"family":"Auman","given":"J. Todd"},{"family":"Balu","given":"Saianand"},{"family":"Bodenheimer","given":"Tom"},{"family":"Fan","given":"Cheng"},{"family":"Hoadley","given":"Katherine A."},{"family":"Hoyle","given":"Alan P."},{"family":"Jefferys","given":"Stuart R."},{"family":"Jones","given":"Corbin D."},{"family":"Meng","given":"Shaowu"},{"family":"Mieczkowski","given":"Piotr A."},{"family":"Mose","given":"Lisle E."},{"family":"Perou","given":"Amy H."},{"family":"Perou","given":"Charles M."},{"family":"Roach","given":"Jeffrey"},{"family":"Shi","given":"Yan"},{"family":"Simons","given":"Janae V."},{"family":"Skelly","given":"Tara"},{"family":"Soloway","given":"Matthew G."},{"family":"Tan","given":"Donghui"},{"family":"Veluvolu","given":"Umadevi"},{"family":"Fan","given":"Huihui"},{"family":"Hinoue","given":"Toshinori"},{"family":"Laird","given":"Peter W."},{"family":"Shen","given":"Hui"},{"family":"Zhou","given":"Wanding"},{"family":"Bellair","given":"Michelle"},{"family":"Chang","given":"Kyle"},{"family":"Covington","given":"Kyle"},{"family":"Creighton","given":"Chad J."},{"family":"Dinh","given":"Huyen"},{"family":"Doddapaneni","given":"HarshaVardhan"},{"family":"Donehower","given":"Lawrence A."},{"family":"Drummond","given":"Jennifer"},{"family":"Gibbs","given":"Richard A."},{"family":"Glenn","given":"Robert"},{"family":"Hale","given":"Walker"},{"family":"Han","given":"Yi"},{"family":"Hu","given":"Jianhong"},{"family":"Korchina","given":"Viktoriya"},{"family":"Lee","given":"Sandra"},{"family":"Lewis","given":"Lora"},{"family":"Li","given":"Wei"},{"family":"Liu","given":"Xiuping"},{"family":"Morgan","given":"Margaret"},{"family":"Morton","given":"Donna"},{"family":"Muzny","given":"Donna"},{"family":"Santibanez","given":"Jireh"},{"family":"Sheth","given":"Margi"},{"family":"Shinbrot","given":"Eve"},{"family":"Wang","given":"Linghua"},{"family":"Wang","given":"Min"},{"family":"Wheeler","given":"David A."},{"family":"Xi","given":"Liu"},{"family":"Zhao","given":"Fengmei"},{"family":"Hess","given":"Julian"},{"family":"Appelbaum","given":"Elizabeth L."},{"family":"Bailey","given":"Matthew"},{"family":"Cordes","given":"Matthew G."},{"family":"Ding","given":"Li"},{"family":"Fronick","given":"Catrina C."},{"family":"Fulton","given":"Lucinda A."},{"family":"Fulton","given":"Robert S."},{"family":"Kandoth","given":"Cyriac"},{"family":"Mardis","given":"Elaine R."},{"family":"McLellan","given":"Michael D."},{"family":"Miller","given":"Christopher A."},{"family":"Schmidt","given":"Heather K."},{"family":"Wilson","given":"Richard K."},{"family":"Crain","given":"Daniel"},{"family":"Curley","given":"Erin"},{"family":"Gardner","given":"Johanna"},{"family":"Lau","given":"Kevin"},{"family":"Mallery","given":"David"},{"family":"Morris","given":"Scott"},{"family":"Paulauskis","given":"Joseph"},{"family":"Penny","given":"Robert"},{"family":"Shelton","given":"Candace"},{"family":"Shelton","given":"Troy"},{"family":"Sherman","given":"Mark"},{"family":"Thompson","given":"Eric"},{"family":"Yena","given":"Peggy"},{"family":"Bowen","given":"Jay"},{"family":"Gastier-Foster","given":"Julie M."},{"family":"Gerken","given":"Mark"},{"family":"Leraas","given":"Kristen M."},{"family":"Lichtenberg","given":"Tara M."},{"family":"Ramirez","given":"Nilsa C."},{"family":"Wise","given":"Lisa"},{"family":"Zmuda","given":"Erik"},{"family":"Corcoran","given":"Niall"},{"family":"Costello","given":"Tony"},{"family":"Hovens","given":"Christopher"},{"family":"Carvalho","given":"Andre L."},{"family":"Carvalho","given":"Ana C.","dropping-particle":"de"},{"family":"Fregnani","given":"José H."},{"family":"Longatto-Filho","given":"Adhemar"},{"family":"Reis","given":"Rui M."},{"family":"Scapulatempo-Neto","given":"Cristovam"},{"family":"Silveira","given":"Henrique C. S."},{"family":"Vidal","given":"Daniel O."},{"family":"Burnette","given":"Andrew"},{"family":"Eschbacher","given":"Jennifer"},{"family":"Hermes","given":"Beth"},{"family":"Noss","given":"Ardene"},{"family":"Singh","given":"Rosy"},{"family":"Anderson","given":"Matthew L."},{"family":"Castro","given":"Patricia D."},{"family":"Ittmann","given":"Michael"},{"family":"Huntsman","given":"David"},{"family":"Kohl","given":"Bernard"},{"family":"Le","given":"Xuan"},{"family":"Thorp","given":"Richard"},{"family":"Andry","given":"Chris"},{"family":"Duffy","given":"Elizabeth R."},{"family":"Lyadov","given":"Vladimir"},{"family":"Paklina","given":"Oxana"},{"family":"Setdikova","given":"Galiya"},{"family":"Shabunin","given":"Alexey"},{"family":"Tavobilov","given":"Mikhail"},{"family":"McPherson","given":"Christopher"},{"family":"Warnick","given":"Ronald"},{"family":"Berkowitz","given":"Ross"},{"family":"Cramer","given":"Daniel"},{"family":"Feltmate","given":"Colleen"},{"family":"Horowitz","given":"Neil"},{"family":"Kibel","given":"Adam"},{"family":"Muto","given":"Michael"},{"family":"Raut","given":"Chandrajit P."},{"family":"Malykh","given":"Andrei"},{"family":"Barnholtz-Sloan","given":"Jill S."},{"family":"Barrett","given":"Wendi"},{"family":"Devine","given":"Karen"},{"family":"Fulop","given":"Jordonna"},{"family":"Ostrom","given":"Quinn T."},{"family":"Shimmel","given":"Kristen"},{"family":"Wolinsky","given":"Yingli"},{"family":"Sloan","given":"Andrew E."},{"family":"Rose","given":"Agostino De"},{"family":"Giuliante","given":"Felice"},{"family":"Goodman","given":"Marc"},{"family":"Karlan","given":"Beth Y."},{"family":"Hagedorn","given":"Curt H."},{"family":"Eckman","given":"John"},{"family":"Harr","given":"Jodi"},{"family":"Myers","given":"Jerome"},{"family":"Tucker","given":"Kelinda"},{"family":"Zach","given":"Leigh Anne"},{"family":"Deyarmin","given":"Brenda"},{"family":"Hu","given":"Hai"},{"family":"Kvecher","given":"Leonid"},{"family":"Larson","given":"Caroline"},{"family":"Mural","given":"Richard J."},{"family":"Somiari","given":"Stella"},{"family":"Vicha","given":"Ales"},{"family":"Zelinka","given":"Tomas"},{"family":"Bennett","given":"Joseph"},{"family":"Iacocca","given":"Mary"},{"family":"Rabeno","given":"Brenda"},{"family":"Swanson","given":"Patricia"},{"family":"Latour","given":"Mathieu"},{"family":"Lacombe","given":"Louis"},{"family":"Têtu","given":"Bernard"},{"family":"Bergeron","given":"Alain"},{"family":"McGraw","given":"Mary"},{"family":"Staugaitis","given":"Susan M."},{"family":"Chabot","given":"John"},{"family":"Hibshoosh","given":"Hanina"},{"family":"Sepulveda","given":"Antonia"},{"family":"Su","given":"Tao"},{"family":"Wang","given":"Timothy"},{"family":"Potapova","given":"Olga"},{"family":"Voronina","given":"Olga"},{"family":"Desjardins","given":"Laurence"},{"family":"Mariani","given":"Odette"},{"family":"Roman-Roman","given":"Sergio"},{"family":"Sastre","given":"Xavier"},{"family":"Stern","given":"Marc-Henri"},{"family":"Cheng","given":"Feixiong"},{"family":"Signoretti","given":"Sabina"},{"family":"Berchuck","given":"Andrew"},{"family":"Bigner","given":"Darell"},{"family":"Lipp","given":"Eric"},{"family":"Marks","given":"Jeffrey"},{"family":"McCall","given":"Shannon"},{"family":"McLendon","given":"Roger"},{"family":"Secord","given":"Angeles"},{"family":"Sharp","given":"Alexis"},{"family":"Behera","given":"Madhusmita"},{"family":"Brat","given":"Daniel J."},{"family":"Chen","given":"Amy"},{"family":"Delman","given":"Keith"},{"family":"Force","given":"Seth"},{"family":"Khuri","given":"Fadlo"},{"family":"Magliocca","given":"Kelly"},{"family":"Maithel","given":"Shishir"},{"family":"Olson","given":"Jeffrey J."},{"family":"Owonikoko","given":"Taofeek"},{"family":"Pickens","given":"Alan"},{"family":"Ramalingam","given":"Suresh"},{"family":"Shin","given":"Dong M."},{"family":"Sica","given":"Gabriel"},{"family":"Meir","given":"Erwin G. Van"},{"family":"Zhang","given":"Hongzheng"},{"family":"Eijckenboom","given":"Wil"},{"family":"Gillis","given":"Ad"},{"family":"Korpershoek","given":"Esther"},{"family":"Looijenga","given":"Leendert"},{"family":"Oosterhuis","given":"Wolter"},{"family":"Stoop","given":"Hans"},{"family":"Kessel","given":"Kim E.","dropping-particle":"van"},{"family":"Zwarthoff","given":"Ellen C."},{"family":"Calatozzolo","given":"Chiara"},{"family":"Cuppini","given":"Lucia"},{"family":"Cuzzubbo","given":"Stefania"},{"family":"DiMeco","given":"Francesco"},{"family":"Finocchiaro","given":"Gaetano"},{"family":"Mattei","given":"Luca"},{"family":"Perin","given":"Alessandro"},{"family":"Pollo","given":"Bianca"},{"family":"Chen","given":"Chu"},{"family":"Houck","given":"John"},{"family":"Lohavanichbutr","given":"Pawadee"},{"family":"Hartmann","given":"Arndt"},{"family":"Stoehr","given":"Christine"},{"family":"Stoehr","given":"Robert"},{"family":"Taubert","given":"Helge"},{"family":"Wach","given":"Sven"},{"family":"Wullich","given":"Bernd"},{"family":"Kycler","given":"Witold"},{"family":"Murawa","given":"Dawid"},{"family":"Wiznerowicz","given":"Maciej"},{"family":"Chung","given":"Ki"},{"family":"Edenfield","given":"W. Jeffrey"},{"family":"Martin","given":"Julie"},{"family":"Baudin","given":"Eric"},{"family":"Bubley","given":"Glenn"},{"family":"Bueno","given":"Raphael"},{"family":"Rienzo","given":"Assunta De"},{"family":"Richards","given":"William G."},{"family":"Kalkanis","given":"Steven"},{"family":"Mikkelsen","given":"Tom"},{"family":"Noushmehr","given":"Houtan"},{"family":"Scarpace","given":"Lisa"},{"family":"Girard","given":"Nicolas"},{"family":"Aymerich","given":"Marta"},{"family":"Campo","given":"Elias"},{"family":"Giné","given":"Eva"},{"family":"Guillermo","given":"Armando López"},{"family":"Bang","given":"Nguyen Van"},{"family":"Hanh","given":"Phan Thi"},{"family":"Phu","given":"Bui Duc"},{"family":"Tang","given":"Yufang"},{"family":"Colman","given":"Howard"},{"family":"Evason","given":"Kimberley"},{"family":"Dottino","given":"Peter R."},{"family":"Martignetti","given":"John A."},{"family":"Gabra","given":"Hani"},{"family":"Juhl","given":"Hartmut"},{"family":"Akeredolu","given":"Teniola"},{"family":"Stepa","given":"Serghei"},{"family":"Hoon","given":"Dave"},{"family":"Ahn","given":"Keunsoo"},{"family":"Kang","given":"Koo Jeong"},{"family":"Beuschlein","given":"Felix"},{"family":"Breggia","given":"Anne"},{"family":"Birrer","given":"Michael"},{"family":"Bell","given":"Debra"},{"family":"Borad","given":"Mitesh"},{"family":"Bryce","given":"Alan H."},{"family":"Castle","given":"Erik"},{"family":"Chandan","given":"Vishal"},{"family":"Cheville","given":"John"},{"family":"Copland","given":"John A."},{"family":"Farnell","given":"Michael"},{"family":"Flotte","given":"Thomas"},{"family":"Giama","given":"Nasra"},{"family":"Ho","given":"Thai"},{"family":"Kendrick","given":"Michael"},{"family":"Kocher","given":"Jean-Pierre"},{"family":"Kopp","given":"Karla"},{"family":"Moser","given":"Catherine"},{"family":"Nagorney","given":"David"},{"family":"O’Brien","given":"Daniel"},{"family":"O’Neill","given":"Brian Patrick"},{"family":"Patel","given":"Tushar"},{"family":"Petersen","given":"Gloria"},{"family":"Que","given":"Florencia"},{"family":"Rivera","given":"Michael"},{"family":"Roberts","given":"Lewis"},{"family":"Smallridge","given":"Robert"},{"family":"Smyrk","given":"Thomas"},{"family":"Stanton","given":"Melissa"},{"family":"Thompson","given":"R. Houston"},{"family":"Torbenson","given":"Michael"},{"family":"Yang","given":"Ju Dong"},{"family":"Zhang","given":"Lizhi"},{"family":"Brimo","given":"Fadi"},{"family":"Ajani","given":"Jaffer A."},{"family":"Gonzalez","given":"Ana Maria Angulo"},{"family":"Behrens","given":"Carmen"},{"family":"Bondaruk","given":"Jolanta"},{"family":"Broaddus","given":"Russell"},{"family":"Czerniak","given":"Bogdan"},{"family":"Esmaeli","given":"Bita"},{"family":"Fujimoto","given":"Junya"},{"family":"Gershenwald","given":"Jeffrey"},{"family":"Guo","given":"Charles"},{"family":"Lazar","given":"Alexander J."},{"family":"Logothetis","given":"Christopher"},{"family":"Meric-Bernstam","given":"Funda"},{"family":"Moran","given":"Cesar"},{"family":"Ramondetta","given":"Lois"},{"family":"Rice","given":"David"},{"family":"Sood","given":"Anil"},{"family":"Tamboli","given":"Pheroze"},{"family":"Thompson","given":"Timothy"},{"family":"Troncoso","given":"Patricia"},{"family":"Tsao","given":"Anne"},{"family":"Wistuba","given":"Ignacio"},{"family":"Carter","given":"Candace"},{"family":"Haydu","given":"Lauren"},{"family":"Hersey","given":"Peter"},{"family":"Jakrot","given":"Valerie"},{"family":"Kakavand","given":"Hojabr"},{"family":"Kefford","given":"Richard"},{"family":"Lee","given":"Kenneth"},{"family":"Long","given":"Georgina"},{"family":"Mann","given":"Graham"},{"family":"Quinn","given":"Michael"},{"family":"Saw","given":"Robyn"},{"family":"Scolyer","given":"Richard"},{"family":"Shannon","given":"Kerwin"},{"family":"Spillane","given":"Andrew"},{"family":"Stretch","given":"Onathan"},{"family":"Synott","given":"Maria"},{"family":"Thompson","given":"John"},{"family":"Wilmott","given":"James"},{"family":"Al-Ahmadie","given":"Hikmat"},{"family":"Chan","given":"Timothy A."},{"family":"Ghossein","given":"Ronald"},{"family":"Gopalan","given":"Anuradha"},{"family":"Levine","given":"Douglas A."},{"family":"Reuter","given":"Victor"},{"family":"Singer","given":"Samuel"},{"family":"Singh","given":"Bhuvanesh"},{"family":"Tien","given":"Nguyen Viet"},{"family":"Broudy","given":"Thomas"},{"family":"Mirsaidi","given":"Cyrus"},{"family":"Nair","given":"Praveen"},{"family":"Drwiega","given":"Paul"},{"family":"Miller","given":"Judy"},{"family":"Smith","given":"Jennifer"},{"family":"Zaren","given":"Howard"},{"family":"Park","given":"Joong-Won"},{"family":"Hung","given":"Nguyen Phi"},{"family":"Kebebew","given":"Electron"},{"family":"Linehan","given":"W. Marston"},{"family":"Metwalli","given":"Adam R."},{"family":"Pacak","given":"Karel"},{"family":"Pinto","given":"Peter A."},{"family":"Schiffman","given":"Mark"},{"family":"Schmidt","given":"Laura S."},{"family":"Vocke","given":"Cathy D."},{"family":"Wentzensen","given":"Nicolas"},{"family":"Worrell","given":"Robert"},{"family":"Yang","given":"Hannah"},{"family":"Moncrieff","given":"Marc"},{"family":"Goparaju","given":"Chandra"},{"family":"Melamed","given":"Jonathan"},{"family":"Pass","given":"Harvey"},{"family":"Botnariuc","given":"Natalia"},{"family":"Caraman","given":"Irina"},{"family":"Cernat","given":"Mircea"},{"family":"Chemencedji","given":"Inga"},{"family":"Clipca","given":"Adrian"},{"family":"Doruc","given":"Serghei"},{"family":"Gorincioi","given":"Ghenadie"},{"family":"Mura","given":"Sergiu"},{"family":"Pirtac","given":"Maria"},{"family":"Stancul","given":"Irina"},{"family":"Tcaciuc","given":"Diana"},{"family":"Albert","given":"Monique"},{"family":"Alexopoulou","given":"Iakovina"},{"family":"Arnaout","given":"Angel"},{"family":"Bartlett","given":"John"},{"family":"Engel","given":"Jay"},{"family":"Gilbert","given":"Sebastien"},{"family":"Parfitt","given":"Jeremy"},{"family":"Sekhon","given":"Harman"},{"family":"Thomas","given":"George"},{"family":"Rassl","given":"Doris M."},{"family":"Rintoul","given":"Robert C."},{"family":"Bifulco","given":"Carlo"},{"family":"Tamakawa","given":"Raina"},{"family":"Urba","given":"Walter"},{"family":"Hayward","given":"Nicholas"},{"family":"Timmers","given":"Henri"},{"family":"Antenucci","given":"Anna"},{"family":"Facciolo","given":"Francesco"},{"family":"Grazi","given":"Gianluca"},{"family":"Marino","given":"Mirella"},{"family":"Merola","given":"Roberta"},{"family":"Krijger","given":"Ronald","dropping-particle":"de"},{"family":"Gimenez-Roqueplo","given":"Anne-Paule"},{"family":"Piché","given":"Alain"},{"family":"Chevalier","given":"Simone"},{"family":"McKercher","given":"Ginette"},{"family":"Birsoy","given":"Kivanc"},{"family":"Barnett","given":"Gene"},{"family":"Brewer","given":"Cathy"},{"family":"Farver","given":"Carol"},{"family":"Naska","given":"Theresa"},{"family":"Pennell","given":"Nathan A."},{"family":"Raymond","given":"Daniel"},{"family":"Schilero","given":"Cathy"},{"family":"Smolenski","given":"Kathy"},{"family":"Williams","given":"Felicia"},{"family":"Morrison","given":"Carl"},{"family":"Borgia","given":"Jeffrey A."},{"family":"Liptay","given":"Michael J."},{"family":"Pool","given":"Mark"},{"family":"Seder","given":"Christopher W."},{"family":"Junker","given":"Kerstin"},{"family":"Omberg","given":"Larsson"},{"family":"Dinkin","given":"Mikhail"},{"family":"Manikhas","given":"George"},{"family":"Alvaro","given":"Domenico"},{"family":"Bragazzi","given":"Maria Consiglia"},{"family":"Cardinale","given":"Vincenzo"},{"family":"Carpino","given":"Guido"},{"family":"Gaudio","given":"Eugenio"},{"family":"Chesla","given":"David"},{"family":"Cottingham","given":"Sandra"},{"family":"Dubina","given":"Michael"},{"family":"Moiseenko","given":"Fedor"},{"family":"Dhanasekaran","given":"Renumathy"},{"family":"Becker","given":"Karl-Friedrich"},{"family":"Janssen","given":"Klaus-Peter"},{"family":"Slotta-Huspenina","given":"Julia"},{"family":"Abdel-Rahman","given":"Mohamed H."},{"family":"Aziz","given":"Dina"},{"family":"Bell","given":"Sue"},{"family":"Cebulla","given":"Colleen M."},{"family":"Davis","given":"Amy"},{"family":"Duell","given":"Rebecca"},{"family":"Elder","given":"J. Bradley"},{"family":"Hilty","given":"Joe"},{"family":"Kumar","given":"Bahavna"},{"family":"Lang","given":"James"},{"family":"Lehman","given":"Norman L."},{"family":"Mandt","given":"Randy"},{"family":"Nguyen","given":"Phuong"},{"family":"Pilarski","given":"Robert"},{"family":"Rai","given":"Karan"},{"family":"Schoenfield","given":"Lynn"},{"family":"Senecal","given":"Kelly"},{"family":"Wakely","given":"Paul"},{"family":"Hansen","given":"Paul"},{"family":"Lechan","given":"Ronald"},{"family":"Powers","given":"James"},{"family":"Tischler","given":"Arthur"},{"family":"Grizzle","given":"William E."},{"family":"Sexton","given":"Katherine C."},{"family":"Kastl","given":"Alison"},{"family":"Henderson","given":"Joel"},{"family":"Porten","given":"Sima"},{"family":"Waldmann","given":"Jens"},{"family":"Fassnacht","given":"Martin"},{"family":"Asa","given":"Sylvia L."},{"family":"Schadendorf","given":"Dirk"},{"family":"Couce","given":"Marta"},{"family":"Graefen","given":"Markus"},{"family":"Huland","given":"Hartwig"},{"family":"Sauter","given":"Guido"},{"family":"Schlomm","given":"Thorsten"},{"family":"Simon","given":"Ronald"},{"family":"Tennstedt","given":"Pierre"},{"family":"Olabode","given":"Oluwole"},{"family":"Nelson","given":"Mark"},{"family":"Bathe","given":"Oliver"},{"family":"Carroll","given":"Peter R."},{"family":"Chan","given":"June M."},{"family":"Disaia","given":"Philip"},{"family":"Glenn","given":"Pat"},{"family":"Kelley","given":"Robin K."},{"family":"Landen","given":"Charles N."},{"family":"Phillips","given":"Joanna"},{"family":"Prados","given":"Michael"},{"family":"Simko","given":"Jeffry"},{"family":"Smith-McCune","given":"Karen"},{"family":"VandenBerg","given":"Scott"},{"family":"Roggin","given":"Kevin"},{"family":"Fehrenbach","given":"Ashley"},{"family":"Kendler","given":"Ady"},{"family":"Sifri","given":"Suzanne"},{"family":"Steele","given":"Ruth"},{"family":"Jimeno","given":"Antonio"},{"family":"Carey","given":"Francis"},{"family":"Forgie","given":"Ian"},{"family":"Mannelli","given":"Massimo"},{"family":"Carney","given":"Michael"},{"family":"Hernandez","given":"Brenda"},{"family":"Campos","given":"Benito"},{"family":"Herold-Mende","given":"Christel"},{"family":"Jungk","given":"Christin"},{"family":"Unterberg","given":"Andreas"},{"family":"Deimling","given":"Andreas","dropping-particle":"von"},{"family":"Bossler","given":"Aaron"},{"family":"Galbraith","given":"Joseph"},{"family":"Jacobus","given":"Laura"},{"family":"Knudson","given":"Michael"},{"family":"Knutson","given":"Tina"},{"family":"Ma","given":"Deqin"},{"family":"Milhem","given":"Mohammed"},{"family":"Sigmund","given":"Rita"},{"family":"Godwin","given":"Andrew K."},{"family":"Madan","given":"Rashna"},{"family":"Rosenthal","given":"Howard G."},{"family":"Adebamowo","given":"Clement"},{"family":"Adebamowo","given":"Sally N."},{"family":"Boussioutas","given":"Alex"},{"family":"Beer","given":"David"},{"family":"Giordano","given":"Thomas"},{"family":"Mes-Masson","given":"Anne-Marie"},{"family":"Saad","given":"Fred"},{"family":"Bocklage","given":"Therese"},{"family":"Landrum","given":"Lisa"},{"family":"Mannel","given":"Robert"},{"family":"Moore","given":"Kathleen"},{"family":"Moxley","given":"Katherine"},{"family":"Postier","given":"Russel"},{"family":"Walker","given":"Joan"},{"family":"Zuna","given":"Rosemary"},{"family":"Feldman","given":"Michael"},{"family":"Valdivieso","given":"Federico"},{"family":"Dhir","given":"Rajiv"},{"family":"Luketich","given":"James"},{"family":"Pinero","given":"Edna M. Mora"},{"family":"Quintero-Aguilo","given":"Mario"},{"family":"Carlotti","given":"Carlos Gilberto"},{"family":"Santos","given":"Jose Sebastião Dos"},{"family":"Kemp","given":"Rafael"},{"family":"Sankarankuty","given":"Ajith"},{"family":"Tirapelli","given":"Daniela"},{"family":"Catto","given":"James"},{"family":"Agnew","given":"Kathy"},{"family":"Swisher","given":"Elizabeth"},{"family":"Creaney","given":"Jenette"},{"family":"Robinson","given":"Bruce"},{"family":"Shelley","given":"Carl Simon"},{"family":"Godwin","given":"Eryn M."},{"family":"Kendall","given":"Sara"},{"family":"Shipman","given":"Cassaundra"},{"family":"Bradford","given":"Carol"},{"family":"Carey","given":"Thomas"},{"family":"Haddad","given":"Andrea"},{"family":"Moyer","given":"Jeffey"},{"family":"Peterson","given":"Lisa"},{"family":"Prince","given":"Mark"},{"family":"Rozek","given":"Laura"},{"family":"Wolf","given":"Gregory"},{"family":"Bowman","given":"Rayleen"},{"family":"Fong","given":"Kwun M."},{"family":"Yang","given":"Ian"},{"family":"Korst","given":"Robert"},{"family":"Rathmell","given":"W. Kimryn"},{"family":"Fantacone-Campbell","given":"J. Leigh"},{"family":"Hooke","given":"Jeffrey A."},{"family":"Kovatich","given":"Albert J."},{"family":"Shriver","given":"Craig D."},{"family":"DiPersio","given":"John"},{"family":"Drake","given":"Bettina"},{"family":"Govindan","given":"Ramaswamy"},{"family":"Heath","given":"Sharon"},{"family":"Ley","given":"Timothy"},{"family":"Tine","given":"Brian Van"},{"family":"Westervelt","given":"Peter"},{"family":"Rubin","given":"Mark A."},{"family":"Lee","given":"Jung Il"},{"family":"Aredes","given":"Natália D."},{"family":"Mariamidze","given":"Armaz"},{"family":"Spellman","given":"Paul T."},{"family":"Rathmell","given":"W. Kimryn"},{"family":"Linehan","given":"W. Marston"}],"issued":{"date-parts":[["2018",4,5]]},"accessed":{"date-parts":[["2018",4,9]]}},"locator":"201"},{"id":688,"uris":["http://zotero.org/users/4775618/items/H3K5CDMX"],"uri":["http://zotero.org/users/4775618/items/H3K5CDMX"],"itemData":{"id":688,"type":"article-journal","title":"Early-Onset Renal Cell Carcinoma as a Novel Extraparaganglial Component of SDHB-Associated Heritable Paraganglioma","container-title":"American Journal of Human Genetics","page":"153-159","volume":"74","issue":"1","source":"PubMed Central","abstract":"Hereditary paraganglioma syndrome has recently been shown to be caused by germline heterozygous mutations in three (SDHB, SDHC, and SDHD) of the four genes that encode mitochondrial succinate dehydrogenase. Extraparaganglial component neoplasias have never been previously documented. In a population-based registry of symptomatic presentations of phaeochromocytoma/paraganglioma comprising 352 registrants, among whom 16 unrelated registrants were SDHB mutation positive, one family with germline SDHB mutation c.847-50delTCTC had two members with renal cell carcinoma (RCC), of solid histology, at ages 24 and 26 years. Both also had paraganglioma. A registry of early-onset RCCs revealed a family comprising a son with clear-cell RCC and his mother with a cardiac tumor, both with the germline SDHB R27X mutation. The cardiac tumor proved to be a paraganglioma. All RCCs showed loss of the remaining wild-type allele. Our observations suggest that germline SDHB mutations can predispose to early-onset kidney cancers in addition to paragangliomas and carry implications for medical surveillance.","URL":"https://www.ncbi.nlm.nih.gov/pmc/articles/PMC1181902/","ISSN":"0002-9297","note":"PMID: 14685938\nPMCID: PMC1181902","journalAbbreviation":"Am J Hum Genet","author":[{"family":"Vanharanta","given":"Sakari"},{"family":"Buchta","given":"Mary"},{"family":"McWhinney","given":"Sarah R."},{"family":"Virta","given":"Sanna K."},{"family":"Peçzkowska","given":"Mariola"},{"family":"Morrison","given":"Carl D."},{"family":"Lehtonen","given":"Rainer"},{"family":"Januszewicz","given":"Andrzej"},{"family":"Järvinen","given":"Heikki"},{"family":"Juhola","given":"Matti"},{"family":"Mecklin","given":"Jukka-Pekka"},{"family":"Pukkala","given":"Eero"},{"family":"Herva","given":"Riitta"},{"family":"Kiuru","given":"Maija"},{"family":"Nupponen","given":"Nina N."},{"family":"Aaltonen","given":"Lauri A."},{"family":"Neumann","given":"Hartmut P. H."},{"family":"Eng","given":"Charis"}],"issued":{"date-parts":[["2004",1]]},"accessed":{"date-parts":[["2018",9,1]]}}}],"schema":"https://github.com/citation-style-language/schema/raw/master/csl-citation.json"}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5,83,85,87–89</w:t>
      </w:r>
      <w:r w:rsidR="00E8321B">
        <w:rPr>
          <w:rFonts w:ascii="Calibri" w:hAnsi="Calibri" w:cs="Calibri"/>
          <w:color w:val="000000" w:themeColor="text1"/>
          <w:sz w:val="22"/>
          <w:szCs w:val="22"/>
        </w:rPr>
        <w:fldChar w:fldCharType="end"/>
      </w:r>
      <w:r w:rsidR="00DD5717" w:rsidRPr="00D637BA">
        <w:rPr>
          <w:rFonts w:ascii="Calibri" w:hAnsi="Calibri" w:cs="Calibri"/>
          <w:color w:val="000000" w:themeColor="text1"/>
          <w:sz w:val="22"/>
          <w:szCs w:val="22"/>
        </w:rPr>
        <w:t>.</w:t>
      </w:r>
      <w:r w:rsidR="00360A9D" w:rsidRPr="00D637BA">
        <w:rPr>
          <w:rFonts w:ascii="Calibri" w:hAnsi="Calibri" w:cs="Calibri"/>
          <w:color w:val="000000" w:themeColor="text1"/>
          <w:sz w:val="22"/>
          <w:szCs w:val="22"/>
        </w:rPr>
        <w:t xml:space="preserve"> </w:t>
      </w:r>
      <w:r w:rsidR="00B310DE" w:rsidRPr="00B946E4">
        <w:rPr>
          <w:rFonts w:ascii="Calibri" w:hAnsi="Calibri" w:cs="Calibri"/>
          <w:color w:val="000000" w:themeColor="text1"/>
          <w:sz w:val="22"/>
          <w:szCs w:val="22"/>
        </w:rPr>
        <w:t xml:space="preserve">The majority of tumours harbour </w:t>
      </w:r>
      <w:r w:rsidR="00B310DE" w:rsidRPr="00B946E4">
        <w:rPr>
          <w:rFonts w:ascii="Calibri" w:hAnsi="Calibri" w:cs="Calibri"/>
          <w:i/>
          <w:color w:val="000000" w:themeColor="text1"/>
          <w:sz w:val="22"/>
          <w:szCs w:val="22"/>
        </w:rPr>
        <w:t>SDHB</w:t>
      </w:r>
      <w:r w:rsidR="00B310DE" w:rsidRPr="00B946E4">
        <w:rPr>
          <w:rFonts w:ascii="Calibri" w:hAnsi="Calibri" w:cs="Calibri"/>
          <w:color w:val="000000" w:themeColor="text1"/>
          <w:sz w:val="22"/>
          <w:szCs w:val="22"/>
        </w:rPr>
        <w:t xml:space="preserve"> mutations (82%), although mutations in all four SDH subunits and in the assembly factor SDHAF2 have been implicated in the pathogenesis of RCC</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{"citationID":"a1l0sd5cntt","properties":{"formattedCitation":"\\super 83,88\\uc0\\u8211{}92\\nosupersub{}","plainCitation":"83,88–92","noteIndex":0},"citationItems":[{"id":447,"uris":["http://zotero.org/users/4775618/items/H9BZ8TCG"],"uri":["http://zotero.org/users/4775618/items/H9BZ8TCG"],"itemData":{"id":447,"type":"article-journal","title":"Succinate Dehydrogenase (SDH)-deficient Renal Carcinoma: A Morphologically Distinct Entity","container-title":"The American Journal of Surgical Pathology","page":"1588-1602","volume":"38","issue":"12","source":"PubMed Central","abstract":"Supplemental Digital Content is available in the text., Succinate dehydrogenase (SDH)-deficient renal carcinoma has been accepted as a provisional entity in the 2013 International Society of Urological Pathology Vancouver Classification. To further define its morphologic and clinical features, we studied a multi-institutional cohort of 36 SDH-deficient renal carcinomas from 27 patients, including 21 previously unreported cases. We estimate that 0.05% to 0.2% of all renal carcinomas are SDH deficient. Mean patient age at presentation was 37 years (range, 14 to 76 y), with a slight male predominance (M:F=1.7:1). Bilateral tumors were observed in 26% of patients. Thirty-four (94%) tumors demonstrated the previously reported morphology at least focally, which included: solid or focally cystic growth, uniform cytology with eosinophilic flocculent cytoplasm, intracytoplasmic vacuolations and inclusions, and round to oval low-grade nuclei. All 17 patients who underwent genetic testing for mutation in the SDH subunits demonstrated germline mutations (16 in SDHB and 1 in SDHC). Nine of 27 (33%) patients developed metastatic disease, 2 of them after prolonged follow-up (5.5 and 30 y). Seven of 10 patients (70%) with high-grade nuclei metastasized as did all 4 patients with coagulative necrosis. Two of 17 (12%) patients with low-grade nuclei metastasized, and both had unbiopsied contralateral tumors, which may have been the origin of the metastatic disease. In conclusion, SDH-deficient renal carcinoma is a rare and unique type of renal carcinoma, exhibiting stereotypical morphologic features in the great majority of cases and showing a strong relationship with SDH germline mutation. Although this tumor may undergo dedifferentiation and metastasize, sometimes after a prolonged delay, metastatic disease is rare in the absence of high-grade nuclear atypia or coagulative necrosis.","URL":"https://www.ncbi.nlm.nih.gov/pmc/articles/PMC4229399/","DOI":"10.1097/PAS.0000000000000292","ISSN":"0147-5185","note":"PMID: 25025441\nPMCID: PMC4229399","title-short":"Succinate Dehydrogenase (SDH)-deficient Renal Carcinoma","journalAbbreviation":"Am J Surg Pathol","author":[{"family":"Gill","given":"Anthony J."},{"family":"Hes","given":"Ondrej"},{"family":"Papathomas","given":"Thomas"},{"family":"Šedivcová","given":"Monika"},{"family":"Tan","given":"Puay Hoon"},{"family":"Agaimy","given":"Abbas"},{"family":"Andresen","given":"Per Arne"},{"family":"Kedziora","given":"Andrew"},{"family":"Clarkson","given":"Adele"},{"family":"Toon","given":"Christopher W."},{"family":"Sioson","given":"Loretta"},{"family":"Watson","given":"Nicole"},{"family":"Chou","given":"Angela"},{"family":"Paik","given":"Julie"},{"family":"Clifton-Bligh","given":"Roderick J."},{"family":"Robinson","given":"Bruce G."},{"family":"Benn","given":"Diana E."},{"family":"Hills","given":"Kirsten"},{"family":"Maclean","given":"Fiona"},{"family":"Niemeijer","given":"Nicolasine D."},{"family":"Vlatkovic","given":"Ljiljana"},{"family":"Hartmann","given":"Arndt"},{"family":"Corssmit","given":"Eleonora P.M."},{"family":"Leenders","given":"Geert J.L.H.","non-dropping-particle":"van"},{"family":"Przybycin","given":"Christopher"},{"family":"McKenney","given":"Jesse K."},{"family":"Magi-Galluzzi","given":"Cristina"},{"family":"Yilmaz","given":"Asli"},{"family":"Yu","given":"Darryl"},{"family":"Nicoll","given":"Katherine D."},{"family":"Yong","given":"Jim L."},{"family":"Sibony","given":"Mathilde"},{"family":"Yakirevich","given":"Evgeny"},{"family":"Fleming","given":"Stewart"},{"family":"Chow","given":"Chung W."},{"family":"Miettinen","given":"Markku"},{"family":"Michal","given":"Michal"},{"family":"Trpkov","given":"Kiril"}],"issued":{"date-parts":[["2014",12]]},"accessed":{"date-parts":[["2018",4,9]]}},"locator":"20"},{"id":1331,"uris":["http://zotero.org/users/4775618/items/3WIYKWXM"],"uri":["http://zotero.org/users/4775618/items/3WIYKWXM"],"itemData":{"id":1331,"type":"article-journal","title":"Biallelic inactivation of the SDHC gene in renal carcinoma associated with paraganglioma syndrome type 3","container-title":"Endocrine-Related Cancer","page":"283-290","volume":"19","issue":"3","source":"PubMed","abstract":"The etiology and pathogenesis of renal cell carcinoma (RCC) are only partially understood. Key findings in hereditary RCC, which may be site specific or a component of a syndrome, have contributed to our current understanding. Important heritable syndromes of RCC are those associated with pheochromocytoma, especially von Hippel-Lindau disease (VHL) associated with germline VHL mutations, and pheochromocytoma and paraganglioma syndrome (PGL) associated with mutations in one of the four genes (SDHA-D) encoding succinate dehydrogenase. A subset of individuals with SDHB and SDHD germline DNA mutations and variants develop RCC. RCC has never been described as a component of SDHC-associated PGL3. The European-American Pheochromocytoma and Paraganglioma Registry comprises 35 registrants with germline SDHC mutations. A new registrant had carotid body tumor (CBT) and his mother had CBT and bilateral RCC. Blood DNA, paragangliomas, and RCCs were analyzed for mutations and loss-of-heterozygosity (LOH) in/flanking SDHC and VHL. The proband with unilateral CBT had a germline SDHC c.3G&gt;A (p.M1I) mutation. His mutation-positive mother had CBT at age 42, clear cell RCC (ccRCC) at age 68, and papillary RCC (pRCC) at age 69. Both paraganglial tumors showed somatic LOH of the SDHC locus. Both ccRCC and pRCC did not have a somatic SDHC mutation but showed LOH for intragenic and flanking markers of the SDHC locus. LOH was also present for the VHL locus. Our findings suggest that RCC is a component of PGL3. Biallelic inactivation of the SDHC gene may represent a new pathway of pathogenesis of syndromic and nonsyndromic RCC, perhaps of both clear cell and papillary histologies.","DOI":"10.1530/ERC-11-0324","ISSN":"1479-6821","note":"PMID: 22351710","journalAbbreviation":"Endocr. Relat. Cancer","language":"eng","author":[{"family":"Malinoc","given":"Angelica"},{"family":"Sullivan","given":"Maren"},{"family":"Wiech","given":"Thorsten"},{"family":"Schmid","given":"Kurt Werner"},{"family":"Jilg","given":"Cordula"},{"family":"Straeter","given":"Joern"},{"family":"Deger","given":"Serdar"},{"family":"Hoffmann","given":"Michael M."},{"family":"Bosse","given":"Alexander"},{"family":"Rasp","given":"Gerd"},{"family":"Eng","given":"Charis"},{"family":"Neumann","given":"Hartmut P. H."}],"issued":{"date-parts":[["2012",6]]}}},{"id":1668,"uris":["http://zotero.org/users/4775618/items/YGKWGXX8"],"uri":["http://zotero.org/users/4775618/items/YGKWGXX8"],"itemData":{"id":1668,"type":"article-journal","title":"SDH-deficient renal cell carcinoma associated with biallelic mutation in succinate dehydrogenase A: comprehensive genetic profiling and its relation to therapy response","container-title":"npj Precision Oncology","page":"9","volume":"2","issue":"1","source":"www-nature-com.ezp.lib.cam.ac.uk","abstract":"Succinate dehydrogenase (SDH)-deficient renal cell carcinoma (RCC) is a rare RCC subtype that is caused by biallelic mutation of one of the four subunits of the SDH complex (SDHA, B, C, and D) and results in inactivation of the SDH enzyme. Here we describe a case of genetically characterized SDH-deficient RCC caused by biallelic (germline plus somatic) SDHA mutations. SDHA pathogenic variants were detected using comprehensive genomic profiling and SDH absence was subsequently confirmed by immunohistochemistry. Very little is known regarding the genomic context of SDH-deficient RCC. Interestingly we found genomic amplifications commonly observed in RCC but there was an absence of additional variants in common cancer driver genes. Prior to genetic testing a PD-1 inhibitor treatment was administered. However, following the genetic results a succession of tyrosine kinase inhibitors were administered as targeted treatment options and we highlight how the genetic results provide a rationale for their effectiveness. We also describe how the genetic results benefited the patient by empowering him to adopt dietary and lifestyle changes in accordance with knowledge of the mechanisms of SDH-related tumorigenesis.","URL":"https://www-nature-com.ezp.lib.cam.ac.uk/articles/s41698-018-0053-2","DOI":"10.1038/s41698-018-0053-2","ISSN":"2397-768X","title-short":"SDH-deficient renal cell carcinoma associated with biallelic mutation in succinate dehydrogenase A","language":"En","author":[{"family":"McEvoy","given":"Christopher R."},{"family":"Koe","given":"Lisa"},{"family":"Choong","given":"David Y."},{"family":"Leong","given":"Huei San"},{"family":"Xu","given":"Huiling"},{"family":"Karikios","given":"Deme"},{"family":"Plew","given":"Jeffrey D."},{"family":"Prall","given":"Owen W."},{"family":"Fellowes","given":"Andrew P."},{"family":"Fox","given":"Stephen B."}],"issued":{"date-parts":[["2018",3,20]]},"accessed":{"date-parts":[["2019",3,3]]}}},{"id":341,"uris":["http://zotero.org/users/4775618/items/8RBT7W6A"],"uri":["http://zotero.org/users/4775618/items/8RBT7W6A"],"itemData":{"id":341,"type":"article-journal","title":"Succinate dehydrogenase kidney cancer: an aggressive example of the Warburg effect in cancer","container-title":"The Journal of Urology","page":"2063-2071","volume":"188","issue":"6","source":"PubMed","abstract":"PURPOSE: Recently, a new renal cell cancer syndrome has been linked to germline mutation of multiple subunits (SDHB/C/D) of the Krebs cycle enzyme, succinate dehydrogenase. We report our experience with the diagnosis, evaluation and treatment of this novel form of hereditary kidney cancer.\nMATERIALS AND METHODS: Patients with suspected hereditary kidney cancer were enrolled on a National Cancer Institute institutional review board approved protocol to study inherited forms of kidney cancer. Individuals from families with germline SDHB, SDHC and SDHD mutations, and kidney cancer underwent comprehensive clinical and genetic evaluation.\nRESULTS: A total of 14 patients from 12 SDHB mutation families were evaluated. Patients presented with renal cell cancer at an early age (33 years, range 15 to 62), metastatic kidney cancer developed in 4 and some families had no manifestation other than kidney tumors. An additional family with 6 individuals found to have clear cell renal cell cancer that presented at a young average age (47 years, range 40 to 53) was identified with a germline SDHC mutation (R133X) Metastatic disease developed in 2 of these family members. A patient with a history of carotid body paragangliomas and an aggressive form of kidney cancer was evaluated from a family with a germline SDHD mutation.\nCONCLUSIONS: SDH mutation associated renal cell carcinoma can be an aggressive type of kidney cancer, especially in younger individuals. Although detection and management of early tumors is most often associated with a good outcome, based on our initial experience with these patients and our long-term experience with hereditary leiomyomatosis and renal cell carcinoma, we recommend careful surveillance of patients at risk for SDH mutation associated renal cell carcinoma and wide surgical excision of renal tumors.","DOI":"10.1016/j.juro.2012.08.030","ISSN":"1527-3792","note":"PMID: 23083876\nPMCID: PMC3856891","title-short":"Succinate dehydrogenase kidney cancer","journalAbbreviation":"J. Urol.","language":"eng","author":[{"family":"Ricketts","given":"Christopher J."},{"family":"Shuch","given":"Brian"},{"family":"Vocke","given":"Cathy D."},{"family":"Metwalli","given":"Adam R."},{"family":"Bratslavsky","given":"Gennady"},{"family":"Middelton","given":"Lindsay"},{"family":"Yang","given":"Youfeng"},{"family":"Wei","given":"Ming-Hui"},{"family":"Pautler","given":"Stephen E."},{"family":"Peterson","given":"James"},{"family":"Stolle","given":"Catherine A."},{"family":"Zbar","given":"Berton"},{"family":"Merino","given":"Maria J."},{"family":"Schmidt","given":"Laura S."},{"family":"Pinto","given":"Peter A."},{"family":"Srinivasan","given":"Ramaprasad"},{"family":"Pacak","given":"Karel"},{"family":"Linehan","given":"W. Marston"}],"issued":{"date-parts":[["2012",12]]}}},{"id":688,"uris":["http://zotero.org/users/4775618/items/H3K5CDMX"],"uri":["http://zotero.org/users/4775618/items/H3K5CDMX"],"itemData":{"id":688,"type":"article-journal","title":"Early-Onset Renal Cell Carcinoma as a Novel Extraparaganglial Component of SDHB-Associated Heritable Paraganglioma","container-title":"American Journal of Human Genetics","page":"153-159","volume":"74","issue":"1","source":"PubMed Central","abstract":"Hereditary paraganglioma syndrome has recently been shown to be caused by germline heterozygous mutations in three (SDHB, SDHC, and SDHD) of the four genes that encode mitochondrial succinate dehydrogenase. Extraparaganglial component neoplasias have never been previously documented. In a population-based registry of symptomatic presentations of phaeochromocytoma/paraganglioma comprising 352 registrants, among whom 16 unrelated registrants were SDHB mutation positive, one family with germline SDHB mutation c.847-50delTCTC had two members with renal cell carcinoma (RCC), of solid histology, at ages 24 and 26 years. Both also had paraganglioma. A registry of early-onset RCCs revealed a family comprising a son with clear-cell RCC and his mother with a cardiac tumor, both with the germline SDHB R27X mutation. The cardiac tumor proved to be a paraganglioma. All RCCs showed loss of the remaining wild-type allele. Our observations suggest that germline SDHB mutations can predispose to early-onset kidney cancers in addition to paragangliomas and carry implications for medical surveillance.","URL":"https://www.ncbi.nlm.nih.gov/pmc/articles/PMC1181902/","ISSN":"0002-9297","note":"PMID: 14685938\nPMCID: PMC1181902","journalAbbreviation":"Am J Hum Genet","author":[{"family":"Vanharanta","given":"Sakari"},{"family":"Buchta","given":"Mary"},{"family":"McWhinney","given":"Sarah R."},{"family":"Virta","given":"Sanna K."},{"family":"Peçzkowska","given":"Mariola"},{"family":"Morrison","given":"Carl D."},{"family":"Lehtonen","given":"Rainer"},{"family":"Januszewicz","given":"Andrzej"},{"family":"Järvinen","given":"Heikki"},{"family":"Juhola","given":"Matti"},{"family":"Mecklin","given":"Jukka-Pekka"},{"family":"Pukkala","given":"Eero"},{"family":"Herva","given":"Riitta"},{"family":"Kiuru","given":"Maija"},{"family":"Nupponen","given":"Nina N."},{"family":"Aaltonen","given":"Lauri A."},{"family":"Neumann","given":"Hartmut P. H."},{"family":"Eng","given":"Charis"}],"issued":{"date-parts":[["2004",1]]},"accessed":{"date-parts":[["2018",9,1]]}}},{"id":1676,"uris":["http://zotero.org/users/4775618/items/TGME5N6U"],"uri":["http://zotero.org/users/4775618/items/TGME5N6U"],"itemData":{"id":1676,"type":"article-journal","title":"Succinate dehydrogenase-deficient renal cell carcinoma: detailed characterization of 11 tumors defining a unique subtype of renal cell carcinoma","container-title":"Modern Pathology","page":"80-94","volume":"28","issue":"1","source":"www-nature-com.ezp.lib.cam.ac.uk","abstract":"Patients with germline mutation of succinate dehydrogenase (SDH) subunit genes are prone to develop paraganglioma, gastrointestinal stromal tumor, and rarely renal cell carcinoma (RCC). However, SDH-deficient RCC is not yet widely recognized. We identified such tumors by distinctive morphology and confirmed absence of immunohistochemical staining for SDHB. Immunohistochemical features were evaluated using a panel of antibodies to renal tumor antigens. Targeted next-generation sequencing was performed on DNA extracted from paraffin-embedded tissue. Eleven tumors were identified from 10 patients, 22–72 years of age (median 40). Two patients had paragangliomas, 1 bilateral SDH-deficient RCC, and 1 contralateral oncocytoma. Grossly, tumors were tan or red–brown, 2–20 cm in diameter (median 4.25 cm). Fuhrman grade was 2 (n=10) or 3 (n=1). Stage was pT1a–pT2b. One patient developed widespread metastases 16 years after nephrectomy and died of disease 6 years later. All tumors were composed of uniform eosinophilic cells containing vacuoles or flocculent cytoplasmic inclusions. Architecture was primarily solid; entrapped renal tubules and intratumoral mast cells were common. By immunohistochemistry, tumor cells were negative for SDHB (11/11) and rarely SDHA (1/11). Labeling was uniformly positive for PAX8 and kidney-specific cadherin and absent for KIT, RCC, and carbonic anhydrase IX. Staining for broad-spectrum epithelial markers was often negative or focal (positive staining for AE1/AE3 in 4/10, CAM5.2 3/7, CK7 1/11, EMA 10/10). By sequencing, SDHB mutation and loss of the second allele were present in 5/6 tumors; the SDHA-deficient tumor showed no SDHB abnormality. SDH-deficient RCC is a unique neoplasm that is capable of progression, often harboring SDHB mutation. A monomorphic oncocytic renal tumor with solid architecture, cytoplasmic inclusions of flocculent material, and intratumoral mast cells should prompt evaluation of SDH status, as it may have implications for screening the patient and relatives. Negative immunohistochemistry for KIT and heterogeneous labeling for epithelial antigens are other supportive features.","URL":"http://www.nature.com/articles/modpathol201486","DOI":"10.1038/modpathol.2014.86","ISSN":"1530-0285","title-short":"Succinate dehydrogenase-deficient renal cell carcinoma","language":"en","author":[{"family":"Williamson","given":"Sean R."},{"family":"Eble","given":"John N."},{"family":"Amin","given":"Mahul B."},{"family":"Gupta","given":"Nilesh S."},{"family":"Smith","given":"Steven C."},{"family":"Sholl","given":"Lynette M."},{"family":"Montironi","given":"Rodolfo"},{"family":"Hirsch","given":"Michelle S."},{"family":"Hornick","given":"Jason L."}],"issued":{"date-parts":[["2015",1]]},"accessed":{"date-parts":[["2019",3,3]]}}}],"schema":"https://github.com/citation-style-language/schema/raw/master/csl-citation.json"}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83,88–92</w:t>
      </w:r>
      <w:r w:rsidR="00E8321B">
        <w:rPr>
          <w:rFonts w:ascii="Calibri" w:hAnsi="Calibri" w:cs="Calibri"/>
          <w:color w:val="000000" w:themeColor="text1"/>
          <w:sz w:val="22"/>
          <w:szCs w:val="22"/>
        </w:rPr>
        <w:fldChar w:fldCharType="end"/>
      </w:r>
      <w:r w:rsidR="00B310DE" w:rsidRPr="00B946E4">
        <w:rPr>
          <w:rFonts w:ascii="Calibri" w:hAnsi="Calibri" w:cs="Calibri"/>
          <w:color w:val="000000" w:themeColor="text1"/>
          <w:sz w:val="22"/>
          <w:szCs w:val="22"/>
        </w:rPr>
        <w:t xml:space="preserve">. </w:t>
      </w:r>
      <w:r w:rsidR="009F771F" w:rsidRPr="00D637BA">
        <w:rPr>
          <w:rFonts w:ascii="Calibri" w:hAnsi="Calibri" w:cs="Calibri"/>
          <w:color w:val="000000" w:themeColor="text1"/>
          <w:sz w:val="22"/>
          <w:szCs w:val="22"/>
        </w:rPr>
        <w:t xml:space="preserve">Moreover, </w:t>
      </w:r>
      <w:r w:rsidR="009F771F" w:rsidRPr="00B946E4">
        <w:rPr>
          <w:rFonts w:ascii="Calibri" w:hAnsi="Calibri" w:cs="Calibri"/>
          <w:color w:val="000000" w:themeColor="text1"/>
          <w:sz w:val="22"/>
          <w:szCs w:val="22"/>
        </w:rPr>
        <w:t xml:space="preserve">increased expression of </w:t>
      </w:r>
      <w:r w:rsidR="009F771F" w:rsidRPr="00B946E4">
        <w:rPr>
          <w:rFonts w:ascii="Calibri" w:hAnsi="Calibri" w:cs="Calibri"/>
          <w:i/>
          <w:color w:val="000000" w:themeColor="text1"/>
          <w:sz w:val="22"/>
          <w:szCs w:val="22"/>
        </w:rPr>
        <w:t>SDHB</w:t>
      </w:r>
      <w:r w:rsidR="009F771F" w:rsidRPr="00B946E4">
        <w:rPr>
          <w:rFonts w:ascii="Calibri" w:hAnsi="Calibri" w:cs="Calibri"/>
          <w:color w:val="000000" w:themeColor="text1"/>
          <w:sz w:val="22"/>
          <w:szCs w:val="22"/>
        </w:rPr>
        <w:t xml:space="preserve">, </w:t>
      </w:r>
      <w:r w:rsidR="009F771F" w:rsidRPr="00B946E4">
        <w:rPr>
          <w:rFonts w:ascii="Calibri" w:hAnsi="Calibri" w:cs="Calibri"/>
          <w:i/>
          <w:color w:val="000000" w:themeColor="text1"/>
          <w:sz w:val="22"/>
          <w:szCs w:val="22"/>
        </w:rPr>
        <w:t xml:space="preserve">SDHC </w:t>
      </w:r>
      <w:r w:rsidR="009F771F" w:rsidRPr="00B946E4">
        <w:rPr>
          <w:rFonts w:ascii="Calibri" w:hAnsi="Calibri" w:cs="Calibri"/>
          <w:color w:val="000000" w:themeColor="text1"/>
          <w:sz w:val="22"/>
          <w:szCs w:val="22"/>
        </w:rPr>
        <w:t xml:space="preserve">and </w:t>
      </w:r>
      <w:r w:rsidR="009F771F" w:rsidRPr="00B946E4">
        <w:rPr>
          <w:rFonts w:ascii="Calibri" w:hAnsi="Calibri" w:cs="Calibri"/>
          <w:i/>
          <w:color w:val="000000" w:themeColor="text1"/>
          <w:sz w:val="22"/>
          <w:szCs w:val="22"/>
        </w:rPr>
        <w:t>SDHD</w:t>
      </w:r>
      <w:r w:rsidR="009F771F" w:rsidRPr="00B946E4">
        <w:rPr>
          <w:rFonts w:ascii="Calibri" w:hAnsi="Calibri" w:cs="Calibri"/>
          <w:color w:val="000000" w:themeColor="text1"/>
          <w:sz w:val="22"/>
          <w:szCs w:val="22"/>
        </w:rPr>
        <w:t xml:space="preserve"> correlate with better survival outcomes in patients with ccRCC</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{"citationID":"a2m2ts2pv8q","properties":{"formattedCitation":"\\super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10</w:t>
      </w:r>
      <w:r w:rsidR="00E8321B">
        <w:rPr>
          <w:rFonts w:ascii="Calibri" w:hAnsi="Calibri" w:cs="Calibri"/>
          <w:color w:val="000000" w:themeColor="text1"/>
          <w:sz w:val="22"/>
          <w:szCs w:val="22"/>
        </w:rPr>
        <w:fldChar w:fldCharType="end"/>
      </w:r>
      <w:r w:rsidR="009F771F" w:rsidRPr="00B946E4">
        <w:rPr>
          <w:rFonts w:ascii="Calibri" w:hAnsi="Calibri" w:cs="Calibri"/>
          <w:i/>
          <w:color w:val="000000" w:themeColor="text1"/>
          <w:sz w:val="22"/>
          <w:szCs w:val="22"/>
        </w:rPr>
        <w:t xml:space="preserve">. </w:t>
      </w:r>
      <w:r w:rsidR="000900C0" w:rsidRPr="00D637BA">
        <w:rPr>
          <w:rFonts w:ascii="Calibri" w:hAnsi="Calibri" w:cs="Calibri"/>
          <w:color w:val="000000" w:themeColor="text1"/>
          <w:sz w:val="22"/>
          <w:szCs w:val="22"/>
        </w:rPr>
        <w:t>LOH</w:t>
      </w:r>
      <w:r w:rsidRPr="00D637BA">
        <w:rPr>
          <w:rFonts w:ascii="Calibri" w:hAnsi="Calibri" w:cs="Calibri"/>
          <w:color w:val="000000" w:themeColor="text1"/>
          <w:sz w:val="22"/>
          <w:szCs w:val="22"/>
        </w:rPr>
        <w:t xml:space="preserve"> in patients with heterozygous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 xml:space="preserve"> germline mutations predisposes to HLRCC</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{"citationID":"a8tljgp0r","properties":{"formattedCitation":"\\super 16,93,94\\nosupersub{}","plainCitation":"16,93,94","noteIndex":0},"citationItems":[{"id":1335,"uris":["http://zotero.org/users/4775618/items/ZMYHFK7G"],"uri":["http://zotero.org/users/4775618/items/ZMYHFK7G"],"itemData":{"id":1335,"type":"article-journal","title":"Genetic and functional analyses of FH mutations in multiple cutaneous and uterine leiomyomatosis, hereditary leiomyomatosis and renal cancer, and fumarate hydratase deficiency","container-title":"Human Molecular Genetics","page":"1241-1252","volume":"12","issue":"11","source":"PubMed","abstract":"Germline mutations of the fumarate hydratase (FH, fumarase) gene are found in the recessive FH deficiency syndrome and in dominantly inherited susceptibility to multiple cutaneous and uterine leiomyomatosis (MCUL). We have previously reported a number of germline FH mutations from MCUL patients. In this study, we report additional FH mutations in MCUL and FH deficiency patients. Mutations can readily be found in about 75% of MCUL cases and most cases of FH deficiency. Some of the more common FH mutations are probably derived from founding individuals. Protein-truncating FH mutations are functionally null alleles. Disease-associated missense FH changes map to highly conserved residues, mostly in or around the enzyme's active site or activation site; we predict that these mutations severely compromise enzyme function. The mutation spectra in FH deficiency and MCUL are similar, although in the latter mutations tend to occur earlier in the gene and, perhaps, are more likely to result in a truncated or absent protein. We have found that not all mutation-carrier parents of FH deficiency children have a strong predisposition to leiomyomata. We have confirmed that renal carcinoma is sometimes part of MCUL, as part of the variant hereditary leiomyomatosis and renal cancer (HLRCC) syndrome, and have shown that these cancers may have either type II papillary or collecting duct morphology. We have found no association between the type or site of FH mutation and any aspect of the MCUL phenotype. Biochemical assay for reduced FH functional activity in the germline of MCUL patients can indicate carriers of FH mutations with high sensitivity and specificity, and can detect reduced FH activity in some patients without detectable FH mutations. We conclude that MCUL is probably a genetically homogeneous tumour predisposition syndrome, primarily resulting from absent or severely reduced fumarase activity, with currently unknown functional consequences for the smooth muscle or kidney cell.","ISSN":"0964-6906","note":"PMID: 12761039","journalAbbreviation":"Hum. Mol. Genet.","language":"eng","author":[{"family":"Alam","given":"N. A."},{"family":"Rowan","given":"A. J."},{"family":"Wortham","given":"N. C."},{"family":"Pollard","given":"P. J."},{"family":"Mitchell","given":"M."},{"family":"Tyrer","given":"J. P."},{"family":"Barclay","given":"E."},{"family":"Calonje","given":"E."},{"family":"Manek","given":"S."},{"family":"Adams","given":"S. J."},{"family":"Bowers","given":"P. W."},{"family":"Burrows","given":"N. P."},{"family":"Charles-Holmes","given":"R."},{"family":"Cook","given":"L. J."},{"family":"Daly","given":"B. M."},{"family":"Ford","given":"G. P."},{"family":"Fuller","given":"L. C."},{"family":"Hadfield-Jones","given":"S. E."},{"family":"Hardwick","given":"N."},{"family":"Highet","given":"A. S."},{"family":"Keefe","given":"M."},{"family":"MacDonald-Hull","given":"S. P."},{"family":"Potts","given":"E. D. A."},{"family":"Crone","given":"M."},{"family":"Wilkinson","given":"S."},{"family":"Camacho-Martinez","given":"F."},{"family":"Jablonska","given":"S."},{"family":"Ratnavel","given":"R."},{"family":"MacDonald","given":"A."},{"family":"Mann","given":"R. J."},{"family":"Grice","given":"K."},{"family":"Guillet","given":"G."},{"family":"Lewis-Jones","given":"M. S."},{"family":"McGrath","given":"H."},{"family":"Seukeran","given":"D. C."},{"family":"Morrison","given":"P. J."},{"family":"Fleming","given":"S."},{"family":"Rahman","given":"S."},{"family":"Kelsell","given":"D."},{"family":"Leigh","given":"I."},{"family":"Olpin","given":"S."},{"family":"Tomlinson","given":"I. P. M."}],"issued":{"date-parts":[["2003",6,1]]}}},{"id":1339,"uris":["http://zotero.org/users/4775618/items/VQK37QRL"],"uri":["http://zotero.org/users/4775618/items/VQK37QRL"],"itemData":{"id":1339,"type":"article-journal","title":"Increased risk of cancer in patients with fumarate hydratase germline mutation","container-title":"Journal of Medical Genetics","page":"523-526","volume":"43","issue":"6","source":"PubMed Central","abstract":"Hereditary leiomyomatosis and renal cell cancer (HLRCC) is a tumour predisposition syndrome caused by heterozygous germline mutations in the fumarate hydratase (FH) gene. The condition is characterised by predisposition to benign leiomyomas of the skin and the uterus, renal cell carcinoma (RCC), and uterine leiomyosarcoma (ULMS). To comprehensively examine the cancer risk and tumour spectrum in Finnish FH mutation positive families, genealogical and cancer data were obtained from 868 individuals. The cohort analysis of the standardised incidence ratios (SIR) was analysed from 256 individuals. FH mutation status was analysed from all available individuals (n = 98). To study tumour spectrum in FH mutation carriers, loss of the wild type allele was analysed from all available tumours (n = 22). The SIR was 6.5 for RCC and 71 for ULMS. The overall cancer risk was statistically significantly increased in the age group of 15–29 years, consistent with features of cancer predisposition families in general. FH germline mutation was found in 55% of studied individuals. Most RCC and ULMS tumours displayed biallelic inactivation of FH, as did breast and bladder cancers. In addition, several benign tumours including atypical uterine leiomyomas, kidney cysts, and adrenal gland adenomas were observed. The present study confirms with calculated risk ratios the association of early onset RCC and ULMS with FH germline mutations in Finns. Some evidence for association of breast and bladder carcinoma with HLRCC was obtained. The data enlighten the organ specific malignant potential of HLRCC.","URL":"https://www.ncbi.nlm.nih.gov/pmc/articles/PMC2564537/","DOI":"10.1136/jmg.2005.036400","ISSN":"0022-2593","note":"PMID: 16155190\nPMCID: PMC2564537","journalAbbreviation":"J Med Genet","author":[{"family":"Lehtonen","given":"H J"},{"family":"Kiuru","given":"M"},{"family":"Ylisaukko‐oja","given":"S K"},{"family":"Salovaara","given":"R"},{"family":"Herva","given":"R"},{"family":"Koivisto","given":"P A"},{"family":"Vierimaa","given":"O"},{"family":"Aittomäki","given":"K"},{"family":"Pukkala","given":"E"},{"family":"Launonen","given":"V"},{"family":"Aaltonen","given":"L A"}],"issued":{"date-parts":[["2006",6]]},"accessed":{"date-parts":[["2019",2,23]]}}},{"id":714,"uris":["http://zotero.org/users/4775618/items/G64B7NRG"],"uri":["http://zotero.org/users/4775618/items/G64B7NRG"],"itemData":{"id":714,"type":"article-journal","title":"Germline mutations in FH predispose to dominantly inherited uterine fibroids, skin leiomyomata and papillary renal cell cancer","container-title":"Nature Genetics","page":"406-410","volume":"30","issue":"4","source":"Crossref","URL":"http://www.nature.com/articles/ng849","DOI":"10.1038/ng849","ISSN":"1061-4036, 1546-1718","language":"en","author":[{"literal":"The Multiple Leiomyoma Consortium"}],"issued":{"date-parts":[["2002",4]]},"accessed":{"date-parts":[["2018",9,2]]}}}],"schema":"https://github.com/citation-style-language/schema/raw/master/csl-citation.json"}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16,93,94</w:t>
      </w:r>
      <w:r w:rsidR="00E8321B">
        <w:rPr>
          <w:rFonts w:ascii="Calibri" w:hAnsi="Calibri" w:cs="Calibri"/>
          <w:color w:val="000000" w:themeColor="text1"/>
          <w:sz w:val="22"/>
          <w:szCs w:val="22"/>
        </w:rPr>
        <w:fldChar w:fldCharType="end"/>
      </w:r>
      <w:r w:rsidR="00A922C3" w:rsidRPr="00D637BA">
        <w:rPr>
          <w:rFonts w:ascii="Calibri" w:hAnsi="Calibri" w:cs="Calibri"/>
          <w:b/>
          <w:color w:val="0000FF"/>
          <w:sz w:val="22"/>
          <w:szCs w:val="22"/>
        </w:rPr>
        <w:t xml:space="preserve"> </w:t>
      </w:r>
      <w:r w:rsidR="007C3E27">
        <w:rPr>
          <w:rFonts w:ascii="Calibri" w:hAnsi="Calibri" w:cs="Calibri"/>
          <w:color w:val="000000" w:themeColor="text1"/>
          <w:sz w:val="22"/>
          <w:szCs w:val="22"/>
        </w:rPr>
        <w:t>which is associated with</w:t>
      </w:r>
      <w:r w:rsidRPr="00D637BA">
        <w:rPr>
          <w:rFonts w:ascii="Calibri" w:hAnsi="Calibri" w:cs="Calibri"/>
          <w:color w:val="000000" w:themeColor="text1"/>
          <w:sz w:val="22"/>
          <w:szCs w:val="22"/>
        </w:rPr>
        <w:t xml:space="preserve"> a form of pRCC</w:t>
      </w:r>
      <w:r w:rsidR="00D907A2" w:rsidRPr="00D637BA">
        <w:rPr>
          <w:rFonts w:ascii="Calibri" w:hAnsi="Calibri" w:cs="Calibri"/>
          <w:color w:val="000000" w:themeColor="text1"/>
          <w:sz w:val="22"/>
          <w:szCs w:val="22"/>
        </w:rPr>
        <w:t xml:space="preserve"> (type 2</w:t>
      </w:r>
      <w:r w:rsidR="009E44D7">
        <w:rPr>
          <w:rFonts w:ascii="Calibri" w:hAnsi="Calibri" w:cs="Calibri"/>
          <w:color w:val="000000" w:themeColor="text1"/>
          <w:sz w:val="22"/>
          <w:szCs w:val="22"/>
        </w:rPr>
        <w:t xml:space="preserve"> pRCC</w:t>
      </w:r>
      <w:r w:rsidR="00D907A2" w:rsidRPr="00D637BA">
        <w:rPr>
          <w:rFonts w:ascii="Calibri" w:hAnsi="Calibri" w:cs="Calibri"/>
          <w:color w:val="000000" w:themeColor="text1"/>
          <w:sz w:val="22"/>
          <w:szCs w:val="22"/>
        </w:rPr>
        <w:t>)</w:t>
      </w:r>
      <w:r w:rsidR="00712C72">
        <w:rPr>
          <w:rFonts w:ascii="Calibri" w:hAnsi="Calibri" w:cs="Calibri"/>
          <w:color w:val="000000" w:themeColor="text1"/>
          <w:sz w:val="22"/>
          <w:szCs w:val="22"/>
        </w:rPr>
        <w:t xml:space="preserve"> in up to 18% of HLRCC patients</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{"citationID":"a99crd4kpr","properties":{"formattedCitation":"\\super 95,96\\nosupersub{}","plainCitation":"95,96","noteIndex":0},"citationItems":[{"id":343,"uris":["http://zotero.org/users/4775618/items/PBT2YC9V"],"uri":["http://zotero.org/users/4775618/items/PBT2YC9V"],"itemData":{"id":343,"type":"article-journal","title":"Molecular pathways: Fumarate hydratase-deficient kidney cancer--targeting the Warburg effect in cancer","container-title":"Clinical Cancer Research: An Official Journal of the American Association for Cancer Research","page":"3345-3352","volume":"19","issue":"13","source":"PubMed","abstract":"Hereditary leiomyomatosis and renal cell carcinoma (HLRCC) is a hereditary cancer syndrome in which affected individuals are at risk for development of cutaneous and uterine leiomyomas and an aggressive form of type II papillary kidney cancer. HLRCC is characterized by germline mutation of the tricarboxylic acid (TCA) cycle enzyme, fumarate hydratase (FH). FH-deficient kidney cancer is characterized by impaired oxidative phosphorylation and a metabolic shift to aerobic glycolysis, a form of metabolic reprogramming referred to as the Warburg effect. Increased glycolysis generates ATP needed for increased cell proliferation. In FH-deficient kidney cancer, levels of AMP-activated protein kinase (AMPK), a cellular energy sensor, are decreased resulting in diminished p53 levels, decreased expression of the iron importer, DMT1, leading to low cellular iron levels, and to enhanced fatty acid synthesis by diminishing phosphorylation of acetyl CoA carboxylase, a rate-limiting step for fatty acid synthesis. Increased fumarate and decreased iron levels in FH-deficient kidney cancer cells inactivate prolyl hydroxylases, leading to stabilization of hypoxia-inducible factor (HIF)-1α and increased expression of genes such as VEGF and glucose transporter 1 (GLUT1) to provide fuel needed for rapid growth demands. Several therapeutic approaches for targeting the metabolic basis of FH-deficient kidney cancer are under development or are being evaluated in clinical trials, including the use of agents such as metformin, which would reverse the inactivation of AMPK, approaches to inhibit glucose transport, lactate dehydrogenase A (LDHA), the antioxidant response pathway, the heme oxygenase pathway, and approaches to target the tumor vasculature and glucose transport with agents such as bevacizumab and erlotinib. These same types of metabolic shifts, to aerobic glycolysis with decreased oxidative phosphorylation, have been found in a wide variety of other cancer types. Targeting the metabolic basis of a rare cancer such as FH-deficient kidney cancer will hopefully provide insights into the development of effective forms of therapies for other, more common forms of cancer.","DOI":"10.1158/1078-0432.CCR-13-0304","ISSN":"1078-0432","note":"PMID: 23633457\nPMCID: PMC4447120","title-short":"Molecular pathways","journalAbbreviation":"Clin. Cancer Res.","language":"eng","author":[{"family":"Linehan","given":"W. Marston"},{"family":"Rouault","given":"Tracey A."}],"issued":{"date-parts":[["2013",7,1]]}}},{"id":1931,"uris":["http://zotero.org/users/4775618/items/5JRY88DA"],"uri":["http://zotero.org/users/4775618/items/5JRY88DA"],"itemData":{"id":1931,"type":"article-journal","title":"Hereditary leiomyomatosis and renal cell carcinoma","container-title":"International Journal of Nephrology and Renovascular Disease","page":"253-260","volume":"7","source":"PubMed Central","abstract":"Hereditary leiomyomatosis and renal cell carcinoma (HLRCC) is an autosomal-dominant hereditary syndrome, which is caused by germline mutations in the FH gene that encodes the tricarboxylic acid cycle enzyme fumarate hydratase (FH). HLRCC patients are predisposed to develop cutaneous leiomyomas, multiple, symptomatic uterine fibroids in young women resulting in early hysterectomies, and early onset renal tumors with a type 2 papillary morphology that can progress and metastasize, even when small. Since HLRCC-associated renal tumors can be more aggressive than renal tumors in other hereditary renal cancer syndromes, caution is warranted, and surgical intervention is recommended rather than active surveillance. At-risk members of an HLRCC family who test positive for the familial germline FH mutation should undergo surveillance by annual magnetic resonance imaging from the age of 8 years. Biochemical studies have shown that FH-deficient kidney cancer is characterized by a metabolic shift to aerobic glycolysis. It is hoped that through ongoing clinical trials evaluating targeted molecular therapies, an effective form of treatment for HLRCC-associated kidney cancer will be developed that will offer an improved prognosis for individuals affected with HLRCC-associated kidney cancer.","URL":"https://www.ncbi.nlm.nih.gov/pmc/articles/PMC4074185/","DOI":"10.2147/IJNRD.S42097","ISSN":"1178-7058","note":"PMID: 25018647\nPMCID: PMC4074185","journalAbbreviation":"Int J Nephrol Renovasc Dis","author":[{"family":"Schmidt","given":"Laura S"},{"family":"Linehan","given":"W Marston"}],"issued":{"date-parts":[["2014",6,20]]},"accessed":{"date-parts":[["2019",6,19]]}}}],"schema":"https://github.com/citation-style-language/schema/raw/master/csl-citation.json"}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95,96</w:t>
      </w:r>
      <w:r w:rsidR="00E8321B">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006651F7">
        <w:rPr>
          <w:rFonts w:ascii="Calibri" w:hAnsi="Calibri" w:cs="Calibri"/>
          <w:color w:val="000000" w:themeColor="text1"/>
          <w:sz w:val="22"/>
          <w:szCs w:val="22"/>
        </w:rPr>
        <w:t xml:space="preserve"> HLRCC-associated </w:t>
      </w:r>
      <w:r w:rsidR="00712C72">
        <w:rPr>
          <w:rFonts w:ascii="Calibri" w:hAnsi="Calibri" w:cs="Calibri"/>
          <w:color w:val="000000" w:themeColor="text1"/>
          <w:sz w:val="22"/>
          <w:szCs w:val="22"/>
        </w:rPr>
        <w:t>renal tumours are</w:t>
      </w:r>
      <w:r w:rsidR="007C3E27">
        <w:rPr>
          <w:rFonts w:ascii="Calibri" w:hAnsi="Calibri" w:cs="Calibri"/>
          <w:color w:val="000000" w:themeColor="text1"/>
          <w:sz w:val="22"/>
          <w:szCs w:val="22"/>
        </w:rPr>
        <w:t xml:space="preserve"> </w:t>
      </w:r>
      <w:r w:rsidR="00064646">
        <w:rPr>
          <w:rFonts w:ascii="Calibri" w:hAnsi="Calibri" w:cs="Calibri"/>
          <w:color w:val="000000" w:themeColor="text1"/>
          <w:sz w:val="22"/>
          <w:szCs w:val="22"/>
        </w:rPr>
        <w:t xml:space="preserve">highly </w:t>
      </w:r>
      <w:r w:rsidR="007C3E27">
        <w:rPr>
          <w:rFonts w:ascii="Calibri" w:hAnsi="Calibri" w:cs="Calibri"/>
          <w:color w:val="000000" w:themeColor="text1"/>
          <w:sz w:val="22"/>
          <w:szCs w:val="22"/>
        </w:rPr>
        <w:t>aggressive with an early onset (</w:t>
      </w:r>
      <w:r w:rsidR="00F37832">
        <w:rPr>
          <w:rFonts w:ascii="Calibri" w:hAnsi="Calibri" w:cs="Calibri"/>
          <w:color w:val="000000" w:themeColor="text1"/>
          <w:sz w:val="22"/>
          <w:szCs w:val="22"/>
        </w:rPr>
        <w:t xml:space="preserve">mean </w:t>
      </w:r>
      <w:r w:rsidR="007C3E27">
        <w:rPr>
          <w:rFonts w:ascii="Calibri" w:hAnsi="Calibri" w:cs="Calibri"/>
          <w:color w:val="000000" w:themeColor="text1"/>
          <w:sz w:val="22"/>
          <w:szCs w:val="22"/>
        </w:rPr>
        <w:t>10-44years)</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{"citationID":"a2ncsju49sp","properties":{"formattedCitation":"\\super 96,97\\nosupersub{}","plainCitation":"96,97","noteIndex":0},"citationItems":[{"id":1931,"uris":["http://zotero.org/users/4775618/items/5JRY88DA"],"uri":["http://zotero.org/users/4775618/items/5JRY88DA"],"itemData":{"id":1931,"type":"article-journal","title":"Hereditary leiomyomatosis and renal cell carcinoma","container-title":"International Journal of Nephrology and Renovascular Disease","page":"253-260","volume":"7","source":"PubMed Central","abstract":"Hereditary leiomyomatosis and renal cell carcinoma (HLRCC) is an autosomal-dominant hereditary syndrome, which is caused by germline mutations in the FH gene that encodes the tricarboxylic acid cycle enzyme fumarate hydratase (FH). HLRCC patients are predisposed to develop cutaneous leiomyomas, multiple, symptomatic uterine fibroids in young women resulting in early hysterectomies, and early onset renal tumors with a type 2 papillary morphology that can progress and metastasize, even when small. Since HLRCC-associated renal tumors can be more aggressive than renal tumors in other hereditary renal cancer syndromes, caution is warranted, and surgical intervention is recommended rather than active surveillance. At-risk members of an HLRCC family who test positive for the familial germline FH mutation should undergo surveillance by annual magnetic resonance imaging from the age of 8 years. Biochemical studies have shown that FH-deficient kidney cancer is characterized by a metabolic shift to aerobic glycolysis. It is hoped that through ongoing clinical trials evaluating targeted molecular therapies, an effective form of treatment for HLRCC-associated kidney cancer will be developed that will offer an improved prognosis for individuals affected with HLRCC-associated kidney cancer.","URL":"https://www.ncbi.nlm.nih.gov/pmc/articles/PMC4074185/","DOI":"10.2147/IJNRD.S42097","ISSN":"1178-7058","note":"PMID: 25018647\nPMCID: PMC4074185","journalAbbreviation":"Int J Nephrol Renovasc Dis","author":[{"family":"Schmidt","given":"Laura S"},{"family":"Linehan","given":"W Marston"}],"issued":{"date-parts":[["2014",6,20]]},"accessed":{"date-parts":[["2019",6,19]]}}},{"id":1149,"uris":["http://zotero.org/users/4775618/items/DR37R26G"],"uri":["http://zotero.org/users/4775618/items/DR37R26G"],"itemData":{"id":1149,"type":"article-journal","title":"Genetic predisposition to kidney cancer","container-title":"Seminars in oncology","page":"566-574","volume":"43","issue":"5","source":"PubMed Central","abstract":"Kidney cancer is not a single disease but is made up of a number of different types of cancer classified by histology that are disparate in presentation, clinical course, and genetic basis. Studies of families with inherited renal cell carcinoma (RCC) have provided the basis for our understanding of the causative genes and altered metabolic pathways in renal cancer with different histologies. Von Hippel-Lindau disease was the first renal cancer disorder with a defined genetic basis. Over the next two decades, the genes responsible for a number of other inherited renal cancer syndromes including hereditary papillary renal carcinoma, Birt-Hogg-Dubé syndrome, hereditary leiomyomatosis and renal cell carcinoma, and succinate dehydrogenase–associated renal cancer were identified. Recently, renal cell carcinoma has been confirmed as part of the clinical phenotype in individuals from families with BAP1-associated tumor predisposition syndrome and MiTF-associated cancer syndrome. Here we summarize the clinical characteristics of and causative genes for these and other inherited RCC syndromes, the pathways that are dysregulated when the inherited genes are mutated, and recommended clinical management of patients with these inherited renal cancer syndromes.","URL":"https://www.ncbi.nlm.nih.gov/pmc/articles/PMC5137802/","DOI":"10.1053/j.seminoncol.2016.09.001","ISSN":"0093-7754","note":"PMID: 27899189\nPMCID: PMC5137802","journalAbbreviation":"Semin Oncol","author":[{"family":"Schmidt","given":"Laura S."},{"family":"Linehan","given":"W. Marston"}],"issued":{"date-parts":[["2016",10]]},"accessed":{"date-parts":[["2019",2,17]]}}}],"schema":"https://github.com/citation-style-language/schema/raw/master/csl-citation.json"}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96,97</w:t>
      </w:r>
      <w:r w:rsidR="00E8321B">
        <w:rPr>
          <w:rFonts w:ascii="Calibri" w:hAnsi="Calibri" w:cs="Calibri"/>
          <w:color w:val="000000" w:themeColor="text1"/>
          <w:sz w:val="22"/>
          <w:szCs w:val="22"/>
        </w:rPr>
        <w:fldChar w:fldCharType="end"/>
      </w:r>
      <w:r w:rsidR="000167D7">
        <w:rPr>
          <w:rFonts w:ascii="Calibri" w:hAnsi="Calibri" w:cs="Calibri"/>
          <w:i/>
          <w:color w:val="000000" w:themeColor="text1"/>
          <w:sz w:val="22"/>
          <w:szCs w:val="22"/>
        </w:rPr>
        <w:t xml:space="preserve"> </w:t>
      </w:r>
      <w:r w:rsidR="00486B78">
        <w:rPr>
          <w:rFonts w:ascii="Calibri" w:hAnsi="Calibri" w:cs="Calibri"/>
          <w:color w:val="000000" w:themeColor="text1"/>
          <w:sz w:val="22"/>
          <w:szCs w:val="22"/>
        </w:rPr>
        <w:t>Interestingly, m</w:t>
      </w:r>
      <w:r w:rsidR="00486B78" w:rsidRPr="00D637BA">
        <w:rPr>
          <w:rFonts w:ascii="Calibri" w:hAnsi="Calibri" w:cs="Calibri"/>
          <w:color w:val="000000" w:themeColor="text1"/>
          <w:sz w:val="22"/>
          <w:szCs w:val="22"/>
        </w:rPr>
        <w:t>utations in</w:t>
      </w:r>
      <w:r w:rsidR="00486B78">
        <w:rPr>
          <w:rFonts w:ascii="Calibri" w:hAnsi="Calibri" w:cs="Calibri"/>
          <w:i/>
          <w:color w:val="000000" w:themeColor="text1"/>
          <w:sz w:val="22"/>
          <w:szCs w:val="22"/>
        </w:rPr>
        <w:t xml:space="preserve"> </w:t>
      </w:r>
      <w:r w:rsidR="00486B78" w:rsidRPr="00B946E4">
        <w:rPr>
          <w:rFonts w:ascii="Calibri" w:hAnsi="Calibri" w:cs="Calibri"/>
          <w:i/>
          <w:color w:val="000000" w:themeColor="text1"/>
          <w:sz w:val="22"/>
          <w:szCs w:val="22"/>
        </w:rPr>
        <w:t>SDH</w:t>
      </w:r>
      <w:r w:rsidR="00486B78" w:rsidRPr="00B946E4">
        <w:rPr>
          <w:rFonts w:ascii="Calibri" w:hAnsi="Calibri" w:cs="Calibri"/>
          <w:color w:val="000000" w:themeColor="text1"/>
          <w:sz w:val="22"/>
          <w:szCs w:val="22"/>
        </w:rPr>
        <w:t xml:space="preserve"> or </w:t>
      </w:r>
      <w:r w:rsidR="00486B78" w:rsidRPr="00B946E4">
        <w:rPr>
          <w:rFonts w:ascii="Calibri" w:hAnsi="Calibri" w:cs="Calibri"/>
          <w:i/>
          <w:color w:val="000000" w:themeColor="text1"/>
          <w:sz w:val="22"/>
          <w:szCs w:val="22"/>
        </w:rPr>
        <w:t>FH</w:t>
      </w:r>
      <w:r w:rsidR="00486B78" w:rsidRPr="00B946E4">
        <w:rPr>
          <w:rFonts w:ascii="Calibri" w:hAnsi="Calibri" w:cs="Calibri"/>
          <w:color w:val="000000" w:themeColor="text1"/>
          <w:sz w:val="22"/>
          <w:szCs w:val="22"/>
        </w:rPr>
        <w:t xml:space="preserve"> </w:t>
      </w:r>
      <w:r w:rsidR="00486B78">
        <w:rPr>
          <w:rFonts w:ascii="Calibri" w:hAnsi="Calibri" w:cs="Calibri"/>
          <w:color w:val="000000" w:themeColor="text1"/>
          <w:sz w:val="22"/>
          <w:szCs w:val="22"/>
        </w:rPr>
        <w:t>both converge on the predisposition</w:t>
      </w:r>
      <w:r w:rsidR="00486B78" w:rsidRPr="00D637BA">
        <w:rPr>
          <w:rFonts w:ascii="Calibri" w:hAnsi="Calibri" w:cs="Calibri"/>
          <w:color w:val="000000" w:themeColor="text1"/>
          <w:sz w:val="22"/>
          <w:szCs w:val="22"/>
        </w:rPr>
        <w:t xml:space="preserve"> </w:t>
      </w:r>
      <w:r w:rsidR="005C3B3F">
        <w:rPr>
          <w:rFonts w:ascii="Calibri" w:hAnsi="Calibri" w:cs="Calibri"/>
          <w:color w:val="000000" w:themeColor="text1"/>
          <w:sz w:val="22"/>
          <w:szCs w:val="22"/>
        </w:rPr>
        <w:t>to</w:t>
      </w:r>
      <w:r w:rsidR="00486B78" w:rsidRPr="00D637BA">
        <w:rPr>
          <w:rFonts w:ascii="Calibri" w:hAnsi="Calibri" w:cs="Calibri"/>
          <w:color w:val="000000" w:themeColor="text1"/>
          <w:sz w:val="22"/>
          <w:szCs w:val="22"/>
        </w:rPr>
        <w:t xml:space="preserve"> the development of PGL</w:t>
      </w:r>
      <w:r w:rsidR="00486B78" w:rsidRPr="00B946E4">
        <w:rPr>
          <w:rFonts w:ascii="Calibri" w:hAnsi="Calibri" w:cs="Calibri"/>
          <w:color w:val="000000" w:themeColor="text1"/>
          <w:sz w:val="22"/>
          <w:szCs w:val="22"/>
        </w:rPr>
        <w:t xml:space="preserve"> and </w:t>
      </w:r>
      <w:r w:rsidR="00486B78" w:rsidRPr="00D637BA">
        <w:rPr>
          <w:rFonts w:ascii="Calibri" w:hAnsi="Calibri" w:cs="Calibri"/>
          <w:color w:val="000000" w:themeColor="text1"/>
          <w:sz w:val="22"/>
          <w:szCs w:val="22"/>
        </w:rPr>
        <w:t>PCC</w:t>
      </w:r>
      <w:r w:rsidR="00486B78">
        <w:rPr>
          <w:rFonts w:ascii="Calibri" w:hAnsi="Calibri" w:cs="Calibri"/>
          <w:color w:val="000000" w:themeColor="text1"/>
          <w:sz w:val="22"/>
          <w:szCs w:val="22"/>
        </w:rPr>
        <w:fldChar w:fldCharType="begin"/>
      </w:r>
      <w:r w:rsidR="00486B78">
        <w:rPr>
          <w:rFonts w:ascii="Calibri" w:hAnsi="Calibri" w:cs="Calibri"/>
          <w:color w:val="000000" w:themeColor="text1"/>
          <w:sz w:val="22"/>
          <w:szCs w:val="22"/>
        </w:rPr>
        <w:instrText xml:space="preserve"> ADDIN ZOTERO_ITEM CSL_CITATION {"citationID":"a497qp5gja","properties":{"formattedCitation":"\\super 69,82\\uc0\\u8211{}85\\nosupersub{}","plainCitation":"69,82–85","noteIndex":0},"citationItems":[{"id":619,"uris":["http://zotero.org/users/4775618/items/CHQEENK9"],"uri":["http://zotero.org/users/4775618/items/CHQEENK9"],"itemData":{"id":619,"type":"article-journal","title":"Germline mutations in FH confer predisposition to malignant pheochromocytomas and paragangliomas","container-title":"Human Molecular Genetics","page":"2440-2446","volume":"23","issue":"9","source":"PubMed","abstract":"Malignant pheochromocytoma (PCC) and paraganglioma (PGL) are mostly caused by germline mutations of SDHB, encoding a subunit of succinate dehydrogenase. Using whole-exome sequencing, we recently identified a mutation in the FH gene encoding fumarate hydratase, in a PCC with an 'SDH-like' molecular phenotype. Here, we investigated the role of FH in PCC/PGL predisposition, by screening for germline FH mutations in a large international cohort of patients. We screened 598 patients with PCC/PGL without mutations in known PCC/PGL susceptibility genes. We searched for FH germline mutations and large deletions, by direct sequencing and multiplex ligation-dependent probe amplification methods. Global alterations in DNA methylation and protein succination were assessed by immunohistochemical staining for 5-hydroxymethylcytosine (5-hmC) and S-(2-succinyl) cysteine (2SC), respectively. We identified five pathogenic germline FH mutations (four missense and one splice mutation) in five patients. Somatic inactivation of the second allele, resulting in a loss of fumarate hydratase activity, was demonstrated in tumors with FH mutations. Low tumor levels of 5-hmC, resembling those in SDHB-deficient tumors, and positive 2SC staining were detected in tumors with FH mutations. Clinically, metastatic phenotype (P = 0.007) and multiple tumors (P = 0.02) were significantly more frequent in patients with FH mutations than those without such mutations. This study reveals a new role for FH in susceptibility to malignant and/or multiple PCC/PGL. Remarkably, FH-deficient PCC/PGLs display the same pattern of epigenetic deregulation as SDHB-mutated malignant PCC/PGL. Therefore, we propose that mutation screening for FH should be included in PCC/PGL genetic testing, at least for tumors with malignant behavior.","DOI":"10.1093/hmg/ddt639","ISSN":"1460-2083","note":"PMID: 24334767","journalAbbreviation":"Hum. Mol. Genet.","language":"eng","author":[{"family":"Castro-Vega","given":"Luis Jaime"},{"family":"Buffet","given":"Alexandre"},{"family":"De Cubas","given":"Aguirre A."},{"family":"Cascón","given":"Alberto"},{"family":"Menara","given":"Mélanie"},{"family":"Khalifa","given":"Emmanuel"},{"family":"Amar","given":"Laurence"},{"family":"Azriel","given":"Sharona"},{"family":"Bourdeau","given":"Isabelle"},{"family":"Chabre","given":"Olivier"},{"family":"Currás-Freixes","given":"Maria"},{"family":"Franco-Vidal","given":"Valérie"},{"family":"Guillaud-Bataille","given":"Marine"},{"family":"Simian","given":"Christophe"},{"family":"Morin","given":"Aurélie"},{"family":"Letón","given":"Rocío"},{"family":"Gómez-Graña","given":"Alvaro"},{"family":"Pollard","given":"Patrick J."},{"family":"Rustin","given":"Pierre"},{"family":"Robledo","given":"Mercedes"},{"family":"Favier","given":"Judith"},{"family":"Gimenez-Roqueplo","given":"Anne-Paule"}],"issued":{"date-parts":[["2014",5,1]]}}},{"id":1317,"uris":["http://zotero.org/users/4775618/items/FVZLEVVX"],"uri":["http://zotero.org/users/4775618/items/FVZLEVVX"],"itemData":{"id":1317,"type":"article-journal","title":"Germline FH Mutations Presenting With Pheochromocytoma","container-title":"The Journal of Clinical Endocrinology &amp; Metabolism","page":"E2046-E2050","volume":"99","issue":"10","source":"academic-oup-com.ezp.lib.cam.ac.uk","abstract":"Context:.  At least a third of the patients with pheochromocytoma (PCC) or paraganglioma (PGL) harbor an underlying germline mutation in a known PCC/PGL gene. M","URL":"https://academic-oup-com.ezp.lib.cam.ac.uk/jcem/article/99/10/E2046/2836230","DOI":"10.1210/jc.2014-1659","ISSN":"0021-972X","journalAbbreviation":"J Clin Endocrinol Metab","language":"en","author":[{"family":"Clark","given":"Graeme R."},{"family":"Sciacovelli","given":"Marco"},{"family":"Gaude","given":"Edoardo"},{"family":"Walsh","given":"Diana M."},{"family":"Kirby","given":"Gail"},{"family":"Simpson","given":"Michael A."},{"family":"Trembath","given":"Richard C."},{"family":"Berg","given":"Jonathan N."},{"family":"Woodward","given":"Emma R."},{"family":"Kinning","given":"Esther"},{"family":"Morrison","given":"Patrick J."},{"family":"Frezza","given":"Christian"},{"family":"Maher","given":"Eamonn R."}],"issued":{"date-parts":[["2014",10,1]]},"accessed":{"date-parts":[["2019",2,22]]}}},{"id":1331,"uris":["http://zotero.org/users/4775618/items/3WIYKWXM"],"uri":["http://zotero.org/users/4775618/items/3WIYKWXM"],"itemData":{"id":1331,"type":"article-journal","title":"Biallelic inactivation of the SDHC gene in renal carcinoma associated with paraganglioma syndrome type 3","container-title":"Endocrine-Related Cancer","page":"283-290","volume":"19","issue":"3","source":"PubMed","abstract":"The etiology and pathogenesis of renal cell carcinoma (RCC) are only partially understood. Key findings in hereditary RCC, which may be site specific or a component of a syndrome, have contributed to our current understanding. Important heritable syndromes of RCC are those associated with pheochromocytoma, especially von Hippel-Lindau disease (VHL) associated with germline VHL mutations, and pheochromocytoma and paraganglioma syndrome (PGL) associated with mutations in one of the four genes (SDHA-D) encoding succinate dehydrogenase. A subset of individuals with SDHB and SDHD germline DNA mutations and variants develop RCC. RCC has never been described as a component of SDHC-associated PGL3. The European-American Pheochromocytoma and Paraganglioma Registry comprises 35 registrants with germline SDHC mutations. A new registrant had carotid body tumor (CBT) and his mother had CBT and bilateral RCC. Blood DNA, paragangliomas, and RCCs were analyzed for mutations and loss-of-heterozygosity (LOH) in/flanking SDHC and VHL. The proband with unilateral CBT had a germline SDHC c.3G&gt;A (p.M1I) mutation. His mutation-positive mother had CBT at age 42, clear cell RCC (ccRCC) at age 68, and papillary RCC (pRCC) at age 69. Both paraganglial tumors showed somatic LOH of the SDHC locus. Both ccRCC and pRCC did not have a somatic SDHC mutation but showed LOH for intragenic and flanking markers of the SDHC locus. LOH was also present for the VHL locus. Our findings suggest that RCC is a component of PGL3. Biallelic inactivation of the SDHC gene may represent a new pathway of pathogenesis of syndromic and nonsyndromic RCC, perhaps of both clear cell and papillary histologies.","DOI":"10.1530/ERC-11-0324","ISSN":"1479-6821","note":"PMID: 22351710","journalAbbreviation":"Endocr. Relat. Cancer","language":"eng","author":[{"family":"Malinoc","given":"Angelica"},{"family":"Sullivan","given":"Maren"},{"family":"Wiech","given":"Thorsten"},{"family":"Schmid","given":"Kurt Werner"},{"family":"Jilg","given":"Cordula"},{"family":"Straeter","given":"Joern"},{"family":"Deger","given":"Serdar"},{"family":"Hoffmann","given":"Michael M."},{"family":"Bosse","given":"Alexander"},{"family":"Rasp","given":"Gerd"},{"family":"Eng","given":"Charis"},{"family":"Neumann","given":"Hartmut P. H."}],"issued":{"date-parts":[["2012",6]]}}},{"id":1320,"uris":["http://zotero.org/users/4775618/items/WZACUEGC"],"uri":["http://zotero.org/users/4775618/items/WZACUEGC"],"itemData":{"id":1320,"type":"article-journal","title":"Distinct clinical features of paraganglioma syndromes associated with SDHB and SDHD gene mutations","container-title":"JAMA","page":"943-951","volume":"292","issue":"8","source":"PubMed","abstract":"CONTEXT: Germline mutations of the genes encoding succinate dehydrogenase subunits B (SDHB) and D (SDHD) predispose to paraganglioma syndromes type 4 (PGL-4) and type 1 (PGL-1), respectively. In both syndromes, pheochromocytomas as well as head and neck paragangliomas occur; however, details for individual risks and other clinical characteristics are unknown.\nOBJECTIVE: To determine the differences in clinical features in carriers of SDHB mutations and SDHD mutations.\nDESIGN, SETTING, AND PATIENTS: Population-based genetic screening for SDHB and SDHD germline mutations in 417 unrelated patients with adrenal or extra-adrenal abdominal or thoracic pheochromocytomas (n = 334) or head and neck paragangliomas (n = 83), but without syndromic features, from 2 registries based in Germany and central Poland, conducted from April 1, 2000, until May 15, 2004.\nMAIN OUTCOME MEASURES: Demographic and clinical findings with respect to gene mutation in SDHB vs SDHD compared with nonmutation carriers.\nRESULTS: A total of 49 (12%) of 417 registrants carried SDHB or SDHD mutations. In addition, 28 SDHB and 23 SDHD mutation carriers were newly detected among relatives of these carriers. Comparison of 53 SDHB and 47 SDHD total mutation carriers showed similar ages at diagnosis but differences in penetrance and of tumor manifestations. Head and neck paragangliomas (10/32 vs 27/34, respectively, P&lt;.001) and multifocal (9/32 vs 25/34, respectively, P&lt;.001) tumors were more frequent in carriers of SDHD mutations. In contrast, SDHB mutation carriers have an increased frequency of malignant disease (11/32 vs 0/34, P&lt;.001). Renal cell cancer was observed in 2 SDHB mutation carriers and papillary thyroid cancer in 1 SDHB mutation carrier and 1 SDHD mutation carrier.\nCONCLUSIONS: In contrast with SDHD mutation carriers (PGL-1) who have more frequent multifocal paragangliomas, SDHB mutation carriers (PGL-4) are more likely to develop malignant disease and possibly extraparaganglial neoplasias, including renal cell and thyroid carcinomas. Appropriate and timely clinical screening is recommended in all patients with PGL-1 and PGL-4.","DOI":"10.1001/jama.292.8.943","ISSN":"1538-3598","note":"PMID: 15328326","journalAbbreviation":"JAMA","language":"eng","author":[{"family":"Neumann","given":"Hartmut P. H."},{"family":"Pawlu","given":"Christian"},{"family":"Peczkowska","given":"Mariola"},{"family":"Bausch","given":"Birke"},{"family":"McWhinney","given":"Sarah R."},{"family":"Muresan","given":"Mihaela"},{"family":"Buchta","given":"Mary"},{"family":"Franke","given":"Gerlind"},{"family":"Klisch","given":"Joachim"},{"family":"Bley","given":"Thorsten A."},{"family":"Hoegerle","given":"Stefan"},{"family":"Boedeker","given":"Carsten C."},{"family":"Opocher","given":"Giuseppe"},{"family":"Schipper","given":"Jörg"},{"family":"Januszewicz","given":"Andrzej"},{"family":"Eng","given":"Charis"},{"literal":"European-American Paraganglioma Study Group"}],"issued":{"date-parts":[["2004",8,25]]}}},{"id":1326,"uris":["http://zotero.org/users/4775618/items/WA6VSXZZ"],"uri":["http://zotero.org/users/4775618/items/WA6VSXZZ"],"itemData":{"id":1326,"type":"article-journal","title":"Germline Mutations and Variants in the Succinate Dehydrogenase Genes in Cowden and Cowden-like Syndromes","container-title":"The American Journal of Human Genetics","page":"261-268","volume":"83","issue":"2","source":"ScienceDirect","abstract":"Individuals with PTEN mutations have Cowden syndrome (CS), associated with breast, thyroid, and endometrial neoplasias. Many more patients with features of CS, not meeting diagnostic criteria (termed CS-like), are evaluated by clinicians for CS-related cancer risk. Germline mutations in succinate dehydrogenase subunits SDHB-D cause pheochromocytoma-paraganglioma syndrome. One to five percent of SDHB/SDHD mutation carriers have renal cell or papillary thyroid carcinomas, which are also CS-related features. SDHB-D may be candidate susceptibility genes for some PTEN mutation-negative individuals with CS-like cancers. To address this hypothesis, germline SDHB-D mutation analysis in 375 PTEN mutation-negative CS/CS-like individuals was performed, followed by functional analysis of identified SDH mutations/variants. Of 375 PTEN mutation-negative CS/CS-like individuals, 74 (20%) had increased manganese superoxide dismutase (MnSOD) expression, a manifestation of mitochondrial dysfunction. Among these, 10 (13.5%) had germline mutations/variants in SDHB (n = 3) or SDHD (7), not found in 700 controls (p &lt; 0.001). Compared to PTEN mutation-positive CS/CS-like individuals, those with SDH mutations/variants were enriched for carcinomas of the female breast (6/9 SDH versus 30/107 PTEN, p &lt; 0.001), thyroid (5/10 versus 15/106, p &lt; 0.001), and kidney (2/10 versus 4/230, p = 0.026). In the absence of PTEN alteration, CS/CS-like-related SDH mutations/variants show increased phosphorylation of AKT and/or MAPK, downstream manifestations of PTEN dysfunction. Germline SDH mutations/variants occur in a subset of PTEN mutation-negative CS/CS-like individuals and are associated with increased frequencies of breast, thyroid, and renal cancers beyond those conferred by germline PTEN mutations. SDH testing should be considered for germline PTEN mutation-negative CS/CS-like individuals, especially in the setting of breast, thyroid, and/or renal cancers.","URL":"http://www.sciencedirect.com/science/article/pii/S0002929708004114","DOI":"10.1016/j.ajhg.2008.07.011","ISSN":"0002-9297","journalAbbreviation":"The American Journal of Human Genetics","author":[{"family":"Ni","given":"Ying"},{"family":"Zbuk","given":"Kevin M."},{"family":"Sadler","given":"Tammy"},{"family":"Patocs","given":"Attila"},{"family":"Lobo","given":"Glenn"},{"family":"Edelman","given":"Emily"},{"family":"Platzer","given":"Petra"},{"family":"Orloff","given":"Mohammed S."},{"family":"Waite","given":"Kristin A."},{"family":"Eng","given":"Charis"}],"issued":{"date-parts":[["2008",8,8]]},"accessed":{"date-parts":[["2019",2,22]]}}}],"schema":"https://github.com/citation-style-language/schema/raw/master/csl-citation.json"} </w:instrText>
      </w:r>
      <w:r w:rsidR="00486B78">
        <w:rPr>
          <w:rFonts w:ascii="Calibri" w:hAnsi="Calibri" w:cs="Calibri"/>
          <w:color w:val="000000" w:themeColor="text1"/>
          <w:sz w:val="22"/>
          <w:szCs w:val="22"/>
        </w:rPr>
        <w:fldChar w:fldCharType="separate"/>
      </w:r>
      <w:r w:rsidR="00486B78" w:rsidRPr="00F23309">
        <w:rPr>
          <w:rFonts w:ascii="Calibri" w:hAnsi="Calibri" w:cs="Calibri"/>
          <w:color w:val="000000"/>
          <w:sz w:val="22"/>
          <w:vertAlign w:val="superscript"/>
          <w:lang w:val="en-US"/>
        </w:rPr>
        <w:t>69,82–85</w:t>
      </w:r>
      <w:r w:rsidR="00486B78">
        <w:rPr>
          <w:rFonts w:ascii="Calibri" w:hAnsi="Calibri" w:cs="Calibri"/>
          <w:color w:val="000000" w:themeColor="text1"/>
          <w:sz w:val="22"/>
          <w:szCs w:val="22"/>
        </w:rPr>
        <w:fldChar w:fldCharType="end"/>
      </w:r>
      <w:r w:rsidR="00486B78" w:rsidRPr="00D637BA">
        <w:rPr>
          <w:rFonts w:ascii="Calibri" w:hAnsi="Calibri" w:cs="Calibri"/>
          <w:i/>
          <w:color w:val="000000" w:themeColor="text1"/>
          <w:sz w:val="22"/>
          <w:szCs w:val="22"/>
        </w:rPr>
        <w:t>.</w:t>
      </w:r>
    </w:p>
    <w:p w14:paraId="6327923F" w14:textId="2B58B327" w:rsidR="00757683" w:rsidRPr="00D637BA" w:rsidRDefault="002D5B27" w:rsidP="00B946E4">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D</w:t>
      </w:r>
      <w:r w:rsidR="00F131BF" w:rsidRPr="00D637BA">
        <w:rPr>
          <w:rFonts w:ascii="Calibri" w:hAnsi="Calibri" w:cs="Calibri"/>
          <w:color w:val="000000" w:themeColor="text1"/>
          <w:sz w:val="22"/>
          <w:szCs w:val="22"/>
        </w:rPr>
        <w:t xml:space="preserve">istinct clinical phenotypes are also observed in </w:t>
      </w:r>
      <w:r w:rsidR="00F131BF" w:rsidRPr="00B946E4">
        <w:rPr>
          <w:rFonts w:ascii="Calibri" w:hAnsi="Calibri" w:cs="Calibri"/>
          <w:color w:val="000000" w:themeColor="text1"/>
          <w:sz w:val="22"/>
          <w:szCs w:val="22"/>
        </w:rPr>
        <w:t>FH</w:t>
      </w:r>
      <w:r w:rsidR="00F131BF"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deficient</w:t>
      </w:r>
      <w:r w:rsidR="00F131BF" w:rsidRPr="00D637BA">
        <w:rPr>
          <w:rFonts w:ascii="Calibri" w:hAnsi="Calibri" w:cs="Calibri"/>
          <w:color w:val="000000" w:themeColor="text1"/>
          <w:sz w:val="22"/>
          <w:szCs w:val="22"/>
        </w:rPr>
        <w:t xml:space="preserve"> and </w:t>
      </w:r>
      <w:r w:rsidR="00F131BF" w:rsidRPr="00B946E4">
        <w:rPr>
          <w:rFonts w:ascii="Calibri" w:hAnsi="Calibri" w:cs="Calibri"/>
          <w:color w:val="000000" w:themeColor="text1"/>
          <w:sz w:val="22"/>
          <w:szCs w:val="22"/>
        </w:rPr>
        <w:t>SDH</w:t>
      </w:r>
      <w:r w:rsidR="00F131BF" w:rsidRPr="00D637BA">
        <w:rPr>
          <w:rFonts w:ascii="Calibri" w:hAnsi="Calibri" w:cs="Calibri"/>
          <w:i/>
          <w:color w:val="000000" w:themeColor="text1"/>
          <w:sz w:val="22"/>
          <w:szCs w:val="22"/>
        </w:rPr>
        <w:t>-</w:t>
      </w:r>
      <w:r w:rsidR="00F131BF" w:rsidRPr="00D637BA">
        <w:rPr>
          <w:rFonts w:ascii="Calibri" w:hAnsi="Calibri" w:cs="Calibri"/>
          <w:color w:val="000000" w:themeColor="text1"/>
          <w:sz w:val="22"/>
          <w:szCs w:val="22"/>
        </w:rPr>
        <w:t xml:space="preserve">deficient diseases. Homozygous germline mutations in </w:t>
      </w:r>
      <w:r w:rsidR="00F131BF" w:rsidRPr="00D637BA">
        <w:rPr>
          <w:rFonts w:ascii="Calibri" w:hAnsi="Calibri" w:cs="Calibri"/>
          <w:i/>
          <w:color w:val="000000" w:themeColor="text1"/>
          <w:sz w:val="22"/>
          <w:szCs w:val="22"/>
        </w:rPr>
        <w:t xml:space="preserve">FH </w:t>
      </w:r>
      <w:r w:rsidR="00F131BF" w:rsidRPr="00D637BA">
        <w:rPr>
          <w:rFonts w:ascii="Calibri" w:hAnsi="Calibri" w:cs="Calibri"/>
          <w:color w:val="000000" w:themeColor="text1"/>
          <w:sz w:val="22"/>
          <w:szCs w:val="22"/>
        </w:rPr>
        <w:t>give rise to fumaric aciduria, a rare metabolic disease associated with infantile encephalopathy, brain malformations and neonatal polycythaemia</w:t>
      </w:r>
      <w:r w:rsidR="00F131BF" w:rsidRPr="00D637BA">
        <w:rPr>
          <w:rFonts w:ascii="Calibri" w:hAnsi="Calibri" w:cs="Calibri"/>
          <w:i/>
          <w:color w:val="000000" w:themeColor="text1"/>
          <w:sz w:val="22"/>
          <w:szCs w:val="22"/>
        </w:rPr>
        <w:t xml:space="preserve"> </w:t>
      </w:r>
      <w:r w:rsidR="00F131BF" w:rsidRPr="00D637BA">
        <w:rPr>
          <w:rFonts w:ascii="Calibri" w:hAnsi="Calibri" w:cs="Calibri"/>
          <w:color w:val="000000" w:themeColor="text1"/>
          <w:sz w:val="22"/>
          <w:szCs w:val="22"/>
        </w:rPr>
        <w:t>without an associated cancer predisposition</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{"citationID":"a2fba7ft61e","properties":{"formattedCitation":"\\super 98,99\\nosupersub{}","plainCitation":"98,99","noteIndex":0},"citationItems":[{"id":1333,"uris":["http://zotero.org/users/4775618/items/BCSNKQF8"],"uri":["http://zotero.org/users/4775618/items/BCSNKQF8"],"itemData":{"id":1333,"type":"article-journal","title":"Fumaric aciduria: an overview and the first Brazilian case report","container-title":"Journal of Inherited Metabolic Disease","page":"411-419","volume":"33","issue":"4","source":"PubMed","abstract":"Fumaric aciduria is a rare metabolic disease, with 40 cases reported so far. Fumarase deficiency leads mainly to brain abnormalities, developmental delay, and great accumulation of fumaric acid in urine. This work presents the first case of fumaric aciduria described in Brazil, which presented with some interesting clinical and biochemical findings such as colpocephaly, hepatic alterations, and marked metabolic acidosis since birth. Common findings were ventriculomegaly, hypotonia, and microcephaly. Biochemically, besides the high urinary fumaric acid excretion, atypical elevation of plasma citrulline, tyrosine and methionine levels were also observed. In order to show all features and variants of fumaric aciduria, literature data of 40 patients was reviewed and compared with the case reported here. Findings in all these patients demonstrate that this disorder does not yet have its phenotype completely defined; it is important that more patients be described.","DOI":"10.1007/s10545-010-9134-2","ISSN":"1573-2665","note":"PMID: 20549362","title-short":"Fumaric aciduria","journalAbbreviation":"J. Inherit. Metab. Dis.","language":"eng","author":[{"family":"Allegri","given":"Gabriella"},{"family":"Fernandes","given":"Marcia J."},{"family":"Scalco","given":"Fernanda B."},{"family":"Correia","given":"Patricia"},{"family":"Simoni","given":"Ruth E."},{"family":"Llerena","given":"Juan C."},{"family":"Oliveira","given":"Maria L. Costa","non-dropping-particle":"de"}],"issued":{"date-parts":[["2010",8]]}}},{"id":705,"uris":["http://zotero.org/users/4775618/items/KHXY6XV3"],"uri":["http://zotero.org/users/4775618/items/KHXY6XV3"],"itemData":{"id":705,"type":"article-journal","title":"Fumaric aciduria: Clinical and imaging features","container-title":"Annals of Neurology","page":"583-588","volume":"47","issue":"5","source":"Wiley Online Library","abstract":"Fumaric aciduria (fumaric acidemia, fumarase deficiency) is a rare inborn error of metabolism caused by deficient activity of fumarate hydratase, one of the constituent enzymes of the Krebs tricarboxylic acid cycle. We describe the clinical and imaging features of this disease arising from a consanguineous pedigree in 8 patients in the southwestern United States. Thirteen patients have been previously described in the medical literature. Our patients presented with an early infantile encephalopathy with profound developmental retardation and hypotonia, and most experienced seizures. Previously unreported characteristics described here include structural brain malformations, dysmorphic facial features, and neonatal polycythemia. Magnetic resonance imaging showed multiple abnormalities, including diffuse polymicrogyria, decreased cerebral white matter, large ventricles, and open opercula. Fumaric aciduria should be included in the differential diagnosis of inborn errors of metabolism that cause cerebral malformations and dysmorphic features. The possibility that inborn errors of energy metabolism may cause structural malformations deserves increased recognition. Ann Neurol 2000;47:583–588","URL":"https://onlinelibrary.wiley.com/doi/abs/10.1002/1531-8249%28200005%2947%3A5%3C583%3A%3AAID-ANA5%3E3.0.CO%3B2-Y","DOI":"10.1002/1531-8249(200005)47:5&lt;583::AID-ANA5&gt;3.0.CO;2-Y","ISSN":"1531-8249","title-short":"Fumaric aciduria","language":"en","author":[{"family":"Kerrigan","given":"John F."},{"family":"Aleck","given":"Kirk A."},{"family":"Tarby","given":"Theodore J."},{"family":"Bird","given":"C. Roger"},{"family":"Heidenreich","given":"Randall A."}],"issued":{"date-parts":[["2000",5,1]]},"accessed":{"date-parts":[["2018",9,2]]}}}],"schema":"https://github.com/citation-style-language/schema/raw/master/csl-citation.json"}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98,99</w:t>
      </w:r>
      <w:r w:rsidR="00E8321B">
        <w:rPr>
          <w:rFonts w:ascii="Calibri" w:hAnsi="Calibri" w:cs="Calibri"/>
          <w:color w:val="000000" w:themeColor="text1"/>
          <w:sz w:val="22"/>
          <w:szCs w:val="22"/>
        </w:rPr>
        <w:fldChar w:fldCharType="end"/>
      </w:r>
      <w:r w:rsidR="00F131BF" w:rsidRPr="00D637BA">
        <w:rPr>
          <w:rFonts w:ascii="Calibri" w:hAnsi="Calibri" w:cs="Calibri"/>
          <w:i/>
          <w:color w:val="000000" w:themeColor="text1"/>
          <w:sz w:val="22"/>
          <w:szCs w:val="22"/>
        </w:rPr>
        <w:t>,</w:t>
      </w:r>
      <w:r w:rsidR="00F131BF" w:rsidRPr="00D637BA">
        <w:rPr>
          <w:rFonts w:ascii="Calibri" w:hAnsi="Calibri" w:cs="Calibri"/>
          <w:color w:val="000000" w:themeColor="text1"/>
          <w:sz w:val="22"/>
          <w:szCs w:val="22"/>
        </w:rPr>
        <w:t xml:space="preserve"> whereas homozygous germline mutations of </w:t>
      </w:r>
      <w:r w:rsidR="00F131BF" w:rsidRPr="00D637BA">
        <w:rPr>
          <w:rFonts w:ascii="Calibri" w:hAnsi="Calibri" w:cs="Calibri"/>
          <w:i/>
          <w:color w:val="000000" w:themeColor="text1"/>
          <w:sz w:val="22"/>
          <w:szCs w:val="22"/>
        </w:rPr>
        <w:t xml:space="preserve">SDHA </w:t>
      </w:r>
      <w:r w:rsidR="00F131BF" w:rsidRPr="00D637BA">
        <w:rPr>
          <w:rFonts w:ascii="Calibri" w:hAnsi="Calibri" w:cs="Calibri"/>
          <w:color w:val="000000" w:themeColor="text1"/>
          <w:sz w:val="22"/>
          <w:szCs w:val="22"/>
        </w:rPr>
        <w:t>cause severe neurological dysfunction and cardiomyopathy</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{"citationID":"anrqqant9p","properties":{"formattedCitation":"\\super 85\\nosupersub{}","plainCitation":"85","noteIndex":0},"citationItems":[{"id":1326,"uris":["http://zotero.org/users/4775618/items/WA6VSXZZ"],"uri":["http://zotero.org/users/4775618/items/WA6VSXZZ"],"itemData":{"id":1326,"type":"article-journal","title":"Germline Mutations and Variants in the Succinate Dehydrogenase Genes in Cowden and Cowden-like Syndromes","container-title":"The American Journal of Human Genetics","page":"261-268","volume":"83","issue":"2","source":"ScienceDirect","abstract":"Individuals with PTEN mutations have Cowden syndrome (CS), associated with breast, thyroid, and endometrial neoplasias. Many more patients with features of CS, not meeting diagnostic criteria (termed CS-like), are evaluated by clinicians for CS-related cancer risk. Germline mutations in succinate dehydrogenase subunits SDHB-D cause pheochromocytoma-paraganglioma syndrome. One to five percent of SDHB/SDHD mutation carriers have renal cell or papillary thyroid carcinomas, which are also CS-related features. SDHB-D may be candidate susceptibility genes for some PTEN mutation-negative individuals with CS-like cancers. To address this hypothesis, germline SDHB-D mutation analysis in 375 PTEN mutation-negative CS/CS-like individuals was performed, followed by functional analysis of identified SDH mutations/variants. Of 375 PTEN mutation-negative CS/CS-like individuals, 74 (20%) had increased manganese superoxide dismutase (MnSOD) expression, a manifestation of mitochondrial dysfunction. Among these, 10 (13.5%) had germline mutations/variants in SDHB (n = 3) or SDHD (7), not found in 700 controls (p &lt; 0.001). Compared to PTEN mutation-positive CS/CS-like individuals, those with SDH mutations/variants were enriched for carcinomas of the female breast (6/9 SDH versus 30/107 PTEN, p &lt; 0.001), thyroid (5/10 versus 15/106, p &lt; 0.001), and kidney (2/10 versus 4/230, p = 0.026). In the absence of PTEN alteration, CS/CS-like-related SDH mutations/variants show increased phosphorylation of AKT and/or MAPK, downstream manifestations of PTEN dysfunction. Germline SDH mutations/variants occur in a subset of PTEN mutation-negative CS/CS-like individuals and are associated with increased frequencies of breast, thyroid, and renal cancers beyond those conferred by germline PTEN mutations. SDH testing should be considered for germline PTEN mutation-negative CS/CS-like individuals, especially in the setting of breast, thyroid, and/or renal cancers.","URL":"http://www.sciencedirect.com/science/article/pii/S0002929708004114","DOI":"10.1016/j.ajhg.2008.07.011","ISSN":"0002-9297","journalAbbreviation":"The American Journal of Human Genetics","author":[{"family":"Ni","given":"Ying"},{"family":"Zbuk","given":"Kevin M."},{"family":"Sadler","given":"Tammy"},{"family":"Patocs","given":"Attila"},{"family":"Lobo","given":"Glenn"},{"family":"Edelman","given":"Emily"},{"family":"Platzer","given":"Petra"},{"family":"Orloff","given":"Mohammed S."},{"family":"Waite","given":"Kristin A."},{"family":"Eng","given":"Charis"}],"issued":{"date-parts":[["2008",8,8]]},"accessed":{"date-parts":[["2019",2,22]]}}}],"schema":"https://github.com/citation-style-language/schema/raw/master/csl-citation.json"}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85</w:t>
      </w:r>
      <w:r w:rsidR="00E8321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This divergence in clinical phenotypes suggest</w:t>
      </w:r>
      <w:r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 that the ‘two-hit’ mutational timing and tissue-specific nature of mutations may be crucial to cancer predisposition. As such, it has been suggested that oncometabolites m</w:t>
      </w:r>
      <w:r w:rsidR="00360A9D" w:rsidRPr="00D637BA">
        <w:rPr>
          <w:rFonts w:ascii="Calibri" w:hAnsi="Calibri" w:cs="Calibri"/>
          <w:color w:val="000000" w:themeColor="text1"/>
          <w:sz w:val="22"/>
          <w:szCs w:val="22"/>
        </w:rPr>
        <w:t>ight</w:t>
      </w:r>
      <w:r w:rsidR="00F131BF" w:rsidRPr="00D637BA">
        <w:rPr>
          <w:rFonts w:ascii="Calibri" w:hAnsi="Calibri" w:cs="Calibri"/>
          <w:color w:val="000000" w:themeColor="text1"/>
          <w:sz w:val="22"/>
          <w:szCs w:val="22"/>
        </w:rPr>
        <w:t xml:space="preserve"> be insufficient for oncogenic transformation</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{"citationID":"a1ie9dplat9","properties":{"formattedCitation":"\\super 60\\nosupersub{}","plainCitation":"60","noteIndex":0},"citationItems":[{"id":444,"uris":["http://zotero.org/users/4775618/items/U5E9AF2W"],"uri":["http://zotero.org/users/4775618/items/U5E9AF2W"],"itemData":{"id":444,"type":"article-journal","title":"Oncometabolites: A New Paradigm for Oncology, Metabolism, and the Clinical Laboratory","container-title":"Clinical Chemistry","page":"1812-1820","volume":"63","issue":"12","source":"PubMed","abstract":"BACKGROUND: Pediatric clinical laboratories commonly measure tricarboxylic acid cycle intermediates for screening, diagnosis, and monitoring of specific inborn errors of metabolism, such as organic acidurias. In the past decade, the same tricarboxylic acid cycle metabolites have been implicated and studied in cancer. The accumulation of these metabolites in certain cancers not only serves as a biomarker but also directly contributes to cellular transformation, therefore earning them the designation of oncometabolites.\nCONTENT: D\n-2-hydroxyglutarate,L-2-hydroxyglutarate, succinate, and fumarate are the currently recognized oncometabolites. They are structurally similar and share metabolic proximity in the tricarboxylic acid cycle. As a result, they promote tumorigenesis in cancer cells through similar mechanisms. This review summarizes the currently understood common and distinct biological features of these compounds. In addition, we will review the current laboratory methodologies that can be used to quantify these metabolites and their downstream targets.\nSUMMARY: Oncometabolites play an important role in cancer biology. The metabolic pathways that lead to the production of oncometabolites and the downstream signaling pathways that are activated by oncometabolites represent potential therapeutic targets. Clinical laboratories have a critical role to play in the management of oncometabolite-associated cancers through development and validation of sensitive and specific assays that measure oncometabolites and their downstream effectors. These assays can be used as screening tools and for follow-up to measure response to treatment, as well as to detect minimal residual disease and recurrence.","DOI":"10.1373/clinchem.2016.267666","ISSN":"1530-8561","note":"PMID: 29038145","title-short":"Oncometabolites","journalAbbreviation":"Clin. Chem.","language":"eng","author":[{"family":"Collins","given":"Rebecca R. J."},{"family":"Patel","given":"Khushbu"},{"family":"Putnam","given":"William C."},{"family":"Kapur","given":"Payal"},{"family":"Rakheja","given":"Dinesh"}],"issued":{"date-parts":[["2017",12]]}}}],"schema":"https://github.com/citation-style-language/schema/raw/master/csl-citation.json"}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60</w:t>
      </w:r>
      <w:r w:rsidR="00E8321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Po</w:t>
      </w:r>
      <w:r w:rsidR="008A3FC7" w:rsidRPr="00D637BA">
        <w:rPr>
          <w:rFonts w:ascii="Calibri" w:hAnsi="Calibri" w:cs="Calibri"/>
          <w:color w:val="000000" w:themeColor="text1"/>
          <w:sz w:val="22"/>
          <w:szCs w:val="22"/>
        </w:rPr>
        <w:t>tentially</w:t>
      </w:r>
      <w:r w:rsidR="00F131BF" w:rsidRPr="00D637BA">
        <w:rPr>
          <w:rFonts w:ascii="Calibri" w:hAnsi="Calibri" w:cs="Calibri"/>
          <w:color w:val="000000" w:themeColor="text1"/>
          <w:sz w:val="22"/>
          <w:szCs w:val="22"/>
        </w:rPr>
        <w:t xml:space="preserve"> confounding this notion is </w:t>
      </w:r>
      <w:r w:rsidR="00434FE4" w:rsidRPr="00D637BA">
        <w:rPr>
          <w:rFonts w:ascii="Calibri" w:hAnsi="Calibri" w:cs="Calibri"/>
          <w:color w:val="000000" w:themeColor="text1"/>
          <w:sz w:val="22"/>
          <w:szCs w:val="22"/>
        </w:rPr>
        <w:t xml:space="preserve">the finding </w:t>
      </w:r>
      <w:r w:rsidR="00F131BF" w:rsidRPr="00D637BA">
        <w:rPr>
          <w:rFonts w:ascii="Calibri" w:hAnsi="Calibri" w:cs="Calibri"/>
          <w:color w:val="000000" w:themeColor="text1"/>
          <w:sz w:val="22"/>
          <w:szCs w:val="22"/>
        </w:rPr>
        <w:t>that patients with inborn errors of metabolism such as fumarate aciduria often do not survive long enough for potential malignancies to manifest</w:t>
      </w:r>
      <w:r w:rsidR="00E8321B">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{"citationID":"a1c5kv3o2s5","properties":{"formattedCitation":"\\super 100\\nosupersub{}","plainCitation":"100","noteIndex":0},"citationItems":[{"id":1337,"uris":["http://zotero.org/users/4775618/items/UCXUP83I"],"uri":["http://zotero.org/users/4775618/items/UCXUP83I"],"itemData":{"id":1337,"type":"article-journal","title":"Fumarase deficiency presenting with periventricular cysts","container-title":"Journal of Inherited Metabolic Disease","page":"799-800","volume":"28","issue":"5","source":"Springer Link","abstract":"SummaryA fumarase-deficient patient expressed a novel phenotype of congenital cerebral ventricular dilatation and periventricular cysts. The patient was a compound heterozygote for two mutations that are the only ones among the 12 published mutations that have been found in multiple, unrelated, fumarase-deficient patients.","URL":"https://doi.org/10.1007/s10545-005-0044-7","DOI":"10.1007/s10545-005-0044-7","ISSN":"1573-2665","journalAbbreviation":"J Inherit Metab Dis","language":"en","author":[{"family":"Loeffen","given":"J."},{"family":"Smeets","given":"R."},{"family":"Voit","given":"T."},{"family":"Hoffmann","given":"G."},{"family":"Smeitink","given":"J."}],"issued":{"date-parts":[["2005",9,1]]},"accessed":{"date-parts":[["2019",2,23]]}}}],"schema":"https://github.com/citation-style-language/schema/raw/master/csl-citation.json"} </w:instrText>
      </w:r>
      <w:r w:rsidR="00E8321B">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100</w:t>
      </w:r>
      <w:r w:rsidR="00E8321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p>
    <w:p w14:paraId="66B88E7C" w14:textId="3366B693" w:rsidR="00F131BF" w:rsidRPr="00D637BA" w:rsidRDefault="00757683" w:rsidP="00B946E4">
      <w:pPr>
        <w:spacing w:line="360" w:lineRule="auto"/>
        <w:ind w:firstLine="454"/>
        <w:jc w:val="both"/>
        <w:rPr>
          <w:rFonts w:ascii="Calibri" w:hAnsi="Calibri" w:cs="Calibri"/>
          <w:i/>
          <w:color w:val="000000" w:themeColor="text1"/>
          <w:sz w:val="22"/>
          <w:szCs w:val="22"/>
        </w:rPr>
      </w:pPr>
      <w:r w:rsidRPr="00B946E4">
        <w:rPr>
          <w:rFonts w:ascii="Calibri" w:hAnsi="Calibri" w:cs="Calibri"/>
          <w:color w:val="000000" w:themeColor="text1"/>
          <w:sz w:val="22"/>
          <w:szCs w:val="22"/>
        </w:rPr>
        <w:t>The mechanisms that</w:t>
      </w:r>
      <w:r w:rsidR="00666389" w:rsidRPr="00D637BA">
        <w:rPr>
          <w:rFonts w:ascii="Calibri" w:hAnsi="Calibri" w:cs="Calibri"/>
          <w:color w:val="000000" w:themeColor="text1"/>
          <w:sz w:val="22"/>
          <w:szCs w:val="22"/>
        </w:rPr>
        <w:t xml:space="preserve"> drive </w:t>
      </w:r>
      <w:r w:rsidRPr="00B946E4">
        <w:rPr>
          <w:rFonts w:ascii="Calibri" w:hAnsi="Calibri" w:cs="Calibri"/>
          <w:color w:val="000000" w:themeColor="text1"/>
          <w:sz w:val="22"/>
          <w:szCs w:val="22"/>
        </w:rPr>
        <w:t xml:space="preserve">the development of </w:t>
      </w:r>
      <w:r w:rsidR="00666389" w:rsidRPr="00D637BA">
        <w:rPr>
          <w:rFonts w:ascii="Calibri" w:hAnsi="Calibri" w:cs="Calibri"/>
          <w:color w:val="000000" w:themeColor="text1"/>
          <w:sz w:val="22"/>
          <w:szCs w:val="22"/>
        </w:rPr>
        <w:t>cancer</w:t>
      </w:r>
      <w:r w:rsidRPr="00B946E4">
        <w:rPr>
          <w:rFonts w:ascii="Calibri" w:hAnsi="Calibri" w:cs="Calibri"/>
          <w:color w:val="000000" w:themeColor="text1"/>
          <w:sz w:val="22"/>
          <w:szCs w:val="22"/>
        </w:rPr>
        <w:t xml:space="preserve"> in specific</w:t>
      </w:r>
      <w:r w:rsidR="00666389" w:rsidRPr="00D637BA">
        <w:rPr>
          <w:rFonts w:ascii="Calibri" w:hAnsi="Calibri" w:cs="Calibri"/>
          <w:color w:val="000000" w:themeColor="text1"/>
          <w:sz w:val="22"/>
          <w:szCs w:val="22"/>
        </w:rPr>
        <w:t xml:space="preserve"> tissues upon LOH </w:t>
      </w:r>
      <w:r w:rsidRPr="00B946E4">
        <w:rPr>
          <w:rFonts w:ascii="Calibri" w:hAnsi="Calibri" w:cs="Calibri"/>
          <w:color w:val="000000" w:themeColor="text1"/>
          <w:sz w:val="22"/>
          <w:szCs w:val="22"/>
        </w:rPr>
        <w:t>are not yet understood</w:t>
      </w:r>
      <w:r w:rsidR="0042048B"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E37025">
        <w:rPr>
          <w:rFonts w:ascii="Calibri" w:hAnsi="Calibri" w:cs="Calibri"/>
          <w:color w:val="000000" w:themeColor="text1"/>
          <w:sz w:val="22"/>
          <w:szCs w:val="22"/>
        </w:rPr>
        <w:t>B</w:t>
      </w:r>
      <w:r w:rsidR="00E4797F" w:rsidRPr="00D637BA">
        <w:rPr>
          <w:rFonts w:ascii="Calibri" w:hAnsi="Calibri" w:cs="Calibri"/>
          <w:color w:val="000000" w:themeColor="text1"/>
          <w:sz w:val="22"/>
          <w:szCs w:val="22"/>
        </w:rPr>
        <w:t>uilding on c</w:t>
      </w:r>
      <w:r w:rsidR="00736246" w:rsidRPr="00D637BA">
        <w:rPr>
          <w:rFonts w:ascii="Calibri" w:hAnsi="Calibri" w:cs="Calibri"/>
          <w:color w:val="000000" w:themeColor="text1"/>
          <w:sz w:val="22"/>
          <w:szCs w:val="22"/>
        </w:rPr>
        <w:t>urrent hypotheses</w:t>
      </w:r>
      <w:r w:rsidR="00E64A4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{"citationID":"a1o3dp7bi8n","properties":{"formattedCitation":"\\super 101\\nosupersub{}","plainCitation":"101","noteIndex":0},"citationItems":[{"id":2680,"uris":["http://zotero.org/users/4775618/items/LTCBRJ33"],"uri":["http://zotero.org/users/4775618/items/LTCBRJ33"],"itemData":{"id":2680,"type":"article-journal","title":"Tissue-specificity in cancer: The rule, not the exception","container-title":"Science (New York, N.Y.)","page":"1150-1151","volume":"363","issue":"6432","source":"PubMed","DOI":"10.1126/science.aaw3472","ISSN":"1095-9203","note":"PMID: 30872507","title-short":"Tissue-specificity in cancer","journalAbbreviation":"Science","language":"eng","author":[{"family":"Haigis","given":"Kevin M."},{"family":"Cichowski","given":"Karen"},{"family":"Elledge","given":"Stephen J."}],"issued":{"date-parts":[["2019",3,15]]}}}],"schema":"https://github.com/citation-style-language/schema/raw/master/csl-citation.json"} </w:instrText>
      </w:r>
      <w:r w:rsidR="00E64A4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101</w:t>
      </w:r>
      <w:r w:rsidR="00E64A46">
        <w:rPr>
          <w:rFonts w:ascii="Calibri" w:hAnsi="Calibri" w:cs="Calibri"/>
          <w:color w:val="000000" w:themeColor="text1"/>
          <w:sz w:val="22"/>
          <w:szCs w:val="22"/>
        </w:rPr>
        <w:fldChar w:fldCharType="end"/>
      </w:r>
      <w:r w:rsidR="00736246" w:rsidRPr="00D637BA">
        <w:rPr>
          <w:rFonts w:ascii="Calibri" w:hAnsi="Calibri" w:cs="Calibri"/>
          <w:color w:val="000000" w:themeColor="text1"/>
          <w:sz w:val="22"/>
          <w:szCs w:val="22"/>
        </w:rPr>
        <w:t xml:space="preserve">, we postulate a concept of LOH tolerance in permissive tissues that </w:t>
      </w:r>
      <w:r w:rsidR="00E4797F" w:rsidRPr="00B946E4">
        <w:rPr>
          <w:rFonts w:ascii="Calibri" w:hAnsi="Calibri" w:cs="Calibri"/>
          <w:color w:val="000000" w:themeColor="text1"/>
          <w:sz w:val="22"/>
          <w:szCs w:val="22"/>
        </w:rPr>
        <w:t xml:space="preserve">enable </w:t>
      </w:r>
      <w:r w:rsidR="00736246" w:rsidRPr="00D637BA">
        <w:rPr>
          <w:rFonts w:ascii="Calibri" w:hAnsi="Calibri" w:cs="Calibri"/>
          <w:color w:val="000000" w:themeColor="text1"/>
          <w:sz w:val="22"/>
          <w:szCs w:val="22"/>
        </w:rPr>
        <w:t xml:space="preserve">tumourigenesis </w:t>
      </w:r>
      <w:r w:rsidR="00E4797F" w:rsidRPr="00B946E4">
        <w:rPr>
          <w:rFonts w:ascii="Calibri" w:hAnsi="Calibri" w:cs="Calibri"/>
          <w:color w:val="000000" w:themeColor="text1"/>
          <w:sz w:val="22"/>
          <w:szCs w:val="22"/>
        </w:rPr>
        <w:t xml:space="preserve">owing </w:t>
      </w:r>
      <w:r w:rsidR="00736246" w:rsidRPr="00D637BA">
        <w:rPr>
          <w:rFonts w:ascii="Calibri" w:hAnsi="Calibri" w:cs="Calibri"/>
          <w:color w:val="000000" w:themeColor="text1"/>
          <w:sz w:val="22"/>
          <w:szCs w:val="22"/>
        </w:rPr>
        <w:t xml:space="preserve">to their capability to </w:t>
      </w:r>
      <w:r w:rsidR="00E4797F" w:rsidRPr="00B946E4">
        <w:rPr>
          <w:rFonts w:ascii="Calibri" w:hAnsi="Calibri" w:cs="Calibri"/>
          <w:color w:val="000000" w:themeColor="text1"/>
          <w:sz w:val="22"/>
          <w:szCs w:val="22"/>
        </w:rPr>
        <w:t>metabolically adapt and/or compensate for</w:t>
      </w:r>
      <w:r w:rsidR="000167D7">
        <w:rPr>
          <w:rFonts w:ascii="Calibri" w:hAnsi="Calibri" w:cs="Calibri"/>
          <w:color w:val="000000" w:themeColor="text1"/>
          <w:sz w:val="22"/>
          <w:szCs w:val="22"/>
        </w:rPr>
        <w:t xml:space="preserve"> </w:t>
      </w:r>
      <w:r w:rsidR="00736246" w:rsidRPr="00D637BA">
        <w:rPr>
          <w:rFonts w:ascii="Calibri" w:hAnsi="Calibri" w:cs="Calibri"/>
          <w:color w:val="000000" w:themeColor="text1"/>
          <w:sz w:val="22"/>
          <w:szCs w:val="22"/>
        </w:rPr>
        <w:t>genetic perturbations</w:t>
      </w:r>
      <w:r w:rsidR="00E4797F" w:rsidRPr="00D637BA">
        <w:rPr>
          <w:rFonts w:ascii="Calibri" w:hAnsi="Calibri" w:cs="Calibri"/>
          <w:color w:val="000000" w:themeColor="text1"/>
          <w:sz w:val="22"/>
          <w:szCs w:val="22"/>
        </w:rPr>
        <w:t>. For example,</w:t>
      </w:r>
      <w:r w:rsidR="000167D7">
        <w:rPr>
          <w:rFonts w:ascii="Calibri" w:hAnsi="Calibri" w:cs="Calibri"/>
          <w:color w:val="000000" w:themeColor="text1"/>
          <w:sz w:val="22"/>
          <w:szCs w:val="22"/>
        </w:rPr>
        <w:t xml:space="preserve"> </w:t>
      </w:r>
      <w:r w:rsidR="00736246" w:rsidRPr="00D637BA">
        <w:rPr>
          <w:rFonts w:ascii="Calibri" w:hAnsi="Calibri" w:cs="Calibri"/>
          <w:color w:val="000000" w:themeColor="text1"/>
          <w:sz w:val="22"/>
          <w:szCs w:val="22"/>
        </w:rPr>
        <w:t xml:space="preserve">reversal of the activity of the urea cycle enzyme arginosuccinate lyase (ASL) in FH-deficient cells </w:t>
      </w:r>
      <w:r w:rsidR="00E4797F" w:rsidRPr="00B946E4">
        <w:rPr>
          <w:rFonts w:ascii="Calibri" w:hAnsi="Calibri" w:cs="Calibri"/>
          <w:color w:val="000000" w:themeColor="text1"/>
          <w:sz w:val="22"/>
          <w:szCs w:val="22"/>
        </w:rPr>
        <w:t xml:space="preserve">enables their survival by </w:t>
      </w:r>
      <w:r w:rsidR="00736246" w:rsidRPr="00D637BA">
        <w:rPr>
          <w:rFonts w:ascii="Calibri" w:hAnsi="Calibri" w:cs="Calibri"/>
          <w:color w:val="000000" w:themeColor="text1"/>
          <w:sz w:val="22"/>
          <w:szCs w:val="22"/>
        </w:rPr>
        <w:t>funnel</w:t>
      </w:r>
      <w:r w:rsidR="00E4797F" w:rsidRPr="00B946E4">
        <w:rPr>
          <w:rFonts w:ascii="Calibri" w:hAnsi="Calibri" w:cs="Calibri"/>
          <w:color w:val="000000" w:themeColor="text1"/>
          <w:sz w:val="22"/>
          <w:szCs w:val="22"/>
        </w:rPr>
        <w:t>ling</w:t>
      </w:r>
      <w:r w:rsidR="00736246" w:rsidRPr="00D637BA">
        <w:rPr>
          <w:rFonts w:ascii="Calibri" w:hAnsi="Calibri" w:cs="Calibri"/>
          <w:color w:val="000000" w:themeColor="text1"/>
          <w:sz w:val="22"/>
          <w:szCs w:val="22"/>
        </w:rPr>
        <w:t xml:space="preserve"> accumulated fumarate into aberrant urea </w:t>
      </w:r>
      <w:r w:rsidR="00807D73" w:rsidRPr="00D637BA">
        <w:rPr>
          <w:rFonts w:ascii="Calibri" w:hAnsi="Calibri" w:cs="Calibri"/>
          <w:color w:val="000000" w:themeColor="text1"/>
          <w:sz w:val="22"/>
          <w:szCs w:val="22"/>
        </w:rPr>
        <w:t xml:space="preserve">cycle </w:t>
      </w:r>
      <w:r w:rsidR="00736246" w:rsidRPr="00D637BA">
        <w:rPr>
          <w:rFonts w:ascii="Calibri" w:hAnsi="Calibri" w:cs="Calibri"/>
          <w:color w:val="000000" w:themeColor="text1"/>
          <w:sz w:val="22"/>
          <w:szCs w:val="22"/>
        </w:rPr>
        <w:lastRenderedPageBreak/>
        <w:t>metabolism</w:t>
      </w:r>
      <w:r w:rsidR="00E64A4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{"citationID":"a266jgi993i","properties":{"formattedCitation":"\\super 102\\nosupersub{}","plainCitation":"102","noteIndex":0},"citationItems":[{"id":763,"uris":["http://zotero.org/users/4775618/items/NM59HM97"],"uri":["http://zotero.org/users/4775618/items/NM59HM97"],"itemData":{"id":763,"type":"article-journal","title":"Reversed argininosuccinate lyase activity in fumarate hydratase-deficient cancer cells","container-title":"Cancer &amp; Metabolism","page":"12","volume":"1","source":"PubMed Central","abstract":"Background\nLoss of function of fumarate hydratase (FH), the mitochondrial tumor suppressor and tricarboxylic acid (TCA) cycle enzyme, is associated with a highly malignant form of papillary and collecting duct renal cell cancer. The accumulation of fumarate in these cells has been linked to the tumorigenic process. However, little is known about the overall effects of the loss of FH on cellular metabolism.\n\nMethods\nWe performed comprehensive metabolomic analyses of urine from Fh1-deficient mice and stable isotopologue tracing from human and mouse FH-deficient cell lines to investigate the biochemical signature of the loss of FH.\n\nResults\nThe metabolomics analysis revealed that the urea cycle metabolite argininosuccinate is a common metabolic biomarker of FH deficiency. Argininosuccinate was found to be produced from arginine and fumarate by the reverse activity of the urea cycle enzyme argininosuccinate lyase (ASL), making these cells auxotrophic for arginine. Depleting arginine from the growth media by the addition of pegylated arginine deiminase (ADI-PEG 20) decreased the production of argininosuccinate in FH-deficient cells and reduced cell survival and proliferation.\n\nConclusions\nThese results unravel a previously unidentified correlation between fumarate accumulation and the urea cycle enzyme ASL in FH-deficient cells. The finding that FH-deficient cells become auxotrophic for arginine opens a new therapeutic perspective for the cure of hereditary leiomyomatosis and renal cell cancer (HLRCC).","URL":"https://www.ncbi.nlm.nih.gov/pmc/articles/PMC4108060/","DOI":"10.1186/2049-3002-1-12","ISSN":"2049-3002","note":"PMID: 24280230\nPMCID: PMC4108060","journalAbbreviation":"Cancer Metab","author":[{"family":"Zheng","given":"Liang"},{"family":"MacKenzie","given":"Elaine D"},{"family":"Karim","given":"Saadia A"},{"family":"Hedley","given":"Ann"},{"family":"Blyth","given":"Karen"},{"family":"Kalna","given":"Gabriela"},{"family":"Watson","given":"David G"},{"family":"Szlosarek","given":"Peter"},{"family":"Frezza","given":"Christian"},{"family":"Gottlieb","given":"Eyal"}],"issued":{"date-parts":[["2013",3,21]]},"accessed":{"date-parts":[["2018",10,30]]}}}],"schema":"https://github.com/citation-style-language/schema/raw/master/csl-citation.json"} </w:instrText>
      </w:r>
      <w:r w:rsidR="00E64A4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102</w:t>
      </w:r>
      <w:r w:rsidR="00E64A46">
        <w:rPr>
          <w:rFonts w:ascii="Calibri" w:hAnsi="Calibri" w:cs="Calibri"/>
          <w:color w:val="000000" w:themeColor="text1"/>
          <w:sz w:val="22"/>
          <w:szCs w:val="22"/>
        </w:rPr>
        <w:fldChar w:fldCharType="end"/>
      </w:r>
      <w:r w:rsidR="00E4797F" w:rsidRPr="00B946E4">
        <w:rPr>
          <w:rFonts w:ascii="Calibri" w:hAnsi="Calibri" w:cs="Calibri"/>
          <w:color w:val="000000" w:themeColor="text1"/>
          <w:sz w:val="22"/>
          <w:szCs w:val="22"/>
        </w:rPr>
        <w:t xml:space="preserve">. By contrast, intolerance of </w:t>
      </w:r>
      <w:r w:rsidR="00736246" w:rsidRPr="00D637BA">
        <w:rPr>
          <w:rFonts w:ascii="Calibri" w:hAnsi="Calibri" w:cs="Calibri"/>
          <w:color w:val="000000" w:themeColor="text1"/>
          <w:sz w:val="22"/>
          <w:szCs w:val="22"/>
        </w:rPr>
        <w:t>LOH</w:t>
      </w:r>
      <w:r w:rsidR="000167D7">
        <w:rPr>
          <w:rFonts w:ascii="Calibri" w:hAnsi="Calibri" w:cs="Calibri"/>
          <w:color w:val="000000" w:themeColor="text1"/>
          <w:sz w:val="22"/>
          <w:szCs w:val="22"/>
        </w:rPr>
        <w:t xml:space="preserve"> </w:t>
      </w:r>
      <w:r w:rsidR="00736246" w:rsidRPr="00D637BA">
        <w:rPr>
          <w:rFonts w:ascii="Calibri" w:hAnsi="Calibri" w:cs="Calibri"/>
          <w:color w:val="000000" w:themeColor="text1"/>
          <w:sz w:val="22"/>
          <w:szCs w:val="22"/>
        </w:rPr>
        <w:t>in a small proportion of cells and or tissues</w:t>
      </w:r>
      <w:r w:rsidR="00E4797F" w:rsidRPr="00B946E4">
        <w:rPr>
          <w:rFonts w:ascii="Calibri" w:hAnsi="Calibri" w:cs="Calibri"/>
          <w:color w:val="000000" w:themeColor="text1"/>
          <w:sz w:val="22"/>
          <w:szCs w:val="22"/>
        </w:rPr>
        <w:t xml:space="preserve"> might</w:t>
      </w:r>
      <w:r w:rsidR="00736246" w:rsidRPr="00D637BA">
        <w:rPr>
          <w:rFonts w:ascii="Calibri" w:hAnsi="Calibri" w:cs="Calibri"/>
          <w:color w:val="000000" w:themeColor="text1"/>
          <w:sz w:val="22"/>
          <w:szCs w:val="22"/>
        </w:rPr>
        <w:t xml:space="preserve"> result in lethality</w:t>
      </w:r>
      <w:r w:rsidR="00E201FB">
        <w:rPr>
          <w:rFonts w:ascii="Calibri" w:hAnsi="Calibri" w:cs="Calibri"/>
          <w:color w:val="000000" w:themeColor="text1"/>
          <w:sz w:val="22"/>
          <w:szCs w:val="22"/>
        </w:rPr>
        <w:t>,</w:t>
      </w:r>
      <w:r w:rsidR="00D90C97" w:rsidRPr="00B946E4">
        <w:rPr>
          <w:rFonts w:ascii="Calibri" w:hAnsi="Calibri" w:cs="Calibri"/>
          <w:color w:val="000000" w:themeColor="text1"/>
          <w:sz w:val="22"/>
          <w:szCs w:val="22"/>
        </w:rPr>
        <w:t xml:space="preserve"> </w:t>
      </w:r>
      <w:r w:rsidR="00E201FB">
        <w:rPr>
          <w:rFonts w:ascii="Calibri" w:hAnsi="Calibri" w:cs="Calibri"/>
          <w:color w:val="000000" w:themeColor="text1"/>
          <w:sz w:val="22"/>
          <w:szCs w:val="22"/>
        </w:rPr>
        <w:t xml:space="preserve">thereby terminating the </w:t>
      </w:r>
      <w:r w:rsidR="00736246" w:rsidRPr="00D637BA">
        <w:rPr>
          <w:rFonts w:ascii="Calibri" w:hAnsi="Calibri" w:cs="Calibri"/>
          <w:color w:val="000000" w:themeColor="text1"/>
          <w:sz w:val="22"/>
          <w:szCs w:val="22"/>
        </w:rPr>
        <w:t>propagation or replication of genetic perturbation</w:t>
      </w:r>
      <w:r w:rsidR="00E201FB">
        <w:rPr>
          <w:rFonts w:ascii="Calibri" w:hAnsi="Calibri" w:cs="Calibri"/>
          <w:color w:val="000000" w:themeColor="text1"/>
          <w:sz w:val="22"/>
          <w:szCs w:val="22"/>
        </w:rPr>
        <w:t>s</w:t>
      </w:r>
      <w:r w:rsidR="00736246" w:rsidRPr="00D637BA">
        <w:rPr>
          <w:rFonts w:ascii="Calibri" w:hAnsi="Calibri" w:cs="Calibri"/>
          <w:color w:val="000000" w:themeColor="text1"/>
          <w:sz w:val="22"/>
          <w:szCs w:val="22"/>
        </w:rPr>
        <w:t xml:space="preserve"> and thus attenuat</w:t>
      </w:r>
      <w:r w:rsidR="00E201FB">
        <w:rPr>
          <w:rFonts w:ascii="Calibri" w:hAnsi="Calibri" w:cs="Calibri"/>
          <w:color w:val="000000" w:themeColor="text1"/>
          <w:sz w:val="22"/>
          <w:szCs w:val="22"/>
        </w:rPr>
        <w:t>ing</w:t>
      </w:r>
      <w:r w:rsidR="00736246" w:rsidRPr="00D637BA">
        <w:rPr>
          <w:rFonts w:ascii="Calibri" w:hAnsi="Calibri" w:cs="Calibri"/>
          <w:color w:val="000000" w:themeColor="text1"/>
          <w:sz w:val="22"/>
          <w:szCs w:val="22"/>
        </w:rPr>
        <w:t xml:space="preserve"> tumorigenesis. </w:t>
      </w:r>
      <w:r w:rsidR="00BE114B" w:rsidRPr="00D637BA">
        <w:rPr>
          <w:rFonts w:ascii="Calibri" w:hAnsi="Calibri" w:cs="Calibri"/>
          <w:color w:val="000000" w:themeColor="text1"/>
          <w:sz w:val="22"/>
          <w:szCs w:val="22"/>
        </w:rPr>
        <w:t>F</w:t>
      </w:r>
      <w:r w:rsidR="00736246" w:rsidRPr="00D637BA">
        <w:rPr>
          <w:rFonts w:ascii="Calibri" w:hAnsi="Calibri" w:cs="Calibri"/>
          <w:color w:val="000000" w:themeColor="text1"/>
          <w:sz w:val="22"/>
          <w:szCs w:val="22"/>
        </w:rPr>
        <w:t xml:space="preserve">urther understanding </w:t>
      </w:r>
      <w:r w:rsidR="00BE114B" w:rsidRPr="00D637BA">
        <w:rPr>
          <w:rFonts w:ascii="Calibri" w:hAnsi="Calibri" w:cs="Calibri"/>
          <w:color w:val="000000" w:themeColor="text1"/>
          <w:sz w:val="22"/>
          <w:szCs w:val="22"/>
        </w:rPr>
        <w:t xml:space="preserve">of </w:t>
      </w:r>
      <w:r w:rsidR="009878DF" w:rsidRPr="00D637BA">
        <w:rPr>
          <w:rFonts w:ascii="Calibri" w:hAnsi="Calibri" w:cs="Calibri"/>
          <w:color w:val="000000" w:themeColor="text1"/>
          <w:sz w:val="22"/>
          <w:szCs w:val="22"/>
        </w:rPr>
        <w:t xml:space="preserve">the mechanisms that lead </w:t>
      </w:r>
      <w:r w:rsidR="00736246" w:rsidRPr="00D637BA">
        <w:rPr>
          <w:rFonts w:ascii="Calibri" w:hAnsi="Calibri" w:cs="Calibri"/>
          <w:color w:val="000000" w:themeColor="text1"/>
          <w:sz w:val="22"/>
          <w:szCs w:val="22"/>
        </w:rPr>
        <w:t xml:space="preserve">to distinctive patterns of cancer </w:t>
      </w:r>
      <w:r w:rsidR="0090431D">
        <w:rPr>
          <w:rFonts w:ascii="Calibri" w:hAnsi="Calibri" w:cs="Calibri"/>
          <w:color w:val="000000" w:themeColor="text1"/>
          <w:sz w:val="22"/>
          <w:szCs w:val="22"/>
        </w:rPr>
        <w:t xml:space="preserve">development </w:t>
      </w:r>
      <w:r w:rsidR="00736246" w:rsidRPr="00D637BA">
        <w:rPr>
          <w:rFonts w:ascii="Calibri" w:hAnsi="Calibri" w:cs="Calibri"/>
          <w:color w:val="000000" w:themeColor="text1"/>
          <w:sz w:val="22"/>
          <w:szCs w:val="22"/>
        </w:rPr>
        <w:t xml:space="preserve">may </w:t>
      </w:r>
      <w:r w:rsidR="009878DF" w:rsidRPr="00D637BA">
        <w:rPr>
          <w:rFonts w:ascii="Calibri" w:hAnsi="Calibri" w:cs="Calibri"/>
          <w:color w:val="000000" w:themeColor="text1"/>
          <w:sz w:val="22"/>
          <w:szCs w:val="22"/>
        </w:rPr>
        <w:t xml:space="preserve">identify </w:t>
      </w:r>
      <w:r w:rsidR="00736246" w:rsidRPr="00D637BA">
        <w:rPr>
          <w:rFonts w:ascii="Calibri" w:hAnsi="Calibri" w:cs="Calibri"/>
          <w:color w:val="000000" w:themeColor="text1"/>
          <w:sz w:val="22"/>
          <w:szCs w:val="22"/>
        </w:rPr>
        <w:t xml:space="preserve">tissue-specific vulnerabilities that </w:t>
      </w:r>
      <w:r w:rsidR="009878DF" w:rsidRPr="00D637BA">
        <w:rPr>
          <w:rFonts w:ascii="Calibri" w:hAnsi="Calibri" w:cs="Calibri"/>
          <w:color w:val="000000" w:themeColor="text1"/>
          <w:sz w:val="22"/>
          <w:szCs w:val="22"/>
        </w:rPr>
        <w:t>could</w:t>
      </w:r>
      <w:r w:rsidR="0087462E">
        <w:rPr>
          <w:rFonts w:ascii="Calibri" w:hAnsi="Calibri" w:cs="Calibri"/>
          <w:color w:val="000000" w:themeColor="text1"/>
          <w:sz w:val="22"/>
          <w:szCs w:val="22"/>
        </w:rPr>
        <w:t xml:space="preserve"> greatly</w:t>
      </w:r>
      <w:r w:rsidR="0087462E" w:rsidRPr="00D637BA">
        <w:rPr>
          <w:rFonts w:ascii="Calibri" w:hAnsi="Calibri" w:cs="Calibri"/>
          <w:color w:val="000000" w:themeColor="text1"/>
          <w:sz w:val="22"/>
          <w:szCs w:val="22"/>
        </w:rPr>
        <w:t xml:space="preserve"> </w:t>
      </w:r>
      <w:r w:rsidR="00736246" w:rsidRPr="00D637BA">
        <w:rPr>
          <w:rFonts w:ascii="Calibri" w:hAnsi="Calibri" w:cs="Calibri"/>
          <w:color w:val="000000" w:themeColor="text1"/>
          <w:sz w:val="22"/>
          <w:szCs w:val="22"/>
        </w:rPr>
        <w:t xml:space="preserve">impact </w:t>
      </w:r>
      <w:r w:rsidR="00D90C97" w:rsidRPr="00D637BA">
        <w:rPr>
          <w:rFonts w:ascii="Calibri" w:hAnsi="Calibri" w:cs="Calibri"/>
          <w:color w:val="000000" w:themeColor="text1"/>
          <w:sz w:val="22"/>
          <w:szCs w:val="22"/>
        </w:rPr>
        <w:t>the</w:t>
      </w:r>
      <w:r w:rsidR="00736246" w:rsidRPr="00D637BA">
        <w:rPr>
          <w:rFonts w:ascii="Calibri" w:hAnsi="Calibri" w:cs="Calibri"/>
          <w:color w:val="000000" w:themeColor="text1"/>
          <w:sz w:val="22"/>
          <w:szCs w:val="22"/>
        </w:rPr>
        <w:t xml:space="preserve"> future management of these clinically challenging diseases.</w:t>
      </w:r>
    </w:p>
    <w:p w14:paraId="4A7F46B2" w14:textId="00C1542E" w:rsidR="00E167B8" w:rsidRPr="00D637BA" w:rsidRDefault="00D907A2" w:rsidP="00F131BF">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ab/>
      </w:r>
      <w:r w:rsidR="00F131BF" w:rsidRPr="00D637BA">
        <w:rPr>
          <w:rFonts w:ascii="Calibri" w:hAnsi="Calibri" w:cs="Calibri"/>
          <w:color w:val="000000" w:themeColor="text1"/>
          <w:sz w:val="22"/>
          <w:szCs w:val="22"/>
        </w:rPr>
        <w:t xml:space="preserve">In contrast to </w:t>
      </w:r>
      <w:r w:rsidR="00F131BF" w:rsidRPr="00D637BA">
        <w:rPr>
          <w:rFonts w:ascii="Calibri" w:hAnsi="Calibri" w:cs="Calibri"/>
          <w:i/>
          <w:color w:val="000000" w:themeColor="text1"/>
          <w:sz w:val="22"/>
          <w:szCs w:val="22"/>
        </w:rPr>
        <w:t>SDH</w:t>
      </w:r>
      <w:r w:rsidR="00F131BF" w:rsidRPr="00D637BA">
        <w:rPr>
          <w:rFonts w:ascii="Calibri" w:hAnsi="Calibri" w:cs="Calibri"/>
          <w:color w:val="000000" w:themeColor="text1"/>
          <w:sz w:val="22"/>
          <w:szCs w:val="22"/>
        </w:rPr>
        <w:t xml:space="preserve"> and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 xml:space="preserve">, </w:t>
      </w:r>
      <w:r w:rsidR="00F131BF" w:rsidRPr="00D637BA">
        <w:rPr>
          <w:rFonts w:ascii="Calibri" w:hAnsi="Calibri" w:cs="Calibri"/>
          <w:i/>
          <w:color w:val="000000" w:themeColor="text1"/>
          <w:sz w:val="22"/>
          <w:szCs w:val="22"/>
        </w:rPr>
        <w:t>IDH1</w:t>
      </w:r>
      <w:r w:rsidR="00F131BF" w:rsidRPr="00D637BA">
        <w:rPr>
          <w:rFonts w:ascii="Calibri" w:hAnsi="Calibri" w:cs="Calibri"/>
          <w:color w:val="000000" w:themeColor="text1"/>
          <w:sz w:val="22"/>
          <w:szCs w:val="22"/>
        </w:rPr>
        <w:t xml:space="preserve"> and </w:t>
      </w:r>
      <w:r w:rsidR="00434FE4" w:rsidRPr="00D637BA">
        <w:rPr>
          <w:rFonts w:ascii="Calibri" w:hAnsi="Calibri" w:cs="Calibri"/>
          <w:i/>
          <w:color w:val="000000" w:themeColor="text1"/>
          <w:sz w:val="22"/>
          <w:szCs w:val="22"/>
        </w:rPr>
        <w:t>IDH</w:t>
      </w:r>
      <w:r w:rsidR="00F131BF" w:rsidRPr="00D637BA">
        <w:rPr>
          <w:rFonts w:ascii="Calibri" w:hAnsi="Calibri" w:cs="Calibri"/>
          <w:i/>
          <w:color w:val="000000" w:themeColor="text1"/>
          <w:sz w:val="22"/>
          <w:szCs w:val="22"/>
        </w:rPr>
        <w:t>2</w:t>
      </w:r>
      <w:r w:rsidR="00F131BF" w:rsidRPr="00D637BA">
        <w:rPr>
          <w:rFonts w:ascii="Calibri" w:hAnsi="Calibri" w:cs="Calibri"/>
          <w:color w:val="000000" w:themeColor="text1"/>
          <w:sz w:val="22"/>
          <w:szCs w:val="22"/>
        </w:rPr>
        <w:t>, which encode the compartment-specific isoform</w:t>
      </w:r>
      <w:r w:rsidR="009E5FBE"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 of IDH in the cytosol and mitochondria</w:t>
      </w:r>
      <w:r w:rsidR="009E5FBE"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respectively</w:t>
      </w:r>
      <w:r w:rsidR="00E64A4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{"citationID":"ap8jf83ei5","properties":{"formattedCitation":"\\super 103\\nosupersub{}","plainCitation":"103","noteIndex":0},"citationItems":[{"id":1342,"uris":["http://zotero.org/users/4775618/items/KBBYPTJD"],"uri":["http://zotero.org/users/4775618/items/KBBYPTJD"],"itemData":{"id":1342,"type":"article-journal","title":"Mitochondria and cancer","container-title":"Nature Reviews Cancer","page":"685-698","volume":"12","issue":"10","source":"www.nature.com","abstract":"Contrary to conventional wisdom, functional mitochondria are essential for the cancer cell. Although mutations in mitochondrial genes are common in cancer cells, they do not inactivate mitochondrial energy metabolism but rather alter the mitochondrial bioenergetic and biosynthetic state. These states communicate with the nucleus through mitochondrial 'retrograde signalling' to modulate signal transduction pathways, transcriptional circuits and chromatin structure to meet the perceived mitochondrial and nuclear requirements of the cancer cell. Cancer cells then reprogramme adjacent stromal cells to optimize the cancer cell environment. These alterations activate out-of-context programmes that are important in development, stress response, wound healing and nutritional status.","URL":"https://www.nature.com/articles/nrc3365","DOI":"10.1038/nrc3365","ISSN":"1474-1768","language":"en","author":[{"family":"Wallace","given":"Douglas C."}],"issued":{"date-parts":[["2012",10]]},"accessed":{"date-parts":[["2019",2,23]]}}}],"schema":"https://github.com/citation-style-language/schema/raw/master/csl-citation.json"} </w:instrText>
      </w:r>
      <w:r w:rsidR="00E64A4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103</w:t>
      </w:r>
      <w:r w:rsidR="00E64A4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express a dominant pattern of oncogenic behaviour. Somatic mutations in only one copy of the </w:t>
      </w:r>
      <w:r w:rsidR="00F131BF" w:rsidRPr="00D637BA">
        <w:rPr>
          <w:rFonts w:ascii="Calibri" w:hAnsi="Calibri" w:cs="Calibri"/>
          <w:i/>
          <w:color w:val="000000" w:themeColor="text1"/>
          <w:sz w:val="22"/>
          <w:szCs w:val="22"/>
        </w:rPr>
        <w:t>IDH</w:t>
      </w:r>
      <w:r w:rsidR="00F131BF" w:rsidRPr="00D637BA">
        <w:rPr>
          <w:rFonts w:ascii="Calibri" w:hAnsi="Calibri" w:cs="Calibri"/>
          <w:color w:val="000000" w:themeColor="text1"/>
          <w:sz w:val="22"/>
          <w:szCs w:val="22"/>
        </w:rPr>
        <w:t xml:space="preserve"> gene </w:t>
      </w:r>
      <w:r w:rsidR="009E5FBE" w:rsidRPr="00D637BA">
        <w:rPr>
          <w:rFonts w:ascii="Calibri" w:hAnsi="Calibri" w:cs="Calibri"/>
          <w:color w:val="000000" w:themeColor="text1"/>
          <w:sz w:val="22"/>
          <w:szCs w:val="22"/>
        </w:rPr>
        <w:t>(</w:t>
      </w:r>
      <w:r w:rsidR="00140DD6" w:rsidRPr="00D637BA">
        <w:rPr>
          <w:rFonts w:ascii="Calibri" w:hAnsi="Calibri" w:cs="Calibri"/>
          <w:color w:val="000000" w:themeColor="text1"/>
          <w:sz w:val="22"/>
          <w:szCs w:val="22"/>
        </w:rPr>
        <w:t>one</w:t>
      </w:r>
      <w:r w:rsidR="00F131BF" w:rsidRPr="00D637BA">
        <w:rPr>
          <w:rFonts w:ascii="Calibri" w:hAnsi="Calibri" w:cs="Calibri"/>
          <w:color w:val="000000" w:themeColor="text1"/>
          <w:sz w:val="22"/>
          <w:szCs w:val="22"/>
        </w:rPr>
        <w:t xml:space="preserve"> wild</w:t>
      </w:r>
      <w:r w:rsidR="009E5FBE"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type copy </w:t>
      </w:r>
      <w:r w:rsidR="00140DD6" w:rsidRPr="00B946E4">
        <w:rPr>
          <w:rFonts w:ascii="Calibri" w:hAnsi="Calibri" w:cs="Calibri"/>
          <w:color w:val="000000" w:themeColor="text1"/>
          <w:sz w:val="22"/>
          <w:szCs w:val="22"/>
        </w:rPr>
        <w:t>is retained</w:t>
      </w:r>
      <w:r w:rsidR="009E5FBE" w:rsidRPr="00D637BA">
        <w:rPr>
          <w:rFonts w:ascii="Calibri" w:hAnsi="Calibri" w:cs="Calibri"/>
          <w:color w:val="000000" w:themeColor="text1"/>
          <w:sz w:val="22"/>
          <w:szCs w:val="22"/>
        </w:rPr>
        <w:t>)</w:t>
      </w:r>
      <w:r w:rsidR="009878DF" w:rsidRPr="00D637BA">
        <w:rPr>
          <w:rFonts w:ascii="Calibri" w:hAnsi="Calibri" w:cs="Calibri"/>
          <w:color w:val="000000" w:themeColor="text1"/>
          <w:sz w:val="22"/>
          <w:szCs w:val="22"/>
        </w:rPr>
        <w:t xml:space="preserve"> that confer </w:t>
      </w:r>
      <w:r w:rsidR="009E5FBE" w:rsidRPr="00B946E4">
        <w:rPr>
          <w:rFonts w:ascii="Calibri" w:hAnsi="Calibri" w:cs="Calibri"/>
          <w:color w:val="000000" w:themeColor="text1"/>
          <w:sz w:val="22"/>
          <w:szCs w:val="22"/>
        </w:rPr>
        <w:t xml:space="preserve">the neomorphic gain-of-function activity </w:t>
      </w:r>
      <w:r w:rsidR="009878DF" w:rsidRPr="00B946E4">
        <w:rPr>
          <w:rFonts w:ascii="Calibri" w:hAnsi="Calibri" w:cs="Calibri"/>
          <w:color w:val="000000" w:themeColor="text1"/>
          <w:sz w:val="22"/>
          <w:szCs w:val="22"/>
        </w:rPr>
        <w:t xml:space="preserve">that </w:t>
      </w:r>
      <w:r w:rsidR="009E5FBE" w:rsidRPr="00B946E4">
        <w:rPr>
          <w:rFonts w:ascii="Calibri" w:hAnsi="Calibri" w:cs="Calibri"/>
          <w:color w:val="000000" w:themeColor="text1"/>
          <w:sz w:val="22"/>
          <w:szCs w:val="22"/>
        </w:rPr>
        <w:t>convert</w:t>
      </w:r>
      <w:r w:rsidR="009878DF" w:rsidRPr="00B946E4">
        <w:rPr>
          <w:rFonts w:ascii="Calibri" w:hAnsi="Calibri" w:cs="Calibri"/>
          <w:color w:val="000000" w:themeColor="text1"/>
          <w:sz w:val="22"/>
          <w:szCs w:val="22"/>
        </w:rPr>
        <w:t>s</w:t>
      </w:r>
      <w:r w:rsidR="009E5FBE" w:rsidRPr="00B946E4">
        <w:rPr>
          <w:rFonts w:ascii="Calibri" w:hAnsi="Calibri" w:cs="Calibri"/>
          <w:color w:val="000000" w:themeColor="text1"/>
          <w:sz w:val="22"/>
          <w:szCs w:val="22"/>
        </w:rPr>
        <w:t xml:space="preserve"> αKG into D2HG</w:t>
      </w:r>
      <w:r w:rsidR="00E64A4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{"citationID":"apf96cvl94","properties":{"formattedCitation":"\\super 58\\nosupersub{}","plainCitation":"58","noteIndex":0},"citationItems":[{"id":587,"uris":["http://zotero.org/users/4775618/items/D6AQCL24"],"uri":["http://zotero.org/users/4775618/items/D6AQCL24"],"itemData":{"id":587,"type":"article-journal","title":"Cancer-associated IDH1 mutations produce 2-hydroxyglutarate","container-title":"Nature","page":"739-744","volume":"462","issue":"7274","source":"www.nature.com","abstract":"Mutations in the enzyme cytosolic isocitrate dehydrogenase 1 (IDH1) are a common feature of a major subset of primary human brain cancers. These mutations occur at a single amino acid residue of the IDH1 active site, resulting in loss of the enzyme’s ability to catalyse conversion of isocitrate to α-ketoglutarate. However, only a single copy of the gene is mutated in tumours, raising the possibility that the mutations do not result in a simple loss of function. Here we show that cancer-associated IDH1 mutations result in a new ability of the enzyme to catalyse the NADPH-dependent reduction of α-ketoglutarate to R(-)-2-hydroxyglutarate (2HG). Structural studies demonstrate that when arginine 132 is mutated to histidine, residues in the active site are shifted to produce structural changes consistent with reduced oxidative decarboxylation of isocitrate and acquisition of the ability to convert α-ketoglutarate to 2HG. Excess accumulation of 2HG has been shown to lead to an elevated risk of malignant brain tumours in patients with inborn errors of 2HG metabolism. Similarly, in human malignant gliomas harbouring IDH1 mutations, we find markedly elevated levels of 2HG. These data demonstrate that the IDH1 mutations result in production of the onco-metabolite 2HG, and indicate that the excess 2HG which accumulates in vivo contributes to the formation and malignant progression of gliomas.","DOI":"10.1038/nature08617","ISSN":"1476-4687","language":"en","author":[{"family":"Dang","given":"Lenny"},{"family":"White","given":"David W."},{"family":"Gross","given":"Stefan"},{"family":"Bennett","given":"Bryson D."},{"family":"Bittinger","given":"Mark A."},{"family":"Driggers","given":"Edward M."},{"family":"Fantin","given":"Valeria R."},{"family":"Jang","given":"Hyun Gyung"},{"family":"Jin","given":"Shengfang"},{"family":"Keenan","given":"Marie C."},{"family":"Marks","given":"Kevin M."},{"family":"Prins","given":"Robert M."},{"family":"Ward","given":"Patrick S."},{"family":"Yen","given":"Katharine E."},{"family":"Liau","given":"Linda M."},{"family":"Rabinowitz","given":"Joshua D."},{"family":"Cantley","given":"Lewis C."},{"family":"Thompson","given":"Craig B."},{"family":"Heiden","given":"Matthew G. Vander"},{"family":"Su","given":"Shinsan M."}],"issued":{"date-parts":[["2009",12]]},"accessed":{"date-parts":[["2018",8,20]]}}}],"schema":"https://github.com/citation-style-language/schema/raw/master/csl-citation.json"} </w:instrText>
      </w:r>
      <w:r w:rsidR="00E64A4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58</w:t>
      </w:r>
      <w:r w:rsidR="00E64A46">
        <w:rPr>
          <w:rFonts w:ascii="Calibri" w:hAnsi="Calibri" w:cs="Calibri"/>
          <w:color w:val="000000" w:themeColor="text1"/>
          <w:sz w:val="22"/>
          <w:szCs w:val="22"/>
        </w:rPr>
        <w:fldChar w:fldCharType="end"/>
      </w:r>
      <w:r w:rsidR="009E5FBE" w:rsidRPr="00D637BA">
        <w:rPr>
          <w:rFonts w:ascii="Calibri" w:hAnsi="Calibri" w:cs="Calibri"/>
          <w:color w:val="000000" w:themeColor="text1"/>
          <w:sz w:val="22"/>
          <w:szCs w:val="22"/>
        </w:rPr>
        <w:t xml:space="preserve"> have been </w:t>
      </w:r>
      <w:r w:rsidR="00F131BF" w:rsidRPr="00D637BA">
        <w:rPr>
          <w:rFonts w:ascii="Calibri" w:hAnsi="Calibri" w:cs="Calibri"/>
          <w:color w:val="000000" w:themeColor="text1"/>
          <w:sz w:val="22"/>
          <w:szCs w:val="22"/>
        </w:rPr>
        <w:t>observed in multiple cancers including gliomas</w:t>
      </w:r>
      <w:r w:rsidR="00E64A4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{"citationID":"a1m2ta7np37","properties":{"formattedCitation":"\\super 72,104\\nosupersub{}","plainCitation":"72,104","noteIndex":0},"citationItems":[{"id":718,"uris":["http://zotero.org/users/4775618/items/DSXDSGWL"],"uri":["http://zotero.org/users/4775618/items/DSXDSGWL"],"itemData":{"id":718,"type":"article-journal","title":"An integrated genomic analysis of human glioblastoma multiforme","container-title":"Science (New York, N.Y.)","page":"1807-1812","volume":"321","issue":"5897","source":"PubMed","abstract":"Glioblastoma multiforme (GBM) is the most common and lethal type of brain cancer. To identify the genetic alterations in GBMs, we sequenced 20,661 protein coding genes, determined the presence of amplifications and deletions using high-density oligonucleotide arrays, and performed gene expression analyses using next-generation sequencing technologies in 22 human tumor samples. This comprehensive analysis led to the discovery of a variety of genes that were not known to be altered in GBMs. Most notably, we found recurrent mutations in the active site of isocitrate dehydrogenase 1 (IDH1) in 12% of GBM patients. Mutations in IDH1 occurred in a large fraction of young patients and in most patients with secondary GBMs and were associated with an increase in overall survival. These studies demonstrate the value of unbiased genomic analyses in the characterization of human brain cancer and identify a potentially useful genetic alteration for the classification and targeted therapy of GBMs.","DOI":"10.1126/science.1164382","ISSN":"1095-9203","note":"PMID: 18772396\nPMCID: PMC2820389","journalAbbreviation":"Science","language":"eng","author":[{"family":"Parsons","given":"D. Williams"},{"family":"Jones","given":"Siân"},{"family":"Zhang","given":"Xiaosong"},{"family":"Lin","given":"Jimmy Cheng-Ho"},{"family":"Leary","given":"Rebecca J."},{"family":"Angenendt","given":"Philipp"},{"family":"Mankoo","given":"Parminder"},{"family":"Carter","given":"Hannah"},{"family":"Siu","given":"I.-Mei"},{"family":"Gallia","given":"Gary L."},{"family":"Olivi","given":"Alessandro"},{"family":"McLendon","given":"Roger"},{"family":"Rasheed","given":"B. Ahmed"},{"family":"Keir","given":"Stephen"},{"family":"Nikolskaya","given":"Tatiana"},{"family":"Nikolsky","given":"Yuri"},{"family":"Busam","given":"Dana A."},{"family":"Tekleab","given":"Hanna"},{"family":"Diaz","given":"Luis A."},{"family":"Hartigan","given":"James"},{"family":"Smith","given":"Doug R."},{"family":"Strausberg","given":"Robert L."},{"family":"Marie","given":"Suely Kazue Nagahashi"},{"family":"Shinjo","given":"Sueli Mieko Oba"},{"family":"Yan","given":"Hai"},{"family":"Riggins","given":"Gregory J."},{"family":"Bigner","given":"Darell D."},{"family":"Karchin","given":"Rachel"},{"family":"Papadopoulos","given":"Nick"},{"family":"Parmigiani","given":"Giovanni"},{"family":"Vogelstein","given":"Bert"},{"family":"Velculescu","given":"Victor E."},{"family":"Kinzler","given":"Kenneth W."}],"issued":{"date-parts":[["2008",9,26]]}}},{"id":630,"uris":["http://zotero.org/users/4775618/items/EDYFZN5J"],"uri":["http://zotero.org/users/4775618/items/EDYFZN5J"],"itemData":{"id":630,"type":"article-journal","title":"IDH1 and IDH2 Mutations in Gliomas","container-title":"The New England journal of medicine","page":"765-773","volume":"360","issue":"8","source":"PubMed Central","abstract":"BACKGROUND\nA recent genomewide mutational analysis of glioblastomas (World Health Organization [WHO] grade IV glioma) revealed somatic mutations of the isocitrate dehydrogenase 1 gene (IDH1) in a fraction of such tumors, most frequently in tumors that were known to have evolved from lower-grade gliomas (secondary glioblastomas).\n\nMETHODS\nWe determined the sequence of the IDH1 gene and the related IDH2 gene in 445 central nervous system (CNS) tumors and 494 non-CNS tumors. The enzymatic activity of the proteins that were produced from normal and mutant IDH1 and IDH2 genes was determined in cultured glioma cells that were transfected with these genes.\n\nRESULTS\nWe identified mutations that affected amino acid 132 of IDH1 in more than 70% of WHO grade II and III astrocytomas and oligodendrogliomas and in glioblastomas that developed from these lower-grade lesions. Tumors without mutations in IDH1 often had mutations affecting the analogous amino acid (R172) of the IDH2 gene. Tumors with IDH1 or IDH2 mutations had distinctive genetic and clinical characteristics, and patients with such tumors had a better outcome than those with wild-type IDH genes. Each of four tested IDH1 and IDH2 mutations reduced the enzymatic activity of the encoded protein.\n\nCONCLUSIONS\nMutations of NADP+-dependent isocitrate dehydrogenases encoded by IDH1 and IDH2 occur in a majority of several types of malignant gliomas.","URL":"https://www.ncbi.nlm.nih.gov/pmc/articles/PMC2820383/","DOI":"10.1056/NEJMoa0808710","ISSN":"0028-4793","note":"PMID: 19228619\nPMCID: PMC2820383","journalAbbreviation":"N Engl J Med","author":[{"family":"Yan","given":"Hai"},{"family":"Parsons","given":"D. Williams"},{"family":"Jin","given":"Genglin"},{"family":"McLendon","given":"Roger"},{"family":"Rasheed","given":"B. Ahmed"},{"family":"Yuan","given":"Weishi"},{"family":"Kos","given":"Ivan"},{"family":"Batinic-Haberle","given":"Ines"},{"family":"Jones","given":"Siân"},{"family":"Riggins","given":"Gregory J."},{"family":"Friedman","given":"Henry"},{"family":"Friedman","given":"Allan"},{"family":"Reardon","given":"David"},{"family":"Herndon","given":"James"},{"family":"Kinzler","given":"Kenneth W."},{"family":"Velculescu","given":"Victor E."},{"family":"Vogelstein","given":"Bert"},{"family":"Bigner","given":"Darell D."}],"issued":{"date-parts":[["2009",2,19]]},"accessed":{"date-parts":[["2018",8,25]]}}}],"schema":"https://github.com/citation-style-language/schema/raw/master/csl-citation.json"} </w:instrText>
      </w:r>
      <w:r w:rsidR="00E64A4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72,104</w:t>
      </w:r>
      <w:r w:rsidR="00E64A4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and acute myeloid leukemia</w:t>
      </w:r>
      <w:r w:rsidR="00E64A4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{"citationID":"a2lnkh1lqsc","properties":{"formattedCitation":"\\super 105\\nosupersub{}","plainCitation":"105","noteIndex":0},"citationItems":[{"id":716,"uris":["http://zotero.org/users/4775618/items/STE8BT9I"],"uri":["http://zotero.org/users/4775618/items/STE8BT9I"],"itemData":{"id":716,"type":"article-journal","title":"IDH1 and IDH2 gene mutations identify novel molecular subsets within de novo cytogenetically normal acute myeloid leukemia: a Cancer and Leukemia Group B study","container-title":"Journal of Clinical Oncology: Official Journal of the American Society of Clinical Oncology","page":"2348-2355","volume":"28","issue":"14","source":"PubMed","abstract":"PURPOSE To analyze the frequency and associations with prognostic markers and outcome of mutations in IDH genes encoding isocitrate dehydrogenases in adult de novo cytogenetically normal acute myeloid leukemia (CN-AML). PATIENTS AND METHODS Diagnostic bone marrow or blood samples from 358 patients were analyzed for IDH1 and IDH2 mutations by DNA polymerase chain reaction amplification/sequencing. FLT3, NPM1, CEBPA, WT1, and MLL mutational analyses and gene- and microRNA-expression profiling were performed centrally. Results IDH mutations were found in 33% of the patients. IDH1 mutations were detected in 49 patients (14%; 47 with R132). IDH2 mutations, previously unreported in AML, were detected in 69 patients (19%; 13 with R172 and 56 with R140). R172 IDH2 mutations were mutually exclusive with all other prognostic mutations analyzed. Younger age (&lt; 60 years), molecular low-risk (NPM1-mutated/FLT3-internal tandem duplication-negative) IDH1-mutated patients had shorter disease-free survival than molecular low-risk IDH1/IDH2-wild-type (wt) patients (P = .046). R172 IDH2-mutated patients had lower complete remission rates than IDH1/IDH2wt patients (P = .007). Distinctive microarray gene- and microRNA-expression profiles accurately predicted R172 IDH2 mutations. The highest expressed gene and microRNAs in R172 IDH2-mutated patients compared with the IDH1/IDH2wt patients were APP (previously associated with complex karyotype AML) and miR-1 and miR-133 (involved in embryonal stem-cell differentiation), respectively. CONCLUSION IDH1 and IDH2 mutations are recurrent in CN-AML and have an unfavorable impact on outcome. The R172 IDH2 mutations, previously unreported in AML, characterize a novel subset of CN-AML patients lacking other prognostic mutations and associate with unique gene- and microRNA-expression profiles that may lead to the discovery of novel, therapeutically targetable leukemogenic mechanisms.","DOI":"10.1200/JCO.2009.27.3730","ISSN":"1527-7755","note":"PMID: 20368543\nPMCID: PMC2881719","title-short":"IDH1 and IDH2 gene mutations identify novel molecular subsets within de novo cytogenetically normal acute myeloid leukemia","journalAbbreviation":"J. Clin. Oncol.","language":"eng","author":[{"family":"Marcucci","given":"Guido"},{"family":"Maharry","given":"Kati"},{"family":"Wu","given":"Yue-Zhong"},{"family":"Radmacher","given":"Michael D."},{"family":"Mrózek","given":"Krzysztof"},{"family":"Margeson","given":"Dean"},{"family":"Holland","given":"Kelsi B."},{"family":"Whitman","given":"Susan P."},{"family":"Becker","given":"Heiko"},{"family":"Schwind","given":"Sebastian"},{"family":"Metzeler","given":"Klaus H."},{"family":"Powell","given":"Bayard L."},{"family":"Carter","given":"Thomas H."},{"family":"Kolitz","given":"Jonathan E."},{"family":"Wetzler","given":"Meir"},{"family":"Carroll","given":"Andrew J."},{"family":"Baer","given":"Maria R."},{"family":"Caligiuri","given":"Michael A."},{"family":"Larson","given":"Richard A."},{"family":"Bloomfield","given":"Clara D."}],"issued":{"date-parts":[["2010",5,10]]}}}],"schema":"https://github.com/citation-style-language/schema/raw/master/csl-citation.json"} </w:instrText>
      </w:r>
      <w:r w:rsidR="00E64A4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105</w:t>
      </w:r>
      <w:r w:rsidR="00E64A4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EC5ADB">
        <w:rPr>
          <w:rFonts w:ascii="Calibri" w:hAnsi="Calibri" w:cs="Calibri"/>
          <w:color w:val="000000" w:themeColor="text1"/>
          <w:sz w:val="22"/>
          <w:szCs w:val="22"/>
        </w:rPr>
        <w:t xml:space="preserve">In addition, </w:t>
      </w:r>
      <w:r w:rsidR="00F131BF" w:rsidRPr="00D637BA">
        <w:rPr>
          <w:rFonts w:ascii="Calibri" w:hAnsi="Calibri" w:cs="Calibri"/>
          <w:color w:val="000000" w:themeColor="text1"/>
          <w:sz w:val="22"/>
          <w:szCs w:val="22"/>
        </w:rPr>
        <w:t>D2HG accumulation</w:t>
      </w:r>
      <w:r w:rsidR="00B122D4">
        <w:rPr>
          <w:rFonts w:ascii="Calibri" w:hAnsi="Calibri" w:cs="Calibri"/>
          <w:color w:val="000000" w:themeColor="text1"/>
          <w:sz w:val="22"/>
          <w:szCs w:val="22"/>
        </w:rPr>
        <w:t xml:space="preserve"> has also been demonstrated</w:t>
      </w:r>
      <w:r w:rsidR="00F131BF" w:rsidRPr="00D637BA">
        <w:rPr>
          <w:rFonts w:ascii="Calibri" w:hAnsi="Calibri" w:cs="Calibri"/>
          <w:color w:val="000000" w:themeColor="text1"/>
          <w:sz w:val="22"/>
          <w:szCs w:val="22"/>
        </w:rPr>
        <w:t xml:space="preserve"> as a result of loss-of-function mutations in </w:t>
      </w:r>
      <w:r w:rsidR="00F131BF" w:rsidRPr="00D637BA">
        <w:rPr>
          <w:rFonts w:ascii="Calibri" w:hAnsi="Calibri" w:cs="Calibri"/>
          <w:i/>
          <w:color w:val="000000" w:themeColor="text1"/>
          <w:sz w:val="22"/>
          <w:szCs w:val="22"/>
        </w:rPr>
        <w:t xml:space="preserve">D2HGDH </w:t>
      </w:r>
      <w:r w:rsidR="00F131BF" w:rsidRPr="00D637BA">
        <w:rPr>
          <w:rFonts w:ascii="Calibri" w:hAnsi="Calibri" w:cs="Calibri"/>
          <w:color w:val="000000" w:themeColor="text1"/>
          <w:sz w:val="22"/>
          <w:szCs w:val="22"/>
        </w:rPr>
        <w:t>observed in a small subset of large B-cell lymphoma</w:t>
      </w:r>
      <w:r w:rsidR="009E5FBE" w:rsidRPr="00D637BA">
        <w:rPr>
          <w:rFonts w:ascii="Calibri" w:hAnsi="Calibri" w:cs="Calibri"/>
          <w:color w:val="000000" w:themeColor="text1"/>
          <w:sz w:val="22"/>
          <w:szCs w:val="22"/>
        </w:rPr>
        <w:t>s</w:t>
      </w:r>
      <w:r w:rsidR="00E64A4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{"citationID":"a1eri67qfbf","properties":{"formattedCitation":"\\super 106\\nosupersub{}","plainCitation":"106","noteIndex":0},"citationItems":[{"id":1718,"uris":["http://zotero.org/users/4775618/items/KZMXZ5IM"],"uri":["http://zotero.org/users/4775618/items/KZMXZ5IM"],"itemData":{"id":1718,"type":"article-journal","title":"D2HGDH regulates alpha-ketoglutarate levels and dioxygenase function by modulating IDH2","container-title":"Nature Communications","page":"7768","volume":"6","source":"PubMed","abstract":"Isocitrate dehydrogenases (IDH) convert isocitrate to alpha-ketoglutarate (α-KG). In cancer, mutant IDH1/2 reduces α-KG to D2-hydroxyglutarate (D2-HG) disrupting α-KG-dependent dioxygenases. However, the physiological relevance of controlling the interconversion of D2-HG into α-KG, mediated by D2-hydroxyglutarate dehydrogenase (D2HGDH), remains obscure. Here we show that wild-type D2HGDH elevates α-KG levels, influencing histone and DNA methylation, and HIF1α hydroxylation. Conversely, the D2HGDH mutants that we find in diffuse large B-cell lymphoma are enzymatically inert. D2-HG is a low-abundance metabolite, but we show that it can meaningfully elevate α-KG levels by positively modulating mitochondrial IDH activity and inducing IDH2 expression. Accordingly, genetic depletion of IDH2 abrogates D2HGDH effects, whereas ectopic IDH2 rescues D2HGDH-deficient cells. Our data link D2HGDH to cancer and describe an additional role for the enzyme: the regulation of IDH2 activity and α-KG-mediated epigenetic remodelling. These data further expose the intricacies of mitochondrial metabolism and inform on the pathogenesis of D2HGDH-deficient diseases.","DOI":"10.1038/ncomms8768","ISSN":"2041-1723","note":"PMID: 26178471\nPMCID: PMC4515030","journalAbbreviation":"Nat Commun","language":"eng","author":[{"family":"Lin","given":"An-Ping"},{"family":"Abbas","given":"Saman"},{"family":"Kim","given":"Sang-Woo"},{"family":"Ortega","given":"Manoela"},{"family":"Bouamar","given":"Hakim"},{"family":"Escobedo","given":"Yissela"},{"family":"Varadarajan","given":"Prakash"},{"family":"Qin","given":"Yuejuan"},{"family":"Sudderth","given":"Jessica"},{"family":"Schulz","given":"Eduard"},{"family":"Deutsch","given":"Alexander"},{"family":"Mohan","given":"Sumitra"},{"family":"Ulz","given":"Peter"},{"family":"Neumeister","given":"Peter"},{"family":"Rakheja","given":"Dinesh"},{"family":"Gao","given":"Xiaoli"},{"family":"Hinck","given":"Andrew"},{"family":"Weintraub","given":"Susan T."},{"family":"DeBerardinis","given":"Ralph J."},{"family":"Sill","given":"Heinz"},{"family":"Dahia","given":"Patricia L. M."},{"family":"Aguiar","given":"Ricardo C. T."}],"issued":{"date-parts":[["2015",7,16]]}}}],"schema":"https://github.com/citation-style-language/schema/raw/master/csl-citation.json"} </w:instrText>
      </w:r>
      <w:r w:rsidR="00E64A4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106</w:t>
      </w:r>
      <w:r w:rsidR="00E64A4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r w:rsidR="00B122D4">
        <w:rPr>
          <w:rFonts w:ascii="Calibri" w:hAnsi="Calibri" w:cs="Calibri"/>
          <w:color w:val="000000" w:themeColor="text1"/>
          <w:sz w:val="22"/>
          <w:szCs w:val="22"/>
        </w:rPr>
        <w:t xml:space="preserve"> as well as</w:t>
      </w:r>
      <w:r w:rsidR="006C6088">
        <w:rPr>
          <w:rFonts w:ascii="Calibri" w:hAnsi="Calibri" w:cs="Calibri"/>
          <w:color w:val="000000" w:themeColor="text1"/>
          <w:sz w:val="22"/>
          <w:szCs w:val="22"/>
        </w:rPr>
        <w:t xml:space="preserve"> </w:t>
      </w:r>
      <w:r w:rsidR="00EC5ADB">
        <w:rPr>
          <w:rFonts w:ascii="Calibri" w:hAnsi="Calibri" w:cs="Calibri"/>
          <w:color w:val="000000" w:themeColor="text1"/>
          <w:sz w:val="22"/>
          <w:szCs w:val="22"/>
        </w:rPr>
        <w:t xml:space="preserve">in </w:t>
      </w:r>
      <w:r w:rsidR="006C6088">
        <w:rPr>
          <w:rFonts w:ascii="Calibri" w:hAnsi="Calibri" w:cs="Calibri"/>
          <w:color w:val="000000" w:themeColor="text1"/>
          <w:sz w:val="22"/>
          <w:szCs w:val="22"/>
        </w:rPr>
        <w:t xml:space="preserve">the off target, substrate-promiscuous </w:t>
      </w:r>
      <w:r w:rsidR="006C6088" w:rsidRPr="00D637BA">
        <w:rPr>
          <w:rFonts w:ascii="Calibri" w:hAnsi="Calibri" w:cs="Calibri"/>
          <w:color w:val="000000" w:themeColor="text1"/>
          <w:sz w:val="22"/>
          <w:szCs w:val="22"/>
        </w:rPr>
        <w:t>activity of D-3-phosphoglycerate dehydrogenase (PHGDH)</w:t>
      </w:r>
      <w:r w:rsidR="00EC5ADB">
        <w:rPr>
          <w:rFonts w:ascii="Calibri" w:hAnsi="Calibri" w:cs="Calibri"/>
          <w:color w:val="000000" w:themeColor="text1"/>
          <w:sz w:val="22"/>
          <w:szCs w:val="22"/>
        </w:rPr>
        <w:t>,</w:t>
      </w:r>
      <w:r w:rsidR="006C6088">
        <w:rPr>
          <w:rFonts w:ascii="Calibri" w:hAnsi="Calibri" w:cs="Calibri"/>
          <w:color w:val="000000" w:themeColor="text1"/>
          <w:sz w:val="22"/>
          <w:szCs w:val="22"/>
        </w:rPr>
        <w:t xml:space="preserve"> </w:t>
      </w:r>
      <w:r w:rsidR="00EC5ADB">
        <w:rPr>
          <w:rFonts w:ascii="Calibri" w:hAnsi="Calibri" w:cs="Calibri"/>
          <w:color w:val="000000" w:themeColor="text1"/>
          <w:sz w:val="22"/>
          <w:szCs w:val="22"/>
        </w:rPr>
        <w:t>which catalyse</w:t>
      </w:r>
      <w:r w:rsidR="009A01D5">
        <w:rPr>
          <w:rFonts w:ascii="Calibri" w:hAnsi="Calibri" w:cs="Calibri"/>
          <w:color w:val="000000" w:themeColor="text1"/>
          <w:sz w:val="22"/>
          <w:szCs w:val="22"/>
        </w:rPr>
        <w:t>s</w:t>
      </w:r>
      <w:r w:rsidR="006C6088" w:rsidRPr="00D637BA">
        <w:rPr>
          <w:rFonts w:ascii="Calibri" w:hAnsi="Calibri" w:cs="Calibri"/>
          <w:color w:val="000000" w:themeColor="text1"/>
          <w:sz w:val="22"/>
          <w:szCs w:val="22"/>
        </w:rPr>
        <w:t xml:space="preserve"> the conversion of αKG to D2HG</w:t>
      </w:r>
      <w:r w:rsidR="006C6088">
        <w:rPr>
          <w:rFonts w:ascii="Calibri" w:hAnsi="Calibri" w:cs="Calibri"/>
          <w:color w:val="000000" w:themeColor="text1"/>
          <w:sz w:val="22"/>
          <w:szCs w:val="22"/>
        </w:rPr>
        <w:t>,</w:t>
      </w:r>
      <w:r w:rsidR="006C6088" w:rsidRPr="00D637BA">
        <w:rPr>
          <w:rFonts w:ascii="Calibri" w:hAnsi="Calibri" w:cs="Calibri"/>
          <w:color w:val="000000" w:themeColor="text1"/>
          <w:sz w:val="22"/>
          <w:szCs w:val="22"/>
        </w:rPr>
        <w:t xml:space="preserve"> in </w:t>
      </w:r>
      <w:r w:rsidR="006C6088" w:rsidRPr="00D637BA">
        <w:rPr>
          <w:rFonts w:ascii="Calibri" w:hAnsi="Calibri" w:cs="Calibri"/>
          <w:i/>
          <w:color w:val="000000" w:themeColor="text1"/>
          <w:sz w:val="22"/>
          <w:szCs w:val="22"/>
        </w:rPr>
        <w:t>IDH</w:t>
      </w:r>
      <w:r w:rsidR="006C6088" w:rsidRPr="00D637BA">
        <w:rPr>
          <w:rFonts w:ascii="Calibri" w:hAnsi="Calibri" w:cs="Calibri"/>
          <w:color w:val="000000" w:themeColor="text1"/>
          <w:sz w:val="22"/>
          <w:szCs w:val="22"/>
        </w:rPr>
        <w:t>-wild type breast cancer cells</w:t>
      </w:r>
      <w:r w:rsidR="00E64A4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{"citationID":"aif1kkjb2p","properties":{"formattedCitation":"\\super 107\\nosupersub{}","plainCitation":"107","noteIndex":0},"citationItems":[{"id":1489,"uris":["http://zotero.org/users/4775618/items/N4AFEZE8"],"uri":["http://zotero.org/users/4775618/items/N4AFEZE8"],"itemData":{"id":1489,"type":"article-journal","title":"Human Phosphoglycerate Dehydrogenase Produces the Oncometabolite d-2-Hydroxyglutarate","container-title":"ACS Chemical Biology","page":"510-516","volume":"10","issue":"2","source":"ACS Publications","abstract":"Human d-3-phosphoglycerate dehydrogenase (PHGDH), the first enzyme in the serine biosynthetic pathway, is genomically amplified in tumors including breast cancer and melanoma. In PHGDH-amplified cancer cells, knockdown of PHGDH is not fully rescued by exogenous serine, suggesting possible additional growth-promoting roles for the enzyme. Here we show that, in addition to catalyzing oxidation of 3-phosphoglycerate, PHGDH catalyzes NADH-dependent reduction of α-ketoglutarate (AKG) to the oncometabolite d-2-hydroxyglutarate (d-2HG). Knockdown of PHGDH decreased cellular 2HG by approximately 50% in the PHGDH-amplified breast cancer cell lines MDA-MB-468 (normal concentration 93 μM) and BT-20 (normal concentration 35 μM) and overexpression of PHGDH increased cellular 2HG by over 2-fold in non-PHGDH-amplified MDA-MB-231 breast cancer cells, which normally display very low PHGDH expression. The reduced 2HG level in PHGDH knockdown cell lines can be rescued by PHGDH re-expression, but not by a catalytically inactive PHGDH mutant. The initial connection between cancer and d-2HG involved production of high levels of d-2HG by mutant isocitrate dehydrogenase. More recently, however, elevated d-2HG has been observed in breast cancer tumors without isocitrate dehydrogenase mutation. Our results suggest that PHGDH is one source of this d-2HG.","URL":"https://doi.org/10.1021/cb500683c","DOI":"10.1021/cb500683c","ISSN":"1554-8929","journalAbbreviation":"ACS Chem. Biol.","author":[{"family":"Fan","given":"Jing"},{"family":"Teng","given":"Xin"},{"family":"Liu","given":"Ling"},{"family":"Mattaini","given":"Katherine R."},{"family":"Looper","given":"Ryan E."},{"family":"Vander Heiden","given":"Matthew G."},{"family":"Rabinowitz","given":"Joshua D."}],"issued":{"date-parts":[["2015",2,20]]},"accessed":{"date-parts":[["2019",2,25]]}}}],"schema":"https://github.com/citation-style-language/schema/raw/master/csl-citation.json"} </w:instrText>
      </w:r>
      <w:r w:rsidR="00E64A4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107</w:t>
      </w:r>
      <w:r w:rsidR="00E64A46">
        <w:rPr>
          <w:rFonts w:ascii="Calibri" w:hAnsi="Calibri" w:cs="Calibri"/>
          <w:color w:val="000000" w:themeColor="text1"/>
          <w:sz w:val="22"/>
          <w:szCs w:val="22"/>
        </w:rPr>
        <w:fldChar w:fldCharType="end"/>
      </w:r>
      <w:r w:rsidR="00FD7047">
        <w:rPr>
          <w:rFonts w:ascii="Calibri" w:hAnsi="Calibri" w:cs="Calibri"/>
          <w:color w:val="000000" w:themeColor="text1"/>
          <w:sz w:val="22"/>
          <w:szCs w:val="22"/>
        </w:rPr>
        <w:t>.</w:t>
      </w:r>
      <w:r w:rsidR="00EC5ADB">
        <w:rPr>
          <w:rFonts w:ascii="Calibri" w:hAnsi="Calibri" w:cs="Calibri"/>
          <w:color w:val="000000" w:themeColor="text1"/>
          <w:sz w:val="22"/>
          <w:szCs w:val="22"/>
        </w:rPr>
        <w:t xml:space="preserve"> </w:t>
      </w:r>
      <w:r w:rsidR="00FD7047">
        <w:rPr>
          <w:rFonts w:ascii="Calibri" w:hAnsi="Calibri" w:cs="Calibri"/>
          <w:color w:val="000000" w:themeColor="text1"/>
          <w:sz w:val="22"/>
          <w:szCs w:val="22"/>
        </w:rPr>
        <w:t xml:space="preserve"> This data i</w:t>
      </w:r>
      <w:r w:rsidR="00F131BF" w:rsidRPr="00D637BA">
        <w:rPr>
          <w:rFonts w:ascii="Calibri" w:hAnsi="Calibri" w:cs="Calibri"/>
          <w:color w:val="000000" w:themeColor="text1"/>
          <w:sz w:val="22"/>
          <w:szCs w:val="22"/>
        </w:rPr>
        <w:t>mplicat</w:t>
      </w:r>
      <w:r w:rsidR="00FD7047">
        <w:rPr>
          <w:rFonts w:ascii="Calibri" w:hAnsi="Calibri" w:cs="Calibri"/>
          <w:color w:val="000000" w:themeColor="text1"/>
          <w:sz w:val="22"/>
          <w:szCs w:val="22"/>
        </w:rPr>
        <w:t>es</w:t>
      </w:r>
      <w:r w:rsidR="00F131BF" w:rsidRPr="00D637BA">
        <w:rPr>
          <w:rFonts w:ascii="Calibri" w:hAnsi="Calibri" w:cs="Calibri"/>
          <w:color w:val="000000" w:themeColor="text1"/>
          <w:sz w:val="22"/>
          <w:szCs w:val="22"/>
        </w:rPr>
        <w:t xml:space="preserve"> both the</w:t>
      </w:r>
      <w:r w:rsidR="000167D7">
        <w:rPr>
          <w:rFonts w:ascii="Calibri" w:hAnsi="Calibri" w:cs="Calibri"/>
          <w:color w:val="000000" w:themeColor="text1"/>
          <w:sz w:val="22"/>
          <w:szCs w:val="22"/>
        </w:rPr>
        <w:t xml:space="preserve"> </w:t>
      </w:r>
      <w:r w:rsidR="00F81ADA">
        <w:rPr>
          <w:rFonts w:ascii="Calibri" w:hAnsi="Calibri" w:cs="Calibri"/>
          <w:color w:val="000000" w:themeColor="text1"/>
          <w:sz w:val="22"/>
          <w:szCs w:val="22"/>
        </w:rPr>
        <w:t xml:space="preserve">increased </w:t>
      </w:r>
      <w:r w:rsidR="00F131BF" w:rsidRPr="00D637BA">
        <w:rPr>
          <w:rFonts w:ascii="Calibri" w:hAnsi="Calibri" w:cs="Calibri"/>
          <w:color w:val="000000" w:themeColor="text1"/>
          <w:sz w:val="22"/>
          <w:szCs w:val="22"/>
        </w:rPr>
        <w:t xml:space="preserve">synthesis </w:t>
      </w:r>
      <w:r w:rsidR="00140DD6" w:rsidRPr="00D637BA">
        <w:rPr>
          <w:rFonts w:ascii="Calibri" w:hAnsi="Calibri" w:cs="Calibri"/>
          <w:color w:val="000000" w:themeColor="text1"/>
          <w:sz w:val="22"/>
          <w:szCs w:val="22"/>
        </w:rPr>
        <w:t xml:space="preserve">of D2HG </w:t>
      </w:r>
      <w:r w:rsidR="00F131BF" w:rsidRPr="00D637BA">
        <w:rPr>
          <w:rFonts w:ascii="Calibri" w:hAnsi="Calibri" w:cs="Calibri"/>
          <w:color w:val="000000" w:themeColor="text1"/>
          <w:sz w:val="22"/>
          <w:szCs w:val="22"/>
        </w:rPr>
        <w:t>and</w:t>
      </w:r>
      <w:r w:rsidR="00140DD6" w:rsidRPr="00D637BA">
        <w:rPr>
          <w:rFonts w:ascii="Calibri" w:hAnsi="Calibri" w:cs="Calibri"/>
          <w:color w:val="000000" w:themeColor="text1"/>
          <w:sz w:val="22"/>
          <w:szCs w:val="22"/>
        </w:rPr>
        <w:t xml:space="preserve"> </w:t>
      </w:r>
      <w:r w:rsidR="00F81ADA">
        <w:rPr>
          <w:rFonts w:ascii="Calibri" w:hAnsi="Calibri" w:cs="Calibri"/>
          <w:color w:val="000000" w:themeColor="text1"/>
          <w:sz w:val="22"/>
          <w:szCs w:val="22"/>
        </w:rPr>
        <w:t xml:space="preserve">reduced </w:t>
      </w:r>
      <w:r w:rsidR="00F131BF" w:rsidRPr="00D637BA">
        <w:rPr>
          <w:rFonts w:ascii="Calibri" w:hAnsi="Calibri" w:cs="Calibri"/>
          <w:color w:val="000000" w:themeColor="text1"/>
          <w:sz w:val="22"/>
          <w:szCs w:val="22"/>
        </w:rPr>
        <w:t>conversion of D2HG</w:t>
      </w:r>
      <w:r w:rsidR="00F81ADA">
        <w:rPr>
          <w:rFonts w:ascii="Calibri" w:hAnsi="Calibri" w:cs="Calibri"/>
          <w:color w:val="000000" w:themeColor="text1"/>
          <w:sz w:val="22"/>
          <w:szCs w:val="22"/>
        </w:rPr>
        <w:t xml:space="preserve"> into </w:t>
      </w:r>
      <w:r w:rsidR="00F81ADA" w:rsidRPr="00B946E4">
        <w:rPr>
          <w:rFonts w:ascii="Calibri" w:hAnsi="Calibri" w:cs="Calibri"/>
          <w:color w:val="000000" w:themeColor="text1"/>
          <w:sz w:val="22"/>
          <w:szCs w:val="22"/>
        </w:rPr>
        <w:t>αKG</w:t>
      </w:r>
      <w:r w:rsidR="00140DD6"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in its accumulation in cancer.</w:t>
      </w:r>
    </w:p>
    <w:p w14:paraId="57B75355" w14:textId="57A299D8" w:rsidR="0026708C" w:rsidRPr="00D637BA" w:rsidRDefault="003E706A" w:rsidP="00B946E4">
      <w:pPr>
        <w:spacing w:line="360" w:lineRule="auto"/>
        <w:ind w:firstLine="454"/>
        <w:jc w:val="both"/>
        <w:rPr>
          <w:rFonts w:ascii="Calibri" w:hAnsi="Calibri" w:cs="Calibri"/>
          <w:color w:val="000000" w:themeColor="text1"/>
          <w:sz w:val="22"/>
          <w:szCs w:val="22"/>
        </w:rPr>
      </w:pPr>
      <w:r w:rsidRPr="00B946E4">
        <w:rPr>
          <w:rFonts w:ascii="Calibri" w:hAnsi="Calibri" w:cs="Calibri"/>
          <w:color w:val="000000" w:themeColor="text1"/>
          <w:sz w:val="22"/>
          <w:szCs w:val="22"/>
        </w:rPr>
        <w:t>According to the</w:t>
      </w:r>
      <w:r w:rsidR="00F131BF" w:rsidRPr="00D637BA">
        <w:rPr>
          <w:rFonts w:ascii="Calibri" w:hAnsi="Calibri" w:cs="Calibri"/>
          <w:color w:val="000000" w:themeColor="text1"/>
          <w:sz w:val="22"/>
          <w:szCs w:val="22"/>
        </w:rPr>
        <w:t xml:space="preserve"> </w:t>
      </w:r>
      <w:hyperlink r:id="rId10" w:history="1">
        <w:r w:rsidR="00F131BF" w:rsidRPr="00B946E4">
          <w:rPr>
            <w:rStyle w:val="Hyperlink"/>
            <w:rFonts w:asciiTheme="minorHAnsi" w:hAnsiTheme="minorHAnsi"/>
          </w:rPr>
          <w:t>cBioPortal</w:t>
        </w:r>
      </w:hyperlink>
      <w:r w:rsidR="00F131BF" w:rsidRPr="00B946E4">
        <w:rPr>
          <w:rFonts w:asciiTheme="minorHAnsi" w:hAnsiTheme="minorHAnsi" w:cs="Calibri"/>
          <w:color w:val="000000" w:themeColor="text1"/>
          <w:sz w:val="22"/>
          <w:szCs w:val="22"/>
        </w:rPr>
        <w:t xml:space="preserve"> </w:t>
      </w:r>
      <w:r w:rsidR="00A6311B" w:rsidRPr="00B946E4">
        <w:rPr>
          <w:rFonts w:asciiTheme="minorHAnsi" w:hAnsiTheme="minorHAnsi" w:cs="Calibri"/>
          <w:color w:val="000000" w:themeColor="text1"/>
          <w:sz w:val="22"/>
          <w:szCs w:val="22"/>
        </w:rPr>
        <w:t>database</w:t>
      </w:r>
      <w:r w:rsidRPr="00B946E4">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&lt;1% of </w:t>
      </w:r>
      <w:r w:rsidR="00F131BF" w:rsidRPr="00D637BA">
        <w:rPr>
          <w:rFonts w:ascii="Calibri" w:hAnsi="Calibri" w:cs="Calibri"/>
          <w:i/>
          <w:color w:val="000000" w:themeColor="text1"/>
          <w:sz w:val="22"/>
          <w:szCs w:val="22"/>
        </w:rPr>
        <w:t>IDH1</w:t>
      </w:r>
      <w:r w:rsidR="00F81ADA">
        <w:rPr>
          <w:rFonts w:ascii="Calibri" w:hAnsi="Calibri" w:cs="Calibri"/>
          <w:i/>
          <w:color w:val="000000" w:themeColor="text1"/>
          <w:sz w:val="22"/>
          <w:szCs w:val="22"/>
        </w:rPr>
        <w:t xml:space="preserve"> and IDH</w:t>
      </w:r>
      <w:r w:rsidR="00F131BF" w:rsidRPr="00D637BA">
        <w:rPr>
          <w:rFonts w:ascii="Calibri" w:hAnsi="Calibri" w:cs="Calibri"/>
          <w:i/>
          <w:color w:val="000000" w:themeColor="text1"/>
          <w:sz w:val="22"/>
          <w:szCs w:val="22"/>
        </w:rPr>
        <w:t>2</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mutations are found in large-scale cancer genomic studies of RCC such as the TCGA dataset</w:t>
      </w:r>
      <w:r w:rsidR="00B5367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{"citationID":"a1t8o899dmj","properties":{"formattedCitation":"\\super 108,109\\nosupersub{}","plainCitation":"108,109","noteIndex":0},"citationItems":[{"id":1348,"uris":["http://zotero.org/users/4775618/items/Y9IHFNHW"],"uri":["http://zotero.org/users/4775618/items/Y9IHFNHW"],"itemData":{"id":1348,"type":"article-journal","title":"Integrative Analysis of Complex Cancer Genomics and Clinical Profiles Using the cBioPortal","container-title":"Science signaling","page":"pl1","volume":"6","issue":"269","source":"PubMed Central","abstract":"The cBioPortal for Cancer Genomics (http://cbioportal.org) provides a Web resource for exploring, visualizing, and analyzing multidimensional cancer genomics data. The portal reduces molecular profiling data from cancer tissues and cell lines into readily understandable genetic, epigenetic, gene expression, and proteomic events. The query interface combined with customized data storage enables researchers to interactively explore genetic alterations across samples, genes, and pathways and, when available in the underlying data, to link these to clinical outcomes. The portal provides graphical summaries of gene-level data from multiple platforms, network visualization and analysis, survival analysis, patient-centric queries, and software programmatic access. The intuitive Web interface of the portal makes complex cancer genomics profiles accessible to researchers and clinicians without requiring bioinformatics expertise, thus facilitating biological discoveries. Here, we provide a practical guide to the analysis and visualization features of the cBioPortal for Cancer Genomics.","URL":"https://www.ncbi.nlm.nih.gov/pmc/articles/PMC4160307/","DOI":"10.1126/scisignal.2004088","ISSN":"1937-9145","note":"PMID: 23550210\nPMCID: PMC4160307","journalAbbreviation":"Sci Signal","author":[{"family":"Gao","given":"Jianjiong"},{"family":"Aksoy","given":"Bülent Arman"},{"family":"Dogrusoz","given":"Ugur"},{"family":"Dresdner","given":"Gideon"},{"family":"Gross","given":"Benjamin"},{"family":"Sumer","given":"S. Onur"},{"family":"Sun","given":"Yichao"},{"family":"Jacobsen","given":"Anders"},{"family":"Sinha","given":"Rileen"},{"family":"Larsson","given":"Erik"},{"family":"Cerami","given":"Ethan"},{"family":"Sander","given":"Chris"},{"family":"Schultz","given":"Nikolaus"}],"issued":{"date-parts":[["2013",4,2]]},"accessed":{"date-parts":[["2019",2,23]]}}},{"id":1345,"uris":["http://zotero.org/users/4775618/items/6VMJWXU5"],"uri":["http://zotero.org/users/4775618/items/6VMJWXU5"],"itemData":{"id":1345,"type":"article-journal","title":"IDH1 R132C mutation is detected in clear cell hepatocellular carcinoma by pyrosequencing","container-title":"World Journal of Surgical Oncology","volume":"15","source":"PubMed Central","abstract":"Background\n\nIsocitrate dehydrogenase 1 (IDH1) mutation is common in low-grade glioma (approximately 80%) and acute myeloid leukemia (approximately 10%). Other than brain tumor or hematologic malignancies, intrahepatic cholangiocarcinoma (iCC) is a well-known solid tumor with IDH1 mutation (6.8–20%). Histologically, poor differentiation and clear cell change are associated with IDH1 mutation in iCC. Since hepatocellular carcinoma (HCC) shares histologic features with iCC, some specific subtypes of HCC might show a higher IDH1 mutation rate than reported before (0.5–1.5%).\n\nMethods\nForty-six cases of iCC and 48 cases of HCC (including 20 cases of clear cell type and 13 cases of pseudoglandular pattern) were tested for IDH1 mutation by pyrosequencing.\n\nResults\nThree cases in iCC (6.5%) and five cases in HCC (10.4%) had IDH1 mutation, all of which were Arg132Cys. IDH1 mutant HCCs were all clear cell type. Although the IDH1 mutation rate between iCC and HCC demonstrated no significant difference, clear cell HCC revealed statistically increased mutation rate compared to that of HCC without clear cell change (P = 0.009). Presence of IDH1 mutation was related with poor survival in clear cell HCC patients (P = 0.004).\n\nConclusions\nClear cell HCC showed higher frequency of IDH1 mutation rate than other variants of HCC. This result consolidates the assumption that morphological features of tumors reflect molecular alterations.","URL":"https://www.ncbi.nlm.nih.gov/pmc/articles/PMC5389153/","DOI":"10.1186/s12957-017-1144-1","ISSN":"1477-7819","note":"PMID: 28403884\nPMCID: PMC5389153","journalAbbreviation":"World J Surg Oncol","author":[{"family":"Lee","given":"Jung Hee"},{"family":"Shin","given":"Dong Hoon"},{"family":"Park","given":"Won Young"},{"family":"Shin","given":"Nari"},{"family":"Kim","given":"Ahrong"},{"family":"Lee","given":"Hyun Jung"},{"family":"Kim","given":"Young Keum"},{"family":"Choi","given":"Kyung Un"},{"family":"Kim","given":"Jee Yeon"},{"family":"Yang","given":"Young Il"},{"family":"Lee","given":"Chang Hun"},{"family":"Sol","given":"Mee Young"}],"issued":{"date-parts":[["2017",4,12]]},"accessed":{"date-parts":[["2019",2,23]]}}}],"schema":"https://github.com/citation-style-language/schema/raw/master/csl-citation.json"} </w:instrText>
      </w:r>
      <w:r w:rsidR="00B5367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108,109</w:t>
      </w:r>
      <w:r w:rsidR="00B5367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Although </w:t>
      </w:r>
      <w:r w:rsidR="00817331" w:rsidRPr="00B946E4">
        <w:rPr>
          <w:rFonts w:ascii="Calibri" w:hAnsi="Calibri" w:cs="Calibri"/>
          <w:color w:val="000000" w:themeColor="text1"/>
          <w:sz w:val="22"/>
          <w:szCs w:val="22"/>
        </w:rPr>
        <w:t xml:space="preserve">substantial accumulations of </w:t>
      </w:r>
      <w:r w:rsidR="00F131BF" w:rsidRPr="00D637BA">
        <w:rPr>
          <w:rFonts w:ascii="Calibri" w:hAnsi="Calibri" w:cs="Calibri"/>
          <w:color w:val="000000" w:themeColor="text1"/>
          <w:sz w:val="22"/>
          <w:szCs w:val="22"/>
        </w:rPr>
        <w:t>2HG w</w:t>
      </w:r>
      <w:r w:rsidR="00817331" w:rsidRPr="00B946E4">
        <w:rPr>
          <w:rFonts w:ascii="Calibri" w:hAnsi="Calibri" w:cs="Calibri"/>
          <w:color w:val="000000" w:themeColor="text1"/>
          <w:sz w:val="22"/>
          <w:szCs w:val="22"/>
        </w:rPr>
        <w:t xml:space="preserve">ere </w:t>
      </w:r>
      <w:r w:rsidR="00F131BF" w:rsidRPr="00D637BA">
        <w:rPr>
          <w:rFonts w:ascii="Calibri" w:hAnsi="Calibri" w:cs="Calibri"/>
          <w:color w:val="000000" w:themeColor="text1"/>
          <w:sz w:val="22"/>
          <w:szCs w:val="22"/>
        </w:rPr>
        <w:t xml:space="preserve">identified in human ccRCC tissues, &gt;90% of this </w:t>
      </w:r>
      <w:r w:rsidR="00817331" w:rsidRPr="00B946E4">
        <w:rPr>
          <w:rFonts w:ascii="Calibri" w:hAnsi="Calibri" w:cs="Calibri"/>
          <w:color w:val="000000" w:themeColor="text1"/>
          <w:sz w:val="22"/>
          <w:szCs w:val="22"/>
        </w:rPr>
        <w:t xml:space="preserve">2HG </w:t>
      </w:r>
      <w:r w:rsidR="00F131BF" w:rsidRPr="00D637BA">
        <w:rPr>
          <w:rFonts w:ascii="Calibri" w:hAnsi="Calibri" w:cs="Calibri"/>
          <w:color w:val="000000" w:themeColor="text1"/>
          <w:sz w:val="22"/>
          <w:szCs w:val="22"/>
        </w:rPr>
        <w:t>was the L2HG isoform</w:t>
      </w:r>
      <w:r w:rsidR="00B5367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{"citationID":"a1q97qrpgh5","properties":{"formattedCitation":"\\super 110\\nosupersub{}","plainCitation":"110","noteIndex":0},"citationItems":[{"id":294,"uris":["http://zotero.org/users/4775618/items/KQPSSL3S"],"uri":["http://zotero.org/users/4775618/items/KQPSSL3S"],"itemData":{"id":294,"type":"article-journal","title":"l-2-Hydroxyglutarate: An Epigenetic Modifier and Putative Oncometabolite in Renal Cancer","container-title":"Cancer Discovery","page":"1290-1298","volume":"4","issue":"11","source":"cancerdiscovery.aacrjournals.org","abstract":"Through unbiased metabolomics, we identified elevations of the metabolite 2-hydroxyglutarate (2HG) in renal cell carcinoma (RCC). 2HG can inhibit 2-oxoglutaratre (2-OG)–dependent dioxygenases that mediate epigenetic events, including DNA and histone demethylation. 2HG accumulation, specifically the d enantiomer, can result from gain-of-function mutations of isocitrate dehydrogenase (IDH1, IDH2) found in several different tumors. In contrast, kidney tumors demonstrate elevations of the l enantiomer of 2HG (l-2HG). High-2HG tumors demonstrate reduced DNA levels of 5-hydroxymethylcytosine (5hmC), consistent with 2HG-mediated inhibition of ten-eleven translocation (TET) enzymes, which convert 5-methylcytosine (5mC) to 5hmC. l-2HG elevation is mediated in part by reduced expression of l-2HG dehydrogenase (L2HGDH). L2HGDH reconstitution in RCC cells lowers l-2HG and promotes 5hmC accumulation. In addition, L2HGDH expression in RCC cells reduces histone methylation and suppresses in vitro tumor phenotypes. Our report identifies l-2HG as an epigenetic modifier and putative oncometabolite in kidney cancer.\nSignificance: Here, we report elevations of the putative oncometabolite l-2HG in the most common subtype of kidney cancer and describe a novel mechanism for the regulation of DNA 5hmC levels. Our findings provide new insight into the metabolic basis for the epigenetic landscape of renal cancer. Cancer Discov; 4(11); 1290–8. ©2014 AACR.\nThis article is highlighted in the In This Issue feature, p. 1243","URL":"http://cancerdiscovery.aacrjournals.org/content/4/11/1290","DOI":"10.1158/2159-8290.CD-13-0696","ISSN":"2159-8274, 2159-8290","note":"PMID: 25182153","title-short":"l-2-Hydroxyglutarate","journalAbbreviation":"Cancer Discov","language":"en","author":[{"family":"Shim","given":"Eun-Hee"},{"family":"Livi","given":"Carolina B."},{"family":"Rakheja","given":"Dinesh"},{"family":"Tan","given":"Jubilee"},{"family":"Benson","given":"Daniel"},{"family":"Parekh","given":"Vishwas"},{"family":"Kho","given":"Eun-Young"},{"family":"Ghosh","given":"Arindam P."},{"family":"Kirkman","given":"Richard"},{"family":"Velu","given":"Sadanan"},{"family":"Dutta","given":"Shilpa"},{"family":"Chenna","given":"Balachandra"},{"family":"Rea","given":"Shane L."},{"family":"Mishur","given":"Robert J."},{"family":"Li","given":"Qiuhua"},{"family":"Johnson-Pais","given":"Teresa L."},{"family":"Guo","given":"Lining"},{"family":"Bae","given":"Sejong"},{"family":"Wei","given":"Shi"},{"family":"Block","given":"Karen"},{"family":"Sudarshan","given":"Sunil"}],"issued":{"date-parts":[["2014",11,1]]},"accessed":{"date-parts":[["2018",3,25]]}}}],"schema":"https://github.com/citation-style-language/schema/raw/master/csl-citation.json"} </w:instrText>
      </w:r>
      <w:r w:rsidR="00B5367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110</w:t>
      </w:r>
      <w:r w:rsidR="00B5367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suggesting </w:t>
      </w:r>
      <w:r w:rsidR="007E415A" w:rsidRPr="00D637BA">
        <w:rPr>
          <w:rFonts w:ascii="Calibri" w:hAnsi="Calibri" w:cs="Calibri"/>
          <w:color w:val="000000" w:themeColor="text1"/>
          <w:sz w:val="22"/>
          <w:szCs w:val="22"/>
        </w:rPr>
        <w:t xml:space="preserve">that </w:t>
      </w:r>
      <w:r w:rsidR="00F131BF" w:rsidRPr="00D637BA">
        <w:rPr>
          <w:rFonts w:ascii="Calibri" w:hAnsi="Calibri" w:cs="Calibri"/>
          <w:color w:val="000000" w:themeColor="text1"/>
          <w:sz w:val="22"/>
          <w:szCs w:val="22"/>
        </w:rPr>
        <w:t>D2HG is unlikely to have a</w:t>
      </w:r>
      <w:r w:rsidR="00817331" w:rsidRPr="00B946E4">
        <w:rPr>
          <w:rFonts w:ascii="Calibri" w:hAnsi="Calibri" w:cs="Calibri"/>
          <w:color w:val="000000" w:themeColor="text1"/>
          <w:sz w:val="22"/>
          <w:szCs w:val="22"/>
        </w:rPr>
        <w:t>n important</w:t>
      </w:r>
      <w:r w:rsidR="00F131BF" w:rsidRPr="00D637BA">
        <w:rPr>
          <w:rFonts w:ascii="Calibri" w:hAnsi="Calibri" w:cs="Calibri"/>
          <w:color w:val="000000" w:themeColor="text1"/>
          <w:sz w:val="22"/>
          <w:szCs w:val="22"/>
        </w:rPr>
        <w:t xml:space="preserve"> role in RCC pathogenesis.</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Reduced expression of L2HGDH was found to contribute to the accumulation of L2HG in patients with ccRCC</w:t>
      </w:r>
      <w:r w:rsidR="00B5367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{"citationID":"a1u7l0qjstt","properties":{"formattedCitation":"\\super 110\\nosupersub{}","plainCitation":"110","noteIndex":0},"citationItems":[{"id":294,"uris":["http://zotero.org/users/4775618/items/KQPSSL3S"],"uri":["http://zotero.org/users/4775618/items/KQPSSL3S"],"itemData":{"id":294,"type":"article-journal","title":"l-2-Hydroxyglutarate: An Epigenetic Modifier and Putative Oncometabolite in Renal Cancer","container-title":"Cancer Discovery","page":"1290-1298","volume":"4","issue":"11","source":"cancerdiscovery.aacrjournals.org","abstract":"Through unbiased metabolomics, we identified elevations of the metabolite 2-hydroxyglutarate (2HG) in renal cell carcinoma (RCC). 2HG can inhibit 2-oxoglutaratre (2-OG)–dependent dioxygenases that mediate epigenetic events, including DNA and histone demethylation. 2HG accumulation, specifically the d enantiomer, can result from gain-of-function mutations of isocitrate dehydrogenase (IDH1, IDH2) found in several different tumors. In contrast, kidney tumors demonstrate elevations of the l enantiomer of 2HG (l-2HG). High-2HG tumors demonstrate reduced DNA levels of 5-hydroxymethylcytosine (5hmC), consistent with 2HG-mediated inhibition of ten-eleven translocation (TET) enzymes, which convert 5-methylcytosine (5mC) to 5hmC. l-2HG elevation is mediated in part by reduced expression of l-2HG dehydrogenase (L2HGDH). L2HGDH reconstitution in RCC cells lowers l-2HG and promotes 5hmC accumulation. In addition, L2HGDH expression in RCC cells reduces histone methylation and suppresses in vitro tumor phenotypes. Our report identifies l-2HG as an epigenetic modifier and putative oncometabolite in kidney cancer.\nSignificance: Here, we report elevations of the putative oncometabolite l-2HG in the most common subtype of kidney cancer and describe a novel mechanism for the regulation of DNA 5hmC levels. Our findings provide new insight into the metabolic basis for the epigenetic landscape of renal cancer. Cancer Discov; 4(11); 1290–8. ©2014 AACR.\nThis article is highlighted in the In This Issue feature, p. 1243","URL":"http://cancerdiscovery.aacrjournals.org/content/4/11/1290","DOI":"10.1158/2159-8290.CD-13-0696","ISSN":"2159-8274, 2159-8290","note":"PMID: 25182153","title-short":"l-2-Hydroxyglutarate","journalAbbreviation":"Cancer Discov","language":"en","author":[{"family":"Shim","given":"Eun-Hee"},{"family":"Livi","given":"Carolina B."},{"family":"Rakheja","given":"Dinesh"},{"family":"Tan","given":"Jubilee"},{"family":"Benson","given":"Daniel"},{"family":"Parekh","given":"Vishwas"},{"family":"Kho","given":"Eun-Young"},{"family":"Ghosh","given":"Arindam P."},{"family":"Kirkman","given":"Richard"},{"family":"Velu","given":"Sadanan"},{"family":"Dutta","given":"Shilpa"},{"family":"Chenna","given":"Balachandra"},{"family":"Rea","given":"Shane L."},{"family":"Mishur","given":"Robert J."},{"family":"Li","given":"Qiuhua"},{"family":"Johnson-Pais","given":"Teresa L."},{"family":"Guo","given":"Lining"},{"family":"Bae","given":"Sejong"},{"family":"Wei","given":"Shi"},{"family":"Block","given":"Karen"},{"family":"Sudarshan","given":"Sunil"}],"issued":{"date-parts":[["2014",11,1]]},"accessed":{"date-parts":[["2018",3,25]]}}}],"schema":"https://github.com/citation-style-language/schema/raw/master/csl-citation.json"} </w:instrText>
      </w:r>
      <w:r w:rsidR="00B5367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110</w:t>
      </w:r>
      <w:r w:rsidR="00B5367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0900C0" w:rsidRPr="00D637BA">
        <w:rPr>
          <w:rFonts w:ascii="Calibri" w:hAnsi="Calibri" w:cs="Calibri"/>
          <w:color w:val="000000" w:themeColor="text1"/>
          <w:sz w:val="22"/>
          <w:szCs w:val="22"/>
        </w:rPr>
        <w:t>LOH</w:t>
      </w:r>
      <w:r w:rsidR="00F131BF" w:rsidRPr="00D637BA">
        <w:rPr>
          <w:rFonts w:ascii="Calibri" w:hAnsi="Calibri" w:cs="Calibri"/>
          <w:color w:val="000000" w:themeColor="text1"/>
          <w:sz w:val="22"/>
          <w:szCs w:val="22"/>
        </w:rPr>
        <w:t xml:space="preserve"> of the </w:t>
      </w:r>
      <w:r w:rsidR="00F131BF" w:rsidRPr="00D637BA">
        <w:rPr>
          <w:rFonts w:ascii="Calibri" w:hAnsi="Calibri" w:cs="Calibri"/>
          <w:i/>
          <w:color w:val="000000" w:themeColor="text1"/>
          <w:sz w:val="22"/>
          <w:szCs w:val="22"/>
        </w:rPr>
        <w:t>L2HGDH</w:t>
      </w:r>
      <w:r w:rsidR="00F131BF" w:rsidRPr="00D637BA">
        <w:rPr>
          <w:rFonts w:ascii="Calibri" w:hAnsi="Calibri" w:cs="Calibri"/>
          <w:color w:val="000000" w:themeColor="text1"/>
          <w:sz w:val="22"/>
          <w:szCs w:val="22"/>
        </w:rPr>
        <w:t xml:space="preserve"> gene (which </w:t>
      </w:r>
      <w:r w:rsidR="00817331" w:rsidRPr="00B946E4">
        <w:rPr>
          <w:rFonts w:ascii="Calibri" w:hAnsi="Calibri" w:cs="Calibri"/>
          <w:color w:val="000000" w:themeColor="text1"/>
          <w:sz w:val="22"/>
          <w:szCs w:val="22"/>
        </w:rPr>
        <w:t xml:space="preserve">is located </w:t>
      </w:r>
      <w:r w:rsidR="00F131BF" w:rsidRPr="00D637BA">
        <w:rPr>
          <w:rFonts w:ascii="Calibri" w:hAnsi="Calibri" w:cs="Calibri"/>
          <w:color w:val="000000" w:themeColor="text1"/>
          <w:sz w:val="22"/>
          <w:szCs w:val="22"/>
        </w:rPr>
        <w:t>on chromosome 14q</w:t>
      </w:r>
      <w:r w:rsidR="00817331" w:rsidRPr="00D637BA">
        <w:rPr>
          <w:rFonts w:ascii="Calibri" w:hAnsi="Calibri" w:cs="Calibri"/>
          <w:color w:val="000000" w:themeColor="text1"/>
          <w:sz w:val="22"/>
          <w:szCs w:val="22"/>
        </w:rPr>
        <w:t>, a region that is</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commonly deleted in ccRCC</w:t>
      </w:r>
      <w:r w:rsidR="00B5367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{"citationID":"a209tu0nkbh","properties":{"formattedCitation":"\\super 76,111\\nosupersub{}","plainCitation":"76,111","noteIndex":0},"citationItems":[{"id":1028,"uris":["http://zotero.org/users/4775618/items/ICK9WKW9"],"uri":["http://zotero.org/users/4775618/items/ICK9WKW9"],"itemData":{"id":1028,"type":"article-journal","title":"Genomics and clinical correlates of renal cell carcinoma","container-title":"World Journal of Urology","page":"1899-1911","volume":"36","issue":"12","source":"PubMed","abstract":"PURPOSE: Clear cell, papillary cell, and chromophobe renal cell carcinomas (RCCs) have now been well characterised thanks to large collaborative projects such as The Cancer Genome Atlas (TCGA). Not only has knowledge of the genomic landscape helped inform the development of new drugs, it also promises to fine tune prognostication.\nMETHODS: A literature review was performed summarising the current knowledge on the genetic basis of RCC.\nRESULTS: The Von Hippel-Lindau (VHL) tumour suppressor gene undergoes bi-allelic knockout in the vast majority of clear cell RCCs. The next most prevalent aberrations include a cohort of chromatin-modifying genes with diverse roles including PBRM1, SETD2, BAP1, and KMD5C. The most common non-clear cell renal cancers have also undergone genomic profiling and are characterised by distinct genomic landscapes. Many recurrent mutations have prognostic value and show promise in aiding decisions regarding treatment stratification. Intra-tumour heterogeneity appears to hamper the clinical applicability of sparsely sampled tumours. Ways to abrogate heterogeneity will be required to optimise the genomic classification of tumours.\nCONCLUSION: The somatic mutational landscape of the more common renal cancers is well known. Correlation with outcome needs to be more comprehensively furnished, particularly for small renal masses, rarer non-clear cell renal cancers, and for all tumours undergoing targeted therapy.","DOI":"10.1007/s00345-018-2429-x","ISSN":"1433-8726","note":"PMID: 30099580\nPMCID: PMC6280817","journalAbbreviation":"World J Urol","language":"eng","author":[{"family":"Mitchell","given":"Thomas J."},{"family":"Rossi","given":"Sabrina H."},{"family":"Klatte","given":"Tobias"},{"family":"Stewart","given":"Grant D."}],"issued":{"date-parts":[["2018",12]]}}},{"id":784,"uris":["http://zotero.org/users/4775618/items/A2JRYGNB"],"uri":["http://zotero.org/users/4775618/items/A2JRYGNB"],"itemData":{"id":784,"type":"article-journal","title":"Biochemical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B5367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76,111</w:t>
      </w:r>
      <w:r w:rsidR="00B5367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correlated with reduced expression of L2HGDH and accumulation of </w:t>
      </w:r>
      <w:r w:rsidR="00F81ADA">
        <w:rPr>
          <w:rFonts w:ascii="Calibri" w:hAnsi="Calibri" w:cs="Calibri"/>
          <w:color w:val="000000" w:themeColor="text1"/>
          <w:sz w:val="22"/>
          <w:szCs w:val="22"/>
        </w:rPr>
        <w:t>L</w:t>
      </w:r>
      <w:r w:rsidR="00F131BF" w:rsidRPr="00D637BA">
        <w:rPr>
          <w:rFonts w:ascii="Calibri" w:hAnsi="Calibri" w:cs="Calibri"/>
          <w:color w:val="000000" w:themeColor="text1"/>
          <w:sz w:val="22"/>
          <w:szCs w:val="22"/>
        </w:rPr>
        <w:t xml:space="preserve">2HG, </w:t>
      </w:r>
      <w:r w:rsidR="0090431D">
        <w:rPr>
          <w:rFonts w:ascii="Calibri" w:hAnsi="Calibri" w:cs="Calibri"/>
          <w:color w:val="000000" w:themeColor="text1"/>
          <w:sz w:val="22"/>
          <w:szCs w:val="22"/>
        </w:rPr>
        <w:t>supporting</w:t>
      </w:r>
      <w:r w:rsidR="00817331" w:rsidRPr="00D637BA">
        <w:rPr>
          <w:rFonts w:ascii="Calibri" w:hAnsi="Calibri" w:cs="Calibri"/>
          <w:color w:val="000000" w:themeColor="text1"/>
          <w:sz w:val="22"/>
          <w:szCs w:val="22"/>
        </w:rPr>
        <w:t xml:space="preserve"> the hypothesis </w:t>
      </w:r>
      <w:r w:rsidR="00F131BF" w:rsidRPr="00D637BA">
        <w:rPr>
          <w:rFonts w:ascii="Calibri" w:hAnsi="Calibri" w:cs="Calibri"/>
          <w:color w:val="000000" w:themeColor="text1"/>
          <w:sz w:val="22"/>
          <w:szCs w:val="22"/>
        </w:rPr>
        <w:t xml:space="preserve">that </w:t>
      </w:r>
      <w:r w:rsidR="00F131BF" w:rsidRPr="00D637BA">
        <w:rPr>
          <w:rFonts w:ascii="Calibri" w:hAnsi="Calibri" w:cs="Calibri"/>
          <w:i/>
          <w:color w:val="000000" w:themeColor="text1"/>
          <w:sz w:val="22"/>
          <w:szCs w:val="22"/>
        </w:rPr>
        <w:t>L2HGDH</w:t>
      </w:r>
      <w:r w:rsidR="00F131BF" w:rsidRPr="00D637BA">
        <w:rPr>
          <w:rFonts w:ascii="Calibri" w:hAnsi="Calibri" w:cs="Calibri"/>
          <w:color w:val="000000" w:themeColor="text1"/>
          <w:sz w:val="22"/>
          <w:szCs w:val="22"/>
        </w:rPr>
        <w:t xml:space="preserve"> may function as a tumour suppressor in RCC</w:t>
      </w:r>
      <w:r w:rsidR="00B5367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{"citationID":"a1n887snpc6","properties":{"formattedCitation":"\\super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B5367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76</w:t>
      </w:r>
      <w:r w:rsidR="00B5367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Furthermore</w:t>
      </w:r>
      <w:r w:rsidR="0077538F" w:rsidRPr="00D637BA">
        <w:rPr>
          <w:rFonts w:ascii="Calibri" w:hAnsi="Calibri" w:cs="Calibri"/>
          <w:color w:val="000000" w:themeColor="text1"/>
          <w:sz w:val="22"/>
          <w:szCs w:val="22"/>
        </w:rPr>
        <w:t xml:space="preserve">, among patients with ccRCC, </w:t>
      </w:r>
      <w:r w:rsidR="00F131BF" w:rsidRPr="00D637BA">
        <w:rPr>
          <w:rFonts w:ascii="Calibri" w:hAnsi="Calibri" w:cs="Calibri"/>
          <w:color w:val="000000" w:themeColor="text1"/>
          <w:sz w:val="22"/>
          <w:szCs w:val="22"/>
        </w:rPr>
        <w:t xml:space="preserve">loss of </w:t>
      </w:r>
      <w:r w:rsidR="00F131BF" w:rsidRPr="00D637BA">
        <w:rPr>
          <w:rFonts w:ascii="Calibri" w:hAnsi="Calibri" w:cs="Calibri"/>
          <w:i/>
          <w:color w:val="000000" w:themeColor="text1"/>
          <w:sz w:val="22"/>
          <w:szCs w:val="22"/>
        </w:rPr>
        <w:t xml:space="preserve">L2HGDH </w:t>
      </w:r>
      <w:r w:rsidR="00F131BF" w:rsidRPr="00D637BA">
        <w:rPr>
          <w:rFonts w:ascii="Calibri" w:hAnsi="Calibri" w:cs="Calibri"/>
          <w:color w:val="000000" w:themeColor="text1"/>
          <w:sz w:val="22"/>
          <w:szCs w:val="22"/>
        </w:rPr>
        <w:t>conferred a worse prognosis</w:t>
      </w:r>
      <w:r w:rsidR="0087462E">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w:t>
      </w:r>
      <w:r w:rsidR="007D29FB" w:rsidRPr="00D637BA">
        <w:rPr>
          <w:rFonts w:ascii="Calibri" w:hAnsi="Calibri" w:cs="Calibri"/>
          <w:color w:val="000000" w:themeColor="text1"/>
          <w:sz w:val="22"/>
          <w:szCs w:val="22"/>
        </w:rPr>
        <w:t>P</w:t>
      </w:r>
      <w:r w:rsidR="00F131BF" w:rsidRPr="00D637BA">
        <w:rPr>
          <w:rFonts w:ascii="Calibri" w:hAnsi="Calibri" w:cs="Calibri"/>
          <w:color w:val="000000" w:themeColor="text1"/>
          <w:sz w:val="22"/>
          <w:szCs w:val="22"/>
        </w:rPr>
        <w:t>reliminary metabolomic profiling suggest</w:t>
      </w:r>
      <w:r w:rsidR="0087462E">
        <w:rPr>
          <w:rFonts w:ascii="Calibri" w:hAnsi="Calibri" w:cs="Calibri"/>
          <w:color w:val="000000" w:themeColor="text1"/>
          <w:sz w:val="22"/>
          <w:szCs w:val="22"/>
        </w:rPr>
        <w:t>ed</w:t>
      </w:r>
      <w:r w:rsidR="00F131BF" w:rsidRPr="00D637BA">
        <w:rPr>
          <w:rFonts w:ascii="Calibri" w:hAnsi="Calibri" w:cs="Calibri"/>
          <w:color w:val="000000" w:themeColor="text1"/>
          <w:sz w:val="22"/>
          <w:szCs w:val="22"/>
        </w:rPr>
        <w:t xml:space="preserve"> that increas</w:t>
      </w:r>
      <w:r w:rsidR="00817331" w:rsidRPr="00D637BA">
        <w:rPr>
          <w:rFonts w:ascii="Calibri" w:hAnsi="Calibri" w:cs="Calibri"/>
          <w:color w:val="000000" w:themeColor="text1"/>
          <w:sz w:val="22"/>
          <w:szCs w:val="22"/>
        </w:rPr>
        <w:t>ed</w:t>
      </w:r>
      <w:r w:rsidR="00F131BF" w:rsidRPr="00D637BA">
        <w:rPr>
          <w:rFonts w:ascii="Calibri" w:hAnsi="Calibri" w:cs="Calibri"/>
          <w:color w:val="000000" w:themeColor="text1"/>
          <w:sz w:val="22"/>
          <w:szCs w:val="22"/>
        </w:rPr>
        <w:t xml:space="preserve"> levels of L2HG are associated with RCC tumour progression</w:t>
      </w:r>
      <w:r w:rsidR="0087462E">
        <w:rPr>
          <w:rFonts w:ascii="Calibri" w:hAnsi="Calibri" w:cs="Calibri"/>
          <w:color w:val="000000" w:themeColor="text1"/>
          <w:sz w:val="22"/>
          <w:szCs w:val="22"/>
        </w:rPr>
        <w:t>, which</w:t>
      </w:r>
      <w:r w:rsidR="00F131BF" w:rsidRPr="00D637BA">
        <w:rPr>
          <w:rFonts w:ascii="Calibri" w:hAnsi="Calibri" w:cs="Calibri"/>
          <w:color w:val="000000" w:themeColor="text1"/>
          <w:sz w:val="22"/>
          <w:szCs w:val="22"/>
        </w:rPr>
        <w:t xml:space="preserve"> further corroborat</w:t>
      </w:r>
      <w:r w:rsidR="0087462E">
        <w:rPr>
          <w:rFonts w:ascii="Calibri" w:hAnsi="Calibri" w:cs="Calibri"/>
          <w:color w:val="000000" w:themeColor="text1"/>
          <w:sz w:val="22"/>
          <w:szCs w:val="22"/>
        </w:rPr>
        <w:t>es</w:t>
      </w:r>
      <w:r w:rsidR="00F131BF" w:rsidRPr="00D637BA">
        <w:rPr>
          <w:rFonts w:ascii="Calibri" w:hAnsi="Calibri" w:cs="Calibri"/>
          <w:color w:val="000000" w:themeColor="text1"/>
          <w:sz w:val="22"/>
          <w:szCs w:val="22"/>
        </w:rPr>
        <w:t xml:space="preserve"> its role as an oncometabolite</w:t>
      </w:r>
      <w:r w:rsidR="00B5367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{"citationID":"a2m3crad7d1","properties":{"formattedCitation":"\\super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B5367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76</w:t>
      </w:r>
      <w:r w:rsidR="00B5367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p>
    <w:p w14:paraId="7F5408F4" w14:textId="13F4D524" w:rsidR="00F131BF" w:rsidRPr="00D637BA" w:rsidRDefault="00BE6271" w:rsidP="00F131BF">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ab/>
      </w:r>
      <w:r w:rsidR="0077538F" w:rsidRPr="00D637BA">
        <w:rPr>
          <w:rFonts w:ascii="Calibri" w:hAnsi="Calibri" w:cs="Calibri"/>
          <w:color w:val="000000" w:themeColor="text1"/>
          <w:sz w:val="22"/>
          <w:szCs w:val="22"/>
        </w:rPr>
        <w:t>M</w:t>
      </w:r>
      <w:r w:rsidR="00F131BF" w:rsidRPr="00D637BA">
        <w:rPr>
          <w:rFonts w:ascii="Calibri" w:hAnsi="Calibri" w:cs="Calibri"/>
          <w:color w:val="000000" w:themeColor="text1"/>
          <w:sz w:val="22"/>
          <w:szCs w:val="22"/>
        </w:rPr>
        <w:t>utations in αKG dehydrogenase (α</w:t>
      </w:r>
      <w:r w:rsidR="00F131BF" w:rsidRPr="00D637BA">
        <w:rPr>
          <w:rFonts w:ascii="Calibri" w:hAnsi="Calibri" w:cs="Calibri"/>
          <w:i/>
          <w:color w:val="000000" w:themeColor="text1"/>
          <w:sz w:val="22"/>
          <w:szCs w:val="22"/>
        </w:rPr>
        <w:t>KGDH</w:t>
      </w:r>
      <w:r w:rsidR="00F131BF" w:rsidRPr="00D637BA">
        <w:rPr>
          <w:rFonts w:ascii="Calibri" w:hAnsi="Calibri" w:cs="Calibri"/>
          <w:color w:val="000000" w:themeColor="text1"/>
          <w:sz w:val="22"/>
          <w:szCs w:val="22"/>
        </w:rPr>
        <w:t>)</w:t>
      </w:r>
      <w:r w:rsidR="00B5367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{"citationID":"a1i8athn4e9","properties":{"formattedCitation":"\\super 112\\nosupersub{}","plainCitation":"112","noteIndex":0},"citationItems":[{"id":1496,"uris":["http://zotero.org/users/4775618/items/865MM5FR"],"uri":["http://zotero.org/users/4775618/items/865MM5FR"],"itemData":{"id":1496,"type":"article-journal","title":"Mitochondrial Protein Lipoylation and the 2-Oxoglutarate Dehydrogenase Complex Controls HIF1α Stability in Aerobic Conditions","container-title":"Cell Metabolism","page":"740-752","volume":"24","issue":"5","source":"Crossref","abstract":"Hypoxia-inducible transcription factors (HIFs) control adaptation to low oxygen environments by activating genes involved in metabolism, angiogenesis, and redox homeostasis. The ﬁnding that HIFs are also regulated by small molecule metabolites highlights the need to understand the complexity of their cellular regulation. Here we use a forward genetic screen in near-haploid human cells to identify genes that stabilize HIFs under aerobic conditions. We identify two mitochondrial genes, oxoglutarate dehydrogenase (OGDH) and lipoic acid synthase (LIAS), which when mutated stabilize HIF1a in a non-hydroxylated form. Disruption of OGDH complex activity in OGDH or LIAS mutants promotes L-2-hydroxyglutarate formation, which inhibits the activity of the HIFa prolyl hydroxylases (PHDs) and TET 2-oxoglutarate dependent dioxygenases. We also ﬁnd that PHD activity is decreased in patients with homozygous germline mutations in lipoic acid synthesis, leading to HIF1 activation. Thus, mutations affecting OGDHC activity may have broad implications for epigenetic regulation and tumorigenesis.","URL":"https://linkinghub.elsevier.com/retrieve/pii/S1550413116305009","DOI":"10.1016/j.cmet.2016.09.015","ISSN":"15504131","language":"en","author":[{"family":"Burr","given":"Stephen P."},{"family":"Costa","given":"Ana S.H."},{"family":"Grice","given":"Guinevere L."},{"family":"Timms","given":"Richard T."},{"family":"Lobb","given":"Ian T."},{"family":"Freisinger","given":"Peter"},{"family":"Dodd","given":"Roger B."},{"family":"Dougan","given":"Gordon"},{"family":"Lehner","given":"Paul J."},{"family":"Frezza","given":"Christian"},{"family":"Nathan","given":"James A."}],"issued":{"date-parts":[["2016",11]]},"accessed":{"date-parts":[["2019",2,25]]}}}],"schema":"https://github.com/citation-style-language/schema/raw/master/csl-citation.json"} </w:instrText>
      </w:r>
      <w:r w:rsidR="00B5367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112</w:t>
      </w:r>
      <w:r w:rsidR="00B53676">
        <w:rPr>
          <w:rFonts w:ascii="Calibri" w:hAnsi="Calibri" w:cs="Calibri"/>
          <w:color w:val="000000" w:themeColor="text1"/>
          <w:sz w:val="22"/>
          <w:szCs w:val="22"/>
        </w:rPr>
        <w:fldChar w:fldCharType="end"/>
      </w:r>
      <w:r w:rsidR="00F41CAC"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lipoic acid synthase (</w:t>
      </w:r>
      <w:r w:rsidR="00F131BF" w:rsidRPr="00D637BA">
        <w:rPr>
          <w:rFonts w:ascii="Calibri" w:hAnsi="Calibri" w:cs="Calibri"/>
          <w:i/>
          <w:color w:val="000000" w:themeColor="text1"/>
          <w:sz w:val="22"/>
          <w:szCs w:val="22"/>
        </w:rPr>
        <w:t>LIAS</w:t>
      </w:r>
      <w:r w:rsidR="00F131BF" w:rsidRPr="00D637BA">
        <w:rPr>
          <w:rFonts w:ascii="Calibri" w:hAnsi="Calibri" w:cs="Calibri"/>
          <w:color w:val="000000" w:themeColor="text1"/>
          <w:sz w:val="22"/>
          <w:szCs w:val="22"/>
        </w:rPr>
        <w:t>)</w:t>
      </w:r>
      <w:r w:rsidR="00B5367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{"citationID":"a1vnps7hm0e","properties":{"formattedCitation":"\\super 112\\nosupersub{}","plainCitation":"112","noteIndex":0},"citationItems":[{"id":1496,"uris":["http://zotero.org/users/4775618/items/865MM5FR"],"uri":["http://zotero.org/users/4775618/items/865MM5FR"],"itemData":{"id":1496,"type":"article-journal","title":"Mitochondrial Protein Lipoylation and the 2-Oxoglutarate Dehydrogenase Complex Controls HIF1α Stability in Aerobic Conditions","container-title":"Cell Metabolism","page":"740-752","volume":"24","issue":"5","source":"Crossref","abstract":"Hypoxia-inducible transcription factors (HIFs) control adaptation to low oxygen environments by activating genes involved in metabolism, angiogenesis, and redox homeostasis. The ﬁnding that HIFs are also regulated by small molecule metabolites highlights the need to understand the complexity of their cellular regulation. Here we use a forward genetic screen in near-haploid human cells to identify genes that stabilize HIFs under aerobic conditions. We identify two mitochondrial genes, oxoglutarate dehydrogenase (OGDH) and lipoic acid synthase (LIAS), which when mutated stabilize HIF1a in a non-hydroxylated form. Disruption of OGDH complex activity in OGDH or LIAS mutants promotes L-2-hydroxyglutarate formation, which inhibits the activity of the HIFa prolyl hydroxylases (PHDs) and TET 2-oxoglutarate dependent dioxygenases. We also ﬁnd that PHD activity is decreased in patients with homozygous germline mutations in lipoic acid synthesis, leading to HIF1 activation. Thus, mutations affecting OGDHC activity may have broad implications for epigenetic regulation and tumorigenesis.","URL":"https://linkinghub.elsevier.com/retrieve/pii/S1550413116305009","DOI":"10.1016/j.cmet.2016.09.015","ISSN":"15504131","language":"en","author":[{"family":"Burr","given":"Stephen P."},{"family":"Costa","given":"Ana S.H."},{"family":"Grice","given":"Guinevere L."},{"family":"Timms","given":"Richard T."},{"family":"Lobb","given":"Ian T."},{"family":"Freisinger","given":"Peter"},{"family":"Dodd","given":"Roger B."},{"family":"Dougan","given":"Gordon"},{"family":"Lehner","given":"Paul J."},{"family":"Frezza","given":"Christian"},{"family":"Nathan","given":"James A."}],"issued":{"date-parts":[["2016",11]]},"accessed":{"date-parts":[["2019",2,25]]}}}],"schema":"https://github.com/citation-style-language/schema/raw/master/csl-citation.json"} </w:instrText>
      </w:r>
      <w:r w:rsidR="00B5367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112</w:t>
      </w:r>
      <w:r w:rsidR="00B53676">
        <w:rPr>
          <w:rFonts w:ascii="Calibri" w:hAnsi="Calibri" w:cs="Calibri"/>
          <w:color w:val="000000" w:themeColor="text1"/>
          <w:sz w:val="22"/>
          <w:szCs w:val="22"/>
        </w:rPr>
        <w:fldChar w:fldCharType="end"/>
      </w:r>
      <w:r w:rsidR="00F41CAC" w:rsidRPr="00D637BA">
        <w:rPr>
          <w:rFonts w:ascii="Calibri" w:hAnsi="Calibri" w:cs="Calibri"/>
          <w:color w:val="000000" w:themeColor="text1"/>
          <w:sz w:val="22"/>
          <w:szCs w:val="22"/>
        </w:rPr>
        <w:t xml:space="preserve"> and lipoyltransferase-1 </w:t>
      </w:r>
      <w:r w:rsidR="00F41CAC" w:rsidRPr="00D637BA">
        <w:rPr>
          <w:rFonts w:ascii="Calibri" w:hAnsi="Calibri" w:cs="Calibri"/>
          <w:i/>
          <w:color w:val="000000" w:themeColor="text1"/>
          <w:sz w:val="22"/>
          <w:szCs w:val="22"/>
        </w:rPr>
        <w:t>(LIPT1)</w:t>
      </w:r>
      <w:r w:rsidR="00B53676">
        <w:rPr>
          <w:rFonts w:ascii="Calibri" w:hAnsi="Calibri" w:cs="Calibri"/>
          <w:i/>
          <w:color w:val="000000" w:themeColor="text1"/>
          <w:sz w:val="22"/>
          <w:szCs w:val="22"/>
        </w:rPr>
        <w:fldChar w:fldCharType="begin"/>
      </w:r>
      <w:r w:rsidR="00F23309">
        <w:rPr>
          <w:rFonts w:ascii="Calibri" w:hAnsi="Calibri" w:cs="Calibri"/>
          <w:i/>
          <w:color w:val="000000" w:themeColor="text1"/>
          <w:sz w:val="22"/>
          <w:szCs w:val="22"/>
        </w:rPr>
        <w:instrText xml:space="preserve"> ADDIN ZOTERO_ITEM CSL_CITATION {"citationID":"a23v1v430rr","properties":{"formattedCitation":"\\super 113\\nosupersub{}","plainCitation":"113","noteIndex":0},"citationItems":[{"id":2608,"uris":["http://zotero.org/users/4775618/items/NC856S85"],"uri":["http://zotero.org/users/4775618/items/NC856S85"],"itemData":{"id":2608,"type":"article-journal","title":"Functional Assessment of Lipoyltransferase-1 Deficiency in Cells, Mice, and Humans","container-title":"Cell Reports","page":"1376-1386.e6","volume":"27","issue":"5","source":"PubMed","abstract":"Inborn errors of metabolism (IEMs) link metabolic defects to human phenotypes. Modern genomics has accelerated IEM discovery, but assessing the impact of genomic variants is still challenging. Here, we integrate genomics and metabolomics to identify a cause of lactic acidosis and epilepsy. The proband is a compound heterozygote for variants in LIPT1, which encodes the lipoyltransferase required for 2-ketoacid dehydrogenase (2KDH) function. Metabolomics reveals abnormalities in lipids, amino acids, and 2-hydroxyglutarate consistent with loss of multiple 2KDHs. Homozygous knockin of a LIPT1 mutation reduces 2KDH lipoylation in utero and results in embryonic demise. In patient fibroblasts, defective 2KDH lipoylation and function are corrected by wild-type, but not mutant, LIPT1 alleles. Isotope tracing reveals that LIPT1 supports lipogenesis and balances oxidative and reductive glutamine metabolism. Altogether, the data extend the role of LIPT1 in metabolic regulation and demonstrate how integrating genomics and metabolomics can uncover broader aspects of IEM pathophysiology.","DOI":"10.1016/j.celrep.2019.04.005","ISSN":"2211-1247","note":"PMID: 31042466","journalAbbreviation":"Cell Rep","language":"eng","author":[{"family":"Ni","given":"Min"},{"family":"Solmonson","given":"Ashley"},{"family":"Pan","given":"Chunxiao"},{"family":"Yang","given":"Chendong"},{"family":"Li","given":"Dan"},{"family":"Notzon","given":"Ashley"},{"family":"Cai","given":"Ling"},{"family":"Guevara","given":"Gerardo"},{"family":"Zacharias","given":"Lauren G."},{"family":"Faubert","given":"Brandon"},{"family":"Vu","given":"Hieu S."},{"family":"Jiang","given":"Lei"},{"family":"Ko","given":"Bookyung"},{"family":"Morales","given":"Noriko Merida"},{"family":"Pei","given":"Jimin"},{"family":"Vale","given":"Gonçalo"},{"family":"Rakheja","given":"Dinesh"},{"family":"Grishin","given":"Nick V."},{"family":"McDonald","given":"Jeffrey G."},{"family":"Gotway","given":"Garrett K."},{"family":"McNutt","given":"Markey C."},{"family":"Pascual","given":"Juan M."},{"family":"DeBerardinis","given":"Ralph J."}],"issued":{"date-parts":[["2019",4,30]]}}}],"schema":"https://github.com/citation-style-language/schema/raw/master/csl-citation.json"} </w:instrText>
      </w:r>
      <w:r w:rsidR="00B53676">
        <w:rPr>
          <w:rFonts w:ascii="Calibri" w:hAnsi="Calibri" w:cs="Calibri"/>
          <w:i/>
          <w:color w:val="000000" w:themeColor="text1"/>
          <w:sz w:val="22"/>
          <w:szCs w:val="22"/>
        </w:rPr>
        <w:fldChar w:fldCharType="separate"/>
      </w:r>
      <w:r w:rsidR="00F23309" w:rsidRPr="00F23309">
        <w:rPr>
          <w:rFonts w:ascii="Calibri" w:hAnsi="Calibri" w:cs="Calibri"/>
          <w:color w:val="000000"/>
          <w:sz w:val="22"/>
          <w:vertAlign w:val="superscript"/>
          <w:lang w:val="en-US"/>
        </w:rPr>
        <w:t>113</w:t>
      </w:r>
      <w:r w:rsidR="00B53676">
        <w:rPr>
          <w:rFonts w:ascii="Calibri" w:hAnsi="Calibri" w:cs="Calibri"/>
          <w:i/>
          <w:color w:val="000000" w:themeColor="text1"/>
          <w:sz w:val="22"/>
          <w:szCs w:val="22"/>
        </w:rPr>
        <w:fldChar w:fldCharType="end"/>
      </w:r>
      <w:r w:rsidR="00F131BF" w:rsidRPr="00D637BA">
        <w:rPr>
          <w:rFonts w:ascii="Calibri" w:hAnsi="Calibri" w:cs="Calibri"/>
          <w:color w:val="000000" w:themeColor="text1"/>
          <w:sz w:val="22"/>
          <w:szCs w:val="22"/>
        </w:rPr>
        <w:t xml:space="preserve"> have also been implicated in 2HG accumulation. These genes encode enzymes </w:t>
      </w:r>
      <w:r w:rsidRPr="00D637BA">
        <w:rPr>
          <w:rFonts w:ascii="Calibri" w:hAnsi="Calibri" w:cs="Calibri"/>
          <w:color w:val="000000" w:themeColor="text1"/>
          <w:sz w:val="22"/>
          <w:szCs w:val="22"/>
        </w:rPr>
        <w:t xml:space="preserve">that are </w:t>
      </w:r>
      <w:r w:rsidR="00F131BF" w:rsidRPr="00D637BA">
        <w:rPr>
          <w:rFonts w:ascii="Calibri" w:hAnsi="Calibri" w:cs="Calibri"/>
          <w:color w:val="000000" w:themeColor="text1"/>
          <w:sz w:val="22"/>
          <w:szCs w:val="22"/>
        </w:rPr>
        <w:t>required for the proper functioning of the αKGDH</w:t>
      </w:r>
      <w:r w:rsidRPr="00B946E4">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complex, which catalyses the conversion of αKG to succinyl-coenzyme A in the TCA cycle. </w:t>
      </w:r>
      <w:r w:rsidR="0077538F" w:rsidRPr="00D637BA">
        <w:rPr>
          <w:rFonts w:ascii="Calibri" w:hAnsi="Calibri" w:cs="Calibri"/>
          <w:color w:val="000000" w:themeColor="text1"/>
          <w:sz w:val="22"/>
          <w:szCs w:val="22"/>
        </w:rPr>
        <w:t>The</w:t>
      </w:r>
      <w:r w:rsidR="00F81ADA">
        <w:rPr>
          <w:rFonts w:ascii="Calibri" w:hAnsi="Calibri" w:cs="Calibri"/>
          <w:color w:val="000000" w:themeColor="text1"/>
          <w:sz w:val="22"/>
          <w:szCs w:val="22"/>
        </w:rPr>
        <w:t>se</w:t>
      </w:r>
      <w:r w:rsidR="0077538F" w:rsidRPr="00D637BA">
        <w:rPr>
          <w:rFonts w:ascii="Calibri" w:hAnsi="Calibri" w:cs="Calibri"/>
          <w:color w:val="000000" w:themeColor="text1"/>
          <w:sz w:val="22"/>
          <w:szCs w:val="22"/>
        </w:rPr>
        <w:t xml:space="preserve"> mutations result in a </w:t>
      </w:r>
      <w:r w:rsidR="00F131BF" w:rsidRPr="00D637BA">
        <w:rPr>
          <w:rFonts w:ascii="Calibri" w:hAnsi="Calibri" w:cs="Calibri"/>
          <w:color w:val="000000" w:themeColor="text1"/>
          <w:sz w:val="22"/>
          <w:szCs w:val="22"/>
        </w:rPr>
        <w:t xml:space="preserve">truncated TCA cycle </w:t>
      </w:r>
      <w:r w:rsidR="0077538F" w:rsidRPr="00D637BA">
        <w:rPr>
          <w:rFonts w:ascii="Calibri" w:hAnsi="Calibri" w:cs="Calibri"/>
          <w:color w:val="000000" w:themeColor="text1"/>
          <w:sz w:val="22"/>
          <w:szCs w:val="22"/>
        </w:rPr>
        <w:t>that</w:t>
      </w:r>
      <w:r w:rsidR="00F131BF" w:rsidRPr="00D637BA">
        <w:rPr>
          <w:rFonts w:ascii="Calibri" w:hAnsi="Calibri" w:cs="Calibri"/>
          <w:color w:val="000000" w:themeColor="text1"/>
          <w:sz w:val="22"/>
          <w:szCs w:val="22"/>
        </w:rPr>
        <w:t xml:space="preserve"> promote</w:t>
      </w:r>
      <w:r w:rsidR="0077538F"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 the production of L2HG from </w:t>
      </w:r>
      <w:r w:rsidR="005C3B3F">
        <w:rPr>
          <w:rFonts w:ascii="Calibri" w:hAnsi="Calibri" w:cs="Calibri"/>
          <w:color w:val="000000" w:themeColor="text1"/>
          <w:sz w:val="22"/>
          <w:szCs w:val="22"/>
        </w:rPr>
        <w:t xml:space="preserve">the </w:t>
      </w:r>
      <w:r w:rsidR="00F131BF" w:rsidRPr="00D637BA">
        <w:rPr>
          <w:rFonts w:ascii="Calibri" w:hAnsi="Calibri" w:cs="Calibri"/>
          <w:color w:val="000000" w:themeColor="text1"/>
          <w:sz w:val="22"/>
          <w:szCs w:val="22"/>
        </w:rPr>
        <w:t>accumulated αKG</w:t>
      </w:r>
      <w:r w:rsidR="00B5367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{"citationID":"a14211t2r1r","properties":{"formattedCitation":"\\super 112,113\\nosupersub{}","plainCitation":"112,113","noteIndex":0},"citationItems":[{"id":1496,"uris":["http://zotero.org/users/4775618/items/865MM5FR"],"uri":["http://zotero.org/users/4775618/items/865MM5FR"],"itemData":{"id":1496,"type":"article-journal","title":"Mitochondrial Protein Lipoylation and the 2-Oxoglutarate Dehydrogenase Complex Controls HIF1α Stability in Aerobic Conditions","container-title":"Cell Metabolism","page":"740-752","volume":"24","issue":"5","source":"Crossref","abstract":"Hypoxia-inducible transcription factors (HIFs) control adaptation to low oxygen environments by activating genes involved in metabolism, angiogenesis, and redox homeostasis. The ﬁnding that HIFs are also regulated by small molecule metabolites highlights the need to understand the complexity of their cellular regulation. Here we use a forward genetic screen in near-haploid human cells to identify genes that stabilize HIFs under aerobic conditions. We identify two mitochondrial genes, oxoglutarate dehydrogenase (OGDH) and lipoic acid synthase (LIAS), which when mutated stabilize HIF1a in a non-hydroxylated form. Disruption of OGDH complex activity in OGDH or LIAS mutants promotes L-2-hydroxyglutarate formation, which inhibits the activity of the HIFa prolyl hydroxylases (PHDs) and TET 2-oxoglutarate dependent dioxygenases. We also ﬁnd that PHD activity is decreased in patients with homozygous germline mutations in lipoic acid synthesis, leading to HIF1 activation. Thus, mutations affecting OGDHC activity may have broad implications for epigenetic regulation and tumorigenesis.","URL":"https://linkinghub.elsevier.com/retrieve/pii/S1550413116305009","DOI":"10.1016/j.cmet.2016.09.015","ISSN":"15504131","language":"en","author":[{"family":"Burr","given":"Stephen P."},{"family":"Costa","given":"Ana S.H."},{"family":"Grice","given":"Guinevere L."},{"family":"Timms","given":"Richard T."},{"family":"Lobb","given":"Ian T."},{"family":"Freisinger","given":"Peter"},{"family":"Dodd","given":"Roger B."},{"family":"Dougan","given":"Gordon"},{"family":"Lehner","given":"Paul J."},{"family":"Frezza","given":"Christian"},{"family":"Nathan","given":"James A."}],"issued":{"date-parts":[["2016",11]]},"accessed":{"date-parts":[["2019",2,25]]}}},{"id":2608,"uris":["http://zotero.org/users/4775618/items/NC856S85"],"uri":["http://zotero.org/users/4775618/items/NC856S85"],"itemData":{"id":2608,"type":"article-journal","title":"Functional Assessment of Lipoyltransferase-1 Deficiency in Cells, Mice, and Humans","container-title":"Cell Reports","page":"1376-1386.e6","volume":"27","issue":"5","source":"PubMed","abstract":"Inborn errors of metabolism (IEMs) link metabolic defects to human phenotypes. Modern genomics has accelerated IEM discovery, but assessing the impact of genomic variants is still challenging. Here, we integrate genomics and metabolomics to identify a cause of lactic acidosis and epilepsy. The proband is a compound heterozygote for variants in LIPT1, which encodes the lipoyltransferase required for 2-ketoacid dehydrogenase (2KDH) function. Metabolomics reveals abnormalities in lipids, amino acids, and 2-hydroxyglutarate consistent with loss of multiple 2KDHs. Homozygous knockin of a LIPT1 mutation reduces 2KDH lipoylation in utero and results in embryonic demise. In patient fibroblasts, defective 2KDH lipoylation and function are corrected by wild-type, but not mutant, LIPT1 alleles. Isotope tracing reveals that LIPT1 supports lipogenesis and balances oxidative and reductive glutamine metabolism. Altogether, the data extend the role of LIPT1 in metabolic regulation and demonstrate how integrating genomics and metabolomics can uncover broader aspects of IEM pathophysiology.","DOI":"10.1016/j.celrep.2019.04.005","ISSN":"2211-1247","note":"PMID: 31042466","journalAbbreviation":"Cell Rep","language":"eng","author":[{"family":"Ni","given":"Min"},{"family":"Solmonson","given":"Ashley"},{"family":"Pan","given":"Chunxiao"},{"family":"Yang","given":"Chendong"},{"family":"Li","given":"Dan"},{"family":"Notzon","given":"Ashley"},{"family":"Cai","given":"Ling"},{"family":"Guevara","given":"Gerardo"},{"family":"Zacharias","given":"Lauren G."},{"family":"Faubert","given":"Brandon"},{"family":"Vu","given":"Hieu S."},{"family":"Jiang","given":"Lei"},{"family":"Ko","given":"Bookyung"},{"family":"Morales","given":"Noriko Merida"},{"family":"Pei","given":"Jimin"},{"family":"Vale","given":"Gonçalo"},{"family":"Rakheja","given":"Dinesh"},{"family":"Grishin","given":"Nick V."},{"family":"McDonald","given":"Jeffrey G."},{"family":"Gotway","given":"Garrett K."},{"family":"McNutt","given":"Markey C."},{"family":"Pascual","given":"Juan M."},{"family":"DeBerardinis","given":"Ralph J."}],"issued":{"date-parts":[["2019",4,30]]}}}],"schema":"https://github.com/citation-style-language/schema/raw/master/csl-citation.json"} </w:instrText>
      </w:r>
      <w:r w:rsidR="00B5367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112,113</w:t>
      </w:r>
      <w:r w:rsidR="00B53676">
        <w:rPr>
          <w:rFonts w:ascii="Calibri" w:hAnsi="Calibri" w:cs="Calibri"/>
          <w:color w:val="000000" w:themeColor="text1"/>
          <w:sz w:val="22"/>
          <w:szCs w:val="22"/>
        </w:rPr>
        <w:fldChar w:fldCharType="end"/>
      </w:r>
      <w:r w:rsidR="00204E61" w:rsidRPr="00D637BA">
        <w:rPr>
          <w:rFonts w:ascii="Calibri" w:hAnsi="Calibri" w:cs="Calibri"/>
          <w:color w:val="000000" w:themeColor="text1"/>
          <w:sz w:val="22"/>
          <w:szCs w:val="22"/>
        </w:rPr>
        <w:t>. E</w:t>
      </w:r>
      <w:r w:rsidR="00F131BF" w:rsidRPr="00D637BA">
        <w:rPr>
          <w:rFonts w:ascii="Calibri" w:hAnsi="Calibri" w:cs="Calibri"/>
          <w:color w:val="000000" w:themeColor="text1"/>
          <w:sz w:val="22"/>
          <w:szCs w:val="22"/>
        </w:rPr>
        <w:t xml:space="preserve">vidence </w:t>
      </w:r>
      <w:r w:rsidR="00204E61" w:rsidRPr="00B946E4">
        <w:rPr>
          <w:rFonts w:ascii="Calibri" w:hAnsi="Calibri" w:cs="Calibri"/>
          <w:color w:val="000000" w:themeColor="text1"/>
          <w:sz w:val="22"/>
          <w:szCs w:val="22"/>
        </w:rPr>
        <w:t xml:space="preserve">suggests that the resulting </w:t>
      </w:r>
      <w:r w:rsidR="00F131BF" w:rsidRPr="00D637BA">
        <w:rPr>
          <w:rFonts w:ascii="Calibri" w:hAnsi="Calibri" w:cs="Calibri"/>
          <w:color w:val="000000" w:themeColor="text1"/>
          <w:sz w:val="22"/>
          <w:szCs w:val="22"/>
        </w:rPr>
        <w:t>downstream oncometabolite activity inhibit</w:t>
      </w:r>
      <w:r w:rsidR="00204E61" w:rsidRPr="00B946E4">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 PHDs</w:t>
      </w:r>
      <w:r w:rsidR="00204E61" w:rsidRPr="00B946E4">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leading to HIF stabilisation and HIF1-targeted </w:t>
      </w:r>
      <w:r w:rsidR="00204E61" w:rsidRPr="00B946E4">
        <w:rPr>
          <w:rFonts w:ascii="Calibri" w:hAnsi="Calibri" w:cs="Calibri"/>
          <w:color w:val="000000" w:themeColor="text1"/>
          <w:sz w:val="22"/>
          <w:szCs w:val="22"/>
        </w:rPr>
        <w:t xml:space="preserve">activation of </w:t>
      </w:r>
      <w:r w:rsidR="00F131BF" w:rsidRPr="00D637BA">
        <w:rPr>
          <w:rFonts w:ascii="Calibri" w:hAnsi="Calibri" w:cs="Calibri"/>
          <w:color w:val="000000" w:themeColor="text1"/>
          <w:sz w:val="22"/>
          <w:szCs w:val="22"/>
        </w:rPr>
        <w:t>gene</w:t>
      </w:r>
      <w:r w:rsidR="00204E61" w:rsidRPr="00B946E4">
        <w:rPr>
          <w:rFonts w:ascii="Calibri" w:hAnsi="Calibri" w:cs="Calibri"/>
          <w:color w:val="000000" w:themeColor="text1"/>
          <w:sz w:val="22"/>
          <w:szCs w:val="22"/>
        </w:rPr>
        <w:t>s</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including VEGF and GLUT1</w:t>
      </w:r>
      <w:r w:rsidR="00B53676">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{"citationID":"a2p444m2vk3","properties":{"formattedCitation":"\\super 112\\nosupersub{}","plainCitation":"112","noteIndex":0},"citationItems":[{"id":1496,"uris":["http://zotero.org/users/4775618/items/865MM5FR"],"uri":["http://zotero.org/users/4775618/items/865MM5FR"],"itemData":{"id":1496,"type":"article-journal","title":"Mitochondrial Protein Lipoylation and the 2-Oxoglutarate Dehydrogenase Complex Controls HIF1α Stability in Aerobic Conditions","container-title":"Cell Metabolism","page":"740-752","volume":"24","issue":"5","source":"Crossref","abstract":"Hypoxia-inducible transcription factors (HIFs) control adaptation to low oxygen environments by activating genes involved in metabolism, angiogenesis, and redox homeostasis. The ﬁnding that HIFs are also regulated by small molecule metabolites highlights the need to understand the complexity of their cellular regulation. Here we use a forward genetic screen in near-haploid human cells to identify genes that stabilize HIFs under aerobic conditions. We identify two mitochondrial genes, oxoglutarate dehydrogenase (OGDH) and lipoic acid synthase (LIAS), which when mutated stabilize HIF1a in a non-hydroxylated form. Disruption of OGDH complex activity in OGDH or LIAS mutants promotes L-2-hydroxyglutarate formation, which inhibits the activity of the HIFa prolyl hydroxylases (PHDs) and TET 2-oxoglutarate dependent dioxygenases. We also ﬁnd that PHD activity is decreased in patients with homozygous germline mutations in lipoic acid synthesis, leading to HIF1 activation. Thus, mutations affecting OGDHC activity may have broad implications for epigenetic regulation and tumorigenesis.","URL":"https://linkinghub.elsevier.com/retrieve/pii/S1550413116305009","DOI":"10.1016/j.cmet.2016.09.015","ISSN":"15504131","language":"en","author":[{"family":"Burr","given":"Stephen P."},{"family":"Costa","given":"Ana S.H."},{"family":"Grice","given":"Guinevere L."},{"family":"Timms","given":"Richard T."},{"family":"Lobb","given":"Ian T."},{"family":"Freisinger","given":"Peter"},{"family":"Dodd","given":"Roger B."},{"family":"Dougan","given":"Gordon"},{"family":"Lehner","given":"Paul J."},{"family":"Frezza","given":"Christian"},{"family":"Nathan","given":"James A."}],"issued":{"date-parts":[["2016",11]]},"accessed":{"date-parts":[["2019",2,25]]}}}],"schema":"https://github.com/citation-style-language/schema/raw/master/csl-citation.json"} </w:instrText>
      </w:r>
      <w:r w:rsidR="00B53676">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112</w:t>
      </w:r>
      <w:r w:rsidR="00B5367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204E61" w:rsidRPr="00D637BA">
        <w:rPr>
          <w:rFonts w:ascii="Calibri" w:hAnsi="Calibri" w:cs="Calibri"/>
          <w:color w:val="000000" w:themeColor="text1"/>
          <w:sz w:val="22"/>
          <w:szCs w:val="22"/>
        </w:rPr>
        <w:t xml:space="preserve">L2HG also accumulates and suppresses PHD activity and subsequent HIF activation in </w:t>
      </w:r>
      <w:r w:rsidR="00F131BF" w:rsidRPr="00D637BA">
        <w:rPr>
          <w:rFonts w:ascii="Calibri" w:hAnsi="Calibri" w:cs="Calibri"/>
          <w:color w:val="000000" w:themeColor="text1"/>
          <w:sz w:val="22"/>
          <w:szCs w:val="22"/>
        </w:rPr>
        <w:t xml:space="preserve">patients with homozygous germline mutations </w:t>
      </w:r>
      <w:r w:rsidR="00DF34D7" w:rsidRPr="00D637BA">
        <w:rPr>
          <w:rFonts w:ascii="Calibri" w:hAnsi="Calibri" w:cs="Calibri"/>
          <w:color w:val="000000" w:themeColor="text1"/>
          <w:sz w:val="22"/>
          <w:szCs w:val="22"/>
        </w:rPr>
        <w:t>of enzymes of</w:t>
      </w:r>
      <w:r w:rsidR="00F131BF" w:rsidRPr="00D637BA">
        <w:rPr>
          <w:rFonts w:ascii="Calibri" w:hAnsi="Calibri" w:cs="Calibri"/>
          <w:color w:val="000000" w:themeColor="text1"/>
          <w:sz w:val="22"/>
          <w:szCs w:val="22"/>
        </w:rPr>
        <w:t xml:space="preserve"> lipoic acid synthesis</w:t>
      </w:r>
      <w:r w:rsidR="00494C77">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{"citationID":"a1ps8jfec05","properties":{"formattedCitation":"\\super 112\\nosupersub{}","plainCitation":"112","noteIndex":0},"citationItems":[{"id":1496,"uris":["http://zotero.org/users/4775618/items/865MM5FR"],"uri":["http://zotero.org/users/4775618/items/865MM5FR"],"itemData":{"id":1496,"type":"article-journal","title":"Mitochondrial Protein Lipoylation and the 2-Oxoglutarate Dehydrogenase Complex Controls HIF1α Stability in Aerobic Conditions","container-title":"Cell Metabolism","page":"740-752","volume":"24","issue":"5","source":"Crossref","abstract":"Hypoxia-inducible transcription factors (HIFs) control adaptation to low oxygen environments by activating genes involved in metabolism, angiogenesis, and redox homeostasis. The ﬁnding that HIFs are also regulated by small molecule metabolites highlights the need to understand the complexity of their cellular regulation. Here we use a forward genetic screen in near-haploid human cells to identify genes that stabilize HIFs under aerobic conditions. We identify two mitochondrial genes, oxoglutarate dehydrogenase (OGDH) and lipoic acid synthase (LIAS), which when mutated stabilize HIF1a in a non-hydroxylated form. Disruption of OGDH complex activity in OGDH or LIAS mutants promotes L-2-hydroxyglutarate formation, which inhibits the activity of the HIFa prolyl hydroxylases (PHDs) and TET 2-oxoglutarate dependent dioxygenases. We also ﬁnd that PHD activity is decreased in patients with homozygous germline mutations in lipoic acid synthesis, leading to HIF1 activation. Thus, mutations affecting OGDHC activity may have broad implications for epigenetic regulation and tumorigenesis.","URL":"https://linkinghub.elsevier.com/retrieve/pii/S1550413116305009","DOI":"10.1016/j.cmet.2016.09.015","ISSN":"15504131","language":"en","author":[{"family":"Burr","given":"Stephen P."},{"family":"Costa","given":"Ana S.H."},{"family":"Grice","given":"Guinevere L."},{"family":"Timms","given":"Richard T."},{"family":"Lobb","given":"Ian T."},{"family":"Freisinger","given":"Peter"},{"family":"Dodd","given":"Roger B."},{"family":"Dougan","given":"Gordon"},{"family":"Lehner","given":"Paul J."},{"family":"Frezza","given":"Christian"},{"family":"Nathan","given":"James A."}],"issued":{"date-parts":[["2016",11]]},"accessed":{"date-parts":[["2019",2,25]]}}}],"schema":"https://github.com/citation-style-language/schema/raw/master/csl-citation.json"} </w:instrText>
      </w:r>
      <w:r w:rsidR="00494C77">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112</w:t>
      </w:r>
      <w:r w:rsidR="00494C77">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However</w:t>
      </w:r>
      <w:r w:rsidR="00F561C2" w:rsidRPr="00B946E4">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this rare inborn error of metabolism is generally lethal at a young age</w:t>
      </w:r>
      <w:r w:rsidR="00494C77">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{"citationID":"af8tbchhgf","properties":{"formattedCitation":"\\super 112,114\\nosupersub{}","plainCitation":"112,114","noteIndex":0},"citationItems":[{"id":1505,"uris":["http://zotero.org/users/4775618/items/BMP5UIUZ"],"uri":["http://zotero.org/users/4775618/items/BMP5UIUZ"],"itemData":{"id":1505,"type":"article-journal","title":"Variant non ketotic hyperglycinemia is caused by mutations in LIAS, BOLA3 and the novel gene GLRX5","container-title":"Brain: A Journal of Neurology","page":"366-379","volume":"137","issue":"Pt 2","source":"PubMed","abstract":"Patients with nonketotic hyperglycinemia and deficient glycine cleavage enzyme activity, but without mutations in AMT, GLDC or GCSH, the genes encoding its constituent proteins, constitute a clinical group which we call 'variant nonketotic hyperglycinemia'. We hypothesize that in some patients the aetiology involves genetic mutations that result in a deficiency of the cofactor lipoate, and sequenced genes involved in lipoate synthesis and iron-sulphur cluster biogenesis. Of 11 individuals identified with variant nonketotic hyperglycinemia, we were able to determine the genetic aetiology in eight patients and delineate the clinical and biochemical phenotypes. Mutations were identified in the genes for lipoate synthase (LIAS), BolA type 3 (BOLA3), and a novel gene glutaredoxin 5 (GLRX5). Patients with GLRX5-associated variant nonketotic hyperglycinemia had normal development with childhood-onset spastic paraplegia, spinal lesion, and optic atrophy. Clinical features of BOLA3-associated variant nonketotic hyperglycinemia include severe neurodegeneration after a period of normal development. Additional features include leukodystrophy, cardiomyopathy and optic atrophy. Patients with lipoate synthase-deficient variant nonketotic hyperglycinemia varied in severity from mild static encephalopathy to Leigh disease and cortical involvement. All patients had high serum and borderline elevated cerebrospinal fluid glycine and cerebrospinal fluid:plasma glycine ratio, and deficient glycine cleavage enzyme activity. They had low pyruvate dehydrogenase enzyme activity but most did not have lactic acidosis. Patients were deficient in lipoylation of mitochondrial proteins. There were minimal and inconsistent changes in cellular iron handling, and respiratory chain activity was unaffected. Identified mutations were phylogenetically conserved, and transfection with native genes corrected the biochemical deficiency proving pathogenicity. Treatments of cells with lipoate and with mitochondrially-targeted lipoate were unsuccessful at correcting the deficiency. The recognition of variant nonketotic hyperglycinemia is important for physicians evaluating patients with abnormalities in glycine as this will affect the genetic causation and genetic counselling, and provide prognostic information on the expected phenotypic course.","DOI":"10.1093/brain/awt328","ISSN":"1460-2156","note":"PMID: 24334290\nPMCID: PMC3914472","journalAbbreviation":"Brain","language":"eng","author":[{"family":"Baker","given":"Peter R."},{"family":"Friederich","given":"Marisa W."},{"family":"Swanson","given":"Michael A."},{"family":"Shaikh","given":"Tamim"},{"family":"Bhattacharya","given":"Kaustuv"},{"family":"Scharer","given":"Gunter H."},{"family":"Aicher","given":"Joseph"},{"family":"Creadon-Swindell","given":"Geralyn"},{"family":"Geiger","given":"Elizabeth"},{"family":"MacLean","given":"Kenneth N."},{"family":"Lee","given":"Wang-Tso"},{"family":"Deshpande","given":"Charu"},{"family":"Freckmann","given":"Mary-Louise"},{"family":"Shih","given":"Ling-Yu"},{"family":"Wasserstein","given":"Melissa"},{"family":"Rasmussen","given":"Malene B."},{"family":"Lund","given":"Allan M."},{"family":"Procopis","given":"Peter"},{"family":"Cameron","given":"Jessie M."},{"family":"Robinson","given":"Brian H."},{"family":"Brown","given":"Garry K."},{"family":"Brown","given":"Ruth M."},{"family":"Compton","given":"Alison G."},{"family":"Dieckmann","given":"Carol L."},{"family":"Collard","given":"Renata"},{"family":"Coughlin","given":"Curtis R."},{"family":"Spector","given":"Elaine"},{"family":"Wempe","given":"Michael F."},{"family":"Van Hove","given":"Johan L. K."}],"issued":{"date-parts":[["2014",2]]}}},{"id":1496,"uris":["http://zotero.org/users/4775618/items/865MM5FR"],"uri":["http://zotero.org/users/4775618/items/865MM5FR"],"itemData":{"id":1496,"type":"article-journal","title":"Mitochondrial Protein Lipoylation and the 2-Oxoglutarate Dehydrogenase Complex Controls HIF1α Stability in Aerobic Conditions","container-title":"Cell Metabolism","page":"740-752","volume":"24","issue":"5","source":"Crossref","abstract":"Hypoxia-inducible transcription factors (HIFs) control adaptation to low oxygen environments by activating genes involved in metabolism, angiogenesis, and redox homeostasis. The ﬁnding that HIFs are also regulated by small molecule metabolites highlights the need to understand the complexity of their cellular regulation. Here we use a forward genetic screen in near-haploid human cells to identify genes that stabilize HIFs under aerobic conditions. We identify two mitochondrial genes, oxoglutarate dehydrogenase (OGDH) and lipoic acid synthase (LIAS), which when mutated stabilize HIF1a in a non-hydroxylated form. Disruption of OGDH complex activity in OGDH or LIAS mutants promotes L-2-hydroxyglutarate formation, which inhibits the activity of the HIFa prolyl hydroxylases (PHDs) and TET 2-oxoglutarate dependent dioxygenases. We also ﬁnd that PHD activity is decreased in patients with homozygous germline mutations in lipoic acid synthesis, leading to HIF1 activation. Thus, mutations affecting OGDHC activity may have broad implications for epigenetic regulation and tumorigenesis.","URL":"https://linkinghub.elsevier.com/retrieve/pii/S1550413116305009","DOI":"10.1016/j.cmet.2016.09.015","ISSN":"15504131","language":"en","author":[{"family":"Burr","given":"Stephen P."},{"family":"Costa","given":"Ana S.H."},{"family":"Grice","given":"Guinevere L."},{"family":"Timms","given":"Richard T."},{"family":"Lobb","given":"Ian T."},{"family":"Freisinger","given":"Peter"},{"family":"Dodd","given":"Roger B."},{"family":"Dougan","given":"Gordon"},{"family":"Lehner","given":"Paul J."},{"family":"Frezza","given":"Christian"},{"family":"Nathan","given":"James A."}],"issued":{"date-parts":[["2016",11]]},"accessed":{"date-parts":[["2019",2,25]]}}}],"schema":"https://github.com/citation-style-language/schema/raw/master/csl-citation.json"} </w:instrText>
      </w:r>
      <w:r w:rsidR="00494C77">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112,114</w:t>
      </w:r>
      <w:r w:rsidR="00494C77">
        <w:rPr>
          <w:rFonts w:ascii="Calibri" w:hAnsi="Calibri" w:cs="Calibri"/>
          <w:color w:val="000000" w:themeColor="text1"/>
          <w:sz w:val="22"/>
          <w:szCs w:val="22"/>
        </w:rPr>
        <w:fldChar w:fldCharType="end"/>
      </w:r>
      <w:r w:rsidR="00F561C2" w:rsidRPr="00B946E4">
        <w:rPr>
          <w:rFonts w:ascii="Calibri" w:hAnsi="Calibri" w:cs="Calibri"/>
          <w:color w:val="000000" w:themeColor="text1"/>
          <w:sz w:val="22"/>
          <w:szCs w:val="22"/>
        </w:rPr>
        <w:t>, which</w:t>
      </w:r>
      <w:r w:rsidR="00F131BF" w:rsidRPr="00D637BA">
        <w:rPr>
          <w:rFonts w:ascii="Calibri" w:hAnsi="Calibri" w:cs="Calibri"/>
          <w:color w:val="000000" w:themeColor="text1"/>
          <w:sz w:val="22"/>
          <w:szCs w:val="22"/>
        </w:rPr>
        <w:t xml:space="preserve"> may preclude </w:t>
      </w:r>
      <w:r w:rsidR="00F561C2" w:rsidRPr="00B946E4">
        <w:rPr>
          <w:rFonts w:ascii="Calibri" w:hAnsi="Calibri" w:cs="Calibri"/>
          <w:color w:val="000000" w:themeColor="text1"/>
          <w:sz w:val="22"/>
          <w:szCs w:val="22"/>
        </w:rPr>
        <w:t xml:space="preserve">the development of </w:t>
      </w:r>
      <w:r w:rsidR="00F131BF" w:rsidRPr="00D637BA">
        <w:rPr>
          <w:rFonts w:ascii="Calibri" w:hAnsi="Calibri" w:cs="Calibri"/>
          <w:color w:val="000000" w:themeColor="text1"/>
          <w:sz w:val="22"/>
          <w:szCs w:val="22"/>
        </w:rPr>
        <w:t>oncometabolite-associated tumour</w:t>
      </w:r>
      <w:r w:rsidR="00F561C2" w:rsidRPr="00B946E4">
        <w:rPr>
          <w:rFonts w:ascii="Calibri" w:hAnsi="Calibri" w:cs="Calibri"/>
          <w:color w:val="000000" w:themeColor="text1"/>
          <w:sz w:val="22"/>
          <w:szCs w:val="22"/>
        </w:rPr>
        <w:t>s in these patients</w:t>
      </w:r>
      <w:r w:rsidR="00F131BF" w:rsidRPr="00D637BA">
        <w:rPr>
          <w:rFonts w:ascii="Calibri" w:hAnsi="Calibri" w:cs="Calibri"/>
          <w:color w:val="000000" w:themeColor="text1"/>
          <w:sz w:val="22"/>
          <w:szCs w:val="22"/>
        </w:rPr>
        <w:t xml:space="preserve">. Characterisation of </w:t>
      </w:r>
      <w:r w:rsidR="00F3326F">
        <w:rPr>
          <w:rFonts w:ascii="Calibri" w:hAnsi="Calibri" w:cs="Calibri"/>
          <w:color w:val="000000" w:themeColor="text1"/>
          <w:sz w:val="22"/>
          <w:szCs w:val="22"/>
        </w:rPr>
        <w:t xml:space="preserve">patients with </w:t>
      </w:r>
      <w:r w:rsidR="00F131BF" w:rsidRPr="00D637BA">
        <w:rPr>
          <w:rFonts w:ascii="Calibri" w:hAnsi="Calibri" w:cs="Calibri"/>
          <w:color w:val="000000" w:themeColor="text1"/>
          <w:sz w:val="22"/>
          <w:szCs w:val="22"/>
        </w:rPr>
        <w:t xml:space="preserve">heterozygous germline mutations in </w:t>
      </w:r>
      <w:r w:rsidR="00F561C2" w:rsidRPr="00B946E4">
        <w:rPr>
          <w:rFonts w:ascii="Calibri" w:hAnsi="Calibri" w:cs="Calibri"/>
          <w:i/>
          <w:color w:val="000000" w:themeColor="text1"/>
          <w:sz w:val="22"/>
          <w:szCs w:val="22"/>
        </w:rPr>
        <w:t>αKGDH</w:t>
      </w:r>
      <w:r w:rsidR="00F561C2" w:rsidRPr="00B946E4">
        <w:rPr>
          <w:rFonts w:ascii="Calibri" w:hAnsi="Calibri" w:cs="Calibri"/>
          <w:color w:val="000000" w:themeColor="text1"/>
          <w:sz w:val="22"/>
          <w:szCs w:val="22"/>
        </w:rPr>
        <w:t xml:space="preserve"> and </w:t>
      </w:r>
      <w:r w:rsidR="00F561C2" w:rsidRPr="00B946E4">
        <w:rPr>
          <w:rFonts w:ascii="Calibri" w:hAnsi="Calibri" w:cs="Calibri"/>
          <w:i/>
          <w:color w:val="000000" w:themeColor="text1"/>
          <w:sz w:val="22"/>
          <w:szCs w:val="22"/>
        </w:rPr>
        <w:t>LIAS</w:t>
      </w:r>
      <w:r w:rsidR="00F561C2"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may provide additional insight </w:t>
      </w:r>
      <w:r w:rsidR="0077538F" w:rsidRPr="00D637BA">
        <w:rPr>
          <w:rFonts w:ascii="Calibri" w:hAnsi="Calibri" w:cs="Calibri"/>
          <w:color w:val="000000" w:themeColor="text1"/>
          <w:sz w:val="22"/>
          <w:szCs w:val="22"/>
        </w:rPr>
        <w:t xml:space="preserve">into </w:t>
      </w:r>
      <w:r w:rsidR="00F131BF" w:rsidRPr="00D637BA">
        <w:rPr>
          <w:rFonts w:ascii="Calibri" w:hAnsi="Calibri" w:cs="Calibri"/>
          <w:color w:val="000000" w:themeColor="text1"/>
          <w:sz w:val="22"/>
          <w:szCs w:val="22"/>
        </w:rPr>
        <w:t>the tumorigenic role of L2HG accumulation.</w:t>
      </w:r>
      <w:r w:rsidR="00F561C2" w:rsidRPr="00D637BA">
        <w:rPr>
          <w:rFonts w:ascii="Calibri" w:hAnsi="Calibri" w:cs="Calibri"/>
          <w:color w:val="000000" w:themeColor="text1"/>
          <w:sz w:val="22"/>
          <w:szCs w:val="22"/>
        </w:rPr>
        <w:t xml:space="preserve"> </w:t>
      </w:r>
    </w:p>
    <w:p w14:paraId="3A922A17" w14:textId="77777777" w:rsidR="0090771C" w:rsidRPr="00D637BA" w:rsidRDefault="0090771C" w:rsidP="00F131BF">
      <w:pPr>
        <w:spacing w:line="360" w:lineRule="auto"/>
        <w:jc w:val="both"/>
        <w:rPr>
          <w:rFonts w:ascii="Calibri" w:hAnsi="Calibri" w:cs="Calibri"/>
          <w:color w:val="000000" w:themeColor="text1"/>
          <w:sz w:val="22"/>
          <w:szCs w:val="22"/>
        </w:rPr>
      </w:pPr>
    </w:p>
    <w:p w14:paraId="42727FC8" w14:textId="132F6A71" w:rsidR="00F131BF" w:rsidRPr="00D637BA" w:rsidRDefault="0077538F" w:rsidP="00F131BF">
      <w:pPr>
        <w:spacing w:line="360" w:lineRule="auto"/>
        <w:jc w:val="both"/>
        <w:rPr>
          <w:rFonts w:ascii="Calibri" w:hAnsi="Calibri" w:cs="Calibri"/>
          <w:b/>
          <w:color w:val="000000" w:themeColor="text1"/>
          <w:sz w:val="22"/>
          <w:szCs w:val="22"/>
        </w:rPr>
      </w:pPr>
      <w:r w:rsidRPr="00D637BA">
        <w:rPr>
          <w:rFonts w:ascii="Calibri" w:hAnsi="Calibri" w:cs="Calibri"/>
          <w:b/>
          <w:color w:val="000000" w:themeColor="text1"/>
          <w:sz w:val="22"/>
          <w:szCs w:val="22"/>
        </w:rPr>
        <w:t>[</w:t>
      </w:r>
      <w:r w:rsidR="007E415A" w:rsidRPr="00D637BA">
        <w:rPr>
          <w:rFonts w:ascii="Calibri" w:hAnsi="Calibri" w:cs="Calibri"/>
          <w:b/>
          <w:color w:val="000000" w:themeColor="text1"/>
          <w:sz w:val="22"/>
          <w:szCs w:val="22"/>
        </w:rPr>
        <w:t>H1</w:t>
      </w:r>
      <w:r w:rsidRPr="00D637BA">
        <w:rPr>
          <w:rFonts w:ascii="Calibri" w:hAnsi="Calibri" w:cs="Calibri"/>
          <w:b/>
          <w:color w:val="000000" w:themeColor="text1"/>
          <w:sz w:val="22"/>
          <w:szCs w:val="22"/>
        </w:rPr>
        <w:t xml:space="preserve">] </w:t>
      </w:r>
      <w:r w:rsidR="00F131BF" w:rsidRPr="00D637BA">
        <w:rPr>
          <w:rFonts w:ascii="Calibri" w:hAnsi="Calibri" w:cs="Calibri"/>
          <w:b/>
          <w:color w:val="000000" w:themeColor="text1"/>
          <w:sz w:val="22"/>
          <w:szCs w:val="22"/>
        </w:rPr>
        <w:t>Exogenous origins</w:t>
      </w:r>
      <w:r w:rsidR="007E415A" w:rsidRPr="00D637BA">
        <w:rPr>
          <w:rFonts w:ascii="Calibri" w:hAnsi="Calibri" w:cs="Calibri"/>
          <w:b/>
          <w:color w:val="000000" w:themeColor="text1"/>
          <w:sz w:val="22"/>
          <w:szCs w:val="22"/>
        </w:rPr>
        <w:t xml:space="preserve"> of oncometabolites</w:t>
      </w:r>
    </w:p>
    <w:p w14:paraId="012DF4C9" w14:textId="6B77930F" w:rsidR="00EE7B37" w:rsidRPr="00D637BA" w:rsidRDefault="00F131BF" w:rsidP="00EE7B37">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Remarkably, oncometabolites have </w:t>
      </w:r>
      <w:r w:rsidR="00BE6271" w:rsidRPr="00D637BA">
        <w:rPr>
          <w:rFonts w:ascii="Calibri" w:hAnsi="Calibri" w:cs="Calibri"/>
          <w:color w:val="000000" w:themeColor="text1"/>
          <w:sz w:val="22"/>
          <w:szCs w:val="22"/>
        </w:rPr>
        <w:t xml:space="preserve">also </w:t>
      </w:r>
      <w:r w:rsidRPr="00D637BA">
        <w:rPr>
          <w:rFonts w:ascii="Calibri" w:hAnsi="Calibri" w:cs="Calibri"/>
          <w:color w:val="000000" w:themeColor="text1"/>
          <w:sz w:val="22"/>
          <w:szCs w:val="22"/>
        </w:rPr>
        <w:t>been demonstrated to</w:t>
      </w:r>
      <w:r w:rsidR="001B0B1B" w:rsidRPr="00D637BA">
        <w:rPr>
          <w:rFonts w:ascii="Calibri" w:hAnsi="Calibri" w:cs="Calibri"/>
          <w:color w:val="000000" w:themeColor="text1"/>
          <w:sz w:val="22"/>
          <w:szCs w:val="22"/>
        </w:rPr>
        <w:t xml:space="preserve"> accumulate in cells and </w:t>
      </w:r>
      <w:r w:rsidRPr="00D637BA">
        <w:rPr>
          <w:rFonts w:ascii="Calibri" w:hAnsi="Calibri" w:cs="Calibri"/>
          <w:color w:val="000000" w:themeColor="text1"/>
          <w:sz w:val="22"/>
          <w:szCs w:val="22"/>
        </w:rPr>
        <w:t>induce oncogenic transformation</w:t>
      </w:r>
      <w:r w:rsidR="00BE6271" w:rsidRPr="00D637BA">
        <w:t xml:space="preserve"> </w:t>
      </w:r>
      <w:r w:rsidR="00BE6271" w:rsidRPr="00D637BA">
        <w:rPr>
          <w:rFonts w:ascii="Calibri" w:hAnsi="Calibri" w:cs="Calibri"/>
          <w:color w:val="000000" w:themeColor="text1"/>
          <w:sz w:val="22"/>
          <w:szCs w:val="22"/>
        </w:rPr>
        <w:t>in the absence of oncogenic mutations</w:t>
      </w:r>
      <w:r w:rsidR="00C100A9">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{"citationID":"a14k1f6jhc5","properties":{"formattedCitation":"\\super 115\\nosupersub{}","plainCitation":"115","noteIndex":0},"citationItems":[{"id":1351,"uris":["http://zotero.org/users/4775618/items/S62ERCDM"],"uri":["http://zotero.org/users/4775618/items/S62ERCDM"],"itemData":{"id":1351,"type":"article-journal","title":"(R)-2-Hydroxyglutarate Is Sufficient to Promote Leukemogenesis and Its Effects Are Reversible","container-title":"Science","page":"1621-1625","volume":"339","issue":"6127","source":"science.sciencemag.org","abstract":"Focusing on the Right Metabolite\nA variety of human cancers, including acute leukemias and brain tumors, have mutations in the genes encoding isocitrate dehydrogenase 1 or 2 (IDH1, IDH2), which cause overproduction of a metabolite called 2-hydroxyglutarate (2HG). Losman et al. (p. 1621, published online 7 February) show that the R- but not the S-enantiomer of 2HG can transform cells and that R-2HG mediates transformation at least in part through effects on protein modifying EglN prolyl hydroxylases. Importantly, the transforming activity of R-2HG was reversible, suggesting that therapeutic strategies focusing on inhibition of R-2HG production or inhibition of EglN prolyl hydroxylases merit further investigation.\nMutations in IDH1 and IDH2, the genes coding for isocitrate dehydrogenases 1 and 2, are common in several human cancers, including leukemias, and result in overproduction of the (R)-enantiomer of 2-hydroxyglutarate [(R)-2HG]. Elucidation of the role of IDH mutations and (R)-2HG in leukemogenesis has been hampered by a lack of appropriate cell-based models. Here, we show that a canonical IDH1 mutant, IDH1 R132H, promotes cytokine independence and blocks differentiation in hematopoietic cells. These effects can be recapitulated by (R)-2HG, but not (S)-2HG, despite the fact that (S)-2HG more potently inhibits enzymes, such as the 5′-methylcytosine hydroxylase TET2, that have previously been linked to the pathogenesis of IDH mutant tumors. We provide evidence that this paradox relates to the ability of (S)-2HG, but not (R)-2HG, to inhibit the EglN prolyl hydroxylases. Additionally, we show that transformation by (R)-2HG is reversible.\nA metabolite specific to certain cancers, and of therapeutic interest, exists in two forms, only one of which is oncogenic.\nA metabolite specific to certain cancers, and of therapeutic interest, exists in two forms, only one of which is oncogenic.","URL":"http://science.sciencemag.org/content/339/6127/1621","DOI":"10.1126/science.1231677","ISSN":"0036-8075, 1095-9203","note":"PMID: 23393090","language":"en","author":[{"family":"Losman","given":"Julie-Aurore"},{"family":"Looper","given":"Ryan E."},{"family":"Koivunen","given":"Peppi"},{"family":"Lee","given":"Sungwoo"},{"family":"Schneider","given":"Rebekka K."},{"family":"McMahon","given":"Christine"},{"family":"Cowley","given":"Glenn S."},{"family":"Root","given":"David E."},{"family":"Ebert","given":"Benjamin L."},{"family":"Kaelin","given":"William G."}],"issued":{"date-parts":[["2013",3,29]]},"accessed":{"date-parts":[["2019",2,23]]}}}],"schema":"https://github.com/citation-style-language/schema/raw/master/csl-citation.json"} </w:instrText>
      </w:r>
      <w:r w:rsidR="00C100A9">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115</w:t>
      </w:r>
      <w:r w:rsidR="00C100A9">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Identifying the environmental factors linked to oncometabolite accumulation may shed</w:t>
      </w:r>
      <w:r w:rsidR="0090431D">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light on how the</w:t>
      </w:r>
      <w:r w:rsidR="00463260" w:rsidRPr="00B946E4">
        <w:rPr>
          <w:rFonts w:ascii="Calibri" w:hAnsi="Calibri" w:cs="Calibri"/>
          <w:color w:val="000000" w:themeColor="text1"/>
          <w:sz w:val="22"/>
          <w:szCs w:val="22"/>
        </w:rPr>
        <w:t>se factors</w:t>
      </w:r>
      <w:r w:rsidRPr="00D637BA">
        <w:rPr>
          <w:rFonts w:ascii="Calibri" w:hAnsi="Calibri" w:cs="Calibri"/>
          <w:color w:val="000000" w:themeColor="text1"/>
          <w:sz w:val="22"/>
          <w:szCs w:val="22"/>
        </w:rPr>
        <w:t xml:space="preserve"> impact or predispose individuals to cancer. </w:t>
      </w:r>
    </w:p>
    <w:p w14:paraId="55C40D92" w14:textId="42E9AEEC" w:rsidR="0026708C" w:rsidRPr="00D637BA" w:rsidRDefault="00C9681B" w:rsidP="00B946E4">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A number of pathways for oncometabolite accumulation in response to exogenous stimuli have been identified. For example, h</w:t>
      </w:r>
      <w:r w:rsidR="00F131BF" w:rsidRPr="00D637BA">
        <w:rPr>
          <w:rFonts w:ascii="Calibri" w:hAnsi="Calibri" w:cs="Calibri"/>
          <w:color w:val="000000" w:themeColor="text1"/>
          <w:sz w:val="22"/>
          <w:szCs w:val="22"/>
        </w:rPr>
        <w:t>ypoxia-induced</w:t>
      </w:r>
      <w:r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off-target</w:t>
      </w:r>
      <w:r w:rsidR="0026708C"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substrate-promiscuous activity of lactate dehydrogenase A (LDHA)</w:t>
      </w:r>
      <w:r w:rsidR="00C100A9">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{"citationID":"a1l8n06aovk","properties":{"formattedCitation":"\\super 116\\nosupersub{}","plainCitation":"116","noteIndex":0},"citationItems":[{"id":633,"uris":["http://zotero.org/users/4775618/items/JYCBYNH3"],"uri":["http://zotero.org/users/4775618/items/JYCBYNH3"],"itemData":{"id":633,"type":"article-journal","title":"Hypoxia Induces Production of L-2-Hydroxyglutarate","container-title":"Cell Metabolism","page":"304-311","volume":"22","issue":"2","source":"PubMed","abstract":"Somatic mutations in isocitrate dehydrogenase 1 or 2 (IDH1/2) contribute to the pathogenesis of cancer via production of the \"oncometabolite\" D-2-hydroxyglutarate (D-2HG). Elevated D-2HG can block differentiation of malignant cells by functioning as a competitive inhibitor of α-ketoglutarate (α-KG)-dependent enzymes, including Jumonji family histone lysine demethylases. 2HG is a chiral molecule that can exist in either the D-enantiomer or the L-enantiomer. Although cancer-associated IDH1/2 mutants produce D-2HG, biochemical studies have demonstrated that L-2HG also functions as a potent inhibitor of α-KG-dependent enzymes. Here we report that under conditions of oxygen limitation, mammalian cells selectively produce L-2HG via enzymatic reduction of α-KG. Hypoxia-induced L-2HG is not mediated by IDH1 or IDH2, but instead results from promiscuous substrate usage primarily by lactate dehydrogenase A (LDHA). During hypoxia, the resulting increase in L-2HG is necessary and sufficient for the induction of increased methylation of histone repressive marks, including histone 3 lysine 9 (H3K9me3).","DOI":"10.1016/j.cmet.2015.06.023","ISSN":"1932-7420","note":"PMID: 26212717\nPMCID: PMC4527873","journalAbbreviation":"Cell Metab.","language":"eng","author":[{"family":"Intlekofer","given":"Andrew M."},{"family":"Dematteo","given":"Raymond G."},{"family":"Venneti","given":"Sriram"},{"family":"Finley","given":"Lydia W. S."},{"family":"Lu","given":"Chao"},{"family":"Judkins","given":"Alexander R."},{"family":"Rustenburg","given":"Ariën S."},{"family":"Grinaway","given":"Patrick B."},{"family":"Chodera","given":"John D."},{"family":"Cross","given":"Justin R."},{"family":"Thompson","given":"Craig B."}],"issued":{"date-parts":[["2015",8,4]]}}}],"schema":"https://github.com/citation-style-language/schema/raw/master/csl-citation.json"} </w:instrText>
      </w:r>
      <w:r w:rsidR="00C100A9">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116</w:t>
      </w:r>
      <w:r w:rsidR="00C100A9">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and malate dehydrogenase (MDH</w:t>
      </w:r>
      <w:r w:rsidRPr="00D637BA">
        <w:rPr>
          <w:rFonts w:ascii="Calibri" w:hAnsi="Calibri" w:cs="Calibri"/>
          <w:color w:val="000000" w:themeColor="text1"/>
          <w:sz w:val="22"/>
          <w:szCs w:val="22"/>
        </w:rPr>
        <w:t>2</w:t>
      </w:r>
      <w:r w:rsidR="00F131BF" w:rsidRPr="00D637BA">
        <w:rPr>
          <w:rFonts w:ascii="Calibri" w:hAnsi="Calibri" w:cs="Calibri"/>
          <w:color w:val="000000" w:themeColor="text1"/>
          <w:sz w:val="22"/>
          <w:szCs w:val="22"/>
        </w:rPr>
        <w:t>)</w:t>
      </w:r>
      <w:r w:rsidR="00C100A9">
        <w:rPr>
          <w:rFonts w:ascii="Calibri" w:hAnsi="Calibri" w:cs="Calibri"/>
          <w:color w:val="000000" w:themeColor="text1"/>
          <w:sz w:val="22"/>
          <w:szCs w:val="22"/>
        </w:rPr>
        <w:fldChar w:fldCharType="begin"/>
      </w:r>
      <w:r w:rsidR="00F23309">
        <w:rPr>
          <w:rFonts w:ascii="Calibri" w:hAnsi="Calibri" w:cs="Calibri"/>
          <w:color w:val="000000" w:themeColor="text1"/>
          <w:sz w:val="22"/>
          <w:szCs w:val="22"/>
        </w:rPr>
        <w:instrText xml:space="preserve"> ADDIN ZOTERO_ITEM CSL_CITATION {"citationID":"a1qg6fr9kqq","properties":{"formattedCitation":"\\super 116,117\\nosupersub{}","plainCitation":"116,117","noteIndex":0},"citationItems":[{"id":633,"uris":["http://zotero.org/users/4775618/items/JYCBYNH3"],"uri":["http://zotero.org/users/4775618/items/JYCBYNH3"],"itemData":{"id":633,"type":"article-journal","title":"Hypoxia Induces Production of L-2-Hydroxyglutarate","container-title":"Cell Metabolism","page":"304-311","volume":"22","issue":"2","source":"PubMed","abstract":"Somatic mutations in isocitrate dehydrogenase 1 or 2 (IDH1/2) contribute to the pathogenesis of cancer via production of the \"oncometabolite\" D-2-hydroxyglutarate (D-2HG). Elevated D-2HG can block differentiation of malignant cells by functioning as a competitive inhibitor of α-ketoglutarate (α-KG)-dependent enzymes, including Jumonji family histone lysine demethylases. 2HG is a chiral molecule that can exist in either the D-enantiomer or the L-enantiomer. Although cancer-associated IDH1/2 mutants produce D-2HG, biochemical studies have demonstrated that L-2HG also functions as a potent inhibitor of α-KG-dependent enzymes. Here we report that under conditions of oxygen limitation, mammalian cells selectively produce L-2HG via enzymatic reduction of α-KG. Hypoxia-induced L-2HG is not mediated by IDH1 or IDH2, but instead results from promiscuous substrate usage primarily by lactate dehydrogenase A (LDHA). During hypoxia, the resulting increase in L-2HG is necessary and sufficient for the induction of increased methylation of histone repressive marks, including histone 3 lysine 9 (H3K9me3).","DOI":"10.1016/j.cmet.2015.06.023","ISSN":"1932-7420","note":"PMID: 26212717\nPMCID: PMC4527873","journalAbbreviation":"Cell Metab.","language":"eng","author":[{"family":"Intlekofer","given":"Andrew M."},{"family":"Dematteo","given":"Raymond G."},{"family":"Venneti","given":"Sriram"},{"family":"Finley","given":"Lydia W. S."},{"family":"Lu","given":"Chao"},{"family":"Judkins","given":"Alexander R."},{"family":"Rustenburg","given":"Ariën S."},{"family":"Grinaway","given":"Patrick B."},{"family":"Chodera","given":"John D."},{"family":"Cross","given":"Justin R."},{"family":"Thompson","given":"Craig B."}],"issued":{"date-parts":[["2015",8,4]]}}},{"id":637,"uris":["http://zotero.org/users/4775618/items/F8JK3A6D"],"uri":["http://zotero.org/users/4775618/items/F8JK3A6D"],"itemData":{"id":637,"type":"article-journal","title":"Hypoxia-Mediated Increases in L-2-hydroxyglutarate Coordinate the Metabolic Response to Reductive Stress","container-title":"Cell Metabolism","page":"291-303","volume":"22","issue":"2","source":"PubMed","abstract":"Metabolic adaptation to hypoxia is critical for survival in metazoan species for which reason they have developed cellular mechanisms for mitigating its adverse consequences. Here, we have identified L-2-hydroxyglutarate (L2HG) as a universal adaptive determinant of the hypoxia response. L2HG is a metabolite of unknown function produced by the reduction of mitochondrial 2-oxoglutarate by malate dehydrogenase. L2HG accumulates in response to increases in 2-oxoglutarate, which occur as a result of tricarboxylic acid cycle dysfunction and increased mitochondrial reducing potential. These changes are closely coupled to cellular redox homeostasis, as increased cellular L2HG inhibits electron transport and glycolysis to offset the adverse consequences of mitochondrial reductive stress induced by hypoxia. Thus, L2HG couples mitochondrial and cytoplasmic energy metabolism in a model of cellular redox regulation.","DOI":"10.1016/j.cmet.2015.06.021","ISSN":"1932-7420","note":"PMID: 26212716\nPMCID: PMC4526408","journalAbbreviation":"Cell Metab.","language":"eng","author":[{"family":"Oldham","given":"William M."},{"family":"Clish","given":"Clary B."},{"family":"Yang","given":"Yi"},{"family":"Loscalzo","given":"Joseph"}],"issued":{"date-parts":[["2015",8,4]]}}}],"schema":"https://github.com/citation-style-language/schema/raw/master/csl-citation.json"} </w:instrText>
      </w:r>
      <w:r w:rsidR="00C100A9">
        <w:rPr>
          <w:rFonts w:ascii="Calibri" w:hAnsi="Calibri" w:cs="Calibri"/>
          <w:color w:val="000000" w:themeColor="text1"/>
          <w:sz w:val="22"/>
          <w:szCs w:val="22"/>
        </w:rPr>
        <w:fldChar w:fldCharType="separate"/>
      </w:r>
      <w:r w:rsidR="00F23309" w:rsidRPr="00F23309">
        <w:rPr>
          <w:rFonts w:ascii="Calibri" w:hAnsi="Calibri" w:cs="Calibri"/>
          <w:color w:val="000000"/>
          <w:sz w:val="22"/>
          <w:vertAlign w:val="superscript"/>
          <w:lang w:val="en-US"/>
        </w:rPr>
        <w:t>116,117</w:t>
      </w:r>
      <w:r w:rsidR="00C100A9">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on glutamine-derived αKG</w:t>
      </w:r>
      <w:r w:rsidR="00C100A9">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{"citationID":"a24mobtn7ok","properties":{"formattedCitation":"\\super 23,116\\nosupersub{}","plainCitation":"23,116","noteIndex":0},"citationItems":[{"id":633,"uris":["http://zotero.org/users/4775618/items/JYCBYNH3"],"uri":["http://zotero.org/users/4775618/items/JYCBYNH3"],"itemData":{"id":633,"type":"article-journal","title":"Hypoxia Induces Production of L-2-Hydroxyglutarate","container-title":"Cell Metabolism","page":"304-311","volume":"22","issue":"2","source":"PubMed","abstract":"Somatic mutations in isocitrate dehydrogenase 1 or 2 (IDH1/2) contribute to the pathogenesis of cancer via production of the \"oncometabolite\" D-2-hydroxyglutarate (D-2HG). Elevated D-2HG can block differentiation of malignant cells by functioning as a competitive inhibitor of α-ketoglutarate (α-KG)-dependent enzymes, including Jumonji family histone lysine demethylases. 2HG is a chiral molecule that can exist in either the D-enantiomer or the L-enantiomer. Although cancer-associated IDH1/2 mutants produce D-2HG, biochemical studies have demonstrated that L-2HG also functions as a potent inhibitor of α-KG-dependent enzymes. Here we report that under conditions of oxygen limitation, mammalian cells selectively produce L-2HG via enzymatic reduction of α-KG. Hypoxia-induced L-2HG is not mediated by IDH1 or IDH2, but instead results from promiscuous substrate usage primarily by lactate dehydrogenase A (LDHA). During hypoxia, the resulting increase in L-2HG is necessary and sufficient for the induction of increased methylation of histone repressive marks, including histone 3 lysine 9 (H3K9me3).","DOI":"10.1016/j.cmet.2015.06.023","ISSN":"1932-7420","note":"PMID: 26212717\nPMCID: PMC4527873","journalAbbreviation":"Cell Metab.","language":"eng","author":[{"family":"Intlekofer","given":"Andrew M."},{"family":"Dematteo","given":"Raymond G."},{"family":"Venneti","given":"Sriram"},{"family":"Finley","given":"Lydia W. S."},{"family":"Lu","given":"Chao"},{"family":"Judkins","given":"Alexander R."},{"family":"Rustenburg","given":"Ariën S."},{"family":"Grinaway","given":"Patrick B."},{"family":"Chodera","given":"John D."},{"family":"Cross","given":"Justin R."},{"family":"Thompson","given":"Craig B."}],"issued":{"date-parts":[["2015",8,4]]}}},{"id":727,"uris":["http://zotero.org/users/4775618/items/JKDISS9Z"],"uri":["http://zotero.org/users/4775618/items/JKDISS9Z"],"itemData":{"id":727,"type":"article-journal","title":"Hypoxia promotes isocitrate dehydrogenase-dependent carboxylation of -ketoglutarate to citrate to support cell growth and viability","container-title":"Proceedings of the National Academy of Sciences","page":"19611-19616","volume":"108","issue":"49","source":"Crossref","URL":"http://www.pnas.org/cgi/doi/10.1073/pnas.1117773108","DOI":"10.1073/pnas.1117773108","ISSN":"0027-8424, 1091-6490","language":"en","author":[{"family":"Wise","given":"D. R."},{"family":"Ward","given":"P. S."},{"family":"Shay","given":"J. E. S."},{"family":"Cross","given":"J. R."},{"family":"Gruber","given":"J. J."},{"family":"Sachdeva","given":"U. M."},{"family":"Platt","given":"J. M."},{"family":"DeMatteo","given":"R. G."},{"family":"Simon","given":"M. C."},{"family":"Thompson","given":"C. B."}],"issued":{"date-parts":[["2011",12,6]]},"accessed":{"date-parts":[["2018",9,3]]}}}],"schema":"https://github.com/citation-style-language/schema/raw/master/csl-citation.json"} </w:instrText>
      </w:r>
      <w:r w:rsidR="00C100A9">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23,116</w:t>
      </w:r>
      <w:r w:rsidR="00C100A9">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results in L2HG accumulation</w:t>
      </w:r>
      <w:r w:rsidR="000F0022">
        <w:rPr>
          <w:rFonts w:ascii="Calibri" w:hAnsi="Calibri" w:cs="Calibri"/>
          <w:color w:val="000000" w:themeColor="text1"/>
          <w:sz w:val="22"/>
          <w:szCs w:val="22"/>
        </w:rPr>
        <w:t xml:space="preserve"> in</w:t>
      </w:r>
      <w:r w:rsidR="00FD58CD">
        <w:rPr>
          <w:rFonts w:ascii="Calibri" w:hAnsi="Calibri" w:cs="Calibri"/>
          <w:color w:val="000000" w:themeColor="text1"/>
          <w:sz w:val="22"/>
          <w:szCs w:val="22"/>
        </w:rPr>
        <w:t xml:space="preserve"> </w:t>
      </w:r>
      <w:r w:rsidR="000F0022">
        <w:rPr>
          <w:rFonts w:ascii="Calibri" w:hAnsi="Calibri" w:cs="Calibri"/>
          <w:color w:val="000000" w:themeColor="text1"/>
          <w:sz w:val="22"/>
          <w:szCs w:val="22"/>
        </w:rPr>
        <w:t>mammalian cells</w:t>
      </w:r>
      <w:r w:rsidR="00E37025">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In addition, acute ischaemic preconditioning </w:t>
      </w:r>
      <w:r w:rsidR="00F131BF" w:rsidRPr="00D637BA">
        <w:rPr>
          <w:rFonts w:ascii="Calibri" w:hAnsi="Calibri" w:cs="Calibri"/>
          <w:i/>
          <w:color w:val="000000" w:themeColor="text1"/>
          <w:sz w:val="22"/>
          <w:szCs w:val="22"/>
        </w:rPr>
        <w:t>in vivo</w:t>
      </w:r>
      <w:r w:rsidR="00F131BF" w:rsidRPr="00D637BA">
        <w:rPr>
          <w:rFonts w:ascii="Calibri" w:hAnsi="Calibri" w:cs="Calibri"/>
          <w:color w:val="000000" w:themeColor="text1"/>
          <w:sz w:val="22"/>
          <w:szCs w:val="22"/>
        </w:rPr>
        <w:t xml:space="preserve"> resulted in </w:t>
      </w:r>
      <w:r w:rsidR="00BE6271" w:rsidRPr="00D637BA">
        <w:rPr>
          <w:rFonts w:ascii="Calibri" w:hAnsi="Calibri" w:cs="Calibri"/>
          <w:color w:val="000000" w:themeColor="text1"/>
          <w:sz w:val="22"/>
          <w:szCs w:val="22"/>
        </w:rPr>
        <w:t xml:space="preserve">accumulation of </w:t>
      </w:r>
      <w:r w:rsidR="00F131BF" w:rsidRPr="00D637BA">
        <w:rPr>
          <w:rFonts w:ascii="Calibri" w:hAnsi="Calibri" w:cs="Calibri"/>
          <w:color w:val="000000" w:themeColor="text1"/>
          <w:sz w:val="22"/>
          <w:szCs w:val="22"/>
        </w:rPr>
        <w:t>2HG in mouse myocardium</w:t>
      </w:r>
      <w:r w:rsidR="00C100A9">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{"citationID":"a2m1n1ua88","properties":{"formattedCitation":"\\super 118\\nosupersub{}","plainCitation":"118","noteIndex":0},"citationItems":[{"id":1416,"uris":["http://zotero.org/users/4775618/items/8EFMDB38"],"uri":["http://zotero.org/users/4775618/items/8EFMDB38"],"itemData":{"id":1416,"type":"article-journal","title":"Metabolomic profiling of the heart during acute ischemic preconditioning reveals a role for SIRT1 in rapid cardioprotective metabolic adaptation","container-title":"Journal of molecular and cellular cardiology","page":"64-72","volume":"88","source":"PubMed Central","abstract":"Ischemic preconditioning (IPC) protects tissues such as the heart from prolonged ischemia-reperfusion (IR) injury. We previously showed that the lysine deacetylase SIRT1 is required for acute IPC, and has numerous metabolic targets. While it is known that metabolism is altered during IPC, the underlying metabolic regulatory mechanisms are unknown, including the relative importance of SIRT1. Thus, we sought to test the hypothesis that some of the metabolic adaptations that occur in IPC may require SIRT1 as a regulatory mediator. Using both ex-vivo-perfused and in-vivo mouse hearts, LC-MS/MS based metabolomics and 13C-labeled substrate tracing, we found that acute IPC altered several metabolic pathways including: (i) stimulation of glycolysis, (ii) increased synthesis of glycogen and several amino acids, (iii) increased reduced glutathione levels, (iv) elevation in the oncometabolite 2-hydroxyglutarate, and (v) inhibition of fatty-acid dependent respiration. The majority (83%) of metabolic alterations induced by IPC were ablated when SIRT1 was acutely inhibited with splitomicin, and a principle component analysis revealed that metabolic changes in response to IPC were fundamentally different in nature when SIRT1 was inhibited. Furthermore, the protective benefit of IPC was abrogated by eliminating glucose from perfusion media while sustaining normal cardiac function by burning fat, thus indicating that glucose dependency is required for acute IPC. Together, these data suggest that SIRT1 signaling is required for rapid cardioprotective metabolic adaptation in acute IPC.","URL":"https://www.ncbi.nlm.nih.gov/pmc/articles/PMC4640937/","DOI":"10.1016/j.yjmcc.2015.09.008","ISSN":"0022-2828","note":"PMID: 26388263\nPMCID: PMC4640937","journalAbbreviation":"J Mol Cell Cardiol","author":[{"family":"Nadtochiy","given":"Sergiy M."},{"family":"Urciuoli","given":"William"},{"family":"Zhang","given":"Jimmy"},{"family":"Schafer","given":"Xenia"},{"family":"Munger","given":"Joshua"},{"family":"Brookes","given":"Paul S."}],"issued":{"date-parts":[["2015",11]]},"accessed":{"date-parts":[["2019",2,24]]}}}],"schema":"https://github.com/citation-style-language/schema/raw/master/csl-citation.json"} </w:instrText>
      </w:r>
      <w:r w:rsidR="00C100A9">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118</w:t>
      </w:r>
      <w:r w:rsidR="00C100A9">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Although modest accumulations of L2HG in hypoxic cells were observed compared to th</w:t>
      </w:r>
      <w:r w:rsidR="00BE6271" w:rsidRPr="00D637BA">
        <w:rPr>
          <w:rFonts w:ascii="Calibri" w:hAnsi="Calibri" w:cs="Calibri"/>
          <w:color w:val="000000" w:themeColor="text1"/>
          <w:sz w:val="22"/>
          <w:szCs w:val="22"/>
        </w:rPr>
        <w:t>ose seen</w:t>
      </w:r>
      <w:r w:rsidR="00F131BF" w:rsidRPr="00D637BA">
        <w:rPr>
          <w:rFonts w:ascii="Calibri" w:hAnsi="Calibri" w:cs="Calibri"/>
          <w:color w:val="000000" w:themeColor="text1"/>
          <w:sz w:val="22"/>
          <w:szCs w:val="22"/>
        </w:rPr>
        <w:t xml:space="preserve"> in cancer cells</w:t>
      </w:r>
      <w:r w:rsidR="00C100A9">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{"citationID":"a2mhq8ettgm","properties":{"formattedCitation":"\\super 23\\nosupersub{}","plainCitation":"23","noteIndex":0},"citationItems":[{"id":727,"uris":["http://zotero.org/users/4775618/items/JKDISS9Z"],"uri":["http://zotero.org/users/4775618/items/JKDISS9Z"],"itemData":{"id":727,"type":"article-journal","title":"Hypoxia promotes isocitrate dehydrogenase-dependent carboxylation of -ketoglutarate to citrate to support cell growth and viability","container-title":"Proceedings of the National Academy of Sciences","page":"19611-19616","volume":"108","issue":"49","source":"Crossref","URL":"http://www.pnas.org/cgi/doi/10.1073/pnas.1117773108","DOI":"10.1073/pnas.1117773108","ISSN":"0027-8424, 1091-6490","language":"en","author":[{"family":"Wise","given":"D. R."},{"family":"Ward","given":"P. S."},{"family":"Shay","given":"J. E. S."},{"family":"Cross","given":"J. R."},{"family":"Gruber","given":"J. J."},{"family":"Sachdeva","given":"U. M."},{"family":"Platt","given":"J. M."},{"family":"DeMatteo","given":"R. G."},{"family":"Simon","given":"M. C."},{"family":"Thompson","given":"C. B."}],"issued":{"date-parts":[["2011",12,6]]},"accessed":{"date-parts":[["2018",9,3]]}}}],"schema":"https://github.com/citation-style-language/schema/raw/master/csl-citation.json"} </w:instrText>
      </w:r>
      <w:r w:rsidR="00C100A9">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23</w:t>
      </w:r>
      <w:r w:rsidR="00C100A9">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hypoxia-induced L2HG accumulation was sufficient and necessary </w:t>
      </w:r>
      <w:r w:rsidR="00CA5D14" w:rsidRPr="00D637BA">
        <w:rPr>
          <w:rFonts w:ascii="Calibri" w:hAnsi="Calibri" w:cs="Calibri"/>
          <w:color w:val="000000" w:themeColor="text1"/>
          <w:sz w:val="22"/>
          <w:szCs w:val="22"/>
        </w:rPr>
        <w:t>to</w:t>
      </w:r>
      <w:r w:rsidR="00F131BF" w:rsidRPr="00D637BA">
        <w:rPr>
          <w:rFonts w:ascii="Calibri" w:hAnsi="Calibri" w:cs="Calibri"/>
          <w:color w:val="000000" w:themeColor="text1"/>
          <w:sz w:val="22"/>
          <w:szCs w:val="22"/>
        </w:rPr>
        <w:t xml:space="preserve"> exer</w:t>
      </w:r>
      <w:r w:rsidR="00CA5D14" w:rsidRPr="00D637BA">
        <w:rPr>
          <w:rFonts w:ascii="Calibri" w:hAnsi="Calibri" w:cs="Calibri"/>
          <w:color w:val="000000" w:themeColor="text1"/>
          <w:sz w:val="22"/>
          <w:szCs w:val="22"/>
        </w:rPr>
        <w:t>t</w:t>
      </w:r>
      <w:r w:rsidR="00F131BF" w:rsidRPr="00D637BA">
        <w:rPr>
          <w:rFonts w:ascii="Calibri" w:hAnsi="Calibri" w:cs="Calibri"/>
          <w:color w:val="000000" w:themeColor="text1"/>
          <w:sz w:val="22"/>
          <w:szCs w:val="22"/>
        </w:rPr>
        <w:t xml:space="preserve"> recognised oncometabolite functions such as repressive trimethylation of the histone protein, histone 3 lysine 9 (H3K9me3)</w:t>
      </w:r>
      <w:r w:rsidR="00C100A9">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{"citationID":"a1rt6e8m370","properties":{"formattedCitation":"\\super 116\\nosupersub{}","plainCitation":"116","noteIndex":0},"citationItems":[{"id":633,"uris":["http://zotero.org/users/4775618/items/JYCBYNH3"],"uri":["http://zotero.org/users/4775618/items/JYCBYNH3"],"itemData":{"id":633,"type":"article-journal","title":"Hypoxia Induces Production of L-2-Hydroxyglutarate","container-title":"Cell Metabolism","page":"304-311","volume":"22","issue":"2","source":"PubMed","abstract":"Somatic mutations in isocitrate dehydrogenase 1 or 2 (IDH1/2) contribute to the pathogenesis of cancer via production of the \"oncometabolite\" D-2-hydroxyglutarate (D-2HG). Elevated D-2HG can block differentiation of malignant cells by functioning as a competitive inhibitor of α-ketoglutarate (α-KG)-dependent enzymes, including Jumonji family histone lysine demethylases. 2HG is a chiral molecule that can exist in either the D-enantiomer or the L-enantiomer. Although cancer-associated IDH1/2 mutants produce D-2HG, biochemical studies have demonstrated that L-2HG also functions as a potent inhibitor of α-KG-dependent enzymes. Here we report that under conditions of oxygen limitation, mammalian cells selectively produce L-2HG via enzymatic reduction of α-KG. Hypoxia-induced L-2HG is not mediated by IDH1 or IDH2, but instead results from promiscuous substrate usage primarily by lactate dehydrogenase A (LDHA). During hypoxia, the resulting increase in L-2HG is necessary and sufficient for the induction of increased methylation of histone repressive marks, including histone 3 lysine 9 (H3K9me3).","DOI":"10.1016/j.cmet.2015.06.023","ISSN":"1932-7420","note":"PMID: 26212717\nPMCID: PMC4527873","journalAbbreviation":"Cell Metab.","language":"eng","author":[{"family":"Intlekofer","given":"Andrew M."},{"family":"Dematteo","given":"Raymond G."},{"family":"Venneti","given":"Sriram"},{"family":"Finley","given":"Lydia W. S."},{"family":"Lu","given":"Chao"},{"family":"Judkins","given":"Alexander R."},{"family":"Rustenburg","given":"Ariën S."},{"family":"Grinaway","given":"Patrick B."},{"family":"Chodera","given":"John D."},{"family":"Cross","given":"Justin R."},{"family":"Thompson","given":"Craig B."}],"issued":{"date-parts":[["2015",8,4]]}}}],"schema":"https://github.com/citation-style-language/schema/raw/master/csl-citation.json"} </w:instrText>
      </w:r>
      <w:r w:rsidR="00C100A9">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116</w:t>
      </w:r>
      <w:r w:rsidR="00C100A9">
        <w:rPr>
          <w:rFonts w:ascii="Calibri" w:hAnsi="Calibri" w:cs="Calibri"/>
          <w:color w:val="000000" w:themeColor="text1"/>
          <w:sz w:val="22"/>
          <w:szCs w:val="22"/>
        </w:rPr>
        <w:fldChar w:fldCharType="end"/>
      </w:r>
      <w:r w:rsidR="000167D7" w:rsidRPr="000167D7">
        <w:rPr>
          <w:rFonts w:ascii="Calibri" w:hAnsi="Calibri" w:cs="Calibri"/>
          <w:sz w:val="22"/>
          <w:szCs w:val="22"/>
        </w:rPr>
        <w:t>.</w:t>
      </w:r>
      <w:r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Independent of hypoxia, acidic conditions have also been observed to drive L2HG accumulation</w:t>
      </w:r>
      <w:r w:rsidR="00CA5D14" w:rsidRPr="00D637BA">
        <w:rPr>
          <w:rFonts w:ascii="Calibri" w:hAnsi="Calibri" w:cs="Calibri"/>
          <w:color w:val="000000" w:themeColor="text1"/>
          <w:sz w:val="22"/>
          <w:szCs w:val="22"/>
        </w:rPr>
        <w:t xml:space="preserve"> by</w:t>
      </w:r>
      <w:r w:rsidR="00F131BF" w:rsidRPr="00D637BA">
        <w:rPr>
          <w:rFonts w:ascii="Calibri" w:hAnsi="Calibri" w:cs="Calibri"/>
          <w:color w:val="000000" w:themeColor="text1"/>
          <w:sz w:val="22"/>
          <w:szCs w:val="22"/>
        </w:rPr>
        <w:t xml:space="preserve"> augmenting the promiscuous activity of LDH1</w:t>
      </w:r>
      <w:r w:rsidR="0077538F" w:rsidRPr="00D637BA">
        <w:rPr>
          <w:rFonts w:ascii="Calibri" w:hAnsi="Calibri" w:cs="Calibri"/>
          <w:color w:val="000000" w:themeColor="text1"/>
          <w:sz w:val="22"/>
          <w:szCs w:val="22"/>
        </w:rPr>
        <w:t xml:space="preserve"> and </w:t>
      </w:r>
      <w:r w:rsidR="00F131BF" w:rsidRPr="00D637BA">
        <w:rPr>
          <w:rFonts w:ascii="Calibri" w:hAnsi="Calibri" w:cs="Calibri"/>
          <w:color w:val="000000" w:themeColor="text1"/>
          <w:sz w:val="22"/>
          <w:szCs w:val="22"/>
        </w:rPr>
        <w:t xml:space="preserve">MDH2 as well as inhibiting the activity of L2HGDH </w:t>
      </w:r>
      <w:r w:rsidR="00F131BF" w:rsidRPr="00D637BA">
        <w:rPr>
          <w:rFonts w:ascii="Calibri" w:hAnsi="Calibri" w:cs="Calibri"/>
          <w:i/>
          <w:color w:val="000000" w:themeColor="text1"/>
          <w:sz w:val="22"/>
          <w:szCs w:val="22"/>
        </w:rPr>
        <w:t>in vitro</w:t>
      </w:r>
      <w:r w:rsidR="00C100A9">
        <w:rPr>
          <w:rFonts w:ascii="Calibri" w:hAnsi="Calibri" w:cs="Calibri"/>
          <w:i/>
          <w:color w:val="000000" w:themeColor="text1"/>
          <w:sz w:val="22"/>
          <w:szCs w:val="22"/>
        </w:rPr>
        <w:fldChar w:fldCharType="begin"/>
      </w:r>
      <w:r w:rsidR="00E52DEA">
        <w:rPr>
          <w:rFonts w:ascii="Calibri" w:hAnsi="Calibri" w:cs="Calibri"/>
          <w:i/>
          <w:color w:val="000000" w:themeColor="text1"/>
          <w:sz w:val="22"/>
          <w:szCs w:val="22"/>
        </w:rPr>
        <w:instrText xml:space="preserve"> ADDIN ZOTERO_ITEM CSL_CITATION {"citationID":"a1t3vp17idk","properties":{"formattedCitation":"\\super 119\\nosupersub{}","plainCitation":"119","noteIndex":0},"citationItems":[{"id":1413,"uris":["http://zotero.org/users/4775618/items/KM39RQT6"],"uri":["http://zotero.org/users/4775618/items/KM39RQT6"],"itemData":{"id":1413,"type":"article-journal","title":"Acidic pH Is a Metabolic Switch for 2-Hydroxyglutarate Generation and Signaling","container-title":"The Journal of Biological Chemistry","page":"20188-20197","volume":"291","issue":"38","source":"PubMed Central","abstract":"2-Hydroxyglutarate (2-HG) is an important epigenetic regulator, with potential roles in cancer and stem cell biology. The d-(R)-enantiomer (d-2-HG) is an oncometabolite generated from α-ketoglutarate (α-KG) by mutant isocitrate dehydrogenase, whereas l-(S)-2-HG is generated by lactate dehydrogenase and malate dehydrogenase in response to hypoxia. Because acidic pH is a common feature of hypoxia, as well as tumor and stem cell microenvironments, we hypothesized that pH may regulate cellular 2-HG levels. Herein we report that cytosolic acidification under normoxia moderately elevated 2-HG in cells, and boosting endogenous substrate α-KG levels further stimulated this elevation. Studies with isolated lactate dehydrogenase-1 and malate dehydrogenase-2 revealed that generation of 2-HG by both enzymes was stimulated severalfold at acidic pH, relative to normal physiologic pH. In addition, acidic pH was found to inhibit the activity of the mitochondrial l-2-HG removal enzyme l-2-HG dehydrogenase and to stimulate the reverse reaction of isocitrate dehydrogenase (carboxylation of α-KG to isocitrate). Furthermore, because acidic pH is known to stabilize hypoxia-inducible factor (HIF) and 2-HG is a known inhibitor of HIF prolyl hydroxylases, we hypothesized that 2-HG may be required for acid-induced HIF stabilization. Accordingly, cells stably overexpressing l-2-HG dehydrogenase exhibited a blunted HIF response to acid. Together, these results suggest that acidosis is an important and previously overlooked regulator of 2-HG accumulation and other oncometabolic events, with implications for HIF signaling.","URL":"https://www.ncbi.nlm.nih.gov/pmc/articles/PMC5025701/","DOI":"10.1074/jbc.M116.738799","ISSN":"0021-9258","note":"PMID: 27510037\nPMCID: PMC5025701","journalAbbreviation":"J Biol Chem","author":[{"family":"Nadtochiy","given":"Sergiy M."},{"family":"Schafer","given":"Xenia"},{"family":"Fu","given":"Dragony"},{"family":"Nehrke","given":"Keith"},{"family":"Munger","given":"Joshua"},{"family":"Brookes","given":"Paul S."}],"issued":{"date-parts":[["2016",9,16]]},"accessed":{"date-parts":[["2019",2,24]]}}}],"schema":"https://github.com/citation-style-language/schema/raw/master/csl-citation.json"} </w:instrText>
      </w:r>
      <w:r w:rsidR="00C100A9">
        <w:rPr>
          <w:rFonts w:ascii="Calibri" w:hAnsi="Calibri" w:cs="Calibri"/>
          <w:i/>
          <w:color w:val="000000" w:themeColor="text1"/>
          <w:sz w:val="22"/>
          <w:szCs w:val="22"/>
        </w:rPr>
        <w:fldChar w:fldCharType="separate"/>
      </w:r>
      <w:r w:rsidR="00E52DEA" w:rsidRPr="00E52DEA">
        <w:rPr>
          <w:rFonts w:ascii="Calibri" w:hAnsi="Calibri" w:cs="Calibri"/>
          <w:color w:val="000000"/>
          <w:sz w:val="22"/>
          <w:vertAlign w:val="superscript"/>
          <w:lang w:val="en-US"/>
        </w:rPr>
        <w:t>119</w:t>
      </w:r>
      <w:r w:rsidR="00C100A9">
        <w:rPr>
          <w:rFonts w:ascii="Calibri" w:hAnsi="Calibri" w:cs="Calibri"/>
          <w:i/>
          <w:color w:val="000000" w:themeColor="text1"/>
          <w:sz w:val="22"/>
          <w:szCs w:val="22"/>
        </w:rPr>
        <w:fldChar w:fldCharType="end"/>
      </w:r>
      <w:r w:rsidR="00F131BF" w:rsidRPr="00D637BA">
        <w:rPr>
          <w:rFonts w:ascii="Calibri" w:hAnsi="Calibri" w:cs="Calibri"/>
          <w:color w:val="000000" w:themeColor="text1"/>
          <w:sz w:val="22"/>
          <w:szCs w:val="22"/>
        </w:rPr>
        <w:t xml:space="preserve">. </w:t>
      </w:r>
    </w:p>
    <w:p w14:paraId="3D9CE995" w14:textId="130986D9" w:rsidR="00F131BF" w:rsidRPr="00D637BA" w:rsidRDefault="0026708C" w:rsidP="00F131BF">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ab/>
      </w:r>
      <w:r w:rsidR="00F131BF" w:rsidRPr="00D637BA">
        <w:rPr>
          <w:rFonts w:ascii="Calibri" w:hAnsi="Calibri" w:cs="Calibri"/>
          <w:color w:val="000000" w:themeColor="text1"/>
          <w:sz w:val="22"/>
          <w:szCs w:val="22"/>
        </w:rPr>
        <w:t xml:space="preserve">Succinate accumulation has also been </w:t>
      </w:r>
      <w:r w:rsidR="001E0817" w:rsidRPr="00D637BA">
        <w:rPr>
          <w:rFonts w:ascii="Calibri" w:hAnsi="Calibri" w:cs="Calibri"/>
          <w:color w:val="000000" w:themeColor="text1"/>
          <w:sz w:val="22"/>
          <w:szCs w:val="22"/>
        </w:rPr>
        <w:t xml:space="preserve">reported </w:t>
      </w:r>
      <w:r w:rsidR="00F131BF" w:rsidRPr="00D637BA">
        <w:rPr>
          <w:rFonts w:ascii="Calibri" w:hAnsi="Calibri" w:cs="Calibri"/>
          <w:color w:val="000000" w:themeColor="text1"/>
          <w:sz w:val="22"/>
          <w:szCs w:val="22"/>
        </w:rPr>
        <w:t>in cancer cells grown under hypoxic conditions in a 3D tumour model</w:t>
      </w:r>
      <w:r w:rsidR="009641DB">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{"citationID":"a1o5rl4b68i","properties":{"formattedCitation":"\\super 120\\nosupersub{}","plainCitation":"120","noteIndex":0},"citationItems":[{"id":642,"uris":["http://zotero.org/users/4775618/items/XQFM7CIZ"],"uri":["http://zotero.org/users/4775618/items/XQFM7CIZ"],"itemData":{"id":642,"type":"article-journal","title":"A 3D engineered tumour for spatial snap-shot analysis of cell metabolism and phenotype in hypoxic gradients","container-title":"Nature materials","page":"227-234","volume":"15","issue":"2","source":"PubMed Central","abstract":"The profound metabolic reprogramming that occurs in cancer cells has been investigated primarily in two-dimensional cell cultures, which fail to recapitulate spatial aspects of cell-to-cell interactions as well as tissue gradients present in three-dimensional (3D) tumours. Here, we describe an engineered model to assemble 3D tumours by rolling a scaffold-tumour composite strip. By unrolling the strip, the model can be rapidly disassembled for snap-shot analysis, allowing spatial mapping of cell metabolism in concert with cell phenotype. We also show that the establishment of oxygen gradients within samples are shaped by oxygen-dependent signalling pathways, as well as the consequential variations in cell growth, response to hypoxic gradients extending from normoxia to severe hypoxia, and therapy responsiveness, are consistent with tumours in vivo. Moreover, by using liquid chromatography tandem mass spectrometry, we mapped cellular metabolism and identified spatially defined metabolic signatures of cancer cells to reveal both known and novel metabolic responses to hypoxia.","URL":"https://www.ncbi.nlm.nih.gov/pmc/articles/PMC5214740/","DOI":"10.1038/nmat4482","ISSN":"1476-1122","note":"PMID: 26595121\nPMCID: PMC5214740","journalAbbreviation":"Nat Mater","author":[{"family":"Rodenhizer","given":"Darren"},{"family":"Gaude","given":"Edoardo"},{"family":"Cojocari","given":"Dan"},{"family":"Mahadevan","given":"Radhakrishnan"},{"family":"Frezza","given":"Christian"},{"family":"Wouters","given":"Bradly G."},{"family":"McGuigan","given":"Alison P."}],"issued":{"date-parts":[["2016",2]]},"accessed":{"date-parts":[["2018",8,26]]}}}],"schema":"https://github.com/citation-style-language/schema/raw/master/csl-citation.json"} </w:instrText>
      </w:r>
      <w:r w:rsidR="009641DB">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120</w:t>
      </w:r>
      <w:r w:rsidR="009641D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and in animal models subjected to ischaemia-reperfusion injury </w:t>
      </w:r>
      <w:r w:rsidR="00F131BF" w:rsidRPr="00D637BA">
        <w:rPr>
          <w:rFonts w:ascii="Calibri" w:hAnsi="Calibri" w:cs="Calibri"/>
          <w:i/>
          <w:color w:val="000000" w:themeColor="text1"/>
          <w:sz w:val="22"/>
          <w:szCs w:val="22"/>
        </w:rPr>
        <w:t>in vivo</w:t>
      </w:r>
      <w:r w:rsidR="009641DB">
        <w:rPr>
          <w:rFonts w:ascii="Calibri" w:hAnsi="Calibri" w:cs="Calibri"/>
          <w:i/>
          <w:color w:val="000000" w:themeColor="text1"/>
          <w:sz w:val="22"/>
          <w:szCs w:val="22"/>
        </w:rPr>
        <w:fldChar w:fldCharType="begin"/>
      </w:r>
      <w:r w:rsidR="00E52DEA">
        <w:rPr>
          <w:rFonts w:ascii="Calibri" w:hAnsi="Calibri" w:cs="Calibri"/>
          <w:i/>
          <w:color w:val="000000" w:themeColor="text1"/>
          <w:sz w:val="22"/>
          <w:szCs w:val="22"/>
        </w:rPr>
        <w:instrText xml:space="preserve"> ADDIN ZOTERO_ITEM CSL_CITATION {"citationID":"abearo1pij","properties":{"formattedCitation":"\\super 121\\uc0\\u8211{}123\\nosupersub{}","plainCitation":"121–123","noteIndex":0},"citationItems":[{"id":1368,"uris":["http://zotero.org/users/4775618/items/4C7RUHDG"],"uri":["http://zotero.org/users/4775618/items/4C7RUHDG"],"itemData":{"id":1368,"type":"article-journal","title":"Ischaemic accumulation of succinate controls reperfusion injury through mitochondrial ROS","container-title":"Nature","page":"431-435","volume":"515","issue":"7527","source":"www-nature-com.ezp.lib.cam.ac.uk","abstract":"Ischaemia-reperfusion injury occurs when the blood supply to an organ is disrupted and then restored, and underlies many disorders, notably heart attack and stroke. While reperfusion of ischaemic tissue is essential for survival, it also initiates oxidative damage, cell death and aberrant immune responses through the generation of mitochondrial reactive oxygen species (ROS)1,2,3,4,5. Although mitochondrial ROS production in ischaemia reperfusion is established, it has generally been considered a nonspecific response to reperfusion1,3. Here we develop a comparative in vivo metabolomic analysis, and unexpectedly identify widely conserved metabolic pathways responsible for mitochondrial ROS production during ischaemia reperfusion. We show that selective accumulation of the citric acid cycle intermediate succinate is a universal metabolic signature of ischaemia in a range of tissues and is responsible for mitochondrial ROS production during reperfusion. Ischaemic succinate accumulation arises from reversal of succinate dehydrogenase, which in turn is driven by fumarate overflow from purine nucleotide breakdown and partial reversal of the malate/aspartate shuttle. After reperfusion, the accumulated succinate is rapidly re-oxidized by succinate dehydrogenase, driving extensive ROS generation by reverse electron transport at mitochondrial complex I. Decreasing ischaemic succinate accumulation by pharmacological inhibition is sufficient to ameliorate in vivo ischaemia-reperfusion injury in murine models of heart attack and stroke. Thus, we have identified a conserved metabolic response of tissues to ischaemia and reperfusion that unifies many hitherto unconnected aspects of ischaemia-reperfusion injury. Furthermore, these findings reveal a new pathway for metabolic control of ROS production in vivo, while demonstrating that inhibition of ischaemic succinate accumulation and its oxidation after subsequent reperfusion is a potential therapeutic target to decrease ischaemia-reperfusion injury in a range of pathologies.","URL":"http://www.nature.com/articles/nature13909","DOI":"10.1038/nature13909","ISSN":"1476-4687","language":"en","author":[{"family":"Chouchani","given":"Edward T."},{"family":"Pell","given":"Victoria R."},{"family":"Gaude","given":"Edoardo"},{"family":"Aksentijević","given":"Dunja"},{"family":"Sundier","given":"Stephanie Y."},{"family":"Robb","given":"Ellen L."},{"family":"Logan","given":"Angela"},{"family":"Nadtochiy","given":"Sergiy M."},{"family":"Ord","given":"Emily N. J."},{"family":"Smith","given":"Anthony C."},{"family":"Eyassu","given":"Filmon"},{"family":"Shirley","given":"Rachel"},{"family":"Hu","given":"Chou-Hui"},{"family":"Dare","given":"Anna J."},{"family":"James","given":"Andrew M."},{"family":"Rogatti","given":"Sebastian"},{"family":"Hartley","given":"Richard C."},{"family":"Eaton","given":"Simon"},{"family":"Costa","given":"Ana S. H."},{"family":"Brookes","given":"Paul S."},{"family":"Davidson","given":"Sean M."},{"family":"Duchen","given":"Michael R."},{"family":"Saeb-Parsy","given":"Kourosh"},{"family":"Shattock","given":"Michael J."},{"family":"Robinson","given":"Alan J."},{"family":"Work","given":"Lorraine M."},{"family":"Frezza","given":"Christian"},{"family":"Krieg","given":"Thomas"},{"family":"Murphy","given":"Michael P."}],"issued":{"date-parts":[["2014",11]]},"accessed":{"date-parts":[["2019",2,23]]}}},{"id":1386,"uris":["http://zotero.org/users/4775618/items/V43IZVBV"],"uri":["http://zotero.org/users/4775618/items/V43IZVBV"],"itemData":{"id":1386,"type":"article-journal","title":"The succinate receptor GPR91 in neurons has a major role in retinal angiogenesis","container-title":"Nature Medicine","page":"1067-1076","volume":"14","issue":"10","source":"www-nature-com.ezp.lib.cam.ac.uk","abstract":"Vascularization is essential for tissue development and in restoration of tissue integrity after an ischemic injury. In studies of vascularization, the focus has largely been placed on vascular endothelial growth factor (VEGF), yet other factors may also orchestrate this process. Here we show that succinate accumulates in the hypoxic retina of rodents and, via its cognate receptor G protein–coupled receptor-91 (GPR91), is a potent mediator of vessel growth in the settings of both normal retinal development and proliferative ischemic retinopathy. The effects of GPR91 are mediated by retinal ganglion neurons (RGCs), which, in response to increased succinate levels, regulate the production of numerous angiogenic factors including VEGF. Accordingly, succinate did not have proangiogenic effects in RGC-deficient rats. Our observations show a pathway of metabolite signaling where succinate, acting through GPR91, governs retinal angiogenesis and show the propensity of RGCs to act as sensors of ischemic stress. These findings provide a new therapeutic target for modulating revascularization.","URL":"http://www.nature.com/articles/nm.1873","DOI":"10.1038/nm.1873","ISSN":"1546-170X","language":"en","author":[{"family":"Sapieha","given":"Przemyslaw"},{"family":"Sirinyan","given":"Mirna"},{"family":"Hamel","given":"David"},{"family":"Zaniolo","given":"Karine"},{"family":"Joyal","given":"Jean-Sébastien"},{"family":"Cho","given":"Jang-Hyeon"},{"family":"Honoré","given":"Jean-Claude"},{"family":"Kermorvant-Duchemin","given":"Elsa"},{"family":"Varma","given":"Daya R."},{"family":"Tremblay","given":"Sophie"},{"family":"Leduc","given":"Martin"},{"family":"Rihakova","given":"Lenka"},{"family":"Hardy","given":"Pierre"},{"family":"Klein","given":"William H."},{"family":"Mu","given":"Xiuqian"},{"family":"Mamer","given":"Orval"},{"family":"Lachapelle","given":"Pierre"},{"family":"Di Polo","given":"Adriana"},{"family":"Beauséjour","given":"Christian"},{"family":"Andelfinger","given":"Gregor"},{"family":"Mitchell","given":"Grant"},{"family":"Sennlaub","given":"Florian"},{"family":"Chemtob","given":"Sylvain"}],"issued":{"date-parts":[["2008",10]]},"accessed":{"date-parts":[["2019",2,24]]}}},{"id":1374,"uris":["http://zotero.org/users/4775618/items/9SG2PF4S"],"uri":["http://zotero.org/users/4775618/items/9SG2PF4S"],"itemData":{"id":1374,"type":"article-journal","title":"Accumulation of Succinate in Cardiac Ischemia Primarily Occurs via Canonical Krebs Cycle Activity","container-title":"Cell reports","page":"2617-2628","volume":"23","issue":"9","source":"PubMed Central","abstract":"Succinate accumulates during ischemia, and its oxidation at reperfusion drives injury. The mechanism of ischemic succinate accumulation is controversial and is proposed to involve reversal of mitochondrial complex II. Herein, using stable-isotope-resolved metabolomics, we demonstrate that complex II reversal is possible in hypoxic mitochondria but is not the primary succinate source in hypoxic cardiomyocytes or ischemic hearts. Rather, in these intact systems succinate primarily originates from canonical Krebs cycle activity, partly supported by aminotransferase anaplerosis and glycolysis from glycogen. Augmentation of canonical Krebs cycle activity with dimethyl-α-ketoglutarate both increases ischemic succinate accumulation and drives substrate-level phosphorylation by succinyl-CoA synthetase, improving ischemic energetics. Although two-thirds of ischemic succinate accumulation is extracellular, the remaining one-third is metabolized during early reperfusion, wherein acute complex II inhibition is protective. These results highlight a bifunctional role for succinate: its complex-II-independent accumulation being beneficial in ischemia and its complex-II-dependent oxidation being detrimental at reperfusion., Although succinate drives reperfusion injury, its ischemic accumulation mechanism is controversial. Herein, Zhang et al. show that ischemic succinate is generated by canonical Krebs cycle activity, rather than by mitochondrial complex II reversal, and improves ischemic energetics. At reperfusion, most succinate is washed out and may serve a signaling role.,","URL":"https://www.ncbi.nlm.nih.gov/pmc/articles/PMC6002783/","DOI":"10.1016/j.celrep.2018.04.104","ISSN":"2211-1247","note":"PMID: 29847793\nPMCID: PMC6002783","journalAbbreviation":"Cell Rep","author":[{"family":"Zhang","given":"Jimmy"},{"family":"Wang","given":"Yves T."},{"family":"Miller","given":"James H."},{"family":"Day","given":"Mary M."},{"family":"Munger","given":"Joshua C."},{"family":"Brookes","given":"Paul S."}],"issued":{"date-parts":[["2018",5,29]]},"accessed":{"date-parts":[["2019",2,23]]}}}],"schema":"https://github.com/citation-style-language/schema/raw/master/csl-citation.json"} </w:instrText>
      </w:r>
      <w:r w:rsidR="009641DB">
        <w:rPr>
          <w:rFonts w:ascii="Calibri" w:hAnsi="Calibri" w:cs="Calibri"/>
          <w:i/>
          <w:color w:val="000000" w:themeColor="text1"/>
          <w:sz w:val="22"/>
          <w:szCs w:val="22"/>
        </w:rPr>
        <w:fldChar w:fldCharType="separate"/>
      </w:r>
      <w:r w:rsidR="00E52DEA" w:rsidRPr="00E52DEA">
        <w:rPr>
          <w:rFonts w:ascii="Calibri" w:hAnsi="Calibri" w:cs="Calibri"/>
          <w:color w:val="000000"/>
          <w:sz w:val="22"/>
          <w:vertAlign w:val="superscript"/>
          <w:lang w:val="en-US"/>
        </w:rPr>
        <w:t>121–123</w:t>
      </w:r>
      <w:r w:rsidR="009641DB">
        <w:rPr>
          <w:rFonts w:ascii="Calibri" w:hAnsi="Calibri" w:cs="Calibri"/>
          <w:i/>
          <w:color w:val="000000" w:themeColor="text1"/>
          <w:sz w:val="22"/>
          <w:szCs w:val="22"/>
        </w:rPr>
        <w:fldChar w:fldCharType="end"/>
      </w:r>
      <w:r w:rsidR="00F131BF" w:rsidRPr="00D637BA">
        <w:rPr>
          <w:rFonts w:ascii="Calibri" w:hAnsi="Calibri" w:cs="Calibri"/>
          <w:color w:val="000000" w:themeColor="text1"/>
          <w:sz w:val="22"/>
          <w:szCs w:val="22"/>
        </w:rPr>
        <w:t>. Succinate oxidation has been shown to contribute to cardiac injury at reperfusion</w:t>
      </w:r>
      <w:r w:rsidR="009641DB">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{"citationID":"a1jv3hs3edg","properties":{"formattedCitation":"\\super 121,123,124\\nosupersub{}","plainCitation":"121,123,124","noteIndex":0},"citationItems":[{"id":1368,"uris":["http://zotero.org/users/4775618/items/4C7RUHDG"],"uri":["http://zotero.org/users/4775618/items/4C7RUHDG"],"itemData":{"id":1368,"type":"article-journal","title":"Ischaemic accumulation of succinate controls reperfusion injury through mitochondrial ROS","container-title":"Nature","page":"431-435","volume":"515","issue":"7527","source":"www-nature-com.ezp.lib.cam.ac.uk","abstract":"Ischaemia-reperfusion injury occurs when the blood supply to an organ is disrupted and then restored, and underlies many disorders, notably heart attack and stroke. While reperfusion of ischaemic tissue is essential for survival, it also initiates oxidative damage, cell death and aberrant immune responses through the generation of mitochondrial reactive oxygen species (ROS)1,2,3,4,5. Although mitochondrial ROS production in ischaemia reperfusion is established, it has generally been considered a nonspecific response to reperfusion1,3. Here we develop a comparative in vivo metabolomic analysis, and unexpectedly identify widely conserved metabolic pathways responsible for mitochondrial ROS production during ischaemia reperfusion. We show that selective accumulation of the citric acid cycle intermediate succinate is a universal metabolic signature of ischaemia in a range of tissues and is responsible for mitochondrial ROS production during reperfusion. Ischaemic succinate accumulation arises from reversal of succinate dehydrogenase, which in turn is driven by fumarate overflow from purine nucleotide breakdown and partial reversal of the malate/aspartate shuttle. After reperfusion, the accumulated succinate is rapidly re-oxidized by succinate dehydrogenase, driving extensive ROS generation by reverse electron transport at mitochondrial complex I. Decreasing ischaemic succinate accumulation by pharmacological inhibition is sufficient to ameliorate in vivo ischaemia-reperfusion injury in murine models of heart attack and stroke. Thus, we have identified a conserved metabolic response of tissues to ischaemia and reperfusion that unifies many hitherto unconnected aspects of ischaemia-reperfusion injury. Furthermore, these findings reveal a new pathway for metabolic control of ROS production in vivo, while demonstrating that inhibition of ischaemic succinate accumulation and its oxidation after subsequent reperfusion is a potential therapeutic target to decrease ischaemia-reperfusion injury in a range of pathologies.","URL":"http://www.nature.com/articles/nature13909","DOI":"10.1038/nature13909","ISSN":"1476-4687","language":"en","author":[{"family":"Chouchani","given":"Edward T."},{"family":"Pell","given":"Victoria R."},{"family":"Gaude","given":"Edoardo"},{"family":"Aksentijević","given":"Dunja"},{"family":"Sundier","given":"Stephanie Y."},{"family":"Robb","given":"Ellen L."},{"family":"Logan","given":"Angela"},{"family":"Nadtochiy","given":"Sergiy M."},{"family":"Ord","given":"Emily N. J."},{"family":"Smith","given":"Anthony C."},{"family":"Eyassu","given":"Filmon"},{"family":"Shirley","given":"Rachel"},{"family":"Hu","given":"Chou-Hui"},{"family":"Dare","given":"Anna J."},{"family":"James","given":"Andrew M."},{"family":"Rogatti","given":"Sebastian"},{"family":"Hartley","given":"Richard C."},{"family":"Eaton","given":"Simon"},{"family":"Costa","given":"Ana S. H."},{"family":"Brookes","given":"Paul S."},{"family":"Davidson","given":"Sean M."},{"family":"Duchen","given":"Michael R."},{"family":"Saeb-Parsy","given":"Kourosh"},{"family":"Shattock","given":"Michael J."},{"family":"Robinson","given":"Alan J."},{"family":"Work","given":"Lorraine M."},{"family":"Frezza","given":"Christian"},{"family":"Krieg","given":"Thomas"},{"family":"Murphy","given":"Michael P."}],"issued":{"date-parts":[["2014",11]]},"accessed":{"date-parts":[["2019",2,23]]}}},{"id":1383,"uris":["http://zotero.org/users/4775618/items/HNCAKQQ9"],"uri":["http://zotero.org/users/4775618/items/HNCAKQQ9"],"itemData":{"id":1383,"type":"article-journal","title":"Metabolomic Profiling in Acute ST‐Segment–Elevation Myocardial Infarction Identifies Succinate as an Early Marker of Human Ischemia–Reperfusion Injury","container-title":"Journal of the American Heart Association","page":"e007546","volume":"7","issue":"8","source":"ahajournals.org (Atypon)","abstract":"BackgroundIschemia–reperfusion injury following ST‐segment–elevation myocardial infarction (STEMI) is a leading determinant of clinical outcome. In experimental models of myocardial ischemia, succinate accumulation leading to mitochondrial dysfunction is a major cause of ischemia–reperfusion injury; however, the potential importance and specificity of myocardial succinate accumulation in human STEMI is unknown. We sought to identify the metabolites released from the heart in patients undergoing primary percutaneous coronary intervention for emergency treatment of STEMI.Methods and ResultsBlood samples were obtained from the coronary artery, coronary sinus, and peripheral vein in patients undergoing primary percutaneous coronary intervention for acute STEMI and in control patients undergoing nonemergency coronary angiography or percutaneous coronary intervention for stable angina or non‐STEMI. Plasma metabolites were analyzed by targeted liquid chromatography and mass spectrometry. Metabolite levels for coronary artery, coronary sinus, and peripheral vein were compared to derive cardiac and systemic release ratios. In STEMI patients, cardiac magnetic resonance imaging was performed 2 days and 6 months after primary percutaneous coronary intervention to quantify acute myocardial edema and final infarct size, respectively. In total, 115 patients undergoing acute STEMI and 26 control patients were included. Succinate was the only metabolite significantly increased in coronary sinus blood compared with venous blood in STEMI patients, indicating cardiac release of succinate. STEMI patients had higher succinate concentrations in arterial, coronary sinus, and peripheral venous blood than patients with non‐STEMI or stable angina. Furthermore, cardiac succinate release in STEMI correlated with the extent of acute myocardial injury, quantified by cardiac magnetic resonance imaging.ConclusionSuccinate release by the myocardium correlates with the extent of ischemia.","URL":"https://www.ahajournals.org/doi/full/10.1161/JAHA.117.007546","DOI":"10.1161/JAHA.117.007546","journalAbbreviation":"Journal of the American Heart Association","author":[{"literal":"Kohlhauer Matthias"},{"literal":"Dawkins Sam"},{"literal":"Costa Ana S. H."},{"literal":"Lee Regent"},{"literal":"Young Timothy"},{"literal":"Pell Victoria R."},{"literal":"Choudhury Robin P."},{"literal":"Banning Adrian P."},{"literal":"Kharbanda Rajesh K."},{"literal":"null null"},{"literal":"Saeb‐Parsy Kourosh"},{"literal":"Murphy Michael P."},{"literal":"Frezza Christian"},{"literal":"Krieg Thomas"},{"literal":"Channon Keith M."}],"accessed":{"date-parts":[["2019",2,24]]}}},{"id":1374,"uris":["http://zotero.org/users/4775618/items/9SG2PF4S"],"uri":["http://zotero.org/users/4775618/items/9SG2PF4S"],"itemData":{"id":1374,"type":"article-journal","title":"Accumulation of Succinate in Cardiac Ischemia Primarily Occurs via Canonical Krebs Cycle Activity","container-title":"Cell reports","page":"2617-2628","volume":"23","issue":"9","source":"PubMed Central","abstract":"Succinate accumulates during ischemia, and its oxidation at reperfusion drives injury. The mechanism of ischemic succinate accumulation is controversial and is proposed to involve reversal of mitochondrial complex II. Herein, using stable-isotope-resolved metabolomics, we demonstrate that complex II reversal is possible in hypoxic mitochondria but is not the primary succinate source in hypoxic cardiomyocytes or ischemic hearts. Rather, in these intact systems succinate primarily originates from canonical Krebs cycle activity, partly supported by aminotransferase anaplerosis and glycolysis from glycogen. Augmentation of canonical Krebs cycle activity with dimethyl-α-ketoglutarate both increases ischemic succinate accumulation and drives substrate-level phosphorylation by succinyl-CoA synthetase, improving ischemic energetics. Although two-thirds of ischemic succinate accumulation is extracellular, the remaining one-third is metabolized during early reperfusion, wherein acute complex II inhibition is protective. These results highlight a bifunctional role for succinate: its complex-II-independent accumulation being beneficial in ischemia and its complex-II-dependent oxidation being detrimental at reperfusion., Although succinate drives reperfusion injury, its ischemic accumulation mechanism is controversial. Herein, Zhang et al. show that ischemic succinate is generated by canonical Krebs cycle activity, rather than by mitochondrial complex II reversal, and improves ischemic energetics. At reperfusion, most succinate is washed out and may serve a signaling role.,","URL":"https://www.ncbi.nlm.nih.gov/pmc/articles/PMC6002783/","DOI":"10.1016/j.celrep.2018.04.104","ISSN":"2211-1247","note":"PMID: 29847793\nPMCID: PMC6002783","journalAbbreviation":"Cell Rep","author":[{"family":"Zhang","given":"Jimmy"},{"family":"Wang","given":"Yves T."},{"family":"Miller","given":"James H."},{"family":"Day","given":"Mary M."},{"family":"Munger","given":"Joshua C."},{"family":"Brookes","given":"Paul S."}],"issued":{"date-parts":[["2018",5,29]]},"accessed":{"date-parts":[["2019",2,23]]}}}],"schema":"https://github.com/citation-style-language/schema/raw/master/csl-citation.json"} </w:instrText>
      </w:r>
      <w:r w:rsidR="009641DB">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121,123,124</w:t>
      </w:r>
      <w:r w:rsidR="009641D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via the generation of reactive oxidative species (ROS)</w:t>
      </w:r>
      <w:r w:rsidR="009641DB">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{"citationID":"apifj3g5ra","properties":{"formattedCitation":"\\super 121\\nosupersub{}","plainCitation":"121","noteIndex":0},"citationItems":[{"id":1368,"uris":["http://zotero.org/users/4775618/items/4C7RUHDG"],"uri":["http://zotero.org/users/4775618/items/4C7RUHDG"],"itemData":{"id":1368,"type":"article-journal","title":"Ischaemic accumulation of succinate controls reperfusion injury through mitochondrial ROS","container-title":"Nature","page":"431-435","volume":"515","issue":"7527","source":"www-nature-com.ezp.lib.cam.ac.uk","abstract":"Ischaemia-reperfusion injury occurs when the blood supply to an organ is disrupted and then restored, and underlies many disorders, notably heart attack and stroke. While reperfusion of ischaemic tissue is essential for survival, it also initiates oxidative damage, cell death and aberrant immune responses through the generation of mitochondrial reactive oxygen species (ROS)1,2,3,4,5. Although mitochondrial ROS production in ischaemia reperfusion is established, it has generally been considered a nonspecific response to reperfusion1,3. Here we develop a comparative in vivo metabolomic analysis, and unexpectedly identify widely conserved metabolic pathways responsible for mitochondrial ROS production during ischaemia reperfusion. We show that selective accumulation of the citric acid cycle intermediate succinate is a universal metabolic signature of ischaemia in a range of tissues and is responsible for mitochondrial ROS production during reperfusion. Ischaemic succinate accumulation arises from reversal of succinate dehydrogenase, which in turn is driven by fumarate overflow from purine nucleotide breakdown and partial reversal of the malate/aspartate shuttle. After reperfusion, the accumulated succinate is rapidly re-oxidized by succinate dehydrogenase, driving extensive ROS generation by reverse electron transport at mitochondrial complex I. Decreasing ischaemic succinate accumulation by pharmacological inhibition is sufficient to ameliorate in vivo ischaemia-reperfusion injury in murine models of heart attack and stroke. Thus, we have identified a conserved metabolic response of tissues to ischaemia and reperfusion that unifies many hitherto unconnected aspects of ischaemia-reperfusion injury. Furthermore, these findings reveal a new pathway for metabolic control of ROS production in vivo, while demonstrating that inhibition of ischaemic succinate accumulation and its oxidation after subsequent reperfusion is a potential therapeutic target to decrease ischaemia-reperfusion injury in a range of pathologies.","URL":"http://www.nature.com/articles/nature13909","DOI":"10.1038/nature13909","ISSN":"1476-4687","language":"en","author":[{"family":"Chouchani","given":"Edward T."},{"family":"Pell","given":"Victoria R."},{"family":"Gaude","given":"Edoardo"},{"family":"Aksentijević","given":"Dunja"},{"family":"Sundier","given":"Stephanie Y."},{"family":"Robb","given":"Ellen L."},{"family":"Logan","given":"Angela"},{"family":"Nadtochiy","given":"Sergiy M."},{"family":"Ord","given":"Emily N. J."},{"family":"Smith","given":"Anthony C."},{"family":"Eyassu","given":"Filmon"},{"family":"Shirley","given":"Rachel"},{"family":"Hu","given":"Chou-Hui"},{"family":"Dare","given":"Anna J."},{"family":"James","given":"Andrew M."},{"family":"Rogatti","given":"Sebastian"},{"family":"Hartley","given":"Richard C."},{"family":"Eaton","given":"Simon"},{"family":"Costa","given":"Ana S. H."},{"family":"Brookes","given":"Paul S."},{"family":"Davidson","given":"Sean M."},{"family":"Duchen","given":"Michael R."},{"family":"Saeb-Parsy","given":"Kourosh"},{"family":"Shattock","given":"Michael J."},{"family":"Robinson","given":"Alan J."},{"family":"Work","given":"Lorraine M."},{"family":"Frezza","given":"Christian"},{"family":"Krieg","given":"Thomas"},{"family":"Murphy","given":"Michael P."}],"issued":{"date-parts":[["2014",11]]},"accessed":{"date-parts":[["2019",2,23]]}}}],"schema":"https://github.com/citation-style-language/schema/raw/master/csl-citation.json"} </w:instrText>
      </w:r>
      <w:r w:rsidR="009641DB">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121</w:t>
      </w:r>
      <w:r w:rsidR="009641D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However,</w:t>
      </w:r>
      <w:r w:rsidR="000167D7">
        <w:rPr>
          <w:rFonts w:ascii="Calibri" w:hAnsi="Calibri" w:cs="Calibri"/>
          <w:color w:val="000000" w:themeColor="text1"/>
          <w:sz w:val="22"/>
          <w:szCs w:val="22"/>
        </w:rPr>
        <w:t xml:space="preserve"> </w:t>
      </w:r>
      <w:r w:rsidR="00CB47A7" w:rsidRPr="00D637BA">
        <w:rPr>
          <w:rFonts w:ascii="Calibri" w:hAnsi="Calibri" w:cs="Calibri"/>
          <w:color w:val="000000" w:themeColor="text1"/>
          <w:sz w:val="22"/>
          <w:szCs w:val="22"/>
        </w:rPr>
        <w:t xml:space="preserve">study of the chronic effects of succinate accumulation in these tissues, analogous to SDH-deficient tumours, is challenging because the </w:t>
      </w:r>
      <w:r w:rsidR="00F131BF" w:rsidRPr="00D637BA">
        <w:rPr>
          <w:rFonts w:ascii="Calibri" w:hAnsi="Calibri" w:cs="Calibri"/>
          <w:color w:val="000000" w:themeColor="text1"/>
          <w:sz w:val="22"/>
          <w:szCs w:val="22"/>
        </w:rPr>
        <w:t>accumulated succinate</w:t>
      </w:r>
      <w:r w:rsidR="00CB47A7" w:rsidRPr="00D637BA">
        <w:rPr>
          <w:rFonts w:ascii="Calibri" w:hAnsi="Calibri" w:cs="Calibri"/>
          <w:color w:val="000000" w:themeColor="text1"/>
          <w:sz w:val="22"/>
          <w:szCs w:val="22"/>
        </w:rPr>
        <w:t xml:space="preserve"> rapidly returns</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to baseline</w:t>
      </w:r>
      <w:r w:rsidR="00CB47A7" w:rsidRPr="00D637BA">
        <w:rPr>
          <w:rFonts w:ascii="Calibri" w:hAnsi="Calibri" w:cs="Calibri"/>
          <w:color w:val="000000" w:themeColor="text1"/>
          <w:sz w:val="22"/>
          <w:szCs w:val="22"/>
        </w:rPr>
        <w:t xml:space="preserve"> levels</w:t>
      </w:r>
      <w:r w:rsidR="009641DB">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{"citationID":"a1qd50kvk3a","properties":{"formattedCitation":"\\super 121,123,124\\nosupersub{}","plainCitation":"121,123,124","noteIndex":0},"citationItems":[{"id":1368,"uris":["http://zotero.org/users/4775618/items/4C7RUHDG"],"uri":["http://zotero.org/users/4775618/items/4C7RUHDG"],"itemData":{"id":1368,"type":"article-journal","title":"Ischaemic accumulation of succinate controls reperfusion injury through mitochondrial ROS","container-title":"Nature","page":"431-435","volume":"515","issue":"7527","source":"www-nature-com.ezp.lib.cam.ac.uk","abstract":"Ischaemia-reperfusion injury occurs when the blood supply to an organ is disrupted and then restored, and underlies many disorders, notably heart attack and stroke. While reperfusion of ischaemic tissue is essential for survival, it also initiates oxidative damage, cell death and aberrant immune responses through the generation of mitochondrial reactive oxygen species (ROS)1,2,3,4,5. Although mitochondrial ROS production in ischaemia reperfusion is established, it has generally been considered a nonspecific response to reperfusion1,3. Here we develop a comparative in vivo metabolomic analysis, and unexpectedly identify widely conserved metabolic pathways responsible for mitochondrial ROS production during ischaemia reperfusion. We show that selective accumulation of the citric acid cycle intermediate succinate is a universal metabolic signature of ischaemia in a range of tissues and is responsible for mitochondrial ROS production during reperfusion. Ischaemic succinate accumulation arises from reversal of succinate dehydrogenase, which in turn is driven by fumarate overflow from purine nucleotide breakdown and partial reversal of the malate/aspartate shuttle. After reperfusion, the accumulated succinate is rapidly re-oxidized by succinate dehydrogenase, driving extensive ROS generation by reverse electron transport at mitochondrial complex I. Decreasing ischaemic succinate accumulation by pharmacological inhibition is sufficient to ameliorate in vivo ischaemia-reperfusion injury in murine models of heart attack and stroke. Thus, we have identified a conserved metabolic response of tissues to ischaemia and reperfusion that unifies many hitherto unconnected aspects of ischaemia-reperfusion injury. Furthermore, these findings reveal a new pathway for metabolic control of ROS production in vivo, while demonstrating that inhibition of ischaemic succinate accumulation and its oxidation after subsequent reperfusion is a potential therapeutic target to decrease ischaemia-reperfusion injury in a range of pathologies.","URL":"http://www.nature.com/articles/nature13909","DOI":"10.1038/nature13909","ISSN":"1476-4687","language":"en","author":[{"family":"Chouchani","given":"Edward T."},{"family":"Pell","given":"Victoria R."},{"family":"Gaude","given":"Edoardo"},{"family":"Aksentijević","given":"Dunja"},{"family":"Sundier","given":"Stephanie Y."},{"family":"Robb","given":"Ellen L."},{"family":"Logan","given":"Angela"},{"family":"Nadtochiy","given":"Sergiy M."},{"family":"Ord","given":"Emily N. J."},{"family":"Smith","given":"Anthony C."},{"family":"Eyassu","given":"Filmon"},{"family":"Shirley","given":"Rachel"},{"family":"Hu","given":"Chou-Hui"},{"family":"Dare","given":"Anna J."},{"family":"James","given":"Andrew M."},{"family":"Rogatti","given":"Sebastian"},{"family":"Hartley","given":"Richard C."},{"family":"Eaton","given":"Simon"},{"family":"Costa","given":"Ana S. H."},{"family":"Brookes","given":"Paul S."},{"family":"Davidson","given":"Sean M."},{"family":"Duchen","given":"Michael R."},{"family":"Saeb-Parsy","given":"Kourosh"},{"family":"Shattock","given":"Michael J."},{"family":"Robinson","given":"Alan J."},{"family":"Work","given":"Lorraine M."},{"family":"Frezza","given":"Christian"},{"family":"Krieg","given":"Thomas"},{"family":"Murphy","given":"Michael P."}],"issued":{"date-parts":[["2014",11]]},"accessed":{"date-parts":[["2019",2,23]]}}},{"id":1383,"uris":["http://zotero.org/users/4775618/items/HNCAKQQ9"],"uri":["http://zotero.org/users/4775618/items/HNCAKQQ9"],"itemData":{"id":1383,"type":"article-journal","title":"Metabolomic Profiling in Acute ST‐Segment–Elevation Myocardial Infarction Identifies Succinate as an Early Marker of Human Ischemia–Reperfusion Injury","container-title":"Journal of the American Heart Association","page":"e007546","volume":"7","issue":"8","source":"ahajournals.org (Atypon)","abstract":"BackgroundIschemia–reperfusion injury following ST‐segment–elevation myocardial infarction (STEMI) is a leading determinant of clinical outcome. In experimental models of myocardial ischemia, succinate accumulation leading to mitochondrial dysfunction is a major cause of ischemia–reperfusion injury; however, the potential importance and specificity of myocardial succinate accumulation in human STEMI is unknown. We sought to identify the metabolites released from the heart in patients undergoing primary percutaneous coronary intervention for emergency treatment of STEMI.Methods and ResultsBlood samples were obtained from the coronary artery, coronary sinus, and peripheral vein in patients undergoing primary percutaneous coronary intervention for acute STEMI and in control patients undergoing nonemergency coronary angiography or percutaneous coronary intervention for stable angina or non‐STEMI. Plasma metabolites were analyzed by targeted liquid chromatography and mass spectrometry. Metabolite levels for coronary artery, coronary sinus, and peripheral vein were compared to derive cardiac and systemic release ratios. In STEMI patients, cardiac magnetic resonance imaging was performed 2 days and 6 months after primary percutaneous coronary intervention to quantify acute myocardial edema and final infarct size, respectively. In total, 115 patients undergoing acute STEMI and 26 control patients were included. Succinate was the only metabolite significantly increased in coronary sinus blood compared with venous blood in STEMI patients, indicating cardiac release of succinate. STEMI patients had higher succinate concentrations in arterial, coronary sinus, and peripheral venous blood than patients with non‐STEMI or stable angina. Furthermore, cardiac succinate release in STEMI correlated with the extent of acute myocardial injury, quantified by cardiac magnetic resonance imaging.ConclusionSuccinate release by the myocardium correlates with the extent of ischemia.","URL":"https://www.ahajournals.org/doi/full/10.1161/JAHA.117.007546","DOI":"10.1161/JAHA.117.007546","journalAbbreviation":"Journal of the American Heart Association","author":[{"literal":"Kohlhauer Matthias"},{"literal":"Dawkins Sam"},{"literal":"Costa Ana S. H."},{"literal":"Lee Regent"},{"literal":"Young Timothy"},{"literal":"Pell Victoria R."},{"literal":"Choudhury Robin P."},{"literal":"Banning Adrian P."},{"literal":"Kharbanda Rajesh K."},{"literal":"null null"},{"literal":"Saeb‐Parsy Kourosh"},{"literal":"Murphy Michael P."},{"literal":"Frezza Christian"},{"literal":"Krieg Thomas"},{"literal":"Channon Keith M."}],"accessed":{"date-parts":[["2019",2,24]]}}},{"id":1374,"uris":["http://zotero.org/users/4775618/items/9SG2PF4S"],"uri":["http://zotero.org/users/4775618/items/9SG2PF4S"],"itemData":{"id":1374,"type":"article-journal","title":"Accumulation of Succinate in Cardiac Ischemia Primarily Occurs via Canonical Krebs Cycle Activity","container-title":"Cell reports","page":"2617-2628","volume":"23","issue":"9","source":"PubMed Central","abstract":"Succinate accumulates during ischemia, and its oxidation at reperfusion drives injury. The mechanism of ischemic succinate accumulation is controversial and is proposed to involve reversal of mitochondrial complex II. Herein, using stable-isotope-resolved metabolomics, we demonstrate that complex II reversal is possible in hypoxic mitochondria but is not the primary succinate source in hypoxic cardiomyocytes or ischemic hearts. Rather, in these intact systems succinate primarily originates from canonical Krebs cycle activity, partly supported by aminotransferase anaplerosis and glycolysis from glycogen. Augmentation of canonical Krebs cycle activity with dimethyl-α-ketoglutarate both increases ischemic succinate accumulation and drives substrate-level phosphorylation by succinyl-CoA synthetase, improving ischemic energetics. Although two-thirds of ischemic succinate accumulation is extracellular, the remaining one-third is metabolized during early reperfusion, wherein acute complex II inhibition is protective. These results highlight a bifunctional role for succinate: its complex-II-independent accumulation being beneficial in ischemia and its complex-II-dependent oxidation being detrimental at reperfusion., Although succinate drives reperfusion injury, its ischemic accumulation mechanism is controversial. Herein, Zhang et al. show that ischemic succinate is generated by canonical Krebs cycle activity, rather than by mitochondrial complex II reversal, and improves ischemic energetics. At reperfusion, most succinate is washed out and may serve a signaling role.,","URL":"https://www.ncbi.nlm.nih.gov/pmc/articles/PMC6002783/","DOI":"10.1016/j.celrep.2018.04.104","ISSN":"2211-1247","note":"PMID: 29847793\nPMCID: PMC6002783","journalAbbreviation":"Cell Rep","author":[{"family":"Zhang","given":"Jimmy"},{"family":"Wang","given":"Yves T."},{"family":"Miller","given":"James H."},{"family":"Day","given":"Mary M."},{"family":"Munger","given":"Joshua C."},{"family":"Brookes","given":"Paul S."}],"issued":{"date-parts":[["2018",5,29]]},"accessed":{"date-parts":[["2019",2,23]]}}}],"schema":"https://github.com/citation-style-language/schema/raw/master/csl-citation.json"} </w:instrText>
      </w:r>
      <w:r w:rsidR="009641DB">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121,123,124</w:t>
      </w:r>
      <w:r w:rsidR="009641D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r w:rsidR="00CB47A7" w:rsidRPr="00D637BA">
        <w:rPr>
          <w:rFonts w:ascii="Calibri" w:hAnsi="Calibri" w:cs="Calibri"/>
          <w:color w:val="000000" w:themeColor="text1"/>
          <w:sz w:val="22"/>
          <w:szCs w:val="22"/>
        </w:rPr>
        <w:t xml:space="preserve"> S</w:t>
      </w:r>
      <w:r w:rsidR="00F131BF" w:rsidRPr="00D637BA">
        <w:rPr>
          <w:rFonts w:ascii="Calibri" w:hAnsi="Calibri" w:cs="Calibri"/>
          <w:color w:val="000000" w:themeColor="text1"/>
          <w:sz w:val="22"/>
          <w:szCs w:val="22"/>
        </w:rPr>
        <w:t xml:space="preserve">uccinate accumulation </w:t>
      </w:r>
      <w:r w:rsidR="001E0817" w:rsidRPr="00D637BA">
        <w:rPr>
          <w:rFonts w:ascii="Calibri" w:hAnsi="Calibri" w:cs="Calibri"/>
          <w:color w:val="000000" w:themeColor="text1"/>
          <w:sz w:val="22"/>
          <w:szCs w:val="22"/>
        </w:rPr>
        <w:t xml:space="preserve">is </w:t>
      </w:r>
      <w:r w:rsidR="00CB47A7" w:rsidRPr="00D637BA">
        <w:rPr>
          <w:rFonts w:ascii="Calibri" w:hAnsi="Calibri" w:cs="Calibri"/>
          <w:color w:val="000000" w:themeColor="text1"/>
          <w:sz w:val="22"/>
          <w:szCs w:val="22"/>
        </w:rPr>
        <w:t xml:space="preserve">also </w:t>
      </w:r>
      <w:r w:rsidR="00F131BF" w:rsidRPr="00D637BA">
        <w:rPr>
          <w:rFonts w:ascii="Calibri" w:hAnsi="Calibri" w:cs="Calibri"/>
          <w:color w:val="000000" w:themeColor="text1"/>
          <w:sz w:val="22"/>
          <w:szCs w:val="22"/>
        </w:rPr>
        <w:t xml:space="preserve">observed in </w:t>
      </w:r>
      <w:r w:rsidR="001E0817" w:rsidRPr="00D637BA">
        <w:rPr>
          <w:rFonts w:ascii="Calibri" w:hAnsi="Calibri" w:cs="Calibri"/>
          <w:color w:val="000000" w:themeColor="text1"/>
          <w:sz w:val="22"/>
          <w:szCs w:val="22"/>
        </w:rPr>
        <w:t xml:space="preserve">the </w:t>
      </w:r>
      <w:r w:rsidR="00F131BF" w:rsidRPr="00D637BA">
        <w:rPr>
          <w:rFonts w:ascii="Calibri" w:hAnsi="Calibri" w:cs="Calibri"/>
          <w:color w:val="000000" w:themeColor="text1"/>
          <w:sz w:val="22"/>
          <w:szCs w:val="22"/>
        </w:rPr>
        <w:t>hypoxic retinas of rodents</w:t>
      </w:r>
      <w:r w:rsidR="00FE0BE4" w:rsidRPr="00D637BA">
        <w:rPr>
          <w:rFonts w:ascii="Calibri" w:hAnsi="Calibri" w:cs="Calibri"/>
          <w:color w:val="000000" w:themeColor="text1"/>
          <w:sz w:val="22"/>
          <w:szCs w:val="22"/>
        </w:rPr>
        <w:t xml:space="preserve"> and</w:t>
      </w:r>
      <w:r w:rsidR="00F3326F">
        <w:rPr>
          <w:rFonts w:ascii="Calibri" w:hAnsi="Calibri" w:cs="Calibri"/>
          <w:color w:val="000000" w:themeColor="text1"/>
          <w:sz w:val="22"/>
          <w:szCs w:val="22"/>
        </w:rPr>
        <w:t xml:space="preserve"> stimulates angiogenesis</w:t>
      </w:r>
      <w:r w:rsidR="00FE0BE4" w:rsidRPr="00D637BA">
        <w:rPr>
          <w:rFonts w:ascii="Calibri" w:hAnsi="Calibri" w:cs="Calibri"/>
          <w:color w:val="000000" w:themeColor="text1"/>
          <w:sz w:val="22"/>
          <w:szCs w:val="22"/>
        </w:rPr>
        <w:t xml:space="preserve"> via activation of succinate receptor 1 (Sucnr1, also known as GPR91)</w:t>
      </w:r>
      <w:r w:rsidR="009E50A7">
        <w:rPr>
          <w:rFonts w:ascii="Calibri" w:hAnsi="Calibri" w:cs="Calibri"/>
          <w:color w:val="000000" w:themeColor="text1"/>
          <w:sz w:val="22"/>
          <w:szCs w:val="22"/>
        </w:rPr>
        <w:t>,</w:t>
      </w:r>
      <w:r w:rsidR="00F3326F">
        <w:rPr>
          <w:rFonts w:ascii="Calibri" w:hAnsi="Calibri" w:cs="Calibri"/>
          <w:color w:val="000000" w:themeColor="text1"/>
          <w:sz w:val="22"/>
          <w:szCs w:val="22"/>
        </w:rPr>
        <w:t xml:space="preserve"> lead</w:t>
      </w:r>
      <w:r w:rsidR="009E50A7">
        <w:rPr>
          <w:rFonts w:ascii="Calibri" w:hAnsi="Calibri" w:cs="Calibri"/>
          <w:color w:val="000000" w:themeColor="text1"/>
          <w:sz w:val="22"/>
          <w:szCs w:val="22"/>
        </w:rPr>
        <w:t>ing</w:t>
      </w:r>
      <w:r w:rsidR="00F3326F">
        <w:rPr>
          <w:rFonts w:ascii="Calibri" w:hAnsi="Calibri" w:cs="Calibri"/>
          <w:color w:val="000000" w:themeColor="text1"/>
          <w:sz w:val="22"/>
          <w:szCs w:val="22"/>
        </w:rPr>
        <w:t xml:space="preserve"> to the</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upregulation of angiogenic proteins such as VEGF in a HIF-independent manner</w:t>
      </w:r>
      <w:r w:rsidR="009641DB">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{"citationID":"a1peoik38cd","properties":{"formattedCitation":"\\super 122\\nosupersub{}","plainCitation":"122","noteIndex":0},"citationItems":[{"id":1386,"uris":["http://zotero.org/users/4775618/items/V43IZVBV"],"uri":["http://zotero.org/users/4775618/items/V43IZVBV"],"itemData":{"id":1386,"type":"article-journal","title":"The succinate receptor GPR91 in neurons has a major role in retinal angiogenesis","container-title":"Nature Medicine","page":"1067-1076","volume":"14","issue":"10","source":"www-nature-com.ezp.lib.cam.ac.uk","abstract":"Vascularization is essential for tissue development and in restoration of tissue integrity after an ischemic injury. In studies of vascularization, the focus has largely been placed on vascular endothelial growth factor (VEGF), yet other factors may also orchestrate this process. Here we show that succinate accumulates in the hypoxic retina of rodents and, via its cognate receptor G protein–coupled receptor-91 (GPR91), is a potent mediator of vessel growth in the settings of both normal retinal development and proliferative ischemic retinopathy. The effects of GPR91 are mediated by retinal ganglion neurons (RGCs), which, in response to increased succinate levels, regulate the production of numerous angiogenic factors including VEGF. Accordingly, succinate did not have proangiogenic effects in RGC-deficient rats. Our observations show a pathway of metabolite signaling where succinate, acting through GPR91, governs retinal angiogenesis and show the propensity of RGCs to act as sensors of ischemic stress. These findings provide a new therapeutic target for modulating revascularization.","URL":"http://www.nature.com/articles/nm.1873","DOI":"10.1038/nm.1873","ISSN":"1546-170X","language":"en","author":[{"family":"Sapieha","given":"Przemyslaw"},{"family":"Sirinyan","given":"Mirna"},{"family":"Hamel","given":"David"},{"family":"Zaniolo","given":"Karine"},{"family":"Joyal","given":"Jean-Sébastien"},{"family":"Cho","given":"Jang-Hyeon"},{"family":"Honoré","given":"Jean-Claude"},{"family":"Kermorvant-Duchemin","given":"Elsa"},{"family":"Varma","given":"Daya R."},{"family":"Tremblay","given":"Sophie"},{"family":"Leduc","given":"Martin"},{"family":"Rihakova","given":"Lenka"},{"family":"Hardy","given":"Pierre"},{"family":"Klein","given":"William H."},{"family":"Mu","given":"Xiuqian"},{"family":"Mamer","given":"Orval"},{"family":"Lachapelle","given":"Pierre"},{"family":"Di Polo","given":"Adriana"},{"family":"Beauséjour","given":"Christian"},{"family":"Andelfinger","given":"Gregor"},{"family":"Mitchell","given":"Grant"},{"family":"Sennlaub","given":"Florian"},{"family":"Chemtob","given":"Sylvain"}],"issued":{"date-parts":[["2008",10]]},"accessed":{"date-parts":[["2019",2,24]]}}}],"schema":"https://github.com/citation-style-language/schema/raw/master/csl-citation.json"} </w:instrText>
      </w:r>
      <w:r w:rsidR="009641DB">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122</w:t>
      </w:r>
      <w:r w:rsidR="009641D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Of note, the hypoxic induction of oncometabolite accumulation may be propagated and amplified by the oncometabolites themselves </w:t>
      </w:r>
      <w:r w:rsidR="00FE0BE4" w:rsidRPr="00D637BA">
        <w:rPr>
          <w:rFonts w:ascii="Calibri" w:hAnsi="Calibri" w:cs="Calibri"/>
          <w:color w:val="000000" w:themeColor="text1"/>
          <w:sz w:val="22"/>
          <w:szCs w:val="22"/>
        </w:rPr>
        <w:t xml:space="preserve">via </w:t>
      </w:r>
      <w:r w:rsidR="00F131BF" w:rsidRPr="00D637BA">
        <w:rPr>
          <w:rFonts w:ascii="Calibri" w:hAnsi="Calibri" w:cs="Calibri"/>
          <w:color w:val="000000" w:themeColor="text1"/>
          <w:sz w:val="22"/>
          <w:szCs w:val="22"/>
        </w:rPr>
        <w:t>stabili</w:t>
      </w:r>
      <w:r w:rsidR="00FE0BE4" w:rsidRPr="00D637BA">
        <w:rPr>
          <w:rFonts w:ascii="Calibri" w:hAnsi="Calibri" w:cs="Calibri"/>
          <w:color w:val="000000" w:themeColor="text1"/>
          <w:sz w:val="22"/>
          <w:szCs w:val="22"/>
        </w:rPr>
        <w:t>zation of</w:t>
      </w:r>
      <w:r w:rsidR="00F131BF" w:rsidRPr="00D637BA">
        <w:rPr>
          <w:rFonts w:ascii="Calibri" w:hAnsi="Calibri" w:cs="Calibri"/>
          <w:color w:val="000000" w:themeColor="text1"/>
          <w:sz w:val="22"/>
          <w:szCs w:val="22"/>
        </w:rPr>
        <w:t xml:space="preserve"> HIF expression</w:t>
      </w:r>
      <w:r w:rsidR="009641DB">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{"citationID":"ad3oliuf3d","properties":{"formattedCitation":"\\super 19,26,27,29,125,126\\nosupersub{}","plainCitation":"19,26,27,29,125,126","noteIndex":0},"citationItems":[{"id":367,"uris":["http://zotero.org/users/4775618/items/7IDKHAAU"],"uri":["http://zotero.org/users/4775618/items/7IDKHAAU"],"itemData":{"id":367,"type":"article-journal","title":"HIF overexpression correlates with biallelic loss of fumarate hydratase in renal cancer: Novel role of fumarate in regulation of HIF stability","container-title":"Cancer Cell","page":"143-153","volume":"8","issue":"2","source":"www.cell.com","URL":"http://www.cell.com/cancer-cell/abstract/S1535-6108(05)00226-6","DOI":"10.1016/j.ccr.2005.06.017","ISSN":"1535-6108, 1878-3686","note":"PMID: 16098467","title-short":"HIF overexpression correlates with biallelic loss of fumarate hydratase in renal cancer","journalAbbreviation":"Cancer Cell","language":"English","author":[{"family":"Isaacs","given":"Jennifer S."},{"family":"Jung","given":"Yun Jin"},{"family":"Mole","given":"David R."},{"family":"Lee","given":"Sunmin"},{"family":"Torres-Cabala","given":"Carlos"},{"family":"Chung","given":"Yuen-Li"},{"family":"Merino","given":"Maria"},{"family":"Trepel","given":"Jane"},{"family":"Zbar","given":"Berton"},{"family":"Toro","given":"Jorge"},{"family":"Ratcliffe","given":"Peter J."},{"family":"Linehan","given":"W. Marston"},{"family":"Neckers","given":"Len"}],"issued":{"date-parts":[["2005",8,1]]},"accessed":{"date-parts":[["2018",4,2]]}}},{"id":1067,"uris":["http://zotero.org/users/4775618/items/WT52STQJ"],"uri":["http://zotero.org/users/4775618/items/WT52STQJ"],"itemData":{"id":1067,"type":"article-journal","title":"Targeting of HIF-alpha to the von Hippel-Lindau ubiquitylation complex by O2-regulated prolyl hydroxylation","container-title":"Science (New York, N.Y.)","page":"468-472","volume":"292","issue":"5516","source":"PubMed","abstract":"Hypoxia-inducible factor (HIF) is a transcriptional complex that plays a central role in the regulation of gene expression by oxygen. In oxygenated and iron replete cells, HIF-alpha subunits are rapidly destroyed by a mechanism that involves ubiquitylation by the von Hippel-Lindau tumor suppressor (pVHL) E3 ligase complex. This process is suppressed by hypoxia and iron chelation, allowing transcriptional activation. Here we show that the interaction between human pVHL and a specific domain of the HIF-1alpha subunit is regulated through hydroxylation of a proline residue (HIF-1alpha P564) by an enzyme we have termed HIF-alpha prolyl-hydroxylase (HIF-PH). An absolute requirement for dioxygen as a cosubstrate and iron as cofactor suggests that HIF-PH functions directly as a cellular oxygen sensor.","DOI":"10.1126/science.1059796","ISSN":"0036-8075","note":"PMID: 11292861","journalAbbreviation":"Science","language":"eng","author":[{"family":"Jaakkola","given":"P."},{"family":"Mole","given":"D. R."},{"family":"Tian","given":"Y. M."},{"family":"Wilson","given":"M. I."},{"family":"Gielbert","given":"J."},{"family":"Gaskell","given":"S. J."},{"family":"Kriegsheim","given":"A.","non-dropping-particle":"von"},{"family":"Hebestreit","given":"H. F."},{"family":"Mukherji","given":"M."},{"family":"Schofield","given":"C. J."},{"family":"Maxwell","given":"P. H."},{"family":"Pugh","given":"C. W."},{"family":"Ratcliffe","given":"P. J."}],"issued":{"date-parts":[["2001",4,20]]}}},{"id":1554,"uris":["http://zotero.org/users/4775618/items/XXNSZBMD"],"uri":["http://zotero.org/users/4775618/items/XXNSZBMD"],"itemData":{"id":1554,"type":"article-journal","title":"Dysregulation of hypoxia pathways in fumarate hydratase-deficient cells is independent of defective mitochondrial metabolism","container-title":"Human Molecular Genetics","page":"3844-3851","volume":"19","issue":"19","source":"PubMed","abstract":"Mutations in the gene encoding the Krebs cycle enzyme fumarate hydratase (FH) predispose to hereditary leiomyomatosis and renal cell cancer in affected individuals. FH-associated neoplasia is characterized by defective mitochondrial function and by upregulation of transcriptional pathways mediated by hypoxia-inducible factor (HIF), although whether and by what means these processes are linked has been disputed. We analysed the HIF pathway in Fh1-/- mouse embryonic fibroblasts (MEFs), in FH-defective neoplastic tissues and in Fh1-/- MEFs re-expressing either wild-type or an extra-mitochondrial restricted form of FH. These experiments demonstrated that upregulation of HIF-1alpha occurs as a direct consequence of FH inactivation. Fh1-/- cells accumulated intracellular fumarate and manifested severe impairment of HIF prolyl but not asparaginyl hydroxylation which was corrected by provision of exogenous 2-oxoglutarate (2-OG). Re-expression of the extra-mitochondrial form of FH in Fh1-/- cells was sufficient to reduce intracellular fumarate and to correct dysregulation of the HIF pathway completely, even in cells that remained profoundly defective in mitochondrial energy metabolism. The findings indicate that upregulation of HIF-1alpha arises from competitive inhibition of the 2-OG-dependent HIF hydroxylases by fumarate and not from disruption of mitochondrial energy metabolism.","DOI":"10.1093/hmg/ddq305","ISSN":"1460-2083","note":"PMID: 20660115\nPMCID: PMC2935862","journalAbbreviation":"Hum. Mol. Genet.","language":"eng","author":[{"family":"O'Flaherty","given":"Linda"},{"family":"Adam","given":"Julie"},{"family":"Heather","given":"Lisa C."},{"family":"Zhdanov","given":"Alexander V."},{"family":"Chung","given":"Yuen-Li"},{"family":"Miranda","given":"Melroy X."},{"family":"Croft","given":"Joanne"},{"family":"Olpin","given":"Simon"},{"family":"Clarke","given":"Kieran"},{"family":"Pugh","given":"Christopher W."},{"family":"Griffiths","given":"John"},{"family":"Papkovsky","given":"Dmitri"},{"family":"Ashrafian","given":"Houman"},{"family":"Ratcliffe","given":"Peter J."},{"family":"Pollard","given":"Patrick J."}],"issued":{"date-parts":[["2010",10,1]]}}},{"id":283,"uris":["http://zotero.org/users/4775618/items/GSI53XGT"],"uri":["http://zotero.org/users/4775618/items/GSI53XGT"],"itemData":{"id":283,"type":"article-journal","title":"Accumulation of Krebs cycle intermediates and over-expression of HIF1α in tumours which result from germline FH and SDH mutations","container-title":"Human Molecular Genetics","page":"2231-2239","volume":"14","issue":"15","source":"academic.oup.com","abstract":"The nuclear-encoded Krebs cycle enzymes, fumarate hydratase (FH) and succinate dehydrogenase (SDHB, -C and -D), act as tumour suppressors. Germline mutations in FH predispose individuals to leiomyomas and renal cell cancer (HLRCC), whereas mutations in SDH cause paragangliomas and phaeochromocytomas (HPGL). In this study, we have shown that FH-deficient cells and tumours accumulate fumarate and, to a lesser extent, succinate. SDH-deficient tumours principally accumulate succinate. In situ analyses showed that these tumours also have over-expression of hypoxia-inducible factor 1α (HIF1α), activation of HIF1αtargets (such as vascular endothelial growth factor) and high microvessel density. We found no evidence of increased reactive oxygen species in our cells. Our data provide in vivo evidence to support the hypothesis that increased succinate and/or fumarate causes stabilization of HIF1α a plausible mechanism, inhibition of HIF prolyl hydroxylases, has previously been suggested by in vitro studies. The basic mechanism of tumorigenesis in HPGL and HLRCC is likely to be pseudo-hypoxic drive, just as it is in von Hippel–Lindau syndrome.","URL":"https://academic.oup.com/hmg/article/14/15/2231/551734","DOI":"10.1093/hmg/ddi227","ISSN":"0964-6906","journalAbbreviation":"Hum Mol Genet","language":"en","author":[{"family":"Pollard","given":"P. J."},{"family":"Brière","given":"J. J."},{"family":"Alam","given":"N. A."},{"family":"Barwell","given":"J."},{"family":"Barclay","given":"E."},{"family":"Wortham","given":"N. C."},{"family":"Hunt","given":"T."},{"family":"Mitchell","given":"M."},{"family":"Olpin","given":"S."},{"family":"Moat","given":"S. J."},{"family":"Hargreaves","given":"I. P."},{"family":"Heales","given":"S. J."},{"family":"Chung","given":"Y. L."},{"family":"Griffiths","given":"J. R."},{"family":"Dalgleish","given":"A."},{"family":"McGrath","given":"J. A."},{"family":"Gleeson","given":"M. J."},{"family":"Hodgson","given":"S. V."},{"family":"Poulsom","given":"R."},{"family":"Rustin","given":"P."},{"family":"Tomlinson","given":"I. P. M."}],"issued":{"date-parts":[["2005",8,1]]},"accessed":{"date-parts":[["2018",3,24]]}}},{"id":660,"uris":["http://zotero.org/users/4775618/items/AILNC6X3"],"uri":["http://zotero.org/users/4775618/items/AILNC6X3"],"itemData":{"id":660,"type":"article-journal","title":"Succinate links TCA cycle dysfunction to oncogenesis by inhibiting HIF-alpha prolyl hydroxylase","container-title":"Cancer Cell","page":"77-85","volume":"7","issue":"1","source":"PubMed","abstract":"Several mitochondrial proteins are tumor suppressors. These include succinate dehydrogenase (SDH) and fumarate hydratase, both enzymes of the tricarboxylic acid (TCA) cycle. However, to date, the mechanisms by which defects in the TCA cycle contribute to tumor formation have not been elucidated. Here we describe a mitochondrion-to-cytosol signaling pathway that links mitochondrial dysfunction to oncogenic events: succinate, which accumulates as a result of SDH inhibition, inhibits HIF-alpha prolyl hydroxylases in the cytosol, leading to stabilization and activation of HIF-1alpha. These results suggest a mechanistic link between SDH mutations and HIF-1alpha induction, providing an explanation for the highly vascular tumors that develop in the absence of VHL mutations.","DOI":"10.1016/j.ccr.2004.11.022","ISSN":"1535-6108","note":"PMID: 15652751","journalAbbreviation":"Cancer Cell","language":"eng","author":[{"family":"Selak","given":"Mary A."},{"family":"Armour","given":"Sean M."},{"family":"MacKenzie","given":"Elaine D."},{"family":"Boulahbel","given":"Houda"},{"family":"Watson","given":"David G."},{"family":"Mansfield","given":"Kyle D."},{"family":"Pan","given":"Yi"},{"family":"Simon","given":"M. Celeste"},{"family":"Thompson","given":"Craig B."},{"family":"Gottlieb","given":"Eyal"}],"issued":{"date-parts":[["2005",1]]}}},{"id":662,"uris":["http://zotero.org/users/4775618/items/DMV7LB9R"],"uri":["http://zotero.org/users/4775618/items/DMV7LB9R"],"itemData":{"id":662,"type":"article-journal","title":"Redox stress is not essential for the pseudo-hypoxic phenotype of succinate dehydrogenase deficient cells","container-title":"Biochimica et Biophysica Acta (BBA) - Bioenergetics","collection-title":"14th European Bioenergetics Conference","page":"567-572","volume":"1757","issue":"5","source":"ScienceDirect","abstract":"HIFα prolyl hydroxylases (PHDs) are a family of enzymes that regulate protein levels of the α subunit of the hypoxia inducible transcription factor (HIF) under different oxygen levels. PHDs catalyse the conversion of a prolyl residue, molecular oxygen and α-ketoglutarate to hydroxy-prolyl, carbon dioxide and succinate in a reaction dependent on ferrous iron and ascorbate as cofactors. Recently it was shown that pseudo-hypoxia, HIF induction under normoxic conditions, is an important feature of tumours generated as a consequence of inactivation of the mitochondrial tumour suppressor ‘succinate dehydrogenase’ (SDH). Two models have been proposed to describe the link between SDH inhibition and HIF activation. Both models suggest that a mitochondrial-generated signal leads to the inhibition of PHDs in the cytosol, however, the models differ in the nature of the proposed messenger. The first model postulates that mitochondrial-generated hydrogen peroxide mediates signal transduction while the second model implicates succinate as the molecular messenger which leaves the mitochondrion and inhibits PHDs in the cytosol. Here we show that pseudo-hypoxia can be observed in SDH-suppressed cells in the absence of oxidative stress and in the presence of effective antioxidant treatment.","URL":"http://www.sciencedirect.com/science/article/pii/S0005272806001411","DOI":"10.1016/j.bbabio.2006.05.015","ISSN":"0005-2728","journalAbbreviation":"Biochimica et Biophysica Acta (BBA) - Bioenergetics","author":[{"family":"Selak","given":"Mary A."},{"family":"Durán","given":"Raứl V."},{"family":"Gottlieb","given":"Eyal"}],"issued":{"date-parts":[["2006",5,1]]},"accessed":{"date-parts":[["2018",8,26]]}}}],"schema":"https://github.com/citation-style-language/schema/raw/master/csl-citation.json"} </w:instrText>
      </w:r>
      <w:r w:rsidR="009641DB">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19,26,27,29,125,126</w:t>
      </w:r>
      <w:r w:rsidR="009641D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In addition, succinate may participate in a</w:t>
      </w:r>
      <w:r w:rsidR="00165122"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positive</w:t>
      </w:r>
      <w:r w:rsidR="00165122" w:rsidRPr="00B946E4">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feedback system </w:t>
      </w:r>
      <w:r w:rsidR="00165122" w:rsidRPr="00B946E4">
        <w:rPr>
          <w:rFonts w:ascii="Calibri" w:hAnsi="Calibri" w:cs="Calibri"/>
          <w:color w:val="000000" w:themeColor="text1"/>
          <w:sz w:val="22"/>
          <w:szCs w:val="22"/>
        </w:rPr>
        <w:t>that</w:t>
      </w:r>
      <w:r w:rsidR="00F131BF" w:rsidRPr="00D637BA">
        <w:rPr>
          <w:rFonts w:ascii="Calibri" w:hAnsi="Calibri" w:cs="Calibri"/>
          <w:color w:val="000000" w:themeColor="text1"/>
          <w:sz w:val="22"/>
          <w:szCs w:val="22"/>
        </w:rPr>
        <w:t xml:space="preserve"> reinforc</w:t>
      </w:r>
      <w:r w:rsidR="00165122" w:rsidRPr="00B946E4">
        <w:rPr>
          <w:rFonts w:ascii="Calibri" w:hAnsi="Calibri" w:cs="Calibri"/>
          <w:color w:val="000000" w:themeColor="text1"/>
          <w:sz w:val="22"/>
          <w:szCs w:val="22"/>
        </w:rPr>
        <w:t>es</w:t>
      </w:r>
      <w:r w:rsidR="00F131BF" w:rsidRPr="00D637BA">
        <w:rPr>
          <w:rFonts w:ascii="Calibri" w:hAnsi="Calibri" w:cs="Calibri"/>
          <w:color w:val="000000" w:themeColor="text1"/>
          <w:sz w:val="22"/>
          <w:szCs w:val="22"/>
        </w:rPr>
        <w:t xml:space="preserve"> the </w:t>
      </w:r>
      <w:r w:rsidR="00F131BF" w:rsidRPr="00D637BA">
        <w:rPr>
          <w:rFonts w:ascii="Calibri" w:hAnsi="Calibri" w:cs="Calibri"/>
          <w:i/>
          <w:color w:val="000000" w:themeColor="text1"/>
          <w:sz w:val="22"/>
          <w:szCs w:val="22"/>
        </w:rPr>
        <w:t>HIF1α</w:t>
      </w:r>
      <w:r w:rsidR="00F131BF" w:rsidRPr="00D637BA">
        <w:rPr>
          <w:rFonts w:ascii="Calibri" w:hAnsi="Calibri" w:cs="Calibri"/>
          <w:color w:val="000000" w:themeColor="text1"/>
          <w:sz w:val="22"/>
          <w:szCs w:val="22"/>
        </w:rPr>
        <w:t xml:space="preserve"> signalling loop.</w:t>
      </w:r>
      <w:r w:rsidR="00165122" w:rsidRPr="00D637BA">
        <w:rPr>
          <w:rFonts w:ascii="Calibri" w:hAnsi="Calibri" w:cs="Calibri"/>
          <w:color w:val="000000" w:themeColor="text1"/>
          <w:sz w:val="22"/>
          <w:szCs w:val="22"/>
        </w:rPr>
        <w:t xml:space="preserve"> In lung adenocarcinoma cells,</w:t>
      </w:r>
      <w:r w:rsidR="00F131BF" w:rsidRPr="00D637BA">
        <w:rPr>
          <w:rFonts w:ascii="Calibri" w:hAnsi="Calibri" w:cs="Calibri"/>
          <w:color w:val="000000" w:themeColor="text1"/>
          <w:sz w:val="22"/>
          <w:szCs w:val="22"/>
        </w:rPr>
        <w:t xml:space="preserve"> </w:t>
      </w:r>
      <w:r w:rsidR="00F131BF" w:rsidRPr="00D637BA">
        <w:rPr>
          <w:rFonts w:ascii="Calibri" w:hAnsi="Calibri" w:cs="Calibri"/>
          <w:i/>
          <w:color w:val="000000" w:themeColor="text1"/>
          <w:sz w:val="22"/>
          <w:szCs w:val="22"/>
        </w:rPr>
        <w:t>HIF-</w:t>
      </w:r>
      <w:r w:rsidR="00F131BF" w:rsidRPr="00D637BA">
        <w:rPr>
          <w:rFonts w:ascii="Calibri" w:hAnsi="Calibri" w:cs="Calibri"/>
          <w:color w:val="000000" w:themeColor="text1"/>
          <w:sz w:val="22"/>
          <w:szCs w:val="22"/>
        </w:rPr>
        <w:t xml:space="preserve">dependent expression of </w:t>
      </w:r>
      <w:r w:rsidR="00F131BF" w:rsidRPr="00D637BA">
        <w:rPr>
          <w:rFonts w:ascii="Calibri" w:hAnsi="Calibri" w:cs="Calibri"/>
          <w:i/>
          <w:color w:val="000000" w:themeColor="text1"/>
          <w:sz w:val="22"/>
          <w:szCs w:val="22"/>
        </w:rPr>
        <w:t>miR-210</w:t>
      </w:r>
      <w:r w:rsidR="00F131BF" w:rsidRPr="00D637BA">
        <w:rPr>
          <w:rFonts w:ascii="Calibri" w:hAnsi="Calibri" w:cs="Calibri"/>
          <w:color w:val="000000" w:themeColor="text1"/>
          <w:sz w:val="22"/>
          <w:szCs w:val="22"/>
        </w:rPr>
        <w:t xml:space="preserve"> was demonstrated to target </w:t>
      </w:r>
      <w:r w:rsidR="00165122" w:rsidRPr="00B946E4">
        <w:rPr>
          <w:rFonts w:ascii="Calibri" w:hAnsi="Calibri" w:cs="Calibri"/>
          <w:color w:val="000000" w:themeColor="text1"/>
          <w:sz w:val="22"/>
          <w:szCs w:val="22"/>
        </w:rPr>
        <w:t xml:space="preserve">and downregulate </w:t>
      </w:r>
      <w:r w:rsidR="00F131BF" w:rsidRPr="00D637BA">
        <w:rPr>
          <w:rFonts w:ascii="Calibri" w:hAnsi="Calibri" w:cs="Calibri"/>
          <w:i/>
          <w:color w:val="000000" w:themeColor="text1"/>
          <w:sz w:val="22"/>
          <w:szCs w:val="22"/>
        </w:rPr>
        <w:t>SDHD</w:t>
      </w:r>
      <w:r w:rsidR="0031559F">
        <w:rPr>
          <w:rFonts w:ascii="Calibri" w:hAnsi="Calibri" w:cs="Calibri"/>
          <w:i/>
          <w:color w:val="000000" w:themeColor="text1"/>
          <w:sz w:val="22"/>
          <w:szCs w:val="22"/>
        </w:rPr>
        <w:fldChar w:fldCharType="begin"/>
      </w:r>
      <w:r w:rsidR="00E52DEA">
        <w:rPr>
          <w:rFonts w:ascii="Calibri" w:hAnsi="Calibri" w:cs="Calibri"/>
          <w:i/>
          <w:color w:val="000000" w:themeColor="text1"/>
          <w:sz w:val="22"/>
          <w:szCs w:val="22"/>
        </w:rPr>
        <w:instrText xml:space="preserve"> ADDIN ZOTERO_ITEM CSL_CITATION {"citationID":"a1hgjp2btt0","properties":{"formattedCitation":"\\super 127\\nosupersub{}","plainCitation":"127","noteIndex":0},"citationItems":[{"id":1602,"uris":["http://zotero.org/users/4775618/items/K6QLT2TN"],"uri":["http://zotero.org/users/4775618/items/K6QLT2TN"],"itemData":{"id":1602,"type":"article-journal","title":"miR-210 is overexpressed in late stages of lung cancer and mediates mitochondrial alterations associated with modulation of HIF-1 activity","container-title":"Cell Death and Differentiation","page":"465-478","volume":"18","issue":"3","source":"PubMed","abstract":"Following the identification of a set of hypoxia-regulated microRNAs (miRNAs), recent studies have highlighted the importance of miR-210 and of its transcriptional regulation by the transcription factor hypoxia-inducible factor-1 (HIF-1). We report here that miR-210 is overexpressed at late stages of non-small cell lung cancer. Expression of miR-210 in lung adenocarcinoma A549 cells caused an alteration of cell viability associated with induction of caspase-3/7 activity. miR-210 induced a loss of mitochondrial membrane potential and the apparition of an aberrant mitochondrial phenotype. The expression profiling of cells overexpressing miR-210 revealed a specific signature characterized by enrichment for transcripts related to 'cell death' and 'mitochondrial dysfunction', including several subunits of the electron transport chain (ETC) complexes I and II. The transcript coding for one of these ETC components, SDHD, subunit D of succinate dehydrogenase complex (SDH), was validated as a bona fide miR-210 target. Moreover, SDHD knockdown mimicked miR-210-mediated mitochondrial alterations. Finally, miR-210-dependent targeting of SDHD was able to activate HIF-1, in line with previous studies linking loss-of-function SDH mutations to HIF-1 activation. miR-210 can thus regulate mitochondrial function by targeting key ETC component genes with important consequences on cell metabolism, survival and modulation of HIF-1 activity. These observations help explain contradictory data regarding miR-210 expression and its putative function in solid tumors.","DOI":"10.1038/cdd.2010.119","ISSN":"1476-5403","note":"PMID: 20885442\nPMCID: PMC3131992","journalAbbreviation":"Cell Death Differ.","language":"eng","author":[{"family":"Puisségur","given":"M.-P."},{"family":"Mazure","given":"N. M."},{"family":"Bertero","given":"T."},{"family":"Pradelli","given":"L."},{"family":"Grosso","given":"S."},{"family":"Robbe-Sermesant","given":"K."},{"family":"Maurin","given":"T."},{"family":"Lebrigand","given":"K."},{"family":"Cardinaud","given":"B."},{"family":"Hofman","given":"V."},{"family":"Fourre","given":"S."},{"family":"Magnone","given":"V."},{"family":"Ricci","given":"J. E."},{"family":"Pouysségur","given":"J."},{"family":"Gounon","given":"P."},{"family":"Hofman","given":"P."},{"family":"Barbry","given":"P."},{"family":"Mari","given":"B."}],"issued":{"date-parts":[["2011",3]]}}}],"schema":"https://github.com/citation-style-language/schema/raw/master/csl-citation.json"} </w:instrText>
      </w:r>
      <w:r w:rsidR="0031559F">
        <w:rPr>
          <w:rFonts w:ascii="Calibri" w:hAnsi="Calibri" w:cs="Calibri"/>
          <w:i/>
          <w:color w:val="000000" w:themeColor="text1"/>
          <w:sz w:val="22"/>
          <w:szCs w:val="22"/>
        </w:rPr>
        <w:fldChar w:fldCharType="separate"/>
      </w:r>
      <w:r w:rsidR="00E52DEA" w:rsidRPr="00E52DEA">
        <w:rPr>
          <w:rFonts w:ascii="Calibri" w:hAnsi="Calibri" w:cs="Calibri"/>
          <w:color w:val="000000"/>
          <w:sz w:val="22"/>
          <w:vertAlign w:val="superscript"/>
          <w:lang w:val="en-US"/>
        </w:rPr>
        <w:t>127</w:t>
      </w:r>
      <w:r w:rsidR="0031559F">
        <w:rPr>
          <w:rFonts w:ascii="Calibri" w:hAnsi="Calibri" w:cs="Calibri"/>
          <w:i/>
          <w:color w:val="000000" w:themeColor="text1"/>
          <w:sz w:val="22"/>
          <w:szCs w:val="22"/>
        </w:rPr>
        <w:fldChar w:fldCharType="end"/>
      </w:r>
      <w:r w:rsidR="00165122" w:rsidRPr="00B946E4">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w:t>
      </w:r>
      <w:r w:rsidR="00165122" w:rsidRPr="00D637BA">
        <w:rPr>
          <w:rFonts w:ascii="Calibri" w:hAnsi="Calibri" w:cs="Calibri"/>
          <w:color w:val="000000" w:themeColor="text1"/>
          <w:sz w:val="22"/>
          <w:szCs w:val="22"/>
        </w:rPr>
        <w:t xml:space="preserve">The resulting </w:t>
      </w:r>
      <w:r w:rsidR="00F131BF" w:rsidRPr="00D637BA">
        <w:rPr>
          <w:rFonts w:ascii="Calibri" w:hAnsi="Calibri" w:cs="Calibri"/>
          <w:color w:val="000000" w:themeColor="text1"/>
          <w:sz w:val="22"/>
          <w:szCs w:val="22"/>
        </w:rPr>
        <w:t xml:space="preserve">succinate accumulation in turn led to HIF stabilisation through inhibition of PHDs </w:t>
      </w:r>
      <w:r w:rsidR="009E50A7">
        <w:rPr>
          <w:rFonts w:ascii="Calibri" w:hAnsi="Calibri" w:cs="Calibri"/>
          <w:color w:val="000000" w:themeColor="text1"/>
          <w:sz w:val="22"/>
          <w:szCs w:val="22"/>
        </w:rPr>
        <w:t>and thus</w:t>
      </w:r>
      <w:r w:rsidR="009E50A7"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perpetuat</w:t>
      </w:r>
      <w:r w:rsidR="00E8425D" w:rsidRPr="00D637BA">
        <w:rPr>
          <w:rFonts w:ascii="Calibri" w:hAnsi="Calibri" w:cs="Calibri"/>
          <w:color w:val="000000" w:themeColor="text1"/>
          <w:sz w:val="22"/>
          <w:szCs w:val="22"/>
        </w:rPr>
        <w:t>ed</w:t>
      </w:r>
      <w:r w:rsidR="00F131BF" w:rsidRPr="00D637BA">
        <w:rPr>
          <w:rFonts w:ascii="Calibri" w:hAnsi="Calibri" w:cs="Calibri"/>
          <w:color w:val="000000" w:themeColor="text1"/>
          <w:sz w:val="22"/>
          <w:szCs w:val="22"/>
        </w:rPr>
        <w:t xml:space="preserve"> </w:t>
      </w:r>
      <w:r w:rsidR="00165122" w:rsidRPr="00D637BA">
        <w:rPr>
          <w:rFonts w:ascii="Calibri" w:hAnsi="Calibri" w:cs="Calibri"/>
          <w:color w:val="000000" w:themeColor="text1"/>
          <w:sz w:val="22"/>
          <w:szCs w:val="22"/>
        </w:rPr>
        <w:t xml:space="preserve">the </w:t>
      </w:r>
      <w:r w:rsidR="00F131BF" w:rsidRPr="00D637BA">
        <w:rPr>
          <w:rFonts w:ascii="Calibri" w:hAnsi="Calibri" w:cs="Calibri"/>
          <w:color w:val="000000" w:themeColor="text1"/>
          <w:sz w:val="22"/>
          <w:szCs w:val="22"/>
        </w:rPr>
        <w:t>hypoxic phenotype.</w:t>
      </w:r>
    </w:p>
    <w:p w14:paraId="50B11E0F" w14:textId="58AF7037" w:rsidR="00CE21AE" w:rsidRPr="00D637BA" w:rsidRDefault="00E8425D" w:rsidP="0074764B">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M</w:t>
      </w:r>
      <w:r w:rsidR="00F131BF" w:rsidRPr="00D637BA">
        <w:rPr>
          <w:rFonts w:ascii="Calibri" w:hAnsi="Calibri" w:cs="Calibri"/>
          <w:color w:val="000000" w:themeColor="text1"/>
          <w:sz w:val="22"/>
          <w:szCs w:val="22"/>
        </w:rPr>
        <w:t>itochondrial dysfunction arising from glucose toxicity</w:t>
      </w:r>
      <w:r w:rsidR="00D71CE2">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{"citationID":"afesk2dhn1","properties":{"formattedCitation":"\\super 128\\uc0\\u8211{}130\\nosupersub{}","plainCitation":"128–130","noteIndex":0},"citationItems":[{"id":1396,"uris":["http://zotero.org/users/4775618/items/RVFXF6H9"],"uri":["http://zotero.org/users/4775618/items/RVFXF6H9"],"itemData":{"id":1396,"type":"article-journal","title":"Inactivation of Glyceraldehyde-3-Phosphate Dehydrogenase by Fumarate in Diabetes: Formation of S-(2-Succinyl)Cysteine, a Novel Chemical Modification of Protein and Possible Biomarker of Mitochondrial Stress","container-title":"Diabetes","page":"41-49","volume":"57","issue":"1","source":"PubMed Central","abstract":"OBJECTIVE\nS-(2-succinyl)cysteine (2SC) is formed by a Michael addition reaction of the Krebs cycle intermediate, fumarate, with cysteine residues in protein. We investigated the role of fumarate in chemical modification and inhibition of the sulfhydryl enzyme, glyceraldehyde-3-phosphate dehydrogenase (GAPDH), in vitro and in tissues of diabetic rats.\n\nRESEARCH DESIGN AND METHODS\nGAPDH was incubated with fumarate in PBS to assess effects of fumarate on enzyme activity in vitro. Sites of 2SC formation were determined by analysis of tryptic peptides by high-performance liquid chromatography–quadrupole/time-of-flight mass spectrometry. 2SC and fumarate in gastrocnemius muscle of control and streptozotocin-induced diabetic rats were measured by liquid chromatography/tandem mass spectrometry and by gas chromatography/mass spectrometry, respectively. GAPDH was isolated from muscle by immunoprecipitation, and sites of modification of GAPDH were determined by mass spectrometry analysis.\n\nRESULTS\n2SC was found, both in vitro and in vivo, about equally at active-site Cys-149 and nucleophilic Cys-244. Inactivation of GAPDH by fumarate in vitro correlated with formation of 2SC. In diabetic compared with control rats, fumarate and 2SC concentration increased approximately fivefold, accompanied by an ~25% decrease in GAPDH specific activity. The fractional modification of GAPDH by 2SC was significantly increased in diabetic versus control animals, consistent with the decreased specific activity of GAPDH in muscle of diabetic animals.\n\nCONCLUSIONS\nFumarate contributes to inactivation of GAPDH in diabetes. 2SC may be a useful biomarker of mitochondrial stress in diabetes. Modification of GAPDH and other enzymes and proteins by fumarate may contribute to the metabolic changes underlying the development of diabetes complications.","URL":"https://www.ncbi.nlm.nih.gov/pmc/articles/PMC2423377/","DOI":"10.2337/db07-0838","ISSN":"0012-1797","note":"PMID: 17934141\nPMCID: PMC2423377","title-short":"Inactivation of Glyceraldehyde-3-Phosphate Dehydrogenase by Fumarate in Diabetes","journalAbbreviation":"Diabetes","author":[{"family":"Blatnik","given":"Matthew"},{"family":"Frizzell","given":"Norma"},{"family":"Thorpe","given":"Suzanne R."},{"family":"Baynes","given":"John W."}],"issued":{"date-parts":[["2008",1]]},"accessed":{"date-parts":[["2019",2,24]]}}},{"id":645,"uris":["http://zotero.org/users/4775618/items/SA3WQAFZ"],"uri":["http://zotero.org/users/4775618/items/SA3WQAFZ"],"itemData":{"id":645,"type":"article-journal","title":"Mitochondrial stress causes increased succination of proteins in adipocytes in response to glucotoxicity","container-title":"Biochemical Journal","page":"247-254","volume":"445","issue":"2","source":"www.biochemj.org","abstract":"2SC [S-(2-succino)-cysteine] is a chemical modification formed by a Michael addition reaction of fumarate with cysteine residues in proteins. Formation of 2SC, termed ‘succination’ of proteins, increases in adipocytes grown in high-glucose medium and in adipose tissues of Type 2 diabetic mice. However, the metabolic mechanisms leading to increased fumarate and succination of protein in the adipocyte are unknown. Treatment of 3T3 cells with high glucose (30 mM compared with 5 mM) caused a significant increase in cellular ATP/ADP, NADH/NAD+ and Δψm (mitochondrial membrane potential). There was also a significant increase in the cellular fumarate concentration and succination of proteins, which may be attributed to the increase in NADH/NAD+ and subsequent inhibition of tricarboxylic acid cycle NAD+-dependent dehydrogenases. Chemical uncouplers, which dissipated Δψm and reduced the NADH/NAD+ ratio, also decreased the fumarate concentration and protein succination. High glucose plus metformin, an inhibitor of complex I in the electron transport chain, caused an increase in fumarate and succination of protein. Thus excess fuel supply (glucotoxicity) appears to create a pseudohypoxic environment (high NADH/NAD+ without hypoxia), which drives the increase in succination of protein. We propose that increased succination of proteins is an early marker of glucotoxicity and mitochondrial stress in adipose tissue in diabetes.","URL":"http://www.biochemj.org/content/445/2/247","DOI":"10.1042/BJ20112142","ISSN":"0264-6021, 1470-8728","note":"PMID: 22524437","language":"en","author":[{"family":"Frizzell","given":"Norma"},{"family":"Thomas","given":"Sonia A."},{"family":"Carson","given":"James A."},{"family":"Baynes","given":"John W."}],"issued":{"date-parts":[["2012",7,15]]},"accessed":{"date-parts":[["2018",8,26]]}}},{"id":1392,"uris":["http://zotero.org/users/4775618/items/I4VN8JLY"],"uri":["http://zotero.org/users/4775618/items/I4VN8JLY"],"itemData":{"id":1392,"type":"article-journal","title":"Mitochondrial dysfunction is induced by high levels of glucose and free fatty acids in 3T3-L1 adipocytes","container-title":"Molecular and Cellular Endocrinology","page":"25-33","volume":"320","issue":"1-2","source":"PubMed","abstract":"Hyperglycemia and high free fatty acids (FFAs) are two well-known characteristics of type 2 diabetes, and are also implicated in the etiology of insulin resistance. However, their roles in mitochondrial dysfunction of white adipocytes are not well-studied. In this study, we investigated the effects of high glucose (25 mM), high free fatty acids (FFAs, 1mM), or a combination of both high glucose+high FFAs on mitochondrial function in differentiated 3T3-L1 adipocytes after 48 h of treatment. We found that high glucose, high FFAs, or high glucose+high FFAs reduced insulin-stimulated glucose uptake in differentiated 3T3-L1 adipocytes. In addition, the mitochondria became smaller and more compact. Levels of the mitofusion protein mfn1 decreased and levels of the mitofission protein Drp1 increased as compared to controls. NRF1 was downregulated, and PGC-1 beta levels were diminished in the high glucose and high glucose+high FFAs conditions. Levels of PGC-1 alpha and mtTFA mRNA were greatly downregulated. No difference was found in the mitochondrial DNA (mtDNA) and intracellular ATP levels of treated cells compared to control cells. Cells treated with high glucose or high FFAs accumulated significant amounts of reactive oxygen species (ROS) and displayed a loss of the mitochondrial membrane potential. High glucose and high glucose+high FFAs led to similar decreases in intramitochondrial calcium concentration, although high FFAs had no effect. Therefore, high glucose and high FFAs can regulate insulin sensitivity, and mitochondrial dysfunction may occur in this process.","DOI":"10.1016/j.mce.2010.01.039","ISSN":"1872-8057","note":"PMID: 20144685","journalAbbreviation":"Mol. Cell. Endocrinol.","language":"eng","author":[{"family":"Gao","given":"Chun-Lin"},{"family":"Zhu","given":"Chun"},{"family":"Zhao","given":"Ya-Ping"},{"family":"Chen","given":"Xiao-Hui"},{"family":"Ji","given":"Chen-Bo"},{"family":"Zhang","given":"Chun-Mei"},{"family":"Zhu","given":"Jin-Gai"},{"family":"Xia","given":"Zheng-Kun"},{"family":"Tong","given":"Mei-Ling"},{"family":"Guo","given":"Xi-Rong"}],"issued":{"date-parts":[["2010",5,14]]}}}],"schema":"https://github.com/citation-style-language/schema/raw/master/csl-citation.json"} </w:instrText>
      </w:r>
      <w:r w:rsidR="00D71CE2">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128–130</w:t>
      </w:r>
      <w:r w:rsidR="00D71CE2">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1E0817" w:rsidRPr="00D637BA">
        <w:rPr>
          <w:rFonts w:ascii="Calibri" w:hAnsi="Calibri" w:cs="Calibri"/>
          <w:color w:val="000000" w:themeColor="text1"/>
          <w:sz w:val="22"/>
          <w:szCs w:val="22"/>
        </w:rPr>
        <w:t>can also</w:t>
      </w:r>
      <w:r w:rsidR="00F131BF" w:rsidRPr="00D637BA">
        <w:rPr>
          <w:rFonts w:ascii="Calibri" w:hAnsi="Calibri" w:cs="Calibri"/>
          <w:color w:val="000000" w:themeColor="text1"/>
          <w:sz w:val="22"/>
          <w:szCs w:val="22"/>
        </w:rPr>
        <w:t xml:space="preserve"> result in oncometabolite production. Fumarate accumulation </w:t>
      </w:r>
      <w:r w:rsidR="001E0817" w:rsidRPr="00D637BA">
        <w:rPr>
          <w:rFonts w:ascii="Calibri" w:hAnsi="Calibri" w:cs="Calibri"/>
          <w:color w:val="000000" w:themeColor="text1"/>
          <w:sz w:val="22"/>
          <w:szCs w:val="22"/>
        </w:rPr>
        <w:t xml:space="preserve">and </w:t>
      </w:r>
      <w:r w:rsidR="00F131BF" w:rsidRPr="00D637BA">
        <w:rPr>
          <w:rFonts w:ascii="Calibri" w:hAnsi="Calibri" w:cs="Calibri"/>
          <w:color w:val="000000" w:themeColor="text1"/>
          <w:sz w:val="22"/>
          <w:szCs w:val="22"/>
        </w:rPr>
        <w:t>fumarate-dependent protein succination w</w:t>
      </w:r>
      <w:r w:rsidR="00CB47A7" w:rsidRPr="00D637BA">
        <w:rPr>
          <w:rFonts w:ascii="Calibri" w:hAnsi="Calibri" w:cs="Calibri"/>
          <w:color w:val="000000" w:themeColor="text1"/>
          <w:sz w:val="22"/>
          <w:szCs w:val="22"/>
        </w:rPr>
        <w:t>ere</w:t>
      </w:r>
      <w:r w:rsidR="00F131BF" w:rsidRPr="00D637BA">
        <w:rPr>
          <w:rFonts w:ascii="Calibri" w:hAnsi="Calibri" w:cs="Calibri"/>
          <w:color w:val="000000" w:themeColor="text1"/>
          <w:sz w:val="22"/>
          <w:szCs w:val="22"/>
        </w:rPr>
        <w:t xml:space="preserve"> observed in </w:t>
      </w:r>
      <w:r w:rsidR="001E0817" w:rsidRPr="00D637BA">
        <w:rPr>
          <w:rFonts w:ascii="Calibri" w:hAnsi="Calibri" w:cs="Calibri"/>
          <w:color w:val="000000" w:themeColor="text1"/>
          <w:sz w:val="22"/>
          <w:szCs w:val="22"/>
        </w:rPr>
        <w:t xml:space="preserve">the </w:t>
      </w:r>
      <w:r w:rsidR="00F131BF" w:rsidRPr="00D637BA">
        <w:rPr>
          <w:rFonts w:ascii="Calibri" w:hAnsi="Calibri" w:cs="Calibri"/>
          <w:color w:val="000000" w:themeColor="text1"/>
          <w:sz w:val="22"/>
          <w:szCs w:val="22"/>
        </w:rPr>
        <w:t>adipose tissues of hyperglycaemic mice</w:t>
      </w:r>
      <w:r w:rsidR="00D71CE2">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{"citationID":"a1oqkuvnoc5","properties":{"formattedCitation":"\\super 128,129\\nosupersub{}","plainCitation":"128,129","noteIndex":0},"citationItems":[{"id":1396,"uris":["http://zotero.org/users/4775618/items/RVFXF6H9"],"uri":["http://zotero.org/users/4775618/items/RVFXF6H9"],"itemData":{"id":1396,"type":"article-journal","title":"Inactivation of Glyceraldehyde-3-Phosphate Dehydrogenase by Fumarate in Diabetes: Formation of S-(2-Succinyl)Cysteine, a Novel Chemical Modification of Protein and Possible Biomarker of Mitochondrial Stress","container-title":"Diabetes","page":"41-49","volume":"57","issue":"1","source":"PubMed Central","abstract":"OBJECTIVE\nS-(2-succinyl)cysteine (2SC) is formed by a Michael addition reaction of the Krebs cycle intermediate, fumarate, with cysteine residues in protein. We investigated the role of fumarate in chemical modification and inhibition of the sulfhydryl enzyme, glyceraldehyde-3-phosphate dehydrogenase (GAPDH), in vitro and in tissues of diabetic rats.\n\nRESEARCH DESIGN AND METHODS\nGAPDH was incubated with fumarate in PBS to assess effects of fumarate on enzyme activity in vitro. Sites of 2SC formation were determined by analysis of tryptic peptides by high-performance liquid chromatography–quadrupole/time-of-flight mass spectrometry. 2SC and fumarate in gastrocnemius muscle of control and streptozotocin-induced diabetic rats were measured by liquid chromatography/tandem mass spectrometry and by gas chromatography/mass spectrometry, respectively. GAPDH was isolated from muscle by immunoprecipitation, and sites of modification of GAPDH were determined by mass spectrometry analysis.\n\nRESULTS\n2SC was found, both in vitro and in vivo, about equally at active-site Cys-149 and nucleophilic Cys-244. Inactivation of GAPDH by fumarate in vitro correlated with formation of 2SC. In diabetic compared with control rats, fumarate and 2SC concentration increased approximately fivefold, accompanied by an ~25% decrease in GAPDH specific activity. The fractional modification of GAPDH by 2SC was significantly increased in diabetic versus control animals, consistent with the decreased specific activity of GAPDH in muscle of diabetic animals.\n\nCONCLUSIONS\nFumarate contributes to inactivation of GAPDH in diabetes. 2SC may be a useful biomarker of mitochondrial stress in diabetes. Modification of GAPDH and other enzymes and proteins by fumarate may contribute to the metabolic changes underlying the development of diabetes complications.","URL":"https://www.ncbi.nlm.nih.gov/pmc/articles/PMC2423377/","DOI":"10.2337/db07-0838","ISSN":"0012-1797","note":"PMID: 17934141\nPMCID: PMC2423377","title-short":"Inactivation of Glyceraldehyde-3-Phosphate Dehydrogenase by Fumarate in Diabetes","journalAbbreviation":"Diabetes","author":[{"family":"Blatnik","given":"Matthew"},{"family":"Frizzell","given":"Norma"},{"family":"Thorpe","given":"Suzanne R."},{"family":"Baynes","given":"John W."}],"issued":{"date-parts":[["2008",1]]},"accessed":{"date-parts":[["2019",2,24]]}}},{"id":645,"uris":["http://zotero.org/users/4775618/items/SA3WQAFZ"],"uri":["http://zotero.org/users/4775618/items/SA3WQAFZ"],"itemData":{"id":645,"type":"article-journal","title":"Mitochondrial stress causes increased succination of proteins in adipocytes in response to glucotoxicity","container-title":"Biochemical Journal","page":"247-254","volume":"445","issue":"2","source":"www.biochemj.org","abstract":"2SC [S-(2-succino)-cysteine] is a chemical modification formed by a Michael addition reaction of fumarate with cysteine residues in proteins. Formation of 2SC, termed ‘succination’ of proteins, increases in adipocytes grown in high-glucose medium and in adipose tissues of Type 2 diabetic mice. However, the metabolic mechanisms leading to increased fumarate and succination of protein in the adipocyte are unknown. Treatment of 3T3 cells with high glucose (30 mM compared with 5 mM) caused a significant increase in cellular ATP/ADP, NADH/NAD+ and Δψm (mitochondrial membrane potential). There was also a significant increase in the cellular fumarate concentration and succination of proteins, which may be attributed to the increase in NADH/NAD+ and subsequent inhibition of tricarboxylic acid cycle NAD+-dependent dehydrogenases. Chemical uncouplers, which dissipated Δψm and reduced the NADH/NAD+ ratio, also decreased the fumarate concentration and protein succination. High glucose plus metformin, an inhibitor of complex I in the electron transport chain, caused an increase in fumarate and succination of protein. Thus excess fuel supply (glucotoxicity) appears to create a pseudohypoxic environment (high NADH/NAD+ without hypoxia), which drives the increase in succination of protein. We propose that increased succination of proteins is an early marker of glucotoxicity and mitochondrial stress in adipose tissue in diabetes.","URL":"http://www.biochemj.org/content/445/2/247","DOI":"10.1042/BJ20112142","ISSN":"0264-6021, 1470-8728","note":"PMID: 22524437","language":"en","author":[{"family":"Frizzell","given":"Norma"},{"family":"Thomas","given":"Sonia A."},{"family":"Carson","given":"James A."},{"family":"Baynes","given":"John W."}],"issued":{"date-parts":[["2012",7,15]]},"accessed":{"date-parts":[["2018",8,26]]}}}],"schema":"https://github.com/citation-style-language/schema/raw/master/csl-citation.json"} </w:instrText>
      </w:r>
      <w:r w:rsidR="00D71CE2">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128,129</w:t>
      </w:r>
      <w:r w:rsidR="00D71CE2">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analogous to </w:t>
      </w:r>
      <w:r w:rsidR="00A2034A" w:rsidRPr="00B946E4">
        <w:rPr>
          <w:rFonts w:ascii="Calibri" w:hAnsi="Calibri" w:cs="Calibri"/>
          <w:color w:val="000000" w:themeColor="text1"/>
          <w:sz w:val="22"/>
          <w:szCs w:val="22"/>
        </w:rPr>
        <w:t xml:space="preserve">the protein </w:t>
      </w:r>
      <w:r w:rsidR="00F131BF" w:rsidRPr="00D637BA">
        <w:rPr>
          <w:rFonts w:ascii="Calibri" w:hAnsi="Calibri" w:cs="Calibri"/>
          <w:color w:val="000000" w:themeColor="text1"/>
          <w:sz w:val="22"/>
          <w:szCs w:val="22"/>
        </w:rPr>
        <w:t xml:space="preserve">succination </w:t>
      </w:r>
      <w:r w:rsidR="00A2034A" w:rsidRPr="00B946E4">
        <w:rPr>
          <w:rFonts w:ascii="Calibri" w:hAnsi="Calibri" w:cs="Calibri"/>
          <w:color w:val="000000" w:themeColor="text1"/>
          <w:sz w:val="22"/>
          <w:szCs w:val="22"/>
        </w:rPr>
        <w:t xml:space="preserve">that </w:t>
      </w:r>
      <w:r w:rsidR="00436C9F" w:rsidRPr="00D637BA">
        <w:rPr>
          <w:rFonts w:ascii="Calibri" w:hAnsi="Calibri" w:cs="Calibri"/>
          <w:color w:val="000000" w:themeColor="text1"/>
          <w:sz w:val="22"/>
          <w:szCs w:val="22"/>
        </w:rPr>
        <w:t>is</w:t>
      </w:r>
      <w:r w:rsidR="00A2034A" w:rsidRPr="00B946E4">
        <w:rPr>
          <w:rFonts w:ascii="Calibri" w:hAnsi="Calibri" w:cs="Calibri"/>
          <w:color w:val="000000" w:themeColor="text1"/>
          <w:sz w:val="22"/>
          <w:szCs w:val="22"/>
        </w:rPr>
        <w:t xml:space="preserve"> observed in </w:t>
      </w:r>
      <w:r w:rsidR="00A2034A" w:rsidRPr="00B946E4">
        <w:rPr>
          <w:rFonts w:ascii="Calibri" w:hAnsi="Calibri" w:cs="Calibri"/>
          <w:i/>
          <w:color w:val="000000" w:themeColor="text1"/>
          <w:sz w:val="22"/>
          <w:szCs w:val="22"/>
        </w:rPr>
        <w:t>FH</w:t>
      </w:r>
      <w:r w:rsidR="00A2034A" w:rsidRPr="00B946E4">
        <w:rPr>
          <w:rFonts w:ascii="Calibri" w:hAnsi="Calibri" w:cs="Calibri"/>
          <w:color w:val="000000" w:themeColor="text1"/>
          <w:sz w:val="22"/>
          <w:szCs w:val="22"/>
        </w:rPr>
        <w:t>-deficient tumours</w:t>
      </w:r>
      <w:r w:rsidR="009E49C3" w:rsidRPr="00B946E4">
        <w:rPr>
          <w:rFonts w:ascii="Calibri" w:hAnsi="Calibri" w:cs="Calibri"/>
          <w:color w:val="000000" w:themeColor="text1"/>
          <w:sz w:val="22"/>
          <w:szCs w:val="22"/>
        </w:rPr>
        <w:t xml:space="preserve"> (discussed further below)</w:t>
      </w:r>
      <w:r w:rsidR="00D71CE2">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{"citationID":"a2954r0g10m","properties":{"formattedCitation":"\\super 78,131\\nosupersub{}","plainCitation":"78,131","noteIndex":0},"citationItems":[{"id":371,"uris":["http://zotero.org/users/4775618/items/TWDZHBU3"],"uri":["http://zotero.org/users/4775618/items/TWDZHBU3"],"itemData":{"id":371,"type":"article-journal","title":"Aberrant succination of proteins in fumarate hydratase‐deficient mice and HLRCC patients is a robust biomarker of mutation status","container-title":"The Journal of Pathology","page":"4-11","volume":"225","issue":"1","source":"onlinelibrary.wiley.com (Atypon)","abstract":"Abstract Germline mutations in the FH gene encoding the Krebs cycle enzyme fumarate hydratase predispose to hereditary leiomyomatosis and renal cell cancer (HLRCC) syndrome. FH?deficient cells and tissues accumulate high levels of fumarate, which may act as an oncometabolite and contribute to tumourigenesis. A recently proposed role for fumarate in the covalent modification of cysteine residues to S?(2?succinyl) cysteine (2SC) (termed protein succination) prompted us to assess 2SC levels in our existing models of HLRCC. Herein, using a previously characterized antibody against 2SC, we show that genetic ablation of FH causes high levels of protein succination. We next hypothesized that immunohistochemistry for 2SC would serve as a metabolic biomarker for the in situ detection of FH?deficient tissues. Robust detection of 2SC was observed in Fh1 (murine FH)?deficient renal cysts and in a retrospective series of HLRCC tumours (n = 16) with established FH mutations. Importantly, 2SC was undetectable in normal tissues (n = 200) and tumour types not associated with HLRCC (n = 1342). In a prospective evaluation of cases referred for genetic testing for HLRCC, the presence of 2SC?modified proteins (2SCP) correctly predicted genetic alterations in FH in every case. In two series of unselected type II papillary renal cancer (PRCC), prospectively analysed by 2SCP staining followed by genetic analysis, the biomarker accurately identified previously unsuspected FH mutations (2/33 and 1/36). The investigation of whether metabolites in other tumour types produce protein modification signature(s) that can be assayed using similar strategies will be of interest in future studies of cancer. Copyright ? 2011 Pathological Society of Great Britain and Ireland. Published by John Wiley &amp; Sons, Ltd.","URL":"https://onlinelibrary.wiley.com/doi/full/10.1002/path.2932","DOI":"10.1002/path.2932","ISSN":"0022-3417","journalAbbreviation":"The Journal of Pathology","author":[{"literal":"Bardella Chiara"},{"literal":"El‐Bahrawy Mona"},{"literal":"Frizzell Norma"},{"literal":"Adam Julie"},{"literal":"Ternette Nicola"},{"literal":"Hatipoglu Emine"},{"literal":"Howarth Kimberley"},{"literal":"O'Flaherty Linda"},{"literal":"Roberts Ian"},{"literal":"Turner Gareth"},{"literal":"Taylor Jennifer"},{"literal":"Giaslakiotis Konstantinos"},{"literal":"Macaulay Valentine M"},{"literal":"Harris Adrian L"},{"literal":"Chandra Ashish"},{"literal":"Lehtonen Heli J"},{"literal":"Launonen Virpi"},{"literal":"Aaltonen Lauri A"},{"literal":"Pugh Christopher W"},{"literal":"Mihai Radu"},{"literal":"Trudgian David"},{"literal":"Kessler Benedikt"},{"literal":"Baynes John W"},{"literal":"Ratcliffe Peter J"},{"literal":"Tomlinson Ian P"},{"literal":"Pollard Patrick J"}],"issued":{"date-parts":[["2011",5,10]]},"accessed":{"date-parts":[["2018",4,2]]}}},{"id":373,"uris":["http://zotero.org/users/4775618/items/LDDMRW2I"],"uri":["http://zotero.org/users/4775618/items/LDDMRW2I"],"itemData":{"id":373,"type":"article-journal","title":"The Succinated Proteome of FH-Mutant Tumours","container-title":"Metabolites","page":"640-654","volume":"4","issue":"3","source":"www.mdpi.com","abstract":"Inherited mutations in the Krebs cycle enzyme fumarate hydratase (FH) predispose to hereditary leiomyomatosis and renal cell cancer (HLRCC). Loss of FH activity in HLRCC tumours causes accumulation of the Krebs cycle intermediate fumarate to high levels, which may act as an oncometabolite through various, but not necessarily mutually exclusive, mechanisms. One such mechanism, succination, is an irreversible  non-enzymatic modification of cysteine residues by fumarate, to form S-(2-succino)cysteine (2SC). Previous studies have demonstrated that succination of proteins including glyceraldehyde 3-phosphate dehydrogenase (GAPDH), kelch-like ECH-associated protein 1 (KEAP1) and mitochondrial aconitase (ACO2) can have profound effects on cellular metabolism. Furthermore, immunostaining for 2SC is a sensitive and specific biomarker for HLRCC tumours. Here, we performed a proteomic screen on an FH-mutant tumour and two HLRCC-derived cancer cell lines and identified 60 proteins where one or more cysteine residues were succinated; 10 of which were succinated at cysteine residues either predicted, or experimentally proven, to be functionally significant. Bioinformatic enrichment analyses identified most succinated targets to be involved in redox signaling. To our knowledge, this is the first proteomic-based succination screen performed in human tumours and cancer-derived cells and has identified novel 2SC targets that may be relevant to the pathogenesis of HLRCC.","URL":"http://www.mdpi.com/2218-1989/4/3/640","DOI":"10.3390/metabo4030640","language":"en","author":[{"family":"Yang","given":"Ming"},{"family":"Ternette","given":"Nicola"},{"family":"Su","given":"Huizhong"},{"family":"Dabiri","given":"Raliat"},{"family":"Kessler","given":"Benedikt M."},{"family":"Adam","given":"Julie"},{"family":"Teh","given":"Bin Tean"},{"family":"Pollard","given":"Patrick J."}],"issued":{"date-parts":[["2014",8,7]]},"accessed":{"date-parts":[["2018",4,2]]}}}],"schema":"https://github.com/citation-style-language/schema/raw/master/csl-citation.json"} </w:instrText>
      </w:r>
      <w:r w:rsidR="00D71CE2">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78,131</w:t>
      </w:r>
      <w:r w:rsidR="00D71CE2">
        <w:rPr>
          <w:rFonts w:ascii="Calibri" w:hAnsi="Calibri" w:cs="Calibri"/>
          <w:color w:val="000000" w:themeColor="text1"/>
          <w:sz w:val="22"/>
          <w:szCs w:val="22"/>
        </w:rPr>
        <w:fldChar w:fldCharType="end"/>
      </w:r>
      <w:r w:rsidR="00E37025" w:rsidRPr="00E37025">
        <w:rPr>
          <w:rFonts w:ascii="Calibri" w:hAnsi="Calibri" w:cs="Calibri"/>
          <w:color w:val="000000" w:themeColor="text1"/>
          <w:sz w:val="22"/>
          <w:szCs w:val="22"/>
        </w:rPr>
        <w:t>. A</w:t>
      </w:r>
      <w:r w:rsidR="000167D7" w:rsidRPr="00E37025">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similar succination phenotype was observed in the adipose tissue of obese, insulin-resistant, non-hyperglycaemic mice</w:t>
      </w:r>
      <w:r w:rsidR="00D71CE2">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{"citationID":"a2cr3gtlf1e","properties":{"formattedCitation":"\\super 132\\nosupersub{}","plainCitation":"132","noteIndex":0},"citationItems":[{"id":1410,"uris":["http://zotero.org/users/4775618/items/QBVH8WMF"],"uri":["http://zotero.org/users/4775618/items/QBVH8WMF"],"itemData":{"id":1410,"type":"article-journal","title":"Tissue Distribution of S-(2-Succino)cysteine (2SC), a Biomarker of Mitochondrial Stress in Obesity and Diabetes","container-title":"Obesity","page":"263-269","volume":"20","issue":"2","source":"Wiley Online Library","abstract":"S-(2-succino)cysteine (2SC) is a chemical modification of proteins produced by reaction of fumarate with thiol groups in protein, a process known as succination. We propose to use the name S-(2-succino)cysteine (instead of S-(2-succinyl)cysteine) from this point on. This is to distinguish protein succination (in which fumarate forms a thioether linkage with cysteine residues) from succinylation (in which an ester, thioester or amide bond would be formed). Succination of proteins is increased in muscle of type 1 diabetic rats and in adipose tissue in type 2 diabetic mice. The increase in 2SC is a direct result of tissue accumulation of fumarate in response to nutrient excess and resultant mitochondrial stress in diabetes. In this study, we examine the breadth of succination of tissue proteins in the db/db type 2 model of diabetes. We also determined the extent of succination in epididymal adipocytes of type 1 (Akita, streptozotocin (STZ)) and type 2 (ob/ob, db/db) diabetic mice, in diet-induced obese (DIO) mice, and in the adipose tissue of ground squirrels in various stages of hibernation. While succination was not increased in most tissues (brain, heart, kidney, liver, skeletal muscle) in the db/db model of diabetes, it was increased in all adipose beds of type 2 diabetic and DIO mice in comparison to their controls. Succination was not increased in adipocytes of type 1 diabetic mice. Adipose tissue from hibernating (HIB) 13-lined ground squirrels was also studied to determine if obesity in the absence of hyperglycemia affected succination of proteins. There were no differences in succination of proteins in brown or white adipose tissue over the torpor-arousal cycle. We conclude that 2SC is a biomarker of nutrient excess and mitochondrial stress in adipose tissue, increasing under the hyperglycemic and insulin resistant conditions associated with type 2 diabetes and obesity.","URL":"http://onlinelibrary.wiley.com/doi/abs/10.1038/oby.2011.340","DOI":"10.1038/oby.2011.340","ISSN":"1930-739X","language":"en","author":[{"family":"Thomas","given":"Sonia A."},{"family":"Storey","given":"Kenneth B."},{"family":"Baynes","given":"John W."},{"family":"Frizzell","given":"Norma"}],"issued":{"date-parts":[["2012"]]},"accessed":{"date-parts":[["2019",2,24]]}}}],"schema":"https://github.com/citation-style-language/schema/raw/master/csl-citation.json"} </w:instrText>
      </w:r>
      <w:r w:rsidR="00D71CE2">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132</w:t>
      </w:r>
      <w:r w:rsidR="00D71CE2">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suggesting </w:t>
      </w:r>
      <w:r w:rsidR="00F131BF" w:rsidRPr="00D637BA">
        <w:rPr>
          <w:rFonts w:ascii="Calibri" w:hAnsi="Calibri" w:cs="Calibri"/>
          <w:color w:val="000000" w:themeColor="text1"/>
          <w:sz w:val="22"/>
          <w:szCs w:val="22"/>
        </w:rPr>
        <w:t xml:space="preserve">other potential exogenous sources of oncometabolite production. </w:t>
      </w:r>
      <w:r w:rsidR="00DA422F" w:rsidRPr="00D637BA">
        <w:rPr>
          <w:rFonts w:ascii="Calibri" w:hAnsi="Calibri" w:cs="Calibri"/>
          <w:color w:val="000000" w:themeColor="text1"/>
          <w:sz w:val="22"/>
          <w:szCs w:val="22"/>
        </w:rPr>
        <w:t>E</w:t>
      </w:r>
      <w:r w:rsidR="00F131BF" w:rsidRPr="00D637BA">
        <w:rPr>
          <w:rFonts w:ascii="Calibri" w:hAnsi="Calibri" w:cs="Calibri"/>
          <w:color w:val="000000" w:themeColor="text1"/>
          <w:sz w:val="22"/>
          <w:szCs w:val="22"/>
        </w:rPr>
        <w:t xml:space="preserve">vidence of succinate accumulation has </w:t>
      </w:r>
      <w:r w:rsidR="00DA422F" w:rsidRPr="00D637BA">
        <w:rPr>
          <w:rFonts w:ascii="Calibri" w:hAnsi="Calibri" w:cs="Calibri"/>
          <w:color w:val="000000" w:themeColor="text1"/>
          <w:sz w:val="22"/>
          <w:szCs w:val="22"/>
        </w:rPr>
        <w:t xml:space="preserve">also </w:t>
      </w:r>
      <w:r w:rsidR="00F131BF" w:rsidRPr="00D637BA">
        <w:rPr>
          <w:rFonts w:ascii="Calibri" w:hAnsi="Calibri" w:cs="Calibri"/>
          <w:color w:val="000000" w:themeColor="text1"/>
          <w:sz w:val="22"/>
          <w:szCs w:val="22"/>
        </w:rPr>
        <w:t xml:space="preserve">been found in bone </w:t>
      </w:r>
      <w:r w:rsidR="00F131BF" w:rsidRPr="00D637BA">
        <w:rPr>
          <w:rFonts w:ascii="Calibri" w:hAnsi="Calibri" w:cs="Calibri"/>
          <w:color w:val="000000" w:themeColor="text1"/>
          <w:sz w:val="22"/>
          <w:szCs w:val="22"/>
        </w:rPr>
        <w:lastRenderedPageBreak/>
        <w:t>marrow stromal cells of diabetic mice</w:t>
      </w:r>
      <w:r w:rsidR="00D71CE2">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{"citationID":"a1tami8k206","properties":{"formattedCitation":"\\super 133\\nosupersub{}","plainCitation":"133","noteIndex":0},"citationItems":[{"id":1616,"uris":["http://zotero.org/users/4775618/items/F6YGT9ZY"],"uri":["http://zotero.org/users/4775618/items/F6YGT9ZY"],"itemData":{"id":1616,"type":"article-journal","title":"Succinate and its G-protein-coupled receptor stimulates osteoclastogenesis","container-title":"Nature Communications","volume":"8","source":"PubMed Central","abstract":"The mechanism underlying bone impairment in patients with diabetes mellitus, a metabolic disorder characterized by chronic hyperglycaemia and dysregulation in metabolism, is unclear. Here we show the difference in the metabolomics of bone marrow stromal cells (BMSCs) derived from hyperglycaemic (type 2 diabetes mellitus, T2D) and normoglycaemic mice. One hundred and forty-two metabolites are substantially regulated in BMSCs from T2D mice, with the tricarboxylic acid (TCA) cycle being one of the primary metabolic pathways impaired by hyperglycaemia. Importantly, succinate, an intermediate metabolite in the TCA cycle, is increased by 24-fold in BMSCs from T2D mice. Succinate functions as an extracellular ligand through binding to its specific receptor on osteoclastic lineage cells and stimulates osteoclastogenesis in vitro and in vivo. Strategies targeting the receptor activation inhibit osteoclastogenesis. This study reveals a metabolite-mediated mechanism of osteoclastogenesis modulation that contributes to bone dysregulation in metabolic disorders., Bone loss is common in patients with diabetes, but the underlying molecular and cellular mechanisms are unclear. Here the authors show high succinate levels in mice with type 2 diabetes and that succinate can signal through succinate receptor 1 on osteoclasts to induce bone resorption.","URL":"https://www.ncbi.nlm.nih.gov/pmc/articles/PMC5460032/","DOI":"10.1038/ncomms15621","ISSN":"2041-1723","note":"PMID: 28561074\nPMCID: PMC5460032","journalAbbreviation":"Nat Commun","author":[{"family":"Guo","given":"Yuqi"},{"family":"Xie","given":"Chengzhi"},{"family":"Li","given":"Xiyan"},{"family":"Yang","given":"Jian"},{"family":"Yu","given":"Tao"},{"family":"Zhang","given":"Ruohan"},{"family":"Zhang","given":"Tianqing"},{"family":"Saxena","given":"Deepak"},{"family":"Snyder","given":"Michael"},{"family":"Wu","given":"Yingjie"},{"family":"Li","given":"Xin"}],"issued":{"date-parts":[["2017",5,31]]},"accessed":{"date-parts":[["2019",3,1]]}}}],"schema":"https://github.com/citation-style-language/schema/raw/master/csl-citation.json"} </w:instrText>
      </w:r>
      <w:r w:rsidR="00D71CE2">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133</w:t>
      </w:r>
      <w:r w:rsidR="00D71CE2">
        <w:rPr>
          <w:rFonts w:ascii="Calibri" w:hAnsi="Calibri" w:cs="Calibri"/>
          <w:color w:val="000000" w:themeColor="text1"/>
          <w:sz w:val="22"/>
          <w:szCs w:val="22"/>
        </w:rPr>
        <w:fldChar w:fldCharType="end"/>
      </w:r>
      <w:r w:rsidR="00B133BC" w:rsidRPr="00D637BA">
        <w:rPr>
          <w:rFonts w:ascii="Calibri" w:hAnsi="Calibri" w:cs="Calibri"/>
          <w:color w:val="000000" w:themeColor="text1"/>
          <w:sz w:val="22"/>
          <w:szCs w:val="22"/>
        </w:rPr>
        <w:t>. In these cells</w:t>
      </w:r>
      <w:r w:rsidR="00D56485">
        <w:rPr>
          <w:rFonts w:ascii="Calibri" w:hAnsi="Calibri" w:cs="Calibri"/>
          <w:color w:val="000000" w:themeColor="text1"/>
          <w:sz w:val="22"/>
          <w:szCs w:val="22"/>
        </w:rPr>
        <w:t>,</w:t>
      </w:r>
      <w:r w:rsidR="00B133BC" w:rsidRPr="00D637BA">
        <w:rPr>
          <w:rFonts w:ascii="Calibri" w:hAnsi="Calibri" w:cs="Calibri"/>
          <w:color w:val="000000" w:themeColor="text1"/>
          <w:sz w:val="22"/>
          <w:szCs w:val="22"/>
        </w:rPr>
        <w:t xml:space="preserve"> succinate accumulation</w:t>
      </w:r>
      <w:r w:rsidR="00F131BF" w:rsidRPr="00D637BA">
        <w:rPr>
          <w:rFonts w:ascii="Calibri" w:hAnsi="Calibri" w:cs="Calibri"/>
          <w:color w:val="000000" w:themeColor="text1"/>
          <w:sz w:val="22"/>
          <w:szCs w:val="22"/>
        </w:rPr>
        <w:t xml:space="preserve"> stimulat</w:t>
      </w:r>
      <w:r w:rsidR="00B133BC" w:rsidRPr="00D637BA">
        <w:rPr>
          <w:rFonts w:ascii="Calibri" w:hAnsi="Calibri" w:cs="Calibri"/>
          <w:color w:val="000000" w:themeColor="text1"/>
          <w:sz w:val="22"/>
          <w:szCs w:val="22"/>
        </w:rPr>
        <w:t>ed</w:t>
      </w:r>
      <w:r w:rsidR="00F131BF" w:rsidRPr="00D637BA">
        <w:rPr>
          <w:rFonts w:ascii="Calibri" w:hAnsi="Calibri" w:cs="Calibri"/>
          <w:color w:val="000000" w:themeColor="text1"/>
          <w:sz w:val="22"/>
          <w:szCs w:val="22"/>
        </w:rPr>
        <w:t xml:space="preserve"> osteoclastogenesis </w:t>
      </w:r>
      <w:r w:rsidR="00B133BC" w:rsidRPr="00D637BA">
        <w:rPr>
          <w:rFonts w:ascii="Calibri" w:hAnsi="Calibri" w:cs="Calibri"/>
          <w:color w:val="000000" w:themeColor="text1"/>
          <w:sz w:val="22"/>
          <w:szCs w:val="22"/>
        </w:rPr>
        <w:t xml:space="preserve">via </w:t>
      </w:r>
      <w:r w:rsidR="00F131BF" w:rsidRPr="00D637BA">
        <w:rPr>
          <w:rFonts w:ascii="Calibri" w:hAnsi="Calibri" w:cs="Calibri"/>
          <w:color w:val="000000" w:themeColor="text1"/>
          <w:sz w:val="22"/>
          <w:szCs w:val="22"/>
        </w:rPr>
        <w:t xml:space="preserve">activation of </w:t>
      </w:r>
      <w:r w:rsidR="00B133BC"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uc</w:t>
      </w:r>
      <w:r w:rsidR="00B133BC" w:rsidRPr="00D637BA">
        <w:rPr>
          <w:rFonts w:ascii="Calibri" w:hAnsi="Calibri" w:cs="Calibri"/>
          <w:color w:val="000000" w:themeColor="text1"/>
          <w:sz w:val="22"/>
          <w:szCs w:val="22"/>
        </w:rPr>
        <w:t>nr1</w:t>
      </w:r>
      <w:r w:rsidR="00F131BF" w:rsidRPr="00D637BA">
        <w:rPr>
          <w:rFonts w:ascii="Calibri" w:hAnsi="Calibri" w:cs="Calibri"/>
          <w:color w:val="000000" w:themeColor="text1"/>
          <w:sz w:val="22"/>
          <w:szCs w:val="22"/>
        </w:rPr>
        <w:t>. Of note, mitochondrial dysfunction has been linked to the metabolic syndrome, a distinct cluster of conditions including obesity, diabetes</w:t>
      </w:r>
      <w:r w:rsidR="00192601" w:rsidRPr="00D637BA">
        <w:rPr>
          <w:rFonts w:ascii="Calibri" w:hAnsi="Calibri" w:cs="Calibri"/>
          <w:color w:val="000000" w:themeColor="text1"/>
          <w:sz w:val="22"/>
          <w:szCs w:val="22"/>
        </w:rPr>
        <w:t xml:space="preserve"> mellitus</w:t>
      </w:r>
      <w:r w:rsidR="00F131BF" w:rsidRPr="00D637BA">
        <w:rPr>
          <w:rFonts w:ascii="Calibri" w:hAnsi="Calibri" w:cs="Calibri"/>
          <w:color w:val="000000" w:themeColor="text1"/>
          <w:sz w:val="22"/>
          <w:szCs w:val="22"/>
        </w:rPr>
        <w:t>, hypertension</w:t>
      </w:r>
      <w:r w:rsidR="00E35101"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and hyperlipidaemia</w:t>
      </w:r>
      <w:r w:rsidR="00D71CE2">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{"citationID":"a15697t5f74","properties":{"formattedCitation":"\\super 134\\nosupersub{}","plainCitation":"134","noteIndex":0},"citationItems":[{"id":1399,"uris":["http://zotero.org/users/4775618/items/LAMVLUHQ"],"uri":["http://zotero.org/users/4775618/items/LAMVLUHQ"],"itemData":{"id":1399,"type":"article-journal","title":"Metabolic syndrome and mitochondrial dysfunction: insights from pre-clinical studies with a mitochondrially targeted antioxidant","container-title":"Free radical biology &amp; medicine","page":"838-840","volume":"52","issue":"5","source":"PubMed Central","URL":"https://www.ncbi.nlm.nih.gov/pmc/articles/PMC3992111/","DOI":"10.1016/j.freeradbiomed.2011.12.014","ISSN":"0891-5849","note":"PMID: 22226828\nPMCID: PMC3992111","title-short":"Metabolic syndrome and mitochondrial dysfunction","journalAbbreviation":"Free Radic Biol Med","author":[{"family":"Mitchell","given":"Tanecia"},{"family":"Darley-Usmar","given":"Victor"}],"issued":{"date-parts":[["2012",3,1]]},"accessed":{"date-parts":[["2019",2,24]]}}}],"schema":"https://github.com/citation-style-language/schema/raw/master/csl-citation.json"} </w:instrText>
      </w:r>
      <w:r w:rsidR="00D71CE2">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134</w:t>
      </w:r>
      <w:r w:rsidR="00D71CE2">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which has been causally linked to RCC</w:t>
      </w:r>
      <w:r w:rsidR="00D71CE2">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{"citationID":"a1k5crfq6mj","properties":{"formattedCitation":"\\super 135\\nosupersub{}","plainCitation":"135","noteIndex":0},"citationItems":[{"id":1404,"uris":["http://zotero.org/users/4775618/items/ZM7YSEGG"],"uri":["http://zotero.org/users/4775618/items/ZM7YSEGG"],"itemData":{"id":1404,"type":"article-journal","title":"Metabolic syndrome and renal cell carcinoma","container-title":"World Journal of Surgical Oncology","page":"236","volume":"12","source":"PubMed Central","abstract":"Background\nMetabolic syndrome (MS) is a cluster of metabolic abnormalities, which has been regarded as a pivotal risk factor for cardiovascular diseases. Recent studies focusing on the relationship between MS and cancer have recognized the significant role of MS on carcinogenesis. Likewise, growing evidence suggests that MS has a strong association with increased renal cell carcinoma (RCC) risk. This review outlines the link between MS and RCC, and some underlying mechanisms responsible for MS-associated RCC.\n\nMaterials and methods\nA National Center for Biotechnology Information PubMed search (http://www.pubmed.gov) was conducted using medical subject headings ‘metabolic syndrome’, ‘obesity’, ‘hypertension’, ‘diabetes’, ‘dyslipidemia’, and ‘renal cell carcinoma’.\n\nResults\nThis revealed that a variety of molecular mechanisms secondary to MS are involved in RCC formation, progression, and metastasis. A deeper understanding of these molecular mechanisms may provide some strategies for the prevention and treatment of RCC.\n\nConclusions\nIn summary, there is a large body of evidence regarding the link between MS and RCC, within which each component of MS is considered to have a close causal association with RCC.","URL":"https://www.ncbi.nlm.nih.gov/pmc/articles/PMC4118156/","DOI":"10.1186/1477-7819-12-236","ISSN":"1477-7819","note":"PMID: 25069390\nPMCID: PMC4118156","journalAbbreviation":"World J Surg Oncol","author":[{"family":"Zhang","given":"Gui-Ming"},{"family":"Zhu","given":"Yao"},{"family":"Ye","given":"Ding-Wei"}],"issued":{"date-parts":[["2014",7,29]]},"accessed":{"date-parts":[["2019",2,24]]}}}],"schema":"https://github.com/citation-style-language/schema/raw/master/csl-citation.json"} </w:instrText>
      </w:r>
      <w:r w:rsidR="00D71CE2">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135</w:t>
      </w:r>
      <w:r w:rsidR="00D71CE2">
        <w:rPr>
          <w:rFonts w:ascii="Calibri" w:hAnsi="Calibri" w:cs="Calibri"/>
          <w:color w:val="000000" w:themeColor="text1"/>
          <w:sz w:val="22"/>
          <w:szCs w:val="22"/>
        </w:rPr>
        <w:fldChar w:fldCharType="end"/>
      </w:r>
      <w:r w:rsidR="00192601" w:rsidRPr="00D637BA">
        <w:rPr>
          <w:rFonts w:ascii="Calibri" w:hAnsi="Calibri" w:cs="Calibri"/>
          <w:color w:val="000000"/>
          <w:sz w:val="22"/>
          <w:lang w:val="en-US"/>
        </w:rPr>
        <w:t>. Obesity, diabetes mellitus, hypertension, and hyperlipidaemia are also associated with</w:t>
      </w:r>
      <w:r w:rsidR="000167D7">
        <w:rPr>
          <w:rFonts w:ascii="Calibri" w:hAnsi="Calibri" w:cs="Calibri"/>
          <w:color w:val="000000" w:themeColor="text1"/>
          <w:sz w:val="22"/>
          <w:szCs w:val="22"/>
        </w:rPr>
        <w:t xml:space="preserve"> </w:t>
      </w:r>
      <w:r w:rsidR="00192601" w:rsidRPr="00B946E4">
        <w:rPr>
          <w:rFonts w:ascii="Calibri" w:hAnsi="Calibri" w:cs="Calibri"/>
          <w:color w:val="000000" w:themeColor="text1"/>
          <w:sz w:val="22"/>
          <w:szCs w:val="22"/>
        </w:rPr>
        <w:t>a</w:t>
      </w:r>
      <w:r w:rsidR="00F131BF" w:rsidRPr="00D637BA">
        <w:rPr>
          <w:rFonts w:ascii="Calibri" w:hAnsi="Calibri" w:cs="Calibri"/>
          <w:color w:val="000000" w:themeColor="text1"/>
          <w:sz w:val="22"/>
          <w:szCs w:val="22"/>
        </w:rPr>
        <w:t>n increased risk of RCC</w:t>
      </w:r>
      <w:r w:rsidR="00D71CE2">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{"citationID":"a1aec1auvb7","properties":{"formattedCitation":"\\super 135,136\\nosupersub{}","plainCitation":"135,136","noteIndex":0},"citationItems":[{"id":1407,"uris":["http://zotero.org/users/4775618/items/G9FRBHCA"],"uri":["http://zotero.org/users/4775618/items/G9FRBHCA"],"itemData":{"id":1407,"type":"article-journal","title":"Metabolic Factors Associated with Risk of Renal Cell Carcinoma","container-title":"PLOS ONE","page":"e57475","volume":"8","issue":"2","source":"PLoS Journals","abstract":"Previous studies have shown that obesity and hypertension are associated with increased risk of renal cell carcinoma (RCC), but less is known about the association to other metabolic factors. In the Metabolic Syndrome and Cancer project (Me-Can) data on body mass index (BMI, kg/m2), blood pressure, and circulating levels of glucose, cholesterol, and triglycerides were collected from 560,388 men and women in cohorts from Norway, Austria, and Sweden. By use of Cox proportional hazard models, hazard ratios (HR) were calculated for separate and composite metabolic exposures. During a median follow-up of 10 years, 592 men and 263 women were diagnosed with RCC. Among men, we found an increased risk of RCC for BMI, highest vs. lowest quintile, (HR = 1.51, 95% CI 1.13–2.03), systolic blood pressure, (HR = 3.40, 95% CI 1.91–6.06), diastolic blood pressure, (HR = 3.33, 95% CI 1.85–5.99), glucose, (HR = 3.75, 95% CI 1.46–9.68), triglycerides, (HR = 1.79, 95% CI 1.00–3.21) and a composite score of these metabolic factors, (HR = 2.68, 95% CI 1.75–4.11). Among women we found an increased risk of RCC for BMI, highest vs. lowest quintile, (HR = 2.21, 95% CI 1.32–3.70) and the composite score, (HR = 2.29, 95% CI 1.12–4.68). High levels of the composite score were also associated with risk of death from RCC among both men and women. No multiplicative statistical or biological interactions between metabolic factors on risk of RCC were found. High levels of BMI, blood pressure, glucose and triglycerides among men and high BMI among women were associated with increased risk of RCC.","URL":"https://journals.plos.org/plosone/article?id=10.1371/journal.pone.0057475","DOI":"10.1371/journal.pone.0057475","ISSN":"1932-6203","journalAbbreviation":"PLOS ONE","language":"en","author":[{"family":"Häggström","given":"Christel"},{"family":"Rapp","given":"Kilian"},{"family":"Stocks","given":"Tanja"},{"family":"Manjer","given":"Jonas"},{"family":"Bjørge","given":"Tone"},{"family":"Ulmer","given":"Hanno"},{"family":"Engeland","given":"Anders"},{"family":"Almqvist","given":"Martin"},{"family":"Concin","given":"Hans"},{"family":"Selmer","given":"Randi"},{"family":"Ljungberg","given":"Börje"},{"family":"Tretli","given":"Steinar"},{"family":"Nagel","given":"Gabriele"},{"family":"Hallmans","given":"Göran"},{"family":"Jonsson","given":"Håkan"},{"family":"Stattin","given":"Pär"}],"issued":{"date-parts":[["2013",2,28]]},"accessed":{"date-parts":[["2019",2,24]]}}},{"id":1404,"uris":["http://zotero.org/users/4775618/items/ZM7YSEGG"],"uri":["http://zotero.org/users/4775618/items/ZM7YSEGG"],"itemData":{"id":1404,"type":"article-journal","title":"Metabolic syndrome and renal cell carcinoma","container-title":"World Journal of Surgical Oncology","page":"236","volume":"12","source":"PubMed Central","abstract":"Background\nMetabolic syndrome (MS) is a cluster of metabolic abnormalities, which has been regarded as a pivotal risk factor for cardiovascular diseases. Recent studies focusing on the relationship between MS and cancer have recognized the significant role of MS on carcinogenesis. Likewise, growing evidence suggests that MS has a strong association with increased renal cell carcinoma (RCC) risk. This review outlines the link between MS and RCC, and some underlying mechanisms responsible for MS-associated RCC.\n\nMaterials and methods\nA National Center for Biotechnology Information PubMed search (http://www.pubmed.gov) was conducted using medical subject headings ‘metabolic syndrome’, ‘obesity’, ‘hypertension’, ‘diabetes’, ‘dyslipidemia’, and ‘renal cell carcinoma’.\n\nResults\nThis revealed that a variety of molecular mechanisms secondary to MS are involved in RCC formation, progression, and metastasis. A deeper understanding of these molecular mechanisms may provide some strategies for the prevention and treatment of RCC.\n\nConclusions\nIn summary, there is a large body of evidence regarding the link between MS and RCC, within which each component of MS is considered to have a close causal association with RCC.","URL":"https://www.ncbi.nlm.nih.gov/pmc/articles/PMC4118156/","DOI":"10.1186/1477-7819-12-236","ISSN":"1477-7819","note":"PMID: 25069390\nPMCID: PMC4118156","journalAbbreviation":"World J Surg Oncol","author":[{"family":"Zhang","given":"Gui-Ming"},{"family":"Zhu","given":"Yao"},{"family":"Ye","given":"Ding-Wei"}],"issued":{"date-parts":[["2014",7,29]]},"accessed":{"date-parts":[["2019",2,24]]}}}],"schema":"https://github.com/citation-style-language/schema/raw/master/csl-citation.json"} </w:instrText>
      </w:r>
      <w:r w:rsidR="00D71CE2">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135,136</w:t>
      </w:r>
      <w:r w:rsidR="00D71CE2">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This link provides a nidus for detailed investigations into the cross-talk between </w:t>
      </w:r>
      <w:r w:rsidR="000A4F33" w:rsidRPr="00D637BA">
        <w:rPr>
          <w:rFonts w:ascii="Calibri" w:hAnsi="Calibri" w:cs="Calibri"/>
          <w:color w:val="000000" w:themeColor="text1"/>
          <w:sz w:val="22"/>
          <w:szCs w:val="22"/>
        </w:rPr>
        <w:t>environment</w:t>
      </w:r>
      <w:r w:rsidR="00F131BF" w:rsidRPr="00D637BA">
        <w:rPr>
          <w:rFonts w:ascii="Calibri" w:hAnsi="Calibri" w:cs="Calibri"/>
          <w:color w:val="000000" w:themeColor="text1"/>
          <w:sz w:val="22"/>
          <w:szCs w:val="22"/>
        </w:rPr>
        <w:t xml:space="preserve">-induced oncometabolite accumulation and their tumorigenic role in RCC. </w:t>
      </w:r>
    </w:p>
    <w:p w14:paraId="3E554BF9" w14:textId="5D70C4E5" w:rsidR="00F131BF" w:rsidRPr="00D637BA" w:rsidRDefault="00CE21AE" w:rsidP="0074764B">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I</w:t>
      </w:r>
      <w:r w:rsidR="00F131BF" w:rsidRPr="00D637BA">
        <w:rPr>
          <w:rFonts w:ascii="Calibri" w:hAnsi="Calibri" w:cs="Calibri"/>
          <w:color w:val="000000" w:themeColor="text1"/>
          <w:sz w:val="22"/>
          <w:szCs w:val="22"/>
        </w:rPr>
        <w:t>nfection has also been implicated in the exogenous production of oncometabolites</w:t>
      </w:r>
      <w:r w:rsidR="00DA422F" w:rsidRPr="00D637BA">
        <w:rPr>
          <w:rFonts w:ascii="Calibri" w:hAnsi="Calibri" w:cs="Calibri"/>
          <w:color w:val="000000" w:themeColor="text1"/>
          <w:sz w:val="22"/>
          <w:szCs w:val="22"/>
        </w:rPr>
        <w:t xml:space="preserve">. Lipopolysaccharide-induced activation of macrophages leads to </w:t>
      </w:r>
      <w:r w:rsidR="00B67671" w:rsidRPr="00D637BA">
        <w:rPr>
          <w:rFonts w:ascii="Calibri" w:hAnsi="Calibri" w:cs="Calibri"/>
          <w:color w:val="000000" w:themeColor="text1"/>
          <w:sz w:val="22"/>
          <w:szCs w:val="22"/>
        </w:rPr>
        <w:t xml:space="preserve">succinate </w:t>
      </w:r>
      <w:r w:rsidR="00F131BF" w:rsidRPr="00D637BA">
        <w:rPr>
          <w:rFonts w:ascii="Calibri" w:hAnsi="Calibri" w:cs="Calibri"/>
          <w:color w:val="000000" w:themeColor="text1"/>
          <w:sz w:val="22"/>
          <w:szCs w:val="22"/>
        </w:rPr>
        <w:t>ac</w:t>
      </w:r>
      <w:r w:rsidR="00DA422F" w:rsidRPr="00D637BA">
        <w:rPr>
          <w:rFonts w:ascii="Calibri" w:hAnsi="Calibri" w:cs="Calibri"/>
          <w:color w:val="000000" w:themeColor="text1"/>
          <w:sz w:val="22"/>
          <w:szCs w:val="22"/>
        </w:rPr>
        <w:t>c</w:t>
      </w:r>
      <w:r w:rsidR="00F131BF" w:rsidRPr="00D637BA">
        <w:rPr>
          <w:rFonts w:ascii="Calibri" w:hAnsi="Calibri" w:cs="Calibri"/>
          <w:color w:val="000000" w:themeColor="text1"/>
          <w:sz w:val="22"/>
          <w:szCs w:val="22"/>
        </w:rPr>
        <w:t>umulation</w:t>
      </w:r>
      <w:r w:rsidR="009011E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{"citationID":"a1s4ap0rb0f","properties":{"formattedCitation":"\\super 137,138\\nosupersub{}","plainCitation":"137,138","noteIndex":0},"citationItems":[{"id":1692,"uris":["http://zotero.org/users/4775618/items/ZXIZ67K5"],"uri":["http://zotero.org/users/4775618/items/ZXIZ67K5"],"itemData":{"id":1692,"type":"article-journal","title":"Succinate Dehydrogenase Supports Metabolic Repurposing of Mitochondria to Drive Inflammatory Macrophages","container-title":"Cell","page":"457-470.e13","volume":"167","issue":"2","source":"PubMed","abstract":"Activated macrophages undergo metabolic reprogramming, which drives their pro-inflammatory phenotype, but the mechanistic basis for this remains obscure. Here, we demonstrate that upon lipopolysaccharide (LPS) stimulation, macrophages shift from producing ATP by oxidative phosphorylation to glycolysis while also increasing succinate levels. We show that increased mitochondrial oxidation of succinate via succinate dehydrogenase (SDH) and an elevation of mitochondrial membrane potential combine to drive mitochondrial reactive oxygen species (ROS) production. RNA sequencing reveals that this combination induces a pro-inflammatory gene expression profile, while an inhibitor of succinate oxidation, dimethyl malonate (DMM), promotes an anti-inflammatory outcome. Blocking ROS production with rotenone by uncoupling mitochondria or by expressing the alternative oxidase (AOX) inhibits this inflammatory phenotype, with AOX protecting mice from LPS lethality. The metabolic alterations that occur upon activation of macrophages therefore repurpose mitochondria from ATP synthesis to ROS production in order to promote a pro-inflammatory state.","DOI":"10.1016/j.cell.2016.08.064","ISSN":"1097-4172","note":"PMID: 27667687\nPMCID: PMC5863951","journalAbbreviation":"Cell","language":"eng","author":[{"family":"Mills","given":"Evanna L."},{"family":"Kelly","given":"Beth"},{"family":"Logan","given":"Angela"},{"family":"Costa","given":"Ana S. H."},{"family":"Varma","given":"Mukund"},{"family":"Bryant","given":"Clare E."},{"family":"Tourlomousis","given":"Panagiotis"},{"family":"Däbritz","given":"J. Henry M."},{"family":"Gottlieb","given":"Eyal"},{"family":"Latorre","given":"Isabel"},{"family":"Corr","given":"Sinéad C."},{"family":"McManus","given":"Gavin"},{"family":"Ryan","given":"Dylan"},{"family":"Jacobs","given":"Howard T."},{"family":"Szibor","given":"Marten"},{"family":"Xavier","given":"Ramnik J."},{"family":"Braun","given":"Thomas"},{"family":"Frezza","given":"Christian"},{"family":"Murphy","given":"Michael P."},{"family":"O'Neill","given":"Luke A."}],"issued":{"date-parts":[["2016",10,6]]}}},{"id":1632,"uris":["http://zotero.org/users/4775618/items/2V899J2X"],"uri":["http://zotero.org/users/4775618/items/2V899J2X"],"itemData":{"id":1632,"type":"article-journal","title":"Succinate is a danger signal that induces IL-1β via HIF-1α","container-title":"Nature","page":"238-242","volume":"496","issue":"7444","source":"PubMed Central","abstract":"Macrophages activated by the gram negative bacterial product lipopolysaccharide (LPS) switch their core metabolism from oxidative phosphorylation to glycolysis. Inhibition of glycolysis with 2-deoxyglucose (2DG) suppressed LPS-induced Interleukin-1 beta (IL-1β) but not Tumour necrosis factor alpha (TNFα) in macrophages. A comprehensive metabolic map of LPS-activated macrophages revealed up-regulation of glycolytic and down-regulation of mitochondrial genes, which correlated directly with the expression profiles of altered metabolites. LPS strongly increased the TCA cycle intermediate succinate. Glutamine-dependent anerplerosis was the major source of succinate with the ‘Gamma-Aminobutyric Acid (GABA)-shunt’ pathway also playing a role. LPS-induced succinate stabilized Hypoxia-inducible factor 1α (HIF-1α), an effect inhibited by 2DG, with IL-1β as an important target. LPS also increases succinylation of several proteins. Succinate is therefore identified as a metabolite in innate immune signalling which leads to enhanced IL-1β production during inflammation.","URL":"https://www.ncbi.nlm.nih.gov/pmc/articles/PMC4031686/","DOI":"10.1038/nature11986","ISSN":"0028-0836","note":"PMID: 23535595\nPMCID: PMC4031686","journalAbbreviation":"Nature","author":[{"family":"Tannahill","given":"GM"},{"family":"Curtis","given":"AM"},{"family":"Adamik","given":"J"},{"family":"Palsson-McDermott","given":"EM"},{"family":"McGettrick","given":"AF"},{"family":"Goel","given":"G"},{"family":"Frezza","given":"C"},{"family":"Bernard","given":"NJ"},{"family":"Kelly","given":"B"},{"family":"Foley","given":"NH"},{"family":"Zheng","given":"L"},{"family":"Gardet","given":"A"},{"family":"Tong","given":"Z"},{"family":"Jany","given":"SS"},{"family":"Corr","given":"SC"},{"family":"Haneklaus","given":"M"},{"family":"Caffery","given":"BE"},{"family":"Pierce","given":"K"},{"family":"Walmsley","given":"S"},{"family":"Beasley","given":"FC"},{"family":"Cummins","given":"E"},{"family":"Nizet","given":"V"},{"family":"Whyte","given":"M"},{"family":"Taylor","given":"CT"},{"family":"Lin","given":"H"},{"family":"Masters","given":"SL"},{"family":"Gottlieb","given":"E"},{"family":"Kelly","given":"VP"},{"family":"Clish","given":"C"},{"family":"Auron","given":"PE"},{"family":"Xavier","given":"RJ"},{"family":"O’Neill","given":"LAJ"}],"issued":{"date-parts":[["2013",4,11]]},"accessed":{"date-parts":[["2019",3,2]]}}}],"schema":"https://github.com/citation-style-language/schema/raw/master/csl-citation.json"} </w:instrText>
      </w:r>
      <w:r w:rsidR="009011E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137,138</w:t>
      </w:r>
      <w:r w:rsidR="009011E1">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downstream HIF stabilisation and upregulation of </w:t>
      </w:r>
      <w:r w:rsidR="00DA422F" w:rsidRPr="00D637BA">
        <w:rPr>
          <w:rFonts w:ascii="Calibri" w:hAnsi="Calibri" w:cs="Calibri"/>
          <w:color w:val="000000" w:themeColor="text1"/>
          <w:sz w:val="22"/>
          <w:szCs w:val="22"/>
        </w:rPr>
        <w:t xml:space="preserve">the transcription of </w:t>
      </w:r>
      <w:r w:rsidR="00F131BF" w:rsidRPr="00D637BA">
        <w:rPr>
          <w:rFonts w:ascii="Calibri" w:hAnsi="Calibri" w:cs="Calibri"/>
          <w:color w:val="000000" w:themeColor="text1"/>
          <w:sz w:val="22"/>
          <w:szCs w:val="22"/>
        </w:rPr>
        <w:t>HIF-targeted gene</w:t>
      </w:r>
      <w:r w:rsidR="00DA422F" w:rsidRPr="00D637BA">
        <w:rPr>
          <w:rFonts w:ascii="Calibri" w:hAnsi="Calibri" w:cs="Calibri"/>
          <w:color w:val="000000" w:themeColor="text1"/>
          <w:sz w:val="22"/>
          <w:szCs w:val="22"/>
        </w:rPr>
        <w:t>s</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such as </w:t>
      </w:r>
      <w:r w:rsidR="00DA422F" w:rsidRPr="00B946E4">
        <w:rPr>
          <w:rFonts w:ascii="Calibri" w:hAnsi="Calibri" w:cs="Calibri"/>
          <w:i/>
          <w:color w:val="000000" w:themeColor="text1"/>
          <w:sz w:val="22"/>
          <w:szCs w:val="22"/>
        </w:rPr>
        <w:t xml:space="preserve">IL1B, </w:t>
      </w:r>
      <w:r w:rsidR="00DA422F" w:rsidRPr="00B946E4">
        <w:rPr>
          <w:rFonts w:ascii="Calibri" w:hAnsi="Calibri" w:cs="Calibri"/>
          <w:color w:val="000000" w:themeColor="text1"/>
          <w:sz w:val="22"/>
          <w:szCs w:val="22"/>
        </w:rPr>
        <w:t>which encodes</w:t>
      </w:r>
      <w:r w:rsidR="00DA422F" w:rsidRPr="00D637BA">
        <w:rPr>
          <w:rFonts w:ascii="Calibri" w:hAnsi="Calibri" w:cs="Calibri"/>
          <w:i/>
          <w:color w:val="000000" w:themeColor="text1"/>
          <w:sz w:val="22"/>
          <w:szCs w:val="22"/>
        </w:rPr>
        <w:t xml:space="preserve"> </w:t>
      </w:r>
      <w:r w:rsidR="00DA422F" w:rsidRPr="00D637BA">
        <w:rPr>
          <w:rFonts w:ascii="Calibri" w:hAnsi="Calibri" w:cs="Calibri"/>
          <w:color w:val="000000" w:themeColor="text1"/>
          <w:sz w:val="22"/>
          <w:szCs w:val="22"/>
        </w:rPr>
        <w:t>IL-</w:t>
      </w:r>
      <w:r w:rsidR="00F131BF" w:rsidRPr="00D637BA">
        <w:rPr>
          <w:rFonts w:ascii="Calibri" w:hAnsi="Calibri" w:cs="Calibri"/>
          <w:color w:val="000000" w:themeColor="text1"/>
          <w:sz w:val="22"/>
          <w:szCs w:val="22"/>
        </w:rPr>
        <w:t>1β</w:t>
      </w:r>
      <w:r w:rsidR="00DA422F"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a key pro-inflammatory signalling molecule</w:t>
      </w:r>
      <w:r w:rsidR="00DA422F" w:rsidRPr="00D637BA">
        <w:rPr>
          <w:rFonts w:ascii="Calibri" w:hAnsi="Calibri" w:cs="Calibri"/>
          <w:color w:val="000000" w:themeColor="text1"/>
          <w:sz w:val="22"/>
          <w:szCs w:val="22"/>
        </w:rPr>
        <w:t>)</w:t>
      </w:r>
      <w:r w:rsidR="009011E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{"citationID":"a4q38m81eh","properties":{"formattedCitation":"\\super 138\\nosupersub{}","plainCitation":"138","noteIndex":0},"citationItems":[{"id":1632,"uris":["http://zotero.org/users/4775618/items/2V899J2X"],"uri":["http://zotero.org/users/4775618/items/2V899J2X"],"itemData":{"id":1632,"type":"article-journal","title":"Succinate is a danger signal that induces IL-1β via HIF-1α","container-title":"Nature","page":"238-242","volume":"496","issue":"7444","source":"PubMed Central","abstract":"Macrophages activated by the gram negative bacterial product lipopolysaccharide (LPS) switch their core metabolism from oxidative phosphorylation to glycolysis. Inhibition of glycolysis with 2-deoxyglucose (2DG) suppressed LPS-induced Interleukin-1 beta (IL-1β) but not Tumour necrosis factor alpha (TNFα) in macrophages. A comprehensive metabolic map of LPS-activated macrophages revealed up-regulation of glycolytic and down-regulation of mitochondrial genes, which correlated directly with the expression profiles of altered metabolites. LPS strongly increased the TCA cycle intermediate succinate. Glutamine-dependent anerplerosis was the major source of succinate with the ‘Gamma-Aminobutyric Acid (GABA)-shunt’ pathway also playing a role. LPS-induced succinate stabilized Hypoxia-inducible factor 1α (HIF-1α), an effect inhibited by 2DG, with IL-1β as an important target. LPS also increases succinylation of several proteins. Succinate is therefore identified as a metabolite in innate immune signalling which leads to enhanced IL-1β production during inflammation.","URL":"https://www.ncbi.nlm.nih.gov/pmc/articles/PMC4031686/","DOI":"10.1038/nature11986","ISSN":"0028-0836","note":"PMID: 23535595\nPMCID: PMC4031686","journalAbbreviation":"Nature","author":[{"family":"Tannahill","given":"GM"},{"family":"Curtis","given":"AM"},{"family":"Adamik","given":"J"},{"family":"Palsson-McDermott","given":"EM"},{"family":"McGettrick","given":"AF"},{"family":"Goel","given":"G"},{"family":"Frezza","given":"C"},{"family":"Bernard","given":"NJ"},{"family":"Kelly","given":"B"},{"family":"Foley","given":"NH"},{"family":"Zheng","given":"L"},{"family":"Gardet","given":"A"},{"family":"Tong","given":"Z"},{"family":"Jany","given":"SS"},{"family":"Corr","given":"SC"},{"family":"Haneklaus","given":"M"},{"family":"Caffery","given":"BE"},{"family":"Pierce","given":"K"},{"family":"Walmsley","given":"S"},{"family":"Beasley","given":"FC"},{"family":"Cummins","given":"E"},{"family":"Nizet","given":"V"},{"family":"Whyte","given":"M"},{"family":"Taylor","given":"CT"},{"family":"Lin","given":"H"},{"family":"Masters","given":"SL"},{"family":"Gottlieb","given":"E"},{"family":"Kelly","given":"VP"},{"family":"Clish","given":"C"},{"family":"Auron","given":"PE"},{"family":"Xavier","given":"RJ"},{"family":"O’Neill","given":"LAJ"}],"issued":{"date-parts":[["2013",4,11]]},"accessed":{"date-parts":[["2019",3,2]]}}}],"schema":"https://github.com/citation-style-language/schema/raw/master/csl-citation.json"} </w:instrText>
      </w:r>
      <w:r w:rsidR="009011E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138</w:t>
      </w:r>
      <w:r w:rsidR="009011E1">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1E0817" w:rsidRPr="00D637BA">
        <w:rPr>
          <w:rFonts w:ascii="Calibri" w:hAnsi="Calibri" w:cs="Calibri"/>
          <w:color w:val="000000" w:themeColor="text1"/>
          <w:sz w:val="22"/>
          <w:szCs w:val="22"/>
        </w:rPr>
        <w:t>F</w:t>
      </w:r>
      <w:r w:rsidR="00F131BF" w:rsidRPr="00D637BA">
        <w:rPr>
          <w:rFonts w:ascii="Calibri" w:hAnsi="Calibri" w:cs="Calibri"/>
          <w:color w:val="000000" w:themeColor="text1"/>
          <w:sz w:val="22"/>
          <w:szCs w:val="22"/>
        </w:rPr>
        <w:t xml:space="preserve">urther elucidation of the </w:t>
      </w:r>
      <w:r w:rsidR="005B12BE" w:rsidRPr="00D637BA">
        <w:rPr>
          <w:rFonts w:ascii="Calibri" w:hAnsi="Calibri" w:cs="Calibri"/>
          <w:color w:val="000000" w:themeColor="text1"/>
          <w:sz w:val="22"/>
          <w:szCs w:val="22"/>
        </w:rPr>
        <w:t xml:space="preserve">mechanisms by which exogenous factors induce oncometabolite production independent of oncogenic mutations, the magnitude of these </w:t>
      </w:r>
      <w:r w:rsidR="005B12BE" w:rsidRPr="00B946E4">
        <w:rPr>
          <w:rFonts w:ascii="Calibri" w:hAnsi="Calibri" w:cs="Calibri"/>
          <w:color w:val="000000" w:themeColor="text1"/>
          <w:sz w:val="22"/>
          <w:szCs w:val="22"/>
        </w:rPr>
        <w:t xml:space="preserve">effects </w:t>
      </w:r>
      <w:r w:rsidR="00F131BF" w:rsidRPr="00D637BA">
        <w:rPr>
          <w:rFonts w:ascii="Calibri" w:hAnsi="Calibri" w:cs="Calibri"/>
          <w:color w:val="000000" w:themeColor="text1"/>
          <w:sz w:val="22"/>
          <w:szCs w:val="22"/>
        </w:rPr>
        <w:t>and the subsequent sequ</w:t>
      </w:r>
      <w:r w:rsidR="0087462E">
        <w:rPr>
          <w:rFonts w:ascii="Calibri" w:hAnsi="Calibri" w:cs="Calibri"/>
          <w:color w:val="000000" w:themeColor="text1"/>
          <w:sz w:val="22"/>
          <w:szCs w:val="22"/>
        </w:rPr>
        <w:t>e</w:t>
      </w:r>
      <w:r w:rsidR="00F131BF" w:rsidRPr="00D637BA">
        <w:rPr>
          <w:rFonts w:ascii="Calibri" w:hAnsi="Calibri" w:cs="Calibri"/>
          <w:color w:val="000000" w:themeColor="text1"/>
          <w:sz w:val="22"/>
          <w:szCs w:val="22"/>
        </w:rPr>
        <w:t>lae will be a</w:t>
      </w:r>
      <w:r w:rsidR="0087462E">
        <w:rPr>
          <w:rFonts w:ascii="Calibri" w:hAnsi="Calibri" w:cs="Calibri"/>
          <w:color w:val="000000" w:themeColor="text1"/>
          <w:sz w:val="22"/>
          <w:szCs w:val="22"/>
        </w:rPr>
        <w:t xml:space="preserve"> crucial</w:t>
      </w:r>
      <w:r w:rsidR="00F131BF" w:rsidRPr="00D637BA">
        <w:rPr>
          <w:rFonts w:ascii="Calibri" w:hAnsi="Calibri" w:cs="Calibri"/>
          <w:color w:val="000000" w:themeColor="text1"/>
          <w:sz w:val="22"/>
          <w:szCs w:val="22"/>
        </w:rPr>
        <w:t xml:space="preserve"> step forwards in understanding and ameliorating the role of these factors in tumorigenesis and tumour evolution.</w:t>
      </w:r>
    </w:p>
    <w:p w14:paraId="4FC2F174" w14:textId="77777777" w:rsidR="00DF6FB0" w:rsidRPr="00D637BA" w:rsidRDefault="00DF6FB0" w:rsidP="00F131BF">
      <w:pPr>
        <w:spacing w:line="360" w:lineRule="auto"/>
        <w:jc w:val="both"/>
        <w:rPr>
          <w:rFonts w:ascii="Calibri" w:hAnsi="Calibri" w:cs="Calibri"/>
          <w:color w:val="000000" w:themeColor="text1"/>
          <w:sz w:val="22"/>
          <w:szCs w:val="22"/>
        </w:rPr>
      </w:pPr>
    </w:p>
    <w:p w14:paraId="22F59E44" w14:textId="4A3E7A01" w:rsidR="00A2034A" w:rsidRPr="00B946E4" w:rsidRDefault="00D836AF" w:rsidP="00F131BF">
      <w:pPr>
        <w:spacing w:line="360" w:lineRule="auto"/>
        <w:jc w:val="both"/>
        <w:rPr>
          <w:rFonts w:ascii="Calibri" w:hAnsi="Calibri" w:cs="Calibri"/>
          <w:b/>
          <w:color w:val="000000" w:themeColor="text1"/>
          <w:szCs w:val="22"/>
        </w:rPr>
      </w:pPr>
      <w:r w:rsidRPr="00D637BA">
        <w:rPr>
          <w:rFonts w:ascii="Calibri" w:hAnsi="Calibri" w:cs="Calibri"/>
          <w:b/>
          <w:color w:val="000000" w:themeColor="text1"/>
          <w:szCs w:val="22"/>
        </w:rPr>
        <w:t xml:space="preserve">[H1] </w:t>
      </w:r>
      <w:r w:rsidR="00A2034A" w:rsidRPr="00B946E4">
        <w:rPr>
          <w:rFonts w:ascii="Calibri" w:hAnsi="Calibri" w:cs="Calibri"/>
          <w:b/>
          <w:color w:val="000000" w:themeColor="text1"/>
          <w:szCs w:val="22"/>
        </w:rPr>
        <w:t xml:space="preserve">Pro-oncogenic </w:t>
      </w:r>
      <w:r w:rsidR="00A34AE0" w:rsidRPr="00B946E4">
        <w:rPr>
          <w:rFonts w:ascii="Calibri" w:hAnsi="Calibri" w:cs="Calibri"/>
          <w:b/>
          <w:color w:val="000000" w:themeColor="text1"/>
          <w:szCs w:val="22"/>
        </w:rPr>
        <w:t>role of oncometabolites</w:t>
      </w:r>
      <w:r w:rsidR="00A34AE0" w:rsidRPr="00D637BA">
        <w:rPr>
          <w:rFonts w:ascii="Calibri" w:hAnsi="Calibri" w:cs="Calibri"/>
          <w:b/>
          <w:color w:val="000000" w:themeColor="text1"/>
          <w:szCs w:val="22"/>
        </w:rPr>
        <w:t xml:space="preserve"> </w:t>
      </w:r>
    </w:p>
    <w:p w14:paraId="4F561B0D" w14:textId="59DB5905" w:rsidR="00F131BF" w:rsidRPr="00D637BA" w:rsidRDefault="00F131BF" w:rsidP="00F131BF">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Oncometabolites exhibit a multitude of downstream pro-oncogenic functions</w:t>
      </w:r>
      <w:r w:rsidR="00A34AE0" w:rsidRPr="00D637BA">
        <w:rPr>
          <w:rFonts w:ascii="Calibri" w:hAnsi="Calibri" w:cs="Calibri"/>
          <w:color w:val="000000" w:themeColor="text1"/>
          <w:sz w:val="22"/>
          <w:szCs w:val="22"/>
        </w:rPr>
        <w:t xml:space="preserve"> in RCC and other cancers</w:t>
      </w:r>
      <w:r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1B0ACA" w:rsidRPr="00D637BA">
        <w:rPr>
          <w:rFonts w:ascii="Calibri" w:hAnsi="Calibri" w:cs="Calibri"/>
          <w:color w:val="000000" w:themeColor="text1"/>
          <w:sz w:val="22"/>
          <w:szCs w:val="22"/>
        </w:rPr>
        <w:t>T</w:t>
      </w:r>
      <w:r w:rsidRPr="00D637BA">
        <w:rPr>
          <w:rFonts w:ascii="Calibri" w:hAnsi="Calibri" w:cs="Calibri"/>
          <w:color w:val="000000" w:themeColor="text1"/>
          <w:sz w:val="22"/>
          <w:szCs w:val="22"/>
        </w:rPr>
        <w:t>he</w:t>
      </w:r>
      <w:r w:rsidR="00A34AE0" w:rsidRPr="00B946E4">
        <w:rPr>
          <w:rFonts w:ascii="Calibri" w:hAnsi="Calibri" w:cs="Calibri"/>
          <w:color w:val="000000" w:themeColor="text1"/>
          <w:sz w:val="22"/>
          <w:szCs w:val="22"/>
        </w:rPr>
        <w:t>se include</w:t>
      </w:r>
      <w:r w:rsidRPr="00D637BA">
        <w:rPr>
          <w:rFonts w:ascii="Calibri" w:hAnsi="Calibri" w:cs="Calibri"/>
          <w:color w:val="000000" w:themeColor="text1"/>
          <w:sz w:val="22"/>
          <w:szCs w:val="22"/>
        </w:rPr>
        <w:t xml:space="preserve"> functions that converge on a group of downstream pro-oncogenic pathways</w:t>
      </w:r>
      <w:r w:rsidR="001B0ACA" w:rsidRPr="00D637BA">
        <w:rPr>
          <w:rFonts w:ascii="Calibri" w:hAnsi="Calibri" w:cs="Calibri"/>
          <w:color w:val="000000" w:themeColor="text1"/>
          <w:sz w:val="22"/>
          <w:szCs w:val="22"/>
        </w:rPr>
        <w:t xml:space="preserve"> </w:t>
      </w:r>
      <w:r w:rsidR="00A34AE0" w:rsidRPr="00B946E4">
        <w:rPr>
          <w:rFonts w:ascii="Calibri" w:hAnsi="Calibri" w:cs="Calibri"/>
          <w:color w:val="000000" w:themeColor="text1"/>
          <w:sz w:val="22"/>
          <w:szCs w:val="22"/>
        </w:rPr>
        <w:t xml:space="preserve">and </w:t>
      </w:r>
      <w:r w:rsidRPr="00D637BA">
        <w:rPr>
          <w:rFonts w:ascii="Calibri" w:hAnsi="Calibri" w:cs="Calibri"/>
          <w:color w:val="000000" w:themeColor="text1"/>
          <w:sz w:val="22"/>
          <w:szCs w:val="22"/>
        </w:rPr>
        <w:t xml:space="preserve">unique functions </w:t>
      </w:r>
      <w:r w:rsidR="00A34AE0" w:rsidRPr="00B946E4">
        <w:rPr>
          <w:rFonts w:ascii="Calibri" w:hAnsi="Calibri" w:cs="Calibri"/>
          <w:color w:val="000000" w:themeColor="text1"/>
          <w:sz w:val="22"/>
          <w:szCs w:val="22"/>
        </w:rPr>
        <w:t xml:space="preserve">that are </w:t>
      </w:r>
      <w:r w:rsidRPr="00D637BA">
        <w:rPr>
          <w:rFonts w:ascii="Calibri" w:hAnsi="Calibri" w:cs="Calibri"/>
          <w:color w:val="000000" w:themeColor="text1"/>
          <w:sz w:val="22"/>
          <w:szCs w:val="22"/>
        </w:rPr>
        <w:t xml:space="preserve">specific to </w:t>
      </w:r>
      <w:r w:rsidR="00A34AE0" w:rsidRPr="00B946E4">
        <w:rPr>
          <w:rFonts w:ascii="Calibri" w:hAnsi="Calibri" w:cs="Calibri"/>
          <w:color w:val="000000" w:themeColor="text1"/>
          <w:sz w:val="22"/>
          <w:szCs w:val="22"/>
        </w:rPr>
        <w:t xml:space="preserve">individual </w:t>
      </w:r>
      <w:r w:rsidRPr="00D637BA">
        <w:rPr>
          <w:rFonts w:ascii="Calibri" w:hAnsi="Calibri" w:cs="Calibri"/>
          <w:color w:val="000000" w:themeColor="text1"/>
          <w:sz w:val="22"/>
          <w:szCs w:val="22"/>
        </w:rPr>
        <w:t>oncometabolite</w:t>
      </w:r>
      <w:r w:rsidR="00A34AE0" w:rsidRPr="00B946E4">
        <w:rPr>
          <w:rFonts w:ascii="Calibri" w:hAnsi="Calibri" w:cs="Calibri"/>
          <w:color w:val="000000" w:themeColor="text1"/>
          <w:sz w:val="22"/>
          <w:szCs w:val="22"/>
        </w:rPr>
        <w:t>s</w:t>
      </w:r>
      <w:r w:rsidRPr="00D637BA">
        <w:rPr>
          <w:rFonts w:ascii="Calibri" w:hAnsi="Calibri" w:cs="Calibri"/>
          <w:color w:val="000000" w:themeColor="text1"/>
          <w:sz w:val="22"/>
          <w:szCs w:val="22"/>
        </w:rPr>
        <w:t xml:space="preserve"> (Fig. 2).</w:t>
      </w:r>
    </w:p>
    <w:p w14:paraId="35589771" w14:textId="185AA191" w:rsidR="00F131BF" w:rsidRPr="00D637BA" w:rsidRDefault="00F131BF" w:rsidP="00F131BF">
      <w:pPr>
        <w:spacing w:line="360" w:lineRule="auto"/>
        <w:jc w:val="both"/>
        <w:rPr>
          <w:rFonts w:ascii="Calibri" w:hAnsi="Calibri" w:cs="Calibri"/>
          <w:color w:val="000000" w:themeColor="text1"/>
          <w:sz w:val="22"/>
          <w:szCs w:val="22"/>
        </w:rPr>
      </w:pPr>
    </w:p>
    <w:p w14:paraId="22B69C19" w14:textId="63215E7E" w:rsidR="00F131BF" w:rsidRPr="00B946E4" w:rsidRDefault="002E50BE" w:rsidP="00F131BF">
      <w:pPr>
        <w:spacing w:line="360" w:lineRule="auto"/>
        <w:jc w:val="both"/>
        <w:rPr>
          <w:rFonts w:ascii="Calibri" w:hAnsi="Calibri" w:cs="Calibri"/>
          <w:b/>
          <w:i/>
          <w:color w:val="000000" w:themeColor="text1"/>
          <w:sz w:val="22"/>
          <w:szCs w:val="22"/>
        </w:rPr>
      </w:pPr>
      <w:r w:rsidRPr="00B946E4">
        <w:rPr>
          <w:rFonts w:ascii="Calibri" w:hAnsi="Calibri" w:cs="Calibri"/>
          <w:b/>
          <w:i/>
          <w:color w:val="000000" w:themeColor="text1"/>
          <w:sz w:val="22"/>
          <w:szCs w:val="22"/>
        </w:rPr>
        <w:t xml:space="preserve">[H2] </w:t>
      </w:r>
      <w:r w:rsidR="00F131BF" w:rsidRPr="00B946E4">
        <w:rPr>
          <w:rFonts w:ascii="Calibri" w:hAnsi="Calibri" w:cs="Calibri"/>
          <w:b/>
          <w:i/>
          <w:color w:val="000000" w:themeColor="text1"/>
          <w:sz w:val="22"/>
          <w:szCs w:val="22"/>
        </w:rPr>
        <w:t>Common pro-oncogenic pathways</w:t>
      </w:r>
    </w:p>
    <w:p w14:paraId="6B86E3AA" w14:textId="4EF2FACB" w:rsidR="003D1B55" w:rsidRPr="00D637BA" w:rsidRDefault="00F131BF" w:rsidP="00F131BF">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A characteristic trait </w:t>
      </w:r>
      <w:r w:rsidR="00B135EA" w:rsidRPr="00D637BA">
        <w:rPr>
          <w:rFonts w:ascii="Calibri" w:hAnsi="Calibri" w:cs="Calibri"/>
          <w:color w:val="000000" w:themeColor="text1"/>
          <w:sz w:val="22"/>
          <w:szCs w:val="22"/>
        </w:rPr>
        <w:t xml:space="preserve">that is </w:t>
      </w:r>
      <w:r w:rsidRPr="00D637BA">
        <w:rPr>
          <w:rFonts w:ascii="Calibri" w:hAnsi="Calibri" w:cs="Calibri"/>
          <w:color w:val="000000" w:themeColor="text1"/>
          <w:sz w:val="22"/>
          <w:szCs w:val="22"/>
        </w:rPr>
        <w:t xml:space="preserve">shared between </w:t>
      </w:r>
      <w:r w:rsidR="003D4D28" w:rsidRPr="00D637BA">
        <w:rPr>
          <w:rFonts w:ascii="Calibri" w:hAnsi="Calibri" w:cs="Calibri"/>
          <w:color w:val="000000" w:themeColor="text1"/>
          <w:sz w:val="22"/>
          <w:szCs w:val="22"/>
        </w:rPr>
        <w:t xml:space="preserve">succinate, fumarate, and 2HG </w:t>
      </w:r>
      <w:r w:rsidRPr="00D637BA">
        <w:rPr>
          <w:rFonts w:ascii="Calibri" w:hAnsi="Calibri" w:cs="Calibri"/>
          <w:color w:val="000000" w:themeColor="text1"/>
          <w:sz w:val="22"/>
          <w:szCs w:val="22"/>
        </w:rPr>
        <w:t>is their ability to competitively inhibit α</w:t>
      </w:r>
      <w:r w:rsidR="007B2E7C" w:rsidRPr="00D637BA">
        <w:rPr>
          <w:rFonts w:ascii="Calibri" w:hAnsi="Calibri" w:cs="Calibri"/>
          <w:color w:val="000000" w:themeColor="text1"/>
          <w:sz w:val="22"/>
          <w:szCs w:val="22"/>
        </w:rPr>
        <w:t>KG-dependent</w:t>
      </w:r>
      <w:r w:rsidRPr="00D637BA">
        <w:rPr>
          <w:rFonts w:ascii="Calibri" w:hAnsi="Calibri" w:cs="Calibri"/>
          <w:color w:val="000000" w:themeColor="text1"/>
          <w:sz w:val="22"/>
          <w:szCs w:val="22"/>
        </w:rPr>
        <w:t xml:space="preserve"> dioxygenases (αKGDDs)</w:t>
      </w:r>
      <w:r w:rsidR="0003220D">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{"citationID":"a1gu6n7igpu","properties":{"formattedCitation":"\\super 67,139\\nosupersub{}","plainCitation":"67,139","noteIndex":0},"citationItems":[{"id":1428,"uris":["http://zotero.org/users/4775618/items/ED2J66GH"],"uri":["http://zotero.org/users/4775618/items/ED2J66GH"],"itemData":{"id":1428,"type":"article-journal","title":"Cancer and Altered Metabolism: Potential Importance of Hypoxia-Inducible Factor and 2-Oxoglutarate-Dependent Dioxygenases","container-title":"Cold Spring Harbor Symposia on Quantitative Biology","page":"335-345","volume":"76","source":"symposium.cshlp.org","abstract":"Hypoxia-inducible factor (HIF) deregulation contributes to the Warburg effect. HIF consists of an unstable α subunit and a stable β subunit. In the presence of oxygen, HIFα becomes prolyl hydroxylated by members of the EglN (also called PHD) family, leading to its proteasomal degradation. Under hypoxic conditions, EglN activity is diminished and HIF levels rise. EglN1 is the primary HIF prolyl hydroxylase with EglN2 and EglN3 playing compensatory roles under certain conditions. EglN2 and EglN3 also appear to play HIF-independent roles in regulating cell proliferation and apoptosis, respectively. The EglNs belong to a large family of 2-oxoglutarate-dependent dioxygenases that includes the TET DNA hydroxymethylases and JmjC-containing histone demethylases. Members of this superfamily can be inhibited by endogenous metabolites, including fumarate and succinate, which accumulate in tumors that have fumarate hydratase (FH) or succinate dehydrogenase (SDH) mutations, respectively, as well as by the 2-hydroxyglutarate detected in isocitrate dehydrogenase (IDH) mutant tumors. 2-Oxoglutarate-dependent dioxygenases therefore provide a link between altered metabolism and cancer.","URL":"http://symposium.cshlp.org/content/76/335","DOI":"10.1101/sqb.2011.76.010975","ISSN":"0091-7451, 1943-4456","note":"PMID: 22089927","title-short":"Cancer and Altered Metabolism","journalAbbreviation":"Cold Spring Harb Symp Quant Biol","language":"en","author":[{"family":"Kaelin","given":"W. G."}],"issued":{"date-parts":[["2011",1,1]]},"accessed":{"date-parts":[["2019",2,24]]}}},{"id":323,"uris":["http://zotero.org/users/4775618/items/JCMXXDI7"],"uri":["http://zotero.org/users/4775618/items/JCMXXDI7"],"itemData":{"id":323,"type":"article-journal","title":"Oncometabolites‐driven tumorigenesis: From genetics to targeted therapy","container-title":"International Journal of Cancer","page":"2237-2248","volume":"135","issue":"10","source":"onlinelibrary.wiley.com","URL":"https://onlinelibrary.wiley.com/doi/abs/10.1002/ijc.29080","DOI":"10.1002/ijc.29080","ISSN":"1097-0215","title-short":"Oncometabolites‐driven tumorigenesis","language":"en","author":[{"family":"Morin","given":"Aurélie"},{"family":"Letouzé","given":"Eric"},{"family":"Gimenez‐Roqueplo","given":"Anne-Paule"},{"family":"Favier","given":"Judith"}],"issued":{"date-parts":[["2014",11,15]]},"accessed":{"date-parts":[["2018",3,29]]}}}],"schema":"https://github.com/citation-style-language/schema/raw/master/csl-citation.json"} </w:instrText>
      </w:r>
      <w:r w:rsidR="0003220D">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67,139</w:t>
      </w:r>
      <w:r w:rsidR="0003220D">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103492" w:rsidRPr="00D637BA">
        <w:rPr>
          <w:rFonts w:ascii="Calibri" w:hAnsi="Calibri" w:cs="Calibri"/>
          <w:color w:val="000000" w:themeColor="text1"/>
          <w:sz w:val="22"/>
          <w:szCs w:val="22"/>
        </w:rPr>
        <w:t xml:space="preserve">owing to </w:t>
      </w:r>
      <w:r w:rsidRPr="00D637BA">
        <w:rPr>
          <w:rFonts w:ascii="Calibri" w:hAnsi="Calibri" w:cs="Calibri"/>
          <w:color w:val="000000" w:themeColor="text1"/>
          <w:sz w:val="22"/>
          <w:szCs w:val="22"/>
        </w:rPr>
        <w:t xml:space="preserve">their structural similarity to αKG, </w:t>
      </w:r>
      <w:r w:rsidR="00B135EA" w:rsidRPr="00D637BA">
        <w:rPr>
          <w:rFonts w:ascii="Calibri" w:hAnsi="Calibri" w:cs="Calibri"/>
          <w:color w:val="000000" w:themeColor="text1"/>
          <w:sz w:val="22"/>
          <w:szCs w:val="22"/>
        </w:rPr>
        <w:t xml:space="preserve">which is </w:t>
      </w:r>
      <w:r w:rsidRPr="00D637BA">
        <w:rPr>
          <w:rFonts w:ascii="Calibri" w:hAnsi="Calibri" w:cs="Calibri"/>
          <w:color w:val="000000" w:themeColor="text1"/>
          <w:sz w:val="22"/>
          <w:szCs w:val="22"/>
        </w:rPr>
        <w:t>an essential co-substrate for enzyme activity</w:t>
      </w:r>
      <w:r w:rsidR="0003220D">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{"citationID":"aeuj48s2sq","properties":{"formattedCitation":"\\super 71,140\\nosupersub{}","plainCitation":"71,140","noteIndex":0},"citationItems":[{"id":700,"uris":["http://zotero.org/users/4775618/items/UXVXGHY3"],"uri":["http://zotero.org/users/4775618/items/UXVXGHY3"],"itemData":{"id":700,"type":"article-journal","title":"Inhibition of α-KG-dependent histone and DNA demethylases by fumarate and succinate that are accumulated in mutations of FH and SDH tumor suppressors","container-title":"Genes &amp; Development","page":"1326-1338","volume":"26","issue":"12","source":"PubMed","abstract":"Two Krebs cycle genes, fumarate hydratase (FH) and succinate dehydrogenase (SDH), are mutated in a subset of human cancers, leading to accumulation of their substrates, fumarate and succinate, respectively. Here we demonstrate that fumarate and succinate are competitive inhibitors of multiple α-ketoglutarate (α-KG)-dependent dioxygenases, including histone demethylases, prolyl hydroxylases, collagen prolyl-4-hydroxylases, and the TET (ten-eleven translocation) family of 5-methlycytosine (5mC) hydroxylases. Knockdown of FH and SDH results in elevated intracellular levels of fumarate and succinate, respectively, which act as competitors of α-KG to broadly inhibit the activity of α-KG-dependent dioxygenases. In addition, ectopic expression of tumor-derived FH and SDH mutants inhibits histone demethylation and hydroxylation of 5mC. Our study suggests that tumor-derived FH and SDH mutations accumulate fumarate and succinate, leading to enzymatic inhibition of multiple α-KG-dependent dioxygenases and consequent alterations of genome-wide histone and DNA methylation. These epigenetic alterations associated with mutations of FH and SDH likely contribute to tumorigenesis.","DOI":"10.1101/gad.191056.112","ISSN":"1549-5477","note":"PMID: 22677546\nPMCID: PMC3387660","journalAbbreviation":"Genes Dev.","language":"eng","author":[{"family":"Xiao","given":"Mengtao"},{"family":"Yang","given":"Hui"},{"family":"Xu","given":"Wei"},{"family":"Ma","given":"Shenghong"},{"family":"Lin","given":"Huaipeng"},{"family":"Zhu","given":"Honguang"},{"family":"Liu","given":"Lixia"},{"family":"Liu","given":"Ying"},{"family":"Yang","given":"Chen"},{"family":"Xu","given":"Yanhui"},{"family":"Zhao","given":"Shimin"},{"family":"Ye","given":"Dan"},{"family":"Xiong","given":"Yue"},{"family":"Guan","given":"Kun-Liang"}],"issued":{"date-parts":[["2012",6,15]]}}},{"id":331,"uris":["http://zotero.org/users/4775618/items/CH9YES7I"],"uri":["http://zotero.org/users/4775618/items/CH9YES7I"],"itemData":{"id":331,"type":"article-journal","title":"Oncometabolite 2-Hydroxyglutarate Is a Competitive Inhibitor of α-Ketoglutarate-Dependent Dioxygenases","container-title":"Cancer cell","page":"17-30","volume":"19","issue":"1","source":"PubMed Central","abstract":"IDH1 and IDH2 mutations occur frequently in gliomas and acute myeloid leukemia, leading to simultaneous loss and gain of activities in the production of α-ketoglutarate (α-KG) and 2-hydroxyglutarate (2-HG), respectively. Here we demonstrate that 2-HG is a competitive inhibitor of multiple α-KG-dependent dioxygenases, including histone demethylases and the TET family of 5-methlycytosine (5mC) hydroxylases. 2-HG occupies the same space as α-KG does in the active site of histone demethylases. Ectopic expression of tumor-derived IDH1 and IDH2 mutants inhibits histone demethylation and 5mC hydroxylation. In glioma, IDH1 mutations are associated with increased histone methylation and decreased 5-hydroxylmethylcytosine (5hmC). Hence, tumor-derived IDH1 and IDH2 mutations reduce α-KG and accumulate an α-KG antagonist, 2-HG, leading to genome-wide histone and DNA methylation alterations.","URL":"https://www.ncbi.nlm.nih.gov/pmc/articles/PMC3229304/","DOI":"10.1016/j.ccr.2010.12.014","ISSN":"1535-6108","note":"PMID: 21251613\nPMCID: PMC3229304","journalAbbreviation":"Cancer Cell","author":[{"family":"Xu","given":"Wei"},{"family":"Yang","given":"Hui"},{"family":"Liu","given":"Ying"},{"family":"Yang","given":"Ying"},{"family":"Wang","given":"Ping"},{"family":"Kim","given":"Se-Hee"},{"family":"Ito","given":"Shinsuke"},{"family":"Yang","given":"Chen"},{"family":"Wang","given":"Pu"},{"family":"Xiao","given":"Meng-Tao"},{"family":"Liu","given":"Li-xia"},{"family":"Jiang","given":"Wen-qing"},{"family":"Liu","given":"Jing"},{"family":"Zhang","given":"Jin-ye"},{"family":"Wang","given":"Bin"},{"family":"Frye","given":"Stephen"},{"family":"Zhang","given":"Yi"},{"family":"Xu","given":"Yan-hui"},{"family":"Lei","given":"Qun-ying"},{"family":"Guan","given":"Kun-Liang"},{"family":"Zhao","given":"Shi-min"},{"family":"Xiong","given":"Yue"}],"issued":{"date-parts":[["2011",1,18]]},"accessed":{"date-parts":[["2018",3,29]]}}}],"schema":"https://github.com/citation-style-language/schema/raw/master/csl-citation.json"} </w:instrText>
      </w:r>
      <w:r w:rsidR="0003220D">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71,140</w:t>
      </w:r>
      <w:r w:rsidR="0003220D">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αKGDDs are a superfamily of enzymes</w:t>
      </w:r>
      <w:r w:rsidR="00722DED" w:rsidRPr="00D637BA">
        <w:rPr>
          <w:rFonts w:ascii="Calibri" w:hAnsi="Calibri" w:cs="Calibri"/>
          <w:color w:val="000000" w:themeColor="text1"/>
          <w:sz w:val="22"/>
          <w:szCs w:val="22"/>
        </w:rPr>
        <w:t xml:space="preserve"> that are</w:t>
      </w:r>
      <w:r w:rsidRPr="00D637BA">
        <w:rPr>
          <w:rFonts w:ascii="Calibri" w:hAnsi="Calibri" w:cs="Calibri"/>
          <w:color w:val="000000" w:themeColor="text1"/>
          <w:sz w:val="22"/>
          <w:szCs w:val="22"/>
        </w:rPr>
        <w:t xml:space="preserve"> involved in a plethora of biological processes. The most studied αKGDDs </w:t>
      </w:r>
      <w:r w:rsidR="003D1B55" w:rsidRPr="00D637BA">
        <w:rPr>
          <w:rFonts w:ascii="Calibri" w:hAnsi="Calibri" w:cs="Calibri"/>
          <w:color w:val="000000" w:themeColor="text1"/>
          <w:sz w:val="22"/>
          <w:szCs w:val="22"/>
        </w:rPr>
        <w:t>with roles in</w:t>
      </w:r>
      <w:r w:rsidRPr="00D637BA">
        <w:rPr>
          <w:rFonts w:ascii="Calibri" w:hAnsi="Calibri" w:cs="Calibri"/>
          <w:color w:val="000000" w:themeColor="text1"/>
          <w:sz w:val="22"/>
          <w:szCs w:val="22"/>
        </w:rPr>
        <w:t xml:space="preserve"> oncometabolite signalling </w:t>
      </w:r>
      <w:r w:rsidR="00103492" w:rsidRPr="00D637BA">
        <w:rPr>
          <w:rFonts w:ascii="Calibri" w:hAnsi="Calibri" w:cs="Calibri"/>
          <w:color w:val="000000" w:themeColor="text1"/>
          <w:sz w:val="22"/>
          <w:szCs w:val="22"/>
        </w:rPr>
        <w:t>are</w:t>
      </w:r>
      <w:r w:rsidRPr="00D637BA">
        <w:rPr>
          <w:rFonts w:ascii="Calibri" w:hAnsi="Calibri" w:cs="Calibri"/>
          <w:color w:val="000000" w:themeColor="text1"/>
          <w:sz w:val="22"/>
          <w:szCs w:val="22"/>
        </w:rPr>
        <w:t xml:space="preserve"> PHDs, inhibition</w:t>
      </w:r>
      <w:r w:rsidR="00103492" w:rsidRPr="00D637BA">
        <w:rPr>
          <w:rFonts w:ascii="Calibri" w:hAnsi="Calibri" w:cs="Calibri"/>
          <w:color w:val="000000" w:themeColor="text1"/>
          <w:sz w:val="22"/>
          <w:szCs w:val="22"/>
        </w:rPr>
        <w:t xml:space="preserve"> of which</w:t>
      </w:r>
      <w:r w:rsidRPr="00D637BA">
        <w:rPr>
          <w:rFonts w:ascii="Calibri" w:hAnsi="Calibri" w:cs="Calibri"/>
          <w:color w:val="000000" w:themeColor="text1"/>
          <w:sz w:val="22"/>
          <w:szCs w:val="22"/>
        </w:rPr>
        <w:t xml:space="preserve"> is involved in induction of the ‘pseudohypoxic’ milieu</w:t>
      </w:r>
      <w:r w:rsidR="0003220D">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{"citationID":"a2h4bl5hkvr","properties":{"formattedCitation":"\\super 27,47,67,68\\nosupersub{}","plainCitation":"27,47,67,68","noteIndex":0},"citationItems":[{"id":290,"uris":["http://zotero.org/users/4775618/items/PP39XJQC"],"uri":["http://zotero.org/users/4775618/items/PP39XJQC"],"itemData":{"id":290,"type":"article-journal","title":"Inborn and acquired metabolic defects in cancer","container-title":"Journal of Molecular Medicine","page":"213-220","volume":"89","issue":"3","source":"link.springer.com","abstract":"The observation that altered metabolism is the fundamental cause of cancer was made by Otto Warburg nearly a century ago. However, the subsequent identification of oncogenes and tumor suppressor genes has displaced Warburg's theory pointing towards genetic aberrations as the underlining cause of cancer. Nevertheless, in the last decade, cancer-associated mutations have been identified in genes coding for tricarboxylic acid cycle (TCA cycle, also known as Krebs cycle) and closely related enzymes that have essential roles in cellular metabolism. These observations have revived interest in Warburg's hypothesis and prompted a flurry of functional studies in the hope of gaining mechanistic insight into the links between mitochondrial dysfunction, metabolic alterations, and cancer. In this review, we discuss the potential pro-oncogenic signaling role of some TCA cycle metabolites and their derivatives (oncometabolites). In particular, we focus on their effects on dioxygenases, a family of oxygen and α-ketoglutarate-dependent enzymes that control, among other things, the levels and activity of the hypoxia-inducible transcription factors and the activity of DNA and histone demethylases.","URL":"https://link.springer.com/article/10.1007/s00109-011-0728-4","DOI":"10.1007/s00109-011-0728-4","ISSN":"0946-2716, 1432-1440","journalAbbreviation":"J Mol Med","language":"en","author":[{"family":"Frezza","given":"Christian"},{"family":"Pollard","given":"Patrick J."},{"family":"Gottlieb","given":"Eyal"}],"issued":{"date-parts":[["2011",3,1]]},"accessed":{"date-parts":[["2018",3,24]]}}},{"id":323,"uris":["http://zotero.org/users/4775618/items/JCMXXDI7"],"uri":["http://zotero.org/users/4775618/items/JCMXXDI7"],"itemData":{"id":323,"type":"article-journal","title":"Oncometabolites‐driven tumorigenesis: From genetics to targeted therapy","container-title":"International Journal of Cancer","page":"2237-2248","volume":"135","issue":"10","source":"onlinelibrary.wiley.com","URL":"https://onlinelibrary.wiley.com/doi/abs/10.1002/ijc.29080","DOI":"10.1002/ijc.29080","ISSN":"1097-0215","title-short":"Oncometabolites‐driven tumorigenesis","language":"en","author":[{"family":"Morin","given":"Aurélie"},{"family":"Letouzé","given":"Eric"},{"family":"Gimenez‐Roqueplo","given":"Anne-Paule"},{"family":"Favier","given":"Judith"}],"issued":{"date-parts":[["2014",11,15]]},"accessed":{"date-parts":[["2018",3,29]]}}},{"id":283,"uris":["http://zotero.org/users/4775618/items/GSI53XGT"],"uri":["http://zotero.org/users/4775618/items/GSI53XGT"],"itemData":{"id":283,"type":"article-journal","title":"Accumulation of Krebs cycle intermediates and over-expression of HIF1α in tumours which result from germline FH and SDH mutations","container-title":"Human Molecular Genetics","page":"2231-2239","volume":"14","issue":"15","source":"academic.oup.com","abstract":"The nuclear-encoded Krebs cycle enzymes, fumarate hydratase (FH) and succinate dehydrogenase (SDHB, -C and -D), act as tumour suppressors. Germline mutations in FH predispose individuals to leiomyomas and renal cell cancer (HLRCC), whereas mutations in SDH cause paragangliomas and phaeochromocytomas (HPGL). In this study, we have shown that FH-deficient cells and tumours accumulate fumarate and, to a lesser extent, succinate. SDH-deficient tumours principally accumulate succinate. In situ analyses showed that these tumours also have over-expression of hypoxia-inducible factor 1α (HIF1α), activation of HIF1αtargets (such as vascular endothelial growth factor) and high microvessel density. We found no evidence of increased reactive oxygen species in our cells. Our data provide in vivo evidence to support the hypothesis that increased succinate and/or fumarate causes stabilization of HIF1α a plausible mechanism, inhibition of HIF prolyl hydroxylases, has previously been suggested by in vitro studies. The basic mechanism of tumorigenesis in HPGL and HLRCC is likely to be pseudo-hypoxic drive, just as it is in von Hippel–Lindau syndrome.","URL":"https://academic.oup.com/hmg/article/14/15/2231/551734","DOI":"10.1093/hmg/ddi227","ISSN":"0964-6906","journalAbbreviation":"Hum Mol Genet","language":"en","author":[{"family":"Pollard","given":"P. J."},{"family":"Brière","given":"J. J."},{"family":"Alam","given":"N. A."},{"family":"Barwell","given":"J."},{"family":"Barclay","given":"E."},{"family":"Wortham","given":"N. C."},{"family":"Hunt","given":"T."},{"family":"Mitchell","given":"M."},{"family":"Olpin","given":"S."},{"family":"Moat","given":"S. J."},{"family":"Hargreaves","given":"I. P."},{"family":"Heales","given":"S. J."},{"family":"Chung","given":"Y. L."},{"family":"Griffiths","given":"J. R."},{"family":"Dalgleish","given":"A."},{"family":"McGrath","given":"J. A."},{"family":"Gleeson","given":"M. J."},{"family":"Hodgson","given":"S. V."},{"family":"Poulsom","given":"R."},{"family":"Rustin","given":"P."},{"family":"Tomlinson","given":"I. P. M."}],"issued":{"date-parts":[["2005",8,1]]},"accessed":{"date-parts":[["2018",3,24]]}}},{"id":312,"uris":["http://zotero.org/users/4775618/items/E5D5NFC9"],"uri":["http://zotero.org/users/4775618/items/E5D5NFC9"],"itemData":{"id":312,"type":"article-journal","title":"Oncometabolites: Unconventional triggers of oncogenic signalling cascades","container-title":"Free Radical Biology &amp; Medicine","page":"175-181","volume":"100","source":"PubMed Central","abstract":"Cancer is a complex and heterogeneous disease thought to be caused by multiple genetic lesions. The recent finding that enzymes of the tricarboxylic acid (TCA) cycle are mutated in cancer rekindled the hypothesis that altered metabolism might also have a role in cellular transformation. Attempts to link mitochondrial dysfunction to cancer uncovered the unexpected role of small molecule metabolites, now known as oncometabolites, in tumorigenesis. In this review, we describe how oncometabolites can contribute to tumorigenesis. We propose that lesions of oncogenes and tumour suppressors are only one of the possible routes to tumorigenesis, which include accumulation of oncometabolites triggered by environmental cues., \n          \n            \n              •\n              Altered metabolism is an emerging aspect of tumorigenesis.\n            \n            \n              •\n              Damaged mitochondria accumulate metabolites that can activate oncogenic cascades.\n            \n            \n              •\n              Environmental and nutritional cues trigger the accumulation of these metabolites.","URL":"https://www.ncbi.nlm.nih.gov/pmc/articles/PMC5145802/","DOI":"10.1016/j.freeradbiomed.2016.04.025","ISSN":"0891-5849","note":"PMID: 27117029\nPMCID: PMC5145802","title-short":"Oncometabolites","journalAbbreviation":"Free Radic Biol Med","author":[{"family":"Sciacovelli","given":"Marco"},{"family":"Frezza","given":"Christian"}],"issued":{"date-parts":[["2016",11]]},"accessed":{"date-parts":[["2018",3,29]]}}}],"schema":"https://github.com/citation-style-language/schema/raw/master/csl-citation.json"} </w:instrText>
      </w:r>
      <w:r w:rsidR="0003220D">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27,47,67,68</w:t>
      </w:r>
      <w:r w:rsidR="0003220D">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the Jumonji C domain-containing histone lysine demethylases (KDM)</w:t>
      </w:r>
      <w:r w:rsidR="0003220D">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{"citationID":"auaeuru0dc","properties":{"formattedCitation":"\\super 71,140\\uc0\\u8211{}142\\nosupersub{}","plainCitation":"71,140–142","noteIndex":0},"citationItems":[{"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id":1355,"uris":["http://zotero.org/users/4775618/items/TMNJ2W2F"],"uri":["http://zotero.org/users/4775618/items/TMNJ2W2F"],"itemData":{"id":1355,"type":"article-journal","title":"IDH mutation impairs histone demethylation and results in a block to cell differentiation","container-title":"Nature","page":"474-478","volume":"483","issue":"7390","source":"www-nature-com.ezp.lib.cam.ac.uk","abstract":"Recurrent mutations in isocitrate dehydrogenase 1 (IDH1) and IDH2 have been identified in gliomas, acute myeloid leukaemias (AML) and chondrosarcomas, and share a novel enzymatic property of producing 2-hydroxyglutarate (2HG) from α-ketoglutarate1,2,3,4,5,6. Here we report that 2HG-producing IDH mutants can prevent the histone demethylation that is required for lineage-specific progenitor cells to differentiate into terminally differentiated cells. In tumour samples from glioma patients, IDH mutations were associated with a distinct gene expression profile enriched for genes expressed in neural progenitor cells, and this was associated with increased histone methylation. To test whether the ability of IDH mutants to promote histone methylation contributes to a block in cell differentiation in non-transformed cells, we tested the effect of neomorphic IDH mutants on adipocyte differentiation in vitro. Introduction of either mutant IDH or cell-permeable 2HG was associated with repression of the inducible expression of lineage-specific differentiation genes and a block to differentiation. This correlated with a significant increase in repressive histone methylation marks without observable changes in promoter DNA methylation. Gliomas were found to have elevated levels of similar histone repressive marks. Stable transfection of a 2HG-producing mutant IDH into immortalized astrocytes resulted in progressive accumulation of histone methylation. Of the marks examined, increased H3K9 methylation reproducibly preceded a rise in DNA methylation as cells were passaged in culture. Furthermore, we found that the 2HG-inhibitable H3K9 demethylase KDM4C was induced during adipocyte differentiation, and that RNA-interference suppression of KDM4C was sufficient to block differentiation. Together these data demonstrate that 2HG can inhibit histone demethylation and that inhibition of histone demethylation can be sufficient to block the differentiation of non-transformed cells.","URL":"http://www.nature.com/articles/nature10860","DOI":"10.1038/nature10860","ISSN":"1476-4687","language":"en","author":[{"family":"Lu","given":"Chao"},{"family":"Ward","given":"Patrick S."},{"family":"Kapoor","given":"Gurpreet S."},{"family":"Rohle","given":"Dan"},{"family":"Turcan","given":"Sevin"},{"family":"Abdel-Wahab","given":"Omar"},{"family":"Edwards","given":"Christopher R."},{"family":"Khanin","given":"Raya"},{"family":"Figueroa","given":"Maria E."},{"family":"Melnick","given":"Ari"},{"family":"Wellen","given":"Kathryn E."},{"family":"O’Rourke","given":"Donald M."},{"family":"Berger","given":"Shelley L."},{"family":"Chan","given":"Timothy A."},{"family":"Levine","given":"Ross L."},{"family":"Mellinghoff","given":"Ingo K."},{"family":"Thompson","given":"Craig B."}],"issued":{"date-parts":[["2012",3]]},"accessed":{"date-parts":[["2019",2,23]]}}},{"id":700,"uris":["http://zotero.org/users/4775618/items/UXVXGHY3"],"uri":["http://zotero.org/users/4775618/items/UXVXGHY3"],"itemData":{"id":700,"type":"article-journal","title":"Inhibition of α-KG-dependent histone and DNA demethylases by fumarate and succinate that are accumulated in mutations of FH and SDH tumor suppressors","container-title":"Genes &amp; Development","page":"1326-1338","volume":"26","issue":"12","source":"PubMed","abstract":"Two Krebs cycle genes, fumarate hydratase (FH) and succinate dehydrogenase (SDH), are mutated in a subset of human cancers, leading to accumulation of their substrates, fumarate and succinate, respectively. Here we demonstrate that fumarate and succinate are competitive inhibitors of multiple α-ketoglutarate (α-KG)-dependent dioxygenases, including histone demethylases, prolyl hydroxylases, collagen prolyl-4-hydroxylases, and the TET (ten-eleven translocation) family of 5-methlycytosine (5mC) hydroxylases. Knockdown of FH and SDH results in elevated intracellular levels of fumarate and succinate, respectively, which act as competitors of α-KG to broadly inhibit the activity of α-KG-dependent dioxygenases. In addition, ectopic expression of tumor-derived FH and SDH mutants inhibits histone demethylation and hydroxylation of 5mC. Our study suggests that tumor-derived FH and SDH mutations accumulate fumarate and succinate, leading to enzymatic inhibition of multiple α-KG-dependent dioxygenases and consequent alterations of genome-wide histone and DNA methylation. These epigenetic alterations associated with mutations of FH and SDH likely contribute to tumorigenesis.","DOI":"10.1101/gad.191056.112","ISSN":"1549-5477","note":"PMID: 22677546\nPMCID: PMC3387660","journalAbbreviation":"Genes Dev.","language":"eng","author":[{"family":"Xiao","given":"Mengtao"},{"family":"Yang","given":"Hui"},{"family":"Xu","given":"Wei"},{"family":"Ma","given":"Shenghong"},{"family":"Lin","given":"Huaipeng"},{"family":"Zhu","given":"Honguang"},{"family":"Liu","given":"Lixia"},{"family":"Liu","given":"Ying"},{"family":"Yang","given":"Chen"},{"family":"Xu","given":"Yanhui"},{"family":"Zhao","given":"Shimin"},{"family":"Ye","given":"Dan"},{"family":"Xiong","given":"Yue"},{"family":"Guan","given":"Kun-Liang"}],"issued":{"date-parts":[["2012",6,15]]}}},{"id":331,"uris":["http://zotero.org/users/4775618/items/CH9YES7I"],"uri":["http://zotero.org/users/4775618/items/CH9YES7I"],"itemData":{"id":331,"type":"article-journal","title":"Oncometabolite 2-Hydroxyglutarate Is a Competitive Inhibitor of α-Ketoglutarate-Dependent Dioxygenases","container-title":"Cancer cell","page":"17-30","volume":"19","issue":"1","source":"PubMed Central","abstract":"IDH1 and IDH2 mutations occur frequently in gliomas and acute myeloid leukemia, leading to simultaneous loss and gain of activities in the production of α-ketoglutarate (α-KG) and 2-hydroxyglutarate (2-HG), respectively. Here we demonstrate that 2-HG is a competitive inhibitor of multiple α-KG-dependent dioxygenases, including histone demethylases and the TET family of 5-methlycytosine (5mC) hydroxylases. 2-HG occupies the same space as α-KG does in the active site of histone demethylases. Ectopic expression of tumor-derived IDH1 and IDH2 mutants inhibits histone demethylation and 5mC hydroxylation. In glioma, IDH1 mutations are associated with increased histone methylation and decreased 5-hydroxylmethylcytosine (5hmC). Hence, tumor-derived IDH1 and IDH2 mutations reduce α-KG and accumulate an α-KG antagonist, 2-HG, leading to genome-wide histone and DNA methylation alterations.","URL":"https://www.ncbi.nlm.nih.gov/pmc/articles/PMC3229304/","DOI":"10.1016/j.ccr.2010.12.014","ISSN":"1535-6108","note":"PMID: 21251613\nPMCID: PMC3229304","journalAbbreviation":"Cancer Cell","author":[{"family":"Xu","given":"Wei"},{"family":"Yang","given":"Hui"},{"family":"Liu","given":"Ying"},{"family":"Yang","given":"Ying"},{"family":"Wang","given":"Ping"},{"family":"Kim","given":"Se-Hee"},{"family":"Ito","given":"Shinsuke"},{"family":"Yang","given":"Chen"},{"family":"Wang","given":"Pu"},{"family":"Xiao","given":"Meng-Tao"},{"family":"Liu","given":"Li-xia"},{"family":"Jiang","given":"Wen-qing"},{"family":"Liu","given":"Jing"},{"family":"Zhang","given":"Jin-ye"},{"family":"Wang","given":"Bin"},{"family":"Frye","given":"Stephen"},{"family":"Zhang","given":"Yi"},{"family":"Xu","given":"Yan-hui"},{"family":"Lei","given":"Qun-ying"},{"family":"Guan","given":"Kun-Liang"},{"family":"Zhao","given":"Shi-min"},{"family":"Xiong","given":"Yue"}],"issued":{"date-parts":[["2011",1,18]]},"accessed":{"date-parts":[["2018",3,29]]}}}],"schema":"https://github.com/citation-style-language/schema/raw/master/csl-citation.json"} </w:instrText>
      </w:r>
      <w:r w:rsidR="0003220D">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71,140–142</w:t>
      </w:r>
      <w:r w:rsidR="0003220D">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3D1B55" w:rsidRPr="00D637BA">
        <w:rPr>
          <w:rFonts w:ascii="Calibri" w:hAnsi="Calibri" w:cs="Calibri"/>
          <w:color w:val="000000" w:themeColor="text1"/>
          <w:sz w:val="22"/>
          <w:szCs w:val="22"/>
        </w:rPr>
        <w:t xml:space="preserve">which have roles in histone demethylation, </w:t>
      </w:r>
      <w:r w:rsidRPr="00D637BA">
        <w:rPr>
          <w:rFonts w:ascii="Calibri" w:hAnsi="Calibri" w:cs="Calibri"/>
          <w:color w:val="000000" w:themeColor="text1"/>
          <w:sz w:val="22"/>
          <w:szCs w:val="22"/>
        </w:rPr>
        <w:t xml:space="preserve">and the ten-eleven translocation (TET) enzyme family of 5-methylcytosine (5mc) hydroxylases, </w:t>
      </w:r>
      <w:r w:rsidR="00103492" w:rsidRPr="00D637BA">
        <w:rPr>
          <w:rFonts w:ascii="Calibri" w:hAnsi="Calibri" w:cs="Calibri"/>
          <w:color w:val="000000" w:themeColor="text1"/>
          <w:sz w:val="22"/>
          <w:szCs w:val="22"/>
        </w:rPr>
        <w:t xml:space="preserve">which are </w:t>
      </w:r>
      <w:r w:rsidRPr="00D637BA">
        <w:rPr>
          <w:rFonts w:ascii="Calibri" w:hAnsi="Calibri" w:cs="Calibri"/>
          <w:color w:val="000000" w:themeColor="text1"/>
          <w:sz w:val="22"/>
          <w:szCs w:val="22"/>
        </w:rPr>
        <w:t>involved in DNA demethylation</w:t>
      </w:r>
      <w:r w:rsidR="0003220D">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{"citationID":"a1d5eesdi4v","properties":{"formattedCitation":"\\super 71,140\\uc0\\u8211{}143\\nosupersub{}","plainCitation":"71,140–143","noteIndex":0},"citationItems":[{"id":1439,"uris":["http://zotero.org/users/4775618/items/JZLIJDMI"],"uri":["http://zotero.org/users/4775618/items/JZLIJDMI"],"itemData":{"id":1439,"type":"article-journal","title":"Fumarate and Succinate Regulate Expression of Hypoxia-inducible Genes via TET Enzymes","container-title":"Journal of Biological Chemistry","page":"4256-4265","volume":"291","issue":"8","source":"www.jbc.org.ezp.lib.cam.ac.uk","abstract":"The TET enzymes are members of the 2-oxoglutarate-dependent dioxygenase family and comprise three isoenzymes in humans: TETs 1–3. These TETs convert 5-methylcytosine to 5-hydroxymethylcytosine (5-hmC) in DNA, and high 5-hmC levels are associated with active transcription. The importance of the balance in these modified cytosines is emphasized by the fact that TET2 is mutated in several human cancers, including myeloid malignancies such as acute myeloid leukemia (AML). We characterize here the kinetic and inhibitory properties of Tets and show that the Km value of Tets 1 and 2 for O2 is 30 μm, indicating that they retain high activity even under hypoxic conditions. The AML-associated mutations in the Fe2+ and 2-oxoglutarate-binding residues increased the Km values for these factors 30–80-fold and reduced the Vmax values. Fumarate and succinate, which can accumulate to millimolar levels in succinate dehydrogenase and fumarate hydratase-mutant tumors, were identified as potent Tet inhibitors in vitro, with IC50 values </w:instrText>
      </w:r>
      <w:r w:rsidR="00E52DEA">
        <w:rPr>
          <w:rFonts w:ascii="Cambria Math" w:hAnsi="Cambria Math" w:cs="Cambria Math"/>
          <w:color w:val="000000" w:themeColor="text1"/>
          <w:sz w:val="22"/>
          <w:szCs w:val="22"/>
        </w:rPr>
        <w:instrText>∼</w:instrText>
      </w:r>
      <w:r w:rsidR="00E52DEA">
        <w:rPr>
          <w:rFonts w:ascii="Calibri" w:hAnsi="Calibri" w:cs="Calibri"/>
          <w:color w:val="000000" w:themeColor="text1"/>
          <w:sz w:val="22"/>
          <w:szCs w:val="22"/>
        </w:rPr>
        <w:instrText xml:space="preserve">400–500 μm. Fumarate and succinate also down-regulated global 5-hmC levels in neuroblastoma cells and the expression levels of some hypoxia-inducible factor (HIF) target genes via TET inhibition, despite simultaneous HIFα stabilization. The combination of fumarate or succinate treatment with TET1 or TET3 silencing caused differential effects on the expression of specific HIF target genes. Altogether these data show that hypoxia-inducible genes are regulated in a multilayered manner that includes epigenetic regulation via TETs and 5-hmC levels in addition to HIF stabilization.","URL":"http://www.jbc.org.ezp.lib.cam.ac.uk/content/291/8/4256","DOI":"10.1074/jbc.M115.688762","ISSN":"0021-9258, 1083-351X","note":"PMID: 26703470","journalAbbreviation":"J. Biol. Chem.","language":"en","author":[{"family":"Laukka","given":"Tuomas"},{"family":"Mariani","given":"Christopher J."},{"family":"Ihantola","given":"Tuukka"},{"family":"Cao","given":"John Z."},{"family":"Hokkanen","given":"Juho"},{"family":"Kaelin","given":"William G."},{"family":"Godley","given":"Lucy A."},{"family":"Koivunen","given":"Peppi"}],"issued":{"date-parts":[["2016",2,19]]},"accessed":{"date-parts":[["2019",2,24]]}}},{"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id":1355,"uris":["http://zotero.org/users/4775618/items/TMNJ2W2F"],"uri":["http://zotero.org/users/4775618/items/TMNJ2W2F"],"itemData":{"id":1355,"type":"article-journal","title":"IDH mutation impairs histone demethylation and results in a block to cell differentiation","container-title":"Nature","page":"474-478","volume":"483","issue":"7390","source":"www-nature-com.ezp.lib.cam.ac.uk","abstract":"Recurrent mutations in isocitrate dehydrogenase 1 (IDH1) and IDH2 have been identified in gliomas, acute myeloid leukaemias (AML) and chondrosarcomas, and share a novel enzymatic property of producing 2-hydroxyglutarate (2HG) from α-ketoglutarate1,2,3,4,5,6. Here we report that 2HG-producing IDH mutants can prevent the histone demethylation that is required for lineage-specific progenitor cells to differentiate into terminally differentiated cells. In tumour samples from glioma patients, IDH mutations were associated with a distinct gene expression profile enriched for genes expressed in neural progenitor cells, and this was associated with increased histone methylation. To test whether the ability of IDH mutants to promote histone methylation contributes to a block in cell differentiation in non-transformed cells, we tested the effect of neomorphic IDH mutants on adipocyte differentiation in vitro. Introduction of either mutant IDH or cell-permeable 2HG was associated with repression of the inducible expression of lineage-specific differentiation genes and a block to differentiation. This correlated with a significant increase in repressive histone methylation marks without observable changes in promoter DNA methylation. Gliomas were found to have elevated levels of similar histone repressive marks. Stable transfection of a 2HG-producing mutant IDH into immortalized astrocytes resulted in progressive accumulation of histone methylation. Of the marks examined, increased H3K9 methylation reproducibly preceded a rise in DNA methylation as cells were passaged in culture. Furthermore, we found that the 2HG-inhibitable H3K9 demethylase KDM4C was induced during adipocyte differentiation, and that RNA-interference suppression of KDM4C was sufficient to block differentiation. Together these data demonstrate that 2HG can inhibit histone demethylation and that inhibition of histone demethylation can be sufficient to block the differentiation of non-transformed cells.","URL":"http://www.nature.com/articles/nature10860","DOI":"10.1038/nature10860","ISSN":"1476-4687","language":"en","author":[{"family":"Lu","given":"Chao"},{"family":"Ward","given":"Patrick S."},{"family":"Kapoor","given":"Gurpreet S."},{"family":"Rohle","given":"Dan"},{"family":"Turcan","given":"Sevin"},{"family":"Abdel-Wahab","given":"Omar"},{"family":"Edwards","given":"Christopher R."},{"family":"Khanin","given":"Raya"},{"family":"Figueroa","given":"Maria E."},{"family":"Melnick","given":"Ari"},{"family":"Wellen","given":"Kathryn E."},{"family":"O’Rourke","given":"Donald M."},{"family":"Berger","given":"Shelley L."},{"family":"Chan","given":"Timothy A."},{"family":"Levine","given":"Ross L."},{"family":"Mellinghoff","given":"Ingo K."},{"family":"Thompson","given":"Craig B."}],"issued":{"date-parts":[["2012",3]]},"accessed":{"date-parts":[["2019",2,23]]}}},{"id":700,"uris":["http://zotero.org/users/4775618/items/UXVXGHY3"],"uri":["http://zotero.org/users/4775618/items/UXVXGHY3"],"itemData":{"id":700,"type":"article-journal","title":"Inhibition of α-KG-dependent histone and DNA demethylases by fumarate and succinate that are accumulated in mutations of FH and SDH tumor suppressors","container-title":"Genes &amp; Development","page":"1326-1338","volume":"26","issue":"12","source":"PubMed","abstract":"Two Krebs cycle genes, fumarate hydratase (FH) and succinate dehydrogenase (SDH), are mutated in a subset of human cancers, leading to accumulation of their substrates, fumarate and succinate, respectively. Here we demonstrate that fumarate and succinate are competitive inhibitors of multiple α-ketoglutarate (α-KG)-dependent dioxygenases, including histone demethylases, prolyl hydroxylases, collagen prolyl-4-hydroxylases, and the TET (ten-eleven translocation) family of 5-methlycytosine (5mC) hydroxylases. Knockdown of FH and SDH results in elevated intracellular levels of fumarate and succinate, respectively, which act as competitors of α-KG to broadly inhibit the activity of α-KG-dependent dioxygenases. In addition, ectopic expression of tumor-derived FH and SDH mutants inhibits histone demethylation and hydroxylation of 5mC. Our study suggests that tumor-derived FH and SDH mutations accumulate fumarate and succinate, leading to enzymatic inhibition of multiple α-KG-dependent dioxygenases and consequent alterations of genome-wide histone and DNA methylation. These epigenetic alterations associated with mutations of FH and SDH likely contribute to tumorigenesis.","DOI":"10.1101/gad.191056.112","ISSN":"1549-5477","note":"PMID: 22677546\nPMCID: PMC3387660","journalAbbreviation":"Genes Dev.","language":"eng","author":[{"family":"Xiao","given":"Mengtao"},{"family":"Yang","given":"Hui"},{"family":"Xu","given":"Wei"},{"family":"Ma","given":"Shenghong"},{"family":"Lin","given":"Huaipeng"},{"family":"Zhu","given":"Honguang"},{"family":"Liu","given":"Lixia"},{"family":"Liu","given":"Ying"},{"family":"Yang","given":"Chen"},{"family":"Xu","given":"Yanhui"},{"family":"Zhao","given":"Shimin"},{"family":"Ye","given":"Dan"},{"family":"Xiong","given":"Yue"},{"family":"Guan","given":"Kun-Liang"}],"issued":{"date-parts":[["2012",6,15]]}}},{"id":331,"uris":["http://zotero.org/users/4775618/items/CH9YES7I"],"uri":["http://zotero.org/users/4775618/items/CH9YES7I"],"itemData":{"id":331,"type":"article-journal","title":"Oncometabolite 2-Hydroxyglutarate Is a Competitive Inhibitor of α-Ketoglutarate-Dependent Dioxygenases","container-title":"Cancer cell","page":"17-30","volume":"19","issue":"1","source":"PubMed Central","abstract":"IDH1 and IDH2 mutations occur frequently in gliomas and acute myeloid leukemia, leading to simultaneous loss and gain of activities in the production of α-ketoglutarate (α-KG) and 2-hydroxyglutarate (2-HG), respectively. Here we demonstrate that 2-HG is a competitive inhibitor of multiple α-KG-dependent dioxygenases, including histone demethylases and the TET family of 5-methlycytosine (5mC) hydroxylases. 2-HG occupies the same space as α-KG does in the active site of histone demethylases. Ectopic expression of tumor-derived IDH1 and IDH2 mutants inhibits histone demethylation and 5mC hydroxylation. In glioma, IDH1 mutations are associated with increased histone methylation and decreased 5-hydroxylmethylcytosine (5hmC). Hence, tumor-derived IDH1 and IDH2 mutations reduce α-KG and accumulate an α-KG antagonist, 2-HG, leading to genome-wide histone and DNA methylation alterations.","URL":"https://www.ncbi.nlm.nih.gov/pmc/articles/PMC3229304/","DOI":"10.1016/j.ccr.2010.12.014","ISSN":"1535-6108","note":"PMID: 21251613\nPMCID: PMC3229304","journalAbbreviation":"Cancer Cell","author":[{"family":"Xu","given":"Wei"},{"family":"Yang","given":"Hui"},{"family":"Liu","given":"Ying"},{"family":"Yang","given":"Ying"},{"family":"Wang","given":"Ping"},{"family":"Kim","given":"Se-Hee"},{"family":"Ito","given":"Shinsuke"},{"family":"Yang","given":"Chen"},{"family":"Wang","given":"Pu"},{"family":"Xiao","given":"Meng-Tao"},{"family":"Liu","given":"Li-xia"},{"family":"Jiang","given":"Wen-qing"},{"family":"Liu","given":"Jing"},{"family":"Zhang","given":"Jin-ye"},{"family":"Wang","given":"Bin"},{"family":"Frye","given":"Stephen"},{"family":"Zhang","given":"Yi"},{"family":"Xu","given":"Yan-hui"},{"family":"Lei","given":"Qun-ying"},{"family":"Guan","given":"Kun-Liang"},{"family":"Zhao","given":"Shi-min"},{"family":"Xiong","given":"Yue"}],"issued":{"date-parts":[["2011",1,18]]},"accessed":{"date-parts":[["2018",3,29]]}}}],"schema":"https://github.com/citation-style-language/schema/raw/master/csl-citation.json"} </w:instrText>
      </w:r>
      <w:r w:rsidR="0003220D">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71,140–143</w:t>
      </w:r>
      <w:r w:rsidR="0003220D">
        <w:rPr>
          <w:rFonts w:ascii="Calibri" w:hAnsi="Calibri" w:cs="Calibri"/>
          <w:color w:val="000000" w:themeColor="text1"/>
          <w:sz w:val="22"/>
          <w:szCs w:val="22"/>
        </w:rPr>
        <w:fldChar w:fldCharType="end"/>
      </w:r>
      <w:r w:rsidR="000167D7" w:rsidRPr="000167D7">
        <w:rPr>
          <w:rFonts w:ascii="Calibri" w:hAnsi="Calibri" w:cs="Calibri"/>
          <w:sz w:val="22"/>
          <w:szCs w:val="22"/>
        </w:rPr>
        <w:t>.</w:t>
      </w:r>
      <w:r w:rsidR="00E023DB" w:rsidRPr="00D637BA">
        <w:rPr>
          <w:rFonts w:ascii="Calibri" w:hAnsi="Calibri" w:cs="Calibri"/>
          <w:color w:val="000000" w:themeColor="text1"/>
          <w:sz w:val="22"/>
          <w:szCs w:val="22"/>
        </w:rPr>
        <w:t xml:space="preserve"> </w:t>
      </w:r>
      <w:r w:rsidR="00A4673F" w:rsidRPr="00D637BA">
        <w:rPr>
          <w:rFonts w:ascii="Calibri" w:hAnsi="Calibri" w:cs="Calibri"/>
          <w:color w:val="000000" w:themeColor="text1"/>
          <w:sz w:val="22"/>
          <w:szCs w:val="22"/>
        </w:rPr>
        <w:t>Inhibition of KDMs and TETS leads to h</w:t>
      </w:r>
      <w:r w:rsidRPr="00D637BA">
        <w:rPr>
          <w:rFonts w:ascii="Calibri" w:hAnsi="Calibri" w:cs="Calibri"/>
          <w:color w:val="000000" w:themeColor="text1"/>
          <w:sz w:val="22"/>
          <w:szCs w:val="22"/>
        </w:rPr>
        <w:t xml:space="preserve">ypermethylated phenotypes </w:t>
      </w:r>
      <w:r w:rsidR="00A4673F" w:rsidRPr="00D637BA">
        <w:rPr>
          <w:rFonts w:ascii="Calibri" w:hAnsi="Calibri" w:cs="Calibri"/>
          <w:color w:val="000000" w:themeColor="text1"/>
          <w:sz w:val="22"/>
          <w:szCs w:val="22"/>
        </w:rPr>
        <w:t xml:space="preserve">that </w:t>
      </w:r>
      <w:r w:rsidRPr="00D637BA">
        <w:rPr>
          <w:rFonts w:ascii="Calibri" w:hAnsi="Calibri" w:cs="Calibri"/>
          <w:color w:val="000000" w:themeColor="text1"/>
          <w:sz w:val="22"/>
          <w:szCs w:val="22"/>
        </w:rPr>
        <w:t xml:space="preserve">are </w:t>
      </w:r>
      <w:r w:rsidR="00E023DB" w:rsidRPr="00B946E4">
        <w:rPr>
          <w:rFonts w:ascii="Calibri" w:hAnsi="Calibri" w:cs="Calibri"/>
          <w:color w:val="000000" w:themeColor="text1"/>
          <w:sz w:val="22"/>
          <w:szCs w:val="22"/>
        </w:rPr>
        <w:t xml:space="preserve">characteristic of </w:t>
      </w:r>
      <w:r w:rsidR="002B0208" w:rsidRPr="0050077B">
        <w:rPr>
          <w:rFonts w:ascii="Calibri" w:hAnsi="Calibri" w:cs="Calibri"/>
          <w:color w:val="000000" w:themeColor="text1"/>
          <w:sz w:val="22"/>
          <w:szCs w:val="22"/>
        </w:rPr>
        <w:t>tumour aggressiveness and metastatic progression</w:t>
      </w:r>
      <w:r w:rsidR="008E35CC" w:rsidRPr="00D637BA">
        <w:rPr>
          <w:rFonts w:ascii="Calibri" w:hAnsi="Calibri" w:cs="Calibri"/>
          <w:color w:val="000000" w:themeColor="text1"/>
          <w:sz w:val="22"/>
          <w:szCs w:val="22"/>
        </w:rPr>
        <w:t>.</w:t>
      </w:r>
      <w:r w:rsidR="00E023DB" w:rsidRPr="00B946E4">
        <w:rPr>
          <w:rFonts w:ascii="Calibri" w:hAnsi="Calibri" w:cs="Calibri"/>
          <w:color w:val="000000" w:themeColor="text1"/>
          <w:sz w:val="22"/>
          <w:szCs w:val="22"/>
        </w:rPr>
        <w:t xml:space="preserve"> </w:t>
      </w:r>
    </w:p>
    <w:p w14:paraId="30F8B0DD" w14:textId="77777777" w:rsidR="003D1B55" w:rsidRPr="00D637BA" w:rsidRDefault="003D1B55" w:rsidP="00F131BF">
      <w:pPr>
        <w:spacing w:line="360" w:lineRule="auto"/>
        <w:jc w:val="both"/>
        <w:rPr>
          <w:rFonts w:ascii="Calibri" w:hAnsi="Calibri" w:cs="Calibri"/>
          <w:b/>
          <w:i/>
          <w:color w:val="000000" w:themeColor="text1"/>
          <w:sz w:val="22"/>
          <w:szCs w:val="22"/>
        </w:rPr>
      </w:pPr>
    </w:p>
    <w:p w14:paraId="5621E5BB" w14:textId="77777777" w:rsidR="00E37025" w:rsidRDefault="003D1B55" w:rsidP="00B946E4">
      <w:pPr>
        <w:spacing w:line="360" w:lineRule="auto"/>
        <w:jc w:val="both"/>
        <w:rPr>
          <w:rFonts w:ascii="Calibri" w:hAnsi="Calibri" w:cs="Calibri"/>
          <w:b/>
          <w:color w:val="0000FF"/>
          <w:sz w:val="22"/>
          <w:szCs w:val="22"/>
        </w:rPr>
      </w:pPr>
      <w:r w:rsidRPr="00B946E4">
        <w:rPr>
          <w:rFonts w:ascii="Calibri" w:hAnsi="Calibri" w:cs="Calibri"/>
          <w:b/>
          <w:color w:val="000000" w:themeColor="text1"/>
          <w:sz w:val="22"/>
          <w:szCs w:val="22"/>
        </w:rPr>
        <w:t xml:space="preserve">[H3] Induction of </w:t>
      </w:r>
      <w:r w:rsidR="00A4673F" w:rsidRPr="00D637BA">
        <w:rPr>
          <w:rFonts w:ascii="Calibri" w:hAnsi="Calibri" w:cs="Calibri"/>
          <w:b/>
          <w:color w:val="000000" w:themeColor="text1"/>
          <w:sz w:val="22"/>
          <w:szCs w:val="22"/>
        </w:rPr>
        <w:t xml:space="preserve">a </w:t>
      </w:r>
      <w:r w:rsidRPr="00B946E4">
        <w:rPr>
          <w:rFonts w:ascii="Calibri" w:hAnsi="Calibri" w:cs="Calibri"/>
          <w:b/>
          <w:color w:val="000000" w:themeColor="text1"/>
          <w:sz w:val="22"/>
          <w:szCs w:val="22"/>
        </w:rPr>
        <w:t>pseudohypoxi</w:t>
      </w:r>
      <w:r w:rsidR="00A4673F" w:rsidRPr="00D637BA">
        <w:rPr>
          <w:rFonts w:ascii="Calibri" w:hAnsi="Calibri" w:cs="Calibri"/>
          <w:b/>
          <w:color w:val="000000" w:themeColor="text1"/>
          <w:sz w:val="22"/>
          <w:szCs w:val="22"/>
        </w:rPr>
        <w:t>c phenotype.</w:t>
      </w:r>
      <w:r w:rsidRPr="00B946E4">
        <w:rPr>
          <w:rFonts w:ascii="Calibri" w:hAnsi="Calibri" w:cs="Calibri"/>
          <w:b/>
          <w:color w:val="000000" w:themeColor="text1"/>
          <w:sz w:val="22"/>
          <w:szCs w:val="22"/>
        </w:rPr>
        <w:t xml:space="preserve"> </w:t>
      </w:r>
    </w:p>
    <w:p w14:paraId="4A9D5394" w14:textId="03DE6FAE" w:rsidR="008E35CC" w:rsidRPr="00D637BA" w:rsidRDefault="00F131BF" w:rsidP="00B946E4">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As </w:t>
      </w:r>
      <w:r w:rsidR="00AD5229" w:rsidRPr="00D637BA">
        <w:rPr>
          <w:rFonts w:ascii="Calibri" w:hAnsi="Calibri" w:cs="Calibri"/>
          <w:color w:val="000000" w:themeColor="text1"/>
          <w:sz w:val="22"/>
          <w:szCs w:val="22"/>
        </w:rPr>
        <w:t xml:space="preserve">discussed </w:t>
      </w:r>
      <w:r w:rsidR="00B361FA" w:rsidRPr="00D637BA">
        <w:rPr>
          <w:rFonts w:ascii="Calibri" w:hAnsi="Calibri" w:cs="Calibri"/>
          <w:color w:val="000000" w:themeColor="text1"/>
          <w:sz w:val="22"/>
          <w:szCs w:val="22"/>
        </w:rPr>
        <w:t>above</w:t>
      </w:r>
      <w:r w:rsidRPr="00D637BA">
        <w:rPr>
          <w:rFonts w:ascii="Calibri" w:hAnsi="Calibri" w:cs="Calibri"/>
          <w:color w:val="000000" w:themeColor="text1"/>
          <w:sz w:val="22"/>
          <w:szCs w:val="22"/>
        </w:rPr>
        <w:t xml:space="preserve">, the initial evidence supporting the concept of oncometabolites was the </w:t>
      </w:r>
      <w:r w:rsidR="00AD5229" w:rsidRPr="00D637BA">
        <w:rPr>
          <w:rFonts w:ascii="Calibri" w:hAnsi="Calibri" w:cs="Calibri"/>
          <w:color w:val="000000" w:themeColor="text1"/>
          <w:sz w:val="22"/>
          <w:szCs w:val="22"/>
        </w:rPr>
        <w:t xml:space="preserve">elucidation of the </w:t>
      </w:r>
      <w:r w:rsidRPr="00D637BA">
        <w:rPr>
          <w:rFonts w:ascii="Calibri" w:hAnsi="Calibri" w:cs="Calibri"/>
          <w:color w:val="000000" w:themeColor="text1"/>
          <w:sz w:val="22"/>
          <w:szCs w:val="22"/>
        </w:rPr>
        <w:t>role</w:t>
      </w:r>
      <w:r w:rsidR="00AD5229" w:rsidRPr="00D637BA">
        <w:rPr>
          <w:rFonts w:ascii="Calibri" w:hAnsi="Calibri" w:cs="Calibri"/>
          <w:color w:val="000000" w:themeColor="text1"/>
          <w:sz w:val="22"/>
          <w:szCs w:val="22"/>
        </w:rPr>
        <w:t xml:space="preserve"> of succinate and fumarate</w:t>
      </w:r>
      <w:r w:rsidRPr="00D637BA">
        <w:rPr>
          <w:rFonts w:ascii="Calibri" w:hAnsi="Calibri" w:cs="Calibri"/>
          <w:color w:val="000000" w:themeColor="text1"/>
          <w:sz w:val="22"/>
          <w:szCs w:val="22"/>
        </w:rPr>
        <w:t xml:space="preserve"> in inducing a pseudohypoxic milieu in </w:t>
      </w:r>
      <w:r w:rsidRPr="00B946E4">
        <w:rPr>
          <w:rFonts w:ascii="Calibri" w:hAnsi="Calibri" w:cs="Calibri"/>
          <w:i/>
          <w:color w:val="000000" w:themeColor="text1"/>
          <w:sz w:val="22"/>
          <w:szCs w:val="22"/>
        </w:rPr>
        <w:t>SDH</w:t>
      </w:r>
      <w:r w:rsidRPr="00D637BA">
        <w:rPr>
          <w:rFonts w:ascii="Calibri" w:hAnsi="Calibri" w:cs="Calibri"/>
          <w:color w:val="000000" w:themeColor="text1"/>
          <w:sz w:val="22"/>
          <w:szCs w:val="22"/>
        </w:rPr>
        <w:t>-deficient PGL</w:t>
      </w:r>
      <w:r w:rsidR="003E706A" w:rsidRPr="00B946E4">
        <w:rPr>
          <w:rFonts w:ascii="Calibri" w:hAnsi="Calibri" w:cs="Calibri"/>
          <w:color w:val="000000" w:themeColor="text1"/>
          <w:sz w:val="22"/>
          <w:szCs w:val="22"/>
        </w:rPr>
        <w:t xml:space="preserve"> and </w:t>
      </w:r>
      <w:r w:rsidRPr="00D637BA">
        <w:rPr>
          <w:rFonts w:ascii="Calibri" w:hAnsi="Calibri" w:cs="Calibri"/>
          <w:color w:val="000000" w:themeColor="text1"/>
          <w:sz w:val="22"/>
          <w:szCs w:val="22"/>
        </w:rPr>
        <w:t>PCC</w:t>
      </w:r>
      <w:r w:rsidR="0087462E">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and</w:t>
      </w:r>
      <w:r w:rsidR="003E706A" w:rsidRPr="00D637BA">
        <w:rPr>
          <w:rFonts w:ascii="Calibri" w:hAnsi="Calibri" w:cs="Calibri"/>
          <w:color w:val="000000" w:themeColor="text1"/>
          <w:sz w:val="22"/>
          <w:szCs w:val="22"/>
        </w:rPr>
        <w:t xml:space="preserve"> in</w:t>
      </w:r>
      <w:r w:rsidRPr="00D637BA">
        <w:rPr>
          <w:rFonts w:ascii="Calibri" w:hAnsi="Calibri" w:cs="Calibri"/>
          <w:color w:val="000000" w:themeColor="text1"/>
          <w:sz w:val="22"/>
          <w:szCs w:val="22"/>
        </w:rPr>
        <w:t xml:space="preserve">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-deficient HLRCC</w:t>
      </w:r>
      <w:r w:rsidR="00AD5229" w:rsidRPr="00D637BA">
        <w:rPr>
          <w:rFonts w:ascii="Calibri" w:hAnsi="Calibri" w:cs="Calibri"/>
          <w:color w:val="000000" w:themeColor="text1"/>
          <w:sz w:val="22"/>
          <w:szCs w:val="22"/>
        </w:rPr>
        <w:t>, respectively</w:t>
      </w:r>
      <w:r w:rsidR="0042764A">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{"citationID":"a130skr3l35","properties":{"formattedCitation":"\\super 26,27,29,126\\nosupersub{}","plainCitation":"26,27,29,126","noteIndex":0},"citationItems":[{"id":367,"uris":["http://zotero.org/users/4775618/items/7IDKHAAU"],"uri":["http://zotero.org/users/4775618/items/7IDKHAAU"],"itemData":{"id":367,"type":"article-journal","title":"HIF overexpression correlates with biallelic loss of fumarate hydratase in renal cancer: Novel role of fumarate in regulation of HIF stability","container-title":"Cancer Cell","page":"143-153","volume":"8","issue":"2","source":"www.cell.com","URL":"http://www.cell.com/cancer-cell/abstract/S1535-6108(05)00226-6","DOI":"10.1016/j.ccr.2005.06.017","ISSN":"1535-6108, 1878-3686","note":"PMID: 16098467","title-short":"HIF overexpression correlates with biallelic loss of fumarate hydratase in renal cancer","journalAbbreviation":"Cancer Cell","language":"English","author":[{"family":"Isaacs","given":"Jennifer S."},{"family":"Jung","given":"Yun Jin"},{"family":"Mole","given":"David R."},{"family":"Lee","given":"Sunmin"},{"family":"Torres-Cabala","given":"Carlos"},{"family":"Chung","given":"Yuen-Li"},{"family":"Merino","given":"Maria"},{"family":"Trepel","given":"Jane"},{"family":"Zbar","given":"Berton"},{"family":"Toro","given":"Jorge"},{"family":"Ratcliffe","given":"Peter J."},{"family":"Linehan","given":"W. Marston"},{"family":"Neckers","given":"Len"}],"issued":{"date-parts":[["2005",8,1]]},"accessed":{"date-parts":[["2018",4,2]]}}},{"id":283,"uris":["http://zotero.org/users/4775618/items/GSI53XGT"],"uri":["http://zotero.org/users/4775618/items/GSI53XGT"],"itemData":{"id":283,"type":"article-journal","title":"Accumulation of Krebs cycle intermediates and over-expression of HIF1α in tumours which result from germline FH and SDH mutations","container-title":"Human Molecular Genetics","page":"2231-2239","volume":"14","issue":"15","source":"academic.oup.com","abstract":"The nuclear-encoded Krebs cycle enzymes, fumarate hydratase (FH) and succinate dehydrogenase (SDHB, -C and -D), act as tumour suppressors. Germline mutations in FH predispose individuals to leiomyomas and renal cell cancer (HLRCC), whereas mutations in SDH cause paragangliomas and phaeochromocytomas (HPGL). In this study, we have shown that FH-deficient cells and tumours accumulate fumarate and, to a lesser extent, succinate. SDH-deficient tumours principally accumulate succinate. In situ analyses showed that these tumours also have over-expression of hypoxia-inducible factor 1α (HIF1α), activation of HIF1αtargets (such as vascular endothelial growth factor) and high microvessel density. We found no evidence of increased reactive oxygen species in our cells. Our data provide in vivo evidence to support the hypothesis that increased succinate and/or fumarate causes stabilization of HIF1α a plausible mechanism, inhibition of HIF prolyl hydroxylases, has previously been suggested by in vitro studies. The basic mechanism of tumorigenesis in HPGL and HLRCC is likely to be pseudo-hypoxic drive, just as it is in von Hippel–Lindau syndrome.","URL":"https://academic.oup.com/hmg/article/14/15/2231/551734","DOI":"10.1093/hmg/ddi227","ISSN":"0964-6906","journalAbbreviation":"Hum Mol Genet","language":"en","author":[{"family":"Pollard","given":"P. J."},{"family":"Brière","given":"J. J."},{"family":"Alam","given":"N. A."},{"family":"Barwell","given":"J."},{"family":"Barclay","given":"E."},{"family":"Wortham","given":"N. C."},{"family":"Hunt","given":"T."},{"family":"Mitchell","given":"M."},{"family":"Olpin","given":"S."},{"family":"Moat","given":"S. J."},{"family":"Hargreaves","given":"I. P."},{"family":"Heales","given":"S. J."},{"family":"Chung","given":"Y. L."},{"family":"Griffiths","given":"J. R."},{"family":"Dalgleish","given":"A."},{"family":"McGrath","given":"J. A."},{"family":"Gleeson","given":"M. J."},{"family":"Hodgson","given":"S. V."},{"family":"Poulsom","given":"R."},{"family":"Rustin","given":"P."},{"family":"Tomlinson","given":"I. P. M."}],"issued":{"date-parts":[["2005",8,1]]},"accessed":{"date-parts":[["2018",3,24]]}}},{"id":660,"uris":["http://zotero.org/users/4775618/items/AILNC6X3"],"uri":["http://zotero.org/users/4775618/items/AILNC6X3"],"itemData":{"id":660,"type":"article-journal","title":"Succinate links TCA cycle dysfunction to oncogenesis by inhibiting HIF-alpha prolyl hydroxylase","container-title":"Cancer Cell","page":"77-85","volume":"7","issue":"1","source":"PubMed","abstract":"Several mitochondrial proteins are tumor suppressors. These include succinate dehydrogenase (SDH) and fumarate hydratase, both enzymes of the tricarboxylic acid (TCA) cycle. However, to date, the mechanisms by which defects in the TCA cycle contribute to tumor formation have not been elucidated. Here we describe a mitochondrion-to-cytosol signaling pathway that links mitochondrial dysfunction to oncogenic events: succinate, which accumulates as a result of SDH inhibition, inhibits HIF-alpha prolyl hydroxylases in the cytosol, leading to stabilization and activation of HIF-1alpha. These results suggest a mechanistic link between SDH mutations and HIF-1alpha induction, providing an explanation for the highly vascular tumors that develop in the absence of VHL mutations.","DOI":"10.1016/j.ccr.2004.11.022","ISSN":"1535-6108","note":"PMID: 15652751","journalAbbreviation":"Cancer Cell","language":"eng","author":[{"family":"Selak","given":"Mary A."},{"family":"Armour","given":"Sean M."},{"family":"MacKenzie","given":"Elaine D."},{"family":"Boulahbel","given":"Houda"},{"family":"Watson","given":"David G."},{"family":"Mansfield","given":"Kyle D."},{"family":"Pan","given":"Yi"},{"family":"Simon","given":"M. Celeste"},{"family":"Thompson","given":"Craig B."},{"family":"Gottlieb","given":"Eyal"}],"issued":{"date-parts":[["2005",1]]}}},{"id":662,"uris":["http://zotero.org/users/4775618/items/DMV7LB9R"],"uri":["http://zotero.org/users/4775618/items/DMV7LB9R"],"itemData":{"id":662,"type":"article-journal","title":"Redox stress is not essential for the pseudo-hypoxic phenotype of succinate dehydrogenase deficient cells","container-title":"Biochimica et Biophysica Acta (BBA) - Bioenergetics","collection-title":"14th European Bioenergetics Conference","page":"567-572","volume":"1757","issue":"5","source":"ScienceDirect","abstract":"HIFα prolyl hydroxylases (PHDs) are a family of enzymes that regulate protein levels of the α subunit of the hypoxia inducible transcription factor (HIF) under different oxygen levels. PHDs catalyse the conversion of a prolyl residue, molecular oxygen and α-ketoglutarate to hydroxy-prolyl, carbon dioxide and succinate in a reaction dependent on ferrous iron and ascorbate as cofactors. Recently it was shown that pseudo-hypoxia, HIF induction under normoxic conditions, is an important feature of tumours generated as a consequence of inactivation of the mitochondrial tumour suppressor ‘succinate dehydrogenase’ (SDH). Two models have been proposed to describe the link between SDH inhibition and HIF activation. Both models suggest that a mitochondrial-generated signal leads to the inhibition of PHDs in the cytosol, however, the models differ in the nature of the proposed messenger. The first model postulates that mitochondrial-generated hydrogen peroxide mediates signal transduction while the second model implicates succinate as the molecular messenger which leaves the mitochondrion and inhibits PHDs in the cytosol. Here we show that pseudo-hypoxia can be observed in SDH-suppressed cells in the absence of oxidative stress and in the presence of effective antioxidant treatment.","URL":"http://www.sciencedirect.com/science/article/pii/S0005272806001411","DOI":"10.1016/j.bbabio.2006.05.015","ISSN":"0005-2728","journalAbbreviation":"Biochimica et Biophysica Acta (BBA) - Bioenergetics","author":[{"family":"Selak","given":"Mary A."},{"family":"Durán","given":"Raứl V."},{"family":"Gottlieb","given":"Eyal"}],"issued":{"date-parts":[["2006",5,1]]},"accessed":{"date-parts":[["2018",8,26]]}}}],"schema":"https://github.com/citation-style-language/schema/raw/master/csl-citation.json"} </w:instrText>
      </w:r>
      <w:r w:rsidR="0042764A">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26,27,29,126</w:t>
      </w:r>
      <w:r w:rsidR="0042764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AD5229" w:rsidRPr="00D637BA">
        <w:rPr>
          <w:rFonts w:ascii="Calibri" w:hAnsi="Calibri" w:cs="Calibri"/>
          <w:color w:val="000000" w:themeColor="text1"/>
          <w:sz w:val="22"/>
          <w:szCs w:val="22"/>
        </w:rPr>
        <w:t>As PHD hydroxylates HIF1α and HIF2α subunits and targets them for degradation, d</w:t>
      </w:r>
      <w:r w:rsidRPr="00D637BA">
        <w:rPr>
          <w:rFonts w:ascii="Calibri" w:hAnsi="Calibri" w:cs="Calibri"/>
          <w:color w:val="000000" w:themeColor="text1"/>
          <w:sz w:val="22"/>
          <w:szCs w:val="22"/>
        </w:rPr>
        <w:t>irect inhibition of PHD</w:t>
      </w:r>
      <w:r w:rsidR="00AD5229" w:rsidRPr="00D637BA">
        <w:rPr>
          <w:rFonts w:ascii="Calibri" w:hAnsi="Calibri" w:cs="Calibri"/>
          <w:color w:val="000000" w:themeColor="text1"/>
          <w:sz w:val="22"/>
          <w:szCs w:val="22"/>
        </w:rPr>
        <w:t xml:space="preserve"> by fumarate or succinate </w:t>
      </w:r>
      <w:r w:rsidRPr="00D637BA">
        <w:rPr>
          <w:rFonts w:ascii="Calibri" w:hAnsi="Calibri" w:cs="Calibri"/>
          <w:color w:val="000000" w:themeColor="text1"/>
          <w:sz w:val="22"/>
          <w:szCs w:val="22"/>
        </w:rPr>
        <w:t>ultimately culminat</w:t>
      </w:r>
      <w:r w:rsidR="00AD5229" w:rsidRPr="00D637BA">
        <w:rPr>
          <w:rFonts w:ascii="Calibri" w:hAnsi="Calibri" w:cs="Calibri"/>
          <w:color w:val="000000" w:themeColor="text1"/>
          <w:sz w:val="22"/>
          <w:szCs w:val="22"/>
        </w:rPr>
        <w:t>es</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in aberrant HIF </w:t>
      </w:r>
      <w:r w:rsidRPr="00D637BA">
        <w:rPr>
          <w:rFonts w:ascii="Calibri" w:hAnsi="Calibri" w:cs="Calibri"/>
          <w:color w:val="000000" w:themeColor="text1"/>
          <w:sz w:val="22"/>
          <w:szCs w:val="22"/>
        </w:rPr>
        <w:lastRenderedPageBreak/>
        <w:t>stabilisation with downstream upregulation of HIF-targeted genes such as VEGF and GLUT1</w:t>
      </w:r>
      <w:r w:rsidR="004714CA">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{"citationID":"ak0b9enhsm","properties":{"formattedCitation":"\\super 19,26,27\\nosupersub{}","plainCitation":"19,26,27","noteIndex":0},"citationItems":[{"id":1067,"uris":["http://zotero.org/users/4775618/items/WT52STQJ"],"uri":["http://zotero.org/users/4775618/items/WT52STQJ"],"itemData":{"id":1067,"type":"article-journal","title":"Targeting of HIF-alpha to the von Hippel-Lindau ubiquitylation complex by O2-regulated prolyl hydroxylation","container-title":"Science (New York, N.Y.)","page":"468-472","volume":"292","issue":"5516","source":"PubMed","abstract":"Hypoxia-inducible factor (HIF) is a transcriptional complex that plays a central role in the regulation of gene expression by oxygen. In oxygenated and iron replete cells, HIF-alpha subunits are rapidly destroyed by a mechanism that involves ubiquitylation by the von Hippel-Lindau tumor suppressor (pVHL) E3 ligase complex. This process is suppressed by hypoxia and iron chelation, allowing transcriptional activation. Here we show that the interaction between human pVHL and a specific domain of the HIF-1alpha subunit is regulated through hydroxylation of a proline residue (HIF-1alpha P564) by an enzyme we have termed HIF-alpha prolyl-hydroxylase (HIF-PH). An absolute requirement for dioxygen as a cosubstrate and iron as cofactor suggests that HIF-PH functions directly as a cellular oxygen sensor.","DOI":"10.1126/science.1059796","ISSN":"0036-8075","note":"PMID: 11292861","journalAbbreviation":"Science","language":"eng","author":[{"family":"Jaakkola","given":"P."},{"family":"Mole","given":"D. R."},{"family":"Tian","given":"Y. M."},{"family":"Wilson","given":"M. I."},{"family":"Gielbert","given":"J."},{"family":"Gaskell","given":"S. J."},{"family":"Kriegsheim","given":"A.","non-dropping-particle":"von"},{"family":"Hebestreit","given":"H. F."},{"family":"Mukherji","given":"M."},{"family":"Schofield","given":"C. J."},{"family":"Maxwell","given":"P. H."},{"family":"Pugh","given":"C. W."},{"family":"Ratcliffe","given":"P. J."}],"issued":{"date-parts":[["2001",4,20]]}}},{"id":367,"uris":["http://zotero.org/users/4775618/items/7IDKHAAU"],"uri":["http://zotero.org/users/4775618/items/7IDKHAAU"],"itemData":{"id":367,"type":"article-journal","title":"HIF overexpression correlates with biallelic loss of fumarate hydratase in renal cancer: Novel role of fumarate in regulation of HIF stability","container-title":"Cancer Cell","page":"143-153","volume":"8","issue":"2","source":"www.cell.com","URL":"http://www.cell.com/cancer-cell/abstract/S1535-6108(05)00226-6","DOI":"10.1016/j.ccr.2005.06.017","ISSN":"1535-6108, 1878-3686","note":"PMID: 16098467","title-short":"HIF overexpression correlates with biallelic loss of fumarate hydratase in renal cancer","journalAbbreviation":"Cancer Cell","language":"English","author":[{"family":"Isaacs","given":"Jennifer S."},{"family":"Jung","given":"Yun Jin"},{"family":"Mole","given":"David R."},{"family":"Lee","given":"Sunmin"},{"family":"Torres-Cabala","given":"Carlos"},{"family":"Chung","given":"Yuen-Li"},{"family":"Merino","given":"Maria"},{"family":"Trepel","given":"Jane"},{"family":"Zbar","given":"Berton"},{"family":"Toro","given":"Jorge"},{"family":"Ratcliffe","given":"Peter J."},{"family":"Linehan","given":"W. Marston"},{"family":"Neckers","given":"Len"}],"issued":{"date-parts":[["2005",8,1]]},"accessed":{"date-parts":[["2018",4,2]]}}},{"id":283,"uris":["http://zotero.org/users/4775618/items/GSI53XGT"],"uri":["http://zotero.org/users/4775618/items/GSI53XGT"],"itemData":{"id":283,"type":"article-journal","title":"Accumulation of Krebs cycle intermediates and over-expression of HIF1α in tumours which result from germline FH and SDH mutations","container-title":"Human Molecular Genetics","page":"2231-2239","volume":"14","issue":"15","source":"academic.oup.com","abstract":"The nuclear-encoded Krebs cycle enzymes, fumarate hydratase (FH) and succinate dehydrogenase (SDHB, -C and -D), act as tumour suppressors. Germline mutations in FH predispose individuals to leiomyomas and renal cell cancer (HLRCC), whereas mutations in SDH cause paragangliomas and phaeochromocytomas (HPGL). In this study, we have shown that FH-deficient cells and tumours accumulate fumarate and, to a lesser extent, succinate. SDH-deficient tumours principally accumulate succinate. In situ analyses showed that these tumours also have over-expression of hypoxia-inducible factor 1α (HIF1α), activation of HIF1αtargets (such as vascular endothelial growth factor) and high microvessel density. We found no evidence of increased reactive oxygen species in our cells. Our data provide in vivo evidence to support the hypothesis that increased succinate and/or fumarate causes stabilization of HIF1α a plausible mechanism, inhibition of HIF prolyl hydroxylases, has previously been suggested by in vitro studies. The basic mechanism of tumorigenesis in HPGL and HLRCC is likely to be pseudo-hypoxic drive, just as it is in von Hippel–Lindau syndrome.","URL":"https://academic.oup.com/hmg/article/14/15/2231/551734","DOI":"10.1093/hmg/ddi227","ISSN":"0964-6906","journalAbbreviation":"Hum Mol Genet","language":"en","author":[{"family":"Pollard","given":"P. J."},{"family":"Brière","given":"J. J."},{"family":"Alam","given":"N. A."},{"family":"Barwell","given":"J."},{"family":"Barclay","given":"E."},{"family":"Wortham","given":"N. C."},{"family":"Hunt","given":"T."},{"family":"Mitchell","given":"M."},{"family":"Olpin","given":"S."},{"family":"Moat","given":"S. J."},{"family":"Hargreaves","given":"I. P."},{"family":"Heales","given":"S. J."},{"family":"Chung","given":"Y. L."},{"family":"Griffiths","given":"J. R."},{"family":"Dalgleish","given":"A."},{"family":"McGrath","given":"J. A."},{"family":"Gleeson","given":"M. J."},{"family":"Hodgson","given":"S. V."},{"family":"Poulsom","given":"R."},{"family":"Rustin","given":"P."},{"family":"Tomlinson","given":"I. P. M."}],"issued":{"date-parts":[["2005",8,1]]},"accessed":{"date-parts":[["2018",3,24]]}}}],"schema":"https://github.com/citation-style-language/schema/raw/master/csl-citation.json"} </w:instrText>
      </w:r>
      <w:r w:rsidR="004714CA">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19,26,27</w:t>
      </w:r>
      <w:r w:rsidR="004714C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Notably, these tumours</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tend to exhibit intense vascularisation and hypoxic gene signatures in keeping with a pseudohypoxic tumour phenotype</w:t>
      </w:r>
      <w:r w:rsidR="004714CA">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{"citationID":"a1gq5ivrfuc","properties":{"formattedCitation":"\\super 51\\uc0\\u8211{}55\\nosupersub{}","plainCitation":"51–55","noteIndex":0},"citationItems":[{"id":1459,"uris":["http://zotero.org/users/4775618/items/FYD45399"],"uri":["http://zotero.org/users/4775618/items/FYD45399"],"itemData":{"id":1459,"type":"article-journal","title":"Cells silenced for SDHB expression display characteristic features of the tumor phenotype","container-title":"Cancer Research","page":"4058-4067","volume":"68","issue":"11","source":"PubMed","abstract":"Recently, enzymes of the tricarboxylic acid (TCA) cycle have emerged as novel tumor suppressors. In particular, mutations in the nuclear-encoded subunits of succinate dehydrogenase (SDHB, SDHC, and SDHD) cause paragangliomas and pheochromocytomas. Although the mechanism(s) by which disruption of mitochondrial metabolism leads to neoplasia is largely unknown, increasing evidence points to an activation of pseudohypoxia. In this study, we have shown that silencing of SDHB using DNA-based small interfering RNA resulted in major impairments in cellular proliferation, respiration, and a corresponding shift to glycolysis. The levels of reactive oxygen species, however, were unchanged. As expected, hypoxia-inducible factor-1 alpha (HIF-1 alpha) and HIF-2alpha were up-regulated in chronically silenced cells, suggesting that a pseudohypoxic state was attained. In addition, the c-Jun amino-terminal kinase and p38 kinase stress signaling proteins were hyperphosphorylated in SDHB-silenced cells. Microarray analysis showed that &gt;400 genes were influenced (6-fold or more up-regulation or down-regulation) by silencing of SDHB, confirming the importance of the TCA cycle in cellular metabolism. Examples of dysregulated genes included those involved in proliferation, adhesion, and the hypoxia pathway. Of interest, SDHB-silenced cells had a greater capacity to adhere to extracellular matrix components, including fibronectin and laminin, than control cells, thus suggesting a possible mechanism of tumor initiation. Although transient silencing of the HIF-1 alpha transcription factor in SDHB-silenced cells had little effect on the expression of a subset of up-regulated genes, it partially reversed the adhesion phenotype to fibronectin, pointing to a potentially important role for HIF-1 in this process.","DOI":"10.1158/0008-5472.CAN-07-5580","ISSN":"1538-7445","note":"PMID: 18519664","journalAbbreviation":"Cancer Res.","language":"eng","author":[{"family":"Cervera","given":"Ana M."},{"family":"Apostolova","given":"Nadezda"},{"family":"Crespo","given":"Francisco Luna"},{"family":"Mata","given":"Manuel"},{"family":"McCreath","given":"Kenneth J."}],"issued":{"date-parts":[["2008",6,1]]}}},{"id":1464,"uris":["http://zotero.org/users/4775618/items/KAK9SXUY"],"uri":["http://zotero.org/users/4775618/items/KAK9SXUY"],"itemData":{"id":1464,"type":"article-journal","title":"A HIF1α Regulatory Loop Links Hypoxia and Mitochondrial Signals in Pheochromocytomas","container-title":"PLoS Genetics","volume":"1","issue":"1","source":"PubMed Central","abstract":"Pheochromocytomas are neural crest–derived tumors that arise from inherited or sporadic mutations in at least six independent genes. The proteins encoded by these multiple genes regulate distinct functions. We show here a functional link between tumors with VHL mutations and those with disruption of the genes encoding for succinate dehydrogenase (SDH) subunits B (SDHB) and D (SDHD). A transcription profile of reduced oxidoreductase is detected in all three of these tumor types, together with an angiogenesis/hypoxia profile typical of VHL dysfunction. The oxidoreductase defect, not previously detected in VHL-null tumors, is explained by suppression of the SDHB protein, a component of mitochondrial complex II. The decrease in SDHB is also noted in tumors with SDHD mutations. Gain-of-function and loss-of-function analyses show that the link between hypoxia signals (via VHL) and mitochondrial signals (via SDH) is mediated by HIF1α. These findings explain the shared features of pheochromocytomas with VHL and SDH mutations and suggest an additional mechanism for increased HIF1α activity in tumors.","URL":"https://www.ncbi.nlm.nih.gov/pmc/articles/PMC1183527/","DOI":"10.1371/journal.pgen.0010008","ISSN":"1553-7390","note":"PMID: 16103922\nPMCID: PMC1183527","journalAbbreviation":"PLoS Genet","author":[{"family":"Dahia","given":"Patricia L. M"},{"family":"Ross","given":"Ken N"},{"family":"Wright","given":"Matthew E"},{"family":"Hayashida","given":"César Y"},{"family":"Santagata","given":"Sandro"},{"family":"Barontini","given":"Marta"},{"family":"Kung","given":"Andrew L"},{"family":"Sanso","given":"Gabriela"},{"family":"Powers","given":"James F"},{"family":"Tischler","given":"Arthur S"},{"family":"Hodin","given":"Richard"},{"family":"Heitritter","given":"Shannon"},{"family":"Moore","given":"Francis"},{"family":"Dluhy","given":"Robert"},{"family":"Sosa","given":"Julie Ann"},{"family":"Ocal","given":"I. Tolgay"},{"family":"Benn","given":"Diana E"},{"family":"Marsh","given":"Deborah J"},{"family":"Robinson","given":"Bruce G"},{"family":"Schneider","given":"Katherine"},{"family":"Garber","given":"Judy"},{"family":"Arum","given":"Seth M"},{"family":"Korbonits","given":"Márta"},{"family":"Grossman","given":"Ashley"},{"family":"Pigny","given":"Pascal"},{"family":"Toledo","given":"Sérgio P. A"},{"family":"Nosé","given":"Vania"},{"family":"Li","given":"Cheng"},{"family":"Stiles","given":"Charles D"}],"issued":{"date-parts":[["2005",7]]},"accessed":{"date-parts":[["2019",2,25]]}}},{"id":1453,"uris":["http://zotero.org/users/4775618/items/J5MV73AR"],"uri":["http://zotero.org/users/4775618/items/J5MV73AR"],"itemData":{"id":1453,"type":"article-journal","title":"Research resource: Transcriptional profiling reveals different pseudohypoxic signatures in SDHB and VHL-related pheochromocytomas","container-title":"Molecular Endocrinology (Baltimore, Md.)","page":"2382-2391","volume":"24","issue":"12","source":"PubMed","abstract":"The six major genes involved in hereditary susceptibility for pheochromocytoma (PCC)/paraganglioma (PGL) (RET, VHL, NF1, SDHB, SDHC, and SDHD) have been recently integrated into the same neuronal apoptotic pathway where mutations in any of these genes lead to cell death. In this model, prolyl hydroxylase 3 (EglN3) abrogation plays a pivotal role, but the molecular mechanisms underlying its inactivation are currently unknown. The aim of the study was to decipher specific alterations associated with the different genetic classes of PCCs/PGLs. With this purpose, 84 genetically characterized tumors were analyzed by means of transcriptional profiling. The analysis revealed a hypoxia-inducible factor (HIF)-related signature common to succinate dehydrogenase (SDH) and von Hippel-Lindau (VHL) tumors, that differentiated them from RET and neurofibromatosis type 1 cases. Both canonical HIF-1α and HIF-2α target genes were overexpressed in the SDH/VHL cluster, suggesting that a global HIF deregulation accounts for this common profile. Nevertheless, when we compared VHL tumors with SDHB cases, which often exhibit a malignant behavior, we found that HIF-1α target genes showed a predominant activation in the VHL PCCs. Expression data from 67 HIF target genes was sufficient to cluster SDHB and VHL tumors into two different groups, demonstrating different pseudo-hypoxic signatures. In addition, VHL-mutated tumors showed an unexpected overexpression of EglN3 mRNA that did not lead to significantly different EglN3 protein levels. These findings pave the way for more specific therapeutic approaches for malignant PCCs/PGLs management based on the patient's genetic alteration.","DOI":"10.1210/me.2010-0256","ISSN":"1944-9917","note":"PMID: 20980436\nPMCID: PMC5417372","title-short":"Research resource","journalAbbreviation":"Mol. Endocrinol.","language":"eng","author":[{"family":"López-Jiménez","given":"Elena"},{"family":"Gómez-López","given":"Gonzalo"},{"family":"Leandro-García","given":"L. Javier"},{"family":"Muñoz","given":"Iván"},{"family":"Schiavi","given":"Francesca"},{"family":"Montero-Conde","given":"Cristina"},{"family":"Cubas","given":"Aguirre A.","non-dropping-particle":"de"},{"family":"Ramires","given":"Ricardo"},{"family":"Landa","given":"Iñigo"},{"family":"Leskelä","given":"Susanna"},{"family":"Maliszewska","given":"Agnieszka"},{"family":"Inglada-Pérez","given":"Lucía"},{"family":"Vega","given":"Leticia","non-dropping-particle":"de la"},{"family":"Rodríguez-Antona","given":"Cristina"},{"family":"Letón","given":"Rocío"},{"family":"Bernal","given":"Carmen"},{"family":"Campos","given":"José M.","non-dropping-particle":"de"},{"family":"Diez-Tascón","given":"Cristina"},{"family":"Fraga","given":"Mario F."},{"family":"Boullosa","given":"Cesar"},{"family":"Pisano","given":"David G."},{"family":"Opocher","given":"Giuseppe"},{"family":"Robledo","given":"Mercedes"},{"family":"Cascón","given":"Alberto"}],"issued":{"date-parts":[["2010",12]]}}},{"id":1309,"uris":["http://zotero.org/users/4775618/items/H3QQWWDU"],"uri":["http://zotero.org/users/4775618/items/H3QQWWDU"],"itemData":{"id":1309,"type":"article-journal","title":"Evidence of increased microvessel density and activation of the hypoxia pathway in tumours from the hereditary leiomyomatosis and renal cell cancer syndrome","container-title":"The Journal of Pathology","page":"41-49","volume":"205","issue":"1","source":"PubMed","abstract":"The Mendelian tumour syndromes hereditary leiomyomatosis and renal cell cancer (HLRCC) and hereditary paragangliomatosis with phaeochromocytomas (HPGL) result from mutations in nuclear genes (FH and SDHB/C/D, respectively) that encode Krebs cycle enzymes. HPGL tumours are highly vascular and there is evidence that inactivation of SDH leads to activation of the hypoxia/angiogenesis pathway. In contrast, uterine leiomyomas are not generally regarded as particularly vascular lesions. In order to test the possibility that activation of the hypoxia/angiogenesis pathway contributes to tumourigenesis in HLRCC, increased vascularity and hypoxia pathway activation were searched for in HLRCC tumours. Microvessel density was markedly higher in uterine leiomyomas from HLRCC than in the surrounding myometrium; it was notable that sporadic uterine leiomyomas were actually less vascular than normal myometrium. In HLRCC tumours, there was increased expression of transcripts from the hypoxia-responsive genes vascular endothelial growth factor (VEGF) and BNIP3; sporadic uterine leiomyomas did not show these changes. All uterine leiomyomas showed decreased expression of thrombospondin 1. Although sporadic and HLRCC uterine leiomyomas appear to have identical morphology, their pathways of tumourigenesis may be fundamentally different. As is the case in HPGL, it is probable that failure of the Krebs cycle in HLRCC tumours causes inappropriate signalling that the cell is in a hypoxic state, leading to angiogenesis and perhaps directly to clonal expansion and tumour growth through some uncharacterized, cell-autonomous effect.","DOI":"10.1002/path.1686","ISSN":"0022-3417","note":"PMID: 15586379","journalAbbreviation":"J. Pathol.","language":"eng","author":[{"family":"Pollard","given":"Patrick"},{"family":"Wortham","given":"Noel"},{"family":"Barclay","given":"Ella"},{"family":"Alam","given":"Afrina"},{"family":"Elia","given":"George"},{"family":"Manek","given":"Sanjiv"},{"family":"Poulsom","given":"Richard"},{"family":"Tomlinson","given":"Ian"}],"issued":{"date-parts":[["2005",1]]}}},{"id":1469,"uris":["http://zotero.org/users/4775618/items/JHNHS3CU"],"uri":["http://zotero.org/users/4775618/items/JHNHS3CU"],"itemData":{"id":1469,"type":"article-journal","title":"Distinct expression profile in fumarate-hydratase-deficient uterine fibroids","container-title":"Human Molecular Genetics","page":"97-103","volume":"15","issue":"1","source":"PubMed","abstract":"Defects in mitochondrial enzymes predispose to severe developmental defects as well as tumorigenesis. Heterozygous germline mutations in the nuclear gene encoding fumarate hydratase (FH), an enzyme catalyzing the hydration of fumarate in the Krebs tricarboxylic acid cycle, cause hereditary leiomyomatosis and renal cell cancer; yet the connection between disruption of mitochondrial metabolic pathways and neoplasia remains to be discovered. We have used an expression microarray approach for studying differences in global gene expression pattern caused by mutations in FH. Seven uterine fibroids carrying FH mutations were compared with 15 fibroids with wild-type FH. The two groups showed markedly different expression profiles, and multiple differentially expressed genes were detected. The most significant increase in FH mutants was seen in the expression of carbohydrate metabolism- and glycolysis-related genes. Other significantly up-regulated gene categories in FH mutants were, for example, iron ion homeostasis and oxidoreduction. Genes with lower expression in FH-mutant fibroids belonged to groups such as extracellular matrix, cell adhesion, muscle development and cell contraction. We show that FH mutations alter significantly the expression profiles of fibroids, most strikingly increasing the expression of genes involved in glycolysis.","DOI":"10.1093/hmg/ddi431","ISSN":"0964-6906","note":"PMID: 16319128","journalAbbreviation":"Hum. Mol. Genet.","language":"eng","author":[{"family":"Vanharanta","given":"Sakari"},{"family":"Pollard","given":"Patrick J."},{"family":"Lehtonen","given":"Heli J."},{"family":"Laiho","given":"Päivi"},{"family":"Sjöberg","given":"Jari"},{"family":"Leminen","given":"Arto"},{"family":"Aittomäki","given":"Kristiina"},{"family":"Arola","given":"Johanna"},{"family":"Kruhoffer","given":"Mogens"},{"family":"Orntoft","given":"Torben F."},{"family":"Tomlinson","given":"Ian P."},{"family":"Kiuru","given":"Maija"},{"family":"Arango","given":"Diego"},{"family":"Aaltonen","given":"Lauri A."}],"issued":{"date-parts":[["2006",1,1]]}}}],"schema":"https://github.com/citation-style-language/schema/raw/master/csl-citation.json"} </w:instrText>
      </w:r>
      <w:r w:rsidR="004714CA">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51–55</w:t>
      </w:r>
      <w:r w:rsidR="004714C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Interestingly, HIF1α</w:t>
      </w:r>
      <w:r w:rsidR="002B0208">
        <w:rPr>
          <w:rFonts w:ascii="Calibri" w:hAnsi="Calibri" w:cs="Calibri"/>
          <w:color w:val="000000" w:themeColor="text1"/>
          <w:sz w:val="22"/>
          <w:szCs w:val="22"/>
        </w:rPr>
        <w:t xml:space="preserve"> and/or HIF</w:t>
      </w:r>
      <w:r w:rsidRPr="00D637BA">
        <w:rPr>
          <w:rFonts w:ascii="Calibri" w:hAnsi="Calibri" w:cs="Calibri"/>
          <w:color w:val="000000" w:themeColor="text1"/>
          <w:sz w:val="22"/>
          <w:szCs w:val="22"/>
        </w:rPr>
        <w:t xml:space="preserve">2αinactivation in </w:t>
      </w:r>
      <w:r w:rsidRPr="00D637BA">
        <w:rPr>
          <w:rFonts w:ascii="Calibri" w:hAnsi="Calibri" w:cs="Calibri"/>
          <w:i/>
          <w:color w:val="000000" w:themeColor="text1"/>
          <w:sz w:val="22"/>
          <w:szCs w:val="22"/>
        </w:rPr>
        <w:t>SDHB</w:t>
      </w:r>
      <w:r w:rsidRPr="00D637BA">
        <w:rPr>
          <w:rFonts w:ascii="Calibri" w:hAnsi="Calibri" w:cs="Calibri"/>
          <w:color w:val="000000" w:themeColor="text1"/>
          <w:sz w:val="22"/>
          <w:szCs w:val="22"/>
        </w:rPr>
        <w:t>-deficient osteosarcoma cells significantly impaired tumour growth in a mouse xenograft model</w:t>
      </w:r>
      <w:r w:rsidR="004714CA">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{"citationID":"a2g3f8oen5g","properties":{"formattedCitation":"\\super 144\\nosupersub{}","plainCitation":"144","noteIndex":0},"citationItems":[{"id":391,"uris":["http://zotero.org/users/4775618/items/AJFGWPUI"],"uri":["http://zotero.org/users/4775618/items/AJFGWPUI"],"itemData":{"id":391,"type":"article-journal","title":"Loss of the SdhB, but Not the SdhA, Subunit of Complex II Triggers Reactive Oxygen Species-Dependent Hypoxia-Inducible Factor Activation and Tumorigenesis","container-title":"Molecular and Cellular Biology","page":"718-731","volume":"28","issue":"2","source":"PubMed Central","abstract":"Mitochondrial complex II is a tumor suppressor comprised of four subunits (SdhA, SdhB, SdhC, and SdhD). Mutations in any of these should disrupt complex II enzymatic activity, yet defects in SdhA produce bioenergetic deficiency while defects in SdhB, SdhC, or SdhD induce tumor formation. The mechanisms underlying these differences are not known. We show that the inhibition of distal subunits of complex II, either pharmacologically or via RNA interference of SdhB, increases normoxic reactive oxygen species (ROS) production, increases hypoxia-inducible factor alpha (HIF-α) stabilization in an ROS-dependent manner, and increases growth rates in vitro and in vivo without affecting hypoxia-mediated activation of HIF-α. Proximal pharmacologic inhibition or RNA interference of complex II at SdhA, however, does not increase normoxic ROS production or HIF-α stabilization and results in decreased growth rates in vitro and in vivo. Furthermore, the enhanced growth rates resulting from SdhB suppression are inhibited by the suppression of HIF-1α and/or HIF-2α, indicating that the mechanism of SdhB-induced tumor formation relies upon ROS production and subsequent HIF-α activation. Therefore, differences in ROS production, HIF proliferation, and cell proliferation contribute to the differences in tumor phenotype in cells lacking SdhB as opposed to those lacking SdhA.","URL":"https://www.ncbi.nlm.nih.gov/pmc/articles/PMC2223429/","DOI":"10.1128/MCB.01338-07","ISSN":"0270-7306","note":"PMID: 17967865\nPMCID: PMC2223429","journalAbbreviation":"Mol Cell Biol","author":[{"family":"Guzy","given":"Robert D."},{"family":"Sharma","given":"Bhumika"},{"family":"Bell","given":"Eric"},{"family":"Chandel","given":"Navdeep S."},{"family":"Schumacker","given":"Paul T."}],"issued":{"date-parts":[["2008",1]]},"accessed":{"date-parts":[["2018",4,2]]}}}],"schema":"https://github.com/citation-style-language/schema/raw/master/csl-citation.json"} </w:instrText>
      </w:r>
      <w:r w:rsidR="004714CA">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144</w:t>
      </w:r>
      <w:r w:rsidR="004714CA">
        <w:rPr>
          <w:rFonts w:ascii="Calibri" w:hAnsi="Calibri" w:cs="Calibri"/>
          <w:color w:val="000000" w:themeColor="text1"/>
          <w:sz w:val="22"/>
          <w:szCs w:val="22"/>
        </w:rPr>
        <w:fldChar w:fldCharType="end"/>
      </w:r>
      <w:r w:rsidR="00F252DB"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whereas HIF1α</w:t>
      </w:r>
      <w:r w:rsidR="00A40575">
        <w:rPr>
          <w:rFonts w:ascii="Calibri" w:hAnsi="Calibri" w:cs="Calibri"/>
          <w:color w:val="000000" w:themeColor="text1"/>
          <w:sz w:val="22"/>
          <w:szCs w:val="22"/>
        </w:rPr>
        <w:t xml:space="preserve"> and HIF</w:t>
      </w:r>
      <w:r w:rsidRPr="00D637BA">
        <w:rPr>
          <w:rFonts w:ascii="Calibri" w:hAnsi="Calibri" w:cs="Calibri"/>
          <w:color w:val="000000" w:themeColor="text1"/>
          <w:sz w:val="22"/>
          <w:szCs w:val="22"/>
        </w:rPr>
        <w:t>2α inactivation in a FH-deficient mouse model of renal cyst disease exacerbated or failed to ameliorate this phenotype</w:t>
      </w:r>
      <w:r w:rsidR="00FB34BA"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respectively</w:t>
      </w:r>
      <w:r w:rsidR="004714CA">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{"citationID":"a1ra6h1a1lq","properties":{"formattedCitation":"\\super 145\\nosupersub{}","plainCitation":"145","noteIndex":0},"citationItems":[{"id":376,"uris":["http://zotero.org/users/4775618/items/SS7ZDL5R"],"uri":["http://zotero.org/users/4775618/items/SS7ZDL5R"],"itemData":{"id":376,"type":"article-journal","title":"Renal Cyst Formation in Fh1-Deficient Mice Is Independent of the Hif/Phd Pathway: Roles for Fumarate in KEAP1 Succination and Nrf2 Signaling","container-title":"Cancer Cell","page":"524-537","volume":"20","issue":"4","source":"www.cell.com","abstract":"&lt;h2&gt;Summary&lt;/h2&gt;&lt;p&gt;The Krebs cycle enzyme fumarate hydratase (&lt;i&gt;FH&lt;/i&gt;) is a human tumor suppressor whose inactivation is associated with the development of leiomyomata, renal cysts, and tumors. It has been proposed that activation of hypoxia inducible factor (HIF) by fumarate-mediated inhibition of HIF prolyl hydroxylases drives oncogenesis. Using a mouse model, we provide genetic evidence that Fh1-associated cyst formation is Hif independent, as is striking upregulation of antioxidant signaling pathways revealed by gene expression profiling. Mechanistic analysis revealed that fumarate modifies cysteine residues within the Kelch-like ECH-associated protein 1 (KEAP1), abrogating its ability to repress the Nuclear factor (erythroid-derived 2)-like 2 (Nrf2)-mediated antioxidant response pathway, suggesting a role for Nrf2 dysregulation in FH-associated cysts and tumors.&lt;/p&gt;","URL":"http://www.cell.com/cancer-cell/abstract/S1535-6108(11)00354-0","DOI":"10.1016/j.ccr.2011.09.006","ISSN":"1535-6108, 1878-3686","note":"PMID: 22014577, 22014577","title-short":"Renal Cyst Formation in Fh1-Deficient Mice Is Independent of the Hif/Phd Pathway","journalAbbreviation":"Cancer Cell","language":"English","author":[{"family":"Adam","given":"Julie"},{"family":"Hatipoglu","given":"Emine"},{"family":"O'Flaherty","given":"Linda"},{"family":"Ternette","given":"Nicola"},{"family":"Sahgal","given":"Natasha"},{"family":"Lockstone","given":"Helen"},{"family":"Baban","given":"Dilair"},{"family":"Nye","given":"Emma"},{"family":"Stamp","given":"Gordon W."},{"family":"Wolhuter","given":"Kathryn"},{"family":"Stevens","given":"Marcus"},{"family":"Fischer","given":"Roman"},{"family":"Carmeliet","given":"Peter"},{"family":"Maxwell","given":"Patrick H."},{"family":"Pugh","given":"Chris W."},{"family":"Frizzell","given":"Norma"},{"family":"Soga","given":"Tomoyoshi"},{"family":"Kessler","given":"Benedikt M."},{"family":"El-Bahrawy","given":"Mona"},{"family":"Ratcliffe","given":"Peter J."},{"family":"Pollard","given":"Patrick J."}],"issued":{"date-parts":[["2011",10,18]]},"accessed":{"date-parts":[["2018",4,2]]}}}],"schema":"https://github.com/citation-style-language/schema/raw/master/csl-citation.json"} </w:instrText>
      </w:r>
      <w:r w:rsidR="004714CA">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145</w:t>
      </w:r>
      <w:r w:rsidR="004714C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A91FC1" w:rsidRPr="00D637BA">
        <w:rPr>
          <w:rFonts w:ascii="Calibri" w:hAnsi="Calibri" w:cs="Calibri"/>
          <w:color w:val="000000" w:themeColor="text1"/>
          <w:sz w:val="22"/>
          <w:szCs w:val="22"/>
        </w:rPr>
        <w:t>T</w:t>
      </w:r>
      <w:r w:rsidRPr="00D637BA">
        <w:rPr>
          <w:rFonts w:ascii="Calibri" w:hAnsi="Calibri" w:cs="Calibri"/>
          <w:color w:val="000000" w:themeColor="text1"/>
          <w:sz w:val="22"/>
          <w:szCs w:val="22"/>
        </w:rPr>
        <w:t>hese studies highlight the complex role of HIF</w:t>
      </w:r>
      <w:r w:rsidR="00FB34BA" w:rsidRPr="00D637BA">
        <w:rPr>
          <w:rFonts w:ascii="Calibri" w:hAnsi="Calibri" w:cs="Calibri"/>
          <w:color w:val="000000" w:themeColor="text1"/>
          <w:sz w:val="22"/>
          <w:szCs w:val="22"/>
        </w:rPr>
        <w:t xml:space="preserve"> and </w:t>
      </w:r>
      <w:r w:rsidRPr="00D637BA">
        <w:rPr>
          <w:rFonts w:ascii="Calibri" w:hAnsi="Calibri" w:cs="Calibri"/>
          <w:color w:val="000000" w:themeColor="text1"/>
          <w:sz w:val="22"/>
          <w:szCs w:val="22"/>
        </w:rPr>
        <w:t>pseudohypoxia in tumorigenesis</w:t>
      </w:r>
      <w:r w:rsidR="00A91FC1" w:rsidRPr="00D637BA">
        <w:rPr>
          <w:rFonts w:ascii="Calibri" w:hAnsi="Calibri" w:cs="Calibri"/>
          <w:color w:val="000000" w:themeColor="text1"/>
          <w:sz w:val="22"/>
          <w:szCs w:val="22"/>
        </w:rPr>
        <w:t xml:space="preserve"> and</w:t>
      </w:r>
      <w:r w:rsidRPr="00D637BA">
        <w:rPr>
          <w:rFonts w:ascii="Calibri" w:hAnsi="Calibri" w:cs="Calibri"/>
          <w:color w:val="000000" w:themeColor="text1"/>
          <w:sz w:val="22"/>
          <w:szCs w:val="22"/>
        </w:rPr>
        <w:t xml:space="preserve"> suggest</w:t>
      </w:r>
      <w:r w:rsidR="00A91FC1" w:rsidRPr="00D637BA">
        <w:rPr>
          <w:rFonts w:ascii="Calibri" w:hAnsi="Calibri" w:cs="Calibri"/>
          <w:color w:val="000000" w:themeColor="text1"/>
          <w:sz w:val="22"/>
          <w:szCs w:val="22"/>
        </w:rPr>
        <w:t xml:space="preserve"> that this role might</w:t>
      </w:r>
      <w:r w:rsidRPr="00D637BA">
        <w:rPr>
          <w:rFonts w:ascii="Calibri" w:hAnsi="Calibri" w:cs="Calibri"/>
          <w:color w:val="000000" w:themeColor="text1"/>
          <w:sz w:val="22"/>
          <w:szCs w:val="22"/>
        </w:rPr>
        <w:t xml:space="preserve"> be context dependent</w:t>
      </w:r>
      <w:r w:rsidR="00A91FC1"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e.g. cell</w:t>
      </w:r>
      <w:r w:rsidR="00A91FC1" w:rsidRPr="00D637BA">
        <w:rPr>
          <w:rFonts w:ascii="Calibri" w:hAnsi="Calibri" w:cs="Calibri"/>
          <w:color w:val="000000" w:themeColor="text1"/>
          <w:sz w:val="22"/>
          <w:szCs w:val="22"/>
        </w:rPr>
        <w:t>-type</w:t>
      </w:r>
      <w:r w:rsidRPr="00D637BA">
        <w:rPr>
          <w:rFonts w:ascii="Calibri" w:hAnsi="Calibri" w:cs="Calibri"/>
          <w:color w:val="000000" w:themeColor="text1"/>
          <w:sz w:val="22"/>
          <w:szCs w:val="22"/>
        </w:rPr>
        <w:t xml:space="preserve"> specific</w:t>
      </w:r>
      <w:r w:rsidR="00A91FC1" w:rsidRPr="00D637BA">
        <w:rPr>
          <w:rFonts w:ascii="Calibri" w:hAnsi="Calibri" w:cs="Calibri"/>
          <w:color w:val="000000" w:themeColor="text1"/>
          <w:sz w:val="22"/>
          <w:szCs w:val="22"/>
        </w:rPr>
        <w:t>)</w:t>
      </w:r>
      <w:r w:rsidR="004714CA">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{"citationID":"ah0vv3qk17","properties":{"formattedCitation":"\\super 67\\nosupersub{}","plainCitation":"67","noteIndex":0},"citationItems":[{"id":323,"uris":["http://zotero.org/users/4775618/items/JCMXXDI7"],"uri":["http://zotero.org/users/4775618/items/JCMXXDI7"],"itemData":{"id":323,"type":"article-journal","title":"Oncometabolites‐driven tumorigenesis: From genetics to targeted therapy","container-title":"International Journal of Cancer","page":"2237-2248","volume":"135","issue":"10","source":"onlinelibrary.wiley.com","URL":"https://onlinelibrary.wiley.com/doi/abs/10.1002/ijc.29080","DOI":"10.1002/ijc.29080","ISSN":"1097-0215","title-short":"Oncometabolites‐driven tumorigenesis","language":"en","author":[{"family":"Morin","given":"Aurélie"},{"family":"Letouzé","given":"Eric"},{"family":"Gimenez‐Roqueplo","given":"Anne-Paule"},{"family":"Favier","given":"Judith"}],"issued":{"date-parts":[["2014",11,15]]},"accessed":{"date-parts":[["2018",3,29]]}}}],"schema":"https://github.com/citation-style-language/schema/raw/master/csl-citation.json"} </w:instrText>
      </w:r>
      <w:r w:rsidR="004714CA">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67</w:t>
      </w:r>
      <w:r w:rsidR="004714C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p>
    <w:p w14:paraId="528F40F3" w14:textId="50C001B9" w:rsidR="00F131BF" w:rsidRPr="00D637BA" w:rsidRDefault="00F131BF" w:rsidP="008E35CC">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L2HG has also been shown to inactivate PHDs and aberrantly stabilise HIF1α</w:t>
      </w:r>
      <w:r w:rsidR="004714CA">
        <w:rPr>
          <w:rFonts w:ascii="Calibri" w:hAnsi="Calibri" w:cs="Calibri"/>
          <w:color w:val="000000"/>
          <w:sz w:val="22"/>
          <w:lang w:val="en-US"/>
        </w:rPr>
        <w:fldChar w:fldCharType="begin"/>
      </w:r>
      <w:r w:rsidR="00E52DEA">
        <w:rPr>
          <w:rFonts w:ascii="Calibri" w:hAnsi="Calibri" w:cs="Calibri"/>
          <w:color w:val="000000"/>
          <w:sz w:val="22"/>
          <w:lang w:val="en-US"/>
        </w:rPr>
        <w:instrText xml:space="preserve"> ADDIN ZOTERO_ITEM CSL_CITATION {"citationID":"a1a80hkhgvs","properties":{"formattedCitation":"\\super 112,146,147\\nosupersub{}","plainCitation":"112,146,147","noteIndex":0},"citationItems":[{"id":1496,"uris":["http://zotero.org/users/4775618/items/865MM5FR"],"uri":["http://zotero.org/users/4775618/items/865MM5FR"],"itemData":{"id":1496,"type":"article-journal","title":"Mitochondrial Protein Lipoylation and the 2-Oxoglutarate Dehydrogenase Complex Controls HIF1α Stability in Aerobic Conditions","container-title":"Cell Metabolism","page":"740-752","volume":"24","issue":"5","source":"Crossref","abstract":"Hypoxia-inducible transcription factors (HIFs) control adaptation to low oxygen environments by activating genes involved in metabolism, angiogenesis, and redox homeostasis. The ﬁnding that HIFs are also regulated by small molecule metabolites highlights the need to understand the complexity of their cellular regulation. Here we use a forward genetic screen in near-haploid human cells to identify genes that stabilize HIFs under aerobic conditions. We identify two mitochondrial genes, oxoglutarate dehydrogenase (OGDH) and lipoic acid synthase (LIAS), which when mutated stabilize HIF1a in a non-hydroxylated form. Disruption of OGDH complex activity in OGDH or LIAS mutants promotes L-2-hydroxyglutarate formation, which inhibits the activity of the HIFa prolyl hydroxylases (PHDs) and TET 2-oxoglutarate dependent dioxygenases. We also ﬁnd that PHD activity is decreased in patients with homozygous germline mutations in lipoic acid synthesis, leading to HIF1 activation. Thus, mutations affecting OGDHC activity may have broad implications for epigenetic regulation and tumorigenesis.","URL":"https://linkinghub.elsevier.com/retrieve/pii/S1550413116305009","DOI":"10.1016/j.cmet.2016.09.015","ISSN":"15504131","language":"en","author":[{"family":"Burr","given":"Stephen P."},{"family":"Costa","given":"Ana S.H."},{"family":"Grice","given":"Guinevere L."},{"family":"Timms","given":"Richard T."},{"family":"Lobb","given":"Ian T."},{"family":"Freisinger","given":"Peter"},{"family":"Dodd","given":"Roger B."},{"family":"Dougan","given":"Gordon"},{"family":"Lehner","given":"Paul J."},{"family":"Frezza","given":"Christian"},{"family":"Nathan","given":"James A."}],"issued":{"date-parts":[["2016",11]]},"accessed":{"date-parts":[["2019",2,25]]}}},{"id":595,"uris":["http://zotero.org/users/4775618/items/6DLESQ5F"],"uri":["http://zotero.org/users/4775618/items/6DLESQ5F"],"itemData":{"id":595,"type":"article-journal","title":"The oncometabolite 2-hydroxyglutarate inhibits histone lysine demethylases","container-title":"EMBO reports","page":"463-469","volume":"12","issue":"5","source":"Wiley Online Library","abstract":"Mutations in isocitrate dehydrogenases (IDHs) have a gain-of-function effect leading to R(−)-2-hydroxyglutarate (R-2HG) accumulation. By using biochemical, structural and cellular assays, we show that either or both R- and S-2HG inhibit 2-oxoglutarate (2OG)-dependent oxygenases with varying potencies. Half-maximal inhibitory concentration (IC50) values for the R-form of 2HG varied from approximately 25 μM for the histone Nε-lysine demethylase JMJD2A to more than 5 mM for the hypoxia-inducible factor (HIF) prolyl hydroxylase. The results indicate that candidate oncogenic pathways in IDH-associated malignancy should include those that are regulated by other 2OG oxygenases than HIF hydroxylases, in particular those involving the regulation of histone methylation.","URL":"https://onlinelibrary.wiley.com/doi/abs/10.1038/embor.2011.43","DOI":"10.1038/embor.2011.43","ISSN":"1469-3178","language":"en","author":[{"family":"Chowdhury","given":"Rasheduzzaman"},{"family":"Yeoh","given":"Kar Kheng"},{"family":"Tian","given":"Ya-Min"},{"family":"Hillringhaus","given":"Lars"},{"family":"Bagg","given":"Eleanor A."},{"family":"Rose","given":"Nathan R."},{"family":"Leung","given":"Ivanhoe K. H."},{"family":"Li","given":"Xuan S."},{"family":"Woon","given":"Esther C. Y."},{"family":"Yang","given":"Ming"},{"family":"McDonough","given":"Michael A."},{"family":"King","given":"Oliver N."},{"family":"Clifton","given":"Ian J."},{"family":"Klose","given":"Robert J."},{"family":"Claridge","given":"Timothy D. W."},{"family":"Ratcliffe","given":"Peter J."},{"family":"Schofield","given":"Christopher J."},{"family":"Kawamura","given":"Akane"}],"issued":{"date-parts":[["2011",5,1]]},"accessed":{"date-parts":[["2018",8,20]]}}},{"id":1474,"uris":["http://zotero.org/users/4775618/items/LBJESESZ"],"uri":["http://zotero.org/users/4775618/items/LBJESESZ"],"itemData":{"id":1474,"type":"article-journal","title":"Transformation by the (&lt;i&gt;R&lt;/i&gt;)-enantiomer of 2-hydroxyglutarate linked to EGLN activation","container-title":"Nature","page":"484-488","volume":"483","issue":"7390","source":"www-nature-com.ezp.lib.cam.ac.uk","abstract":"The identification of succinate dehydrogenase (SDH), fumarate hydratase (FH) and isocitrate dehydrogenase (IDH) mutations in human cancers has rekindled the idea that altered cellular metabolism can transform cells. Inactivating SDH and FH mutations cause the accumulation of succinate and fumarate, respectively, which can inhibit 2-oxoglutarate (2-OG)-dependent enzymes, including the EGLN prolyl 4-hydroxylases that mark the hypoxia inducible factor (HIF) transcription factor for polyubiquitylation and proteasomal degradation1. Inappropriate HIF activation is suspected of contributing to the pathogenesis of SDH-defective and FH-defective tumours but can suppress tumour growth in some other contexts. IDH1 and IDH2, which catalyse the interconversion of isocitrate and 2-OG, are frequently mutated in human brain tumours and leukaemias. The resulting mutants have the neomorphic ability to convert 2-OG to the (R)-enantiomer of 2-hydroxyglutarate ((R)-2HG)2,3. Here we show that (R)-2HG, but not (S)-2HG, stimulates EGLN activity, leading to diminished HIF levels, which enhances the proliferation and soft agar growth of human astrocytes. These findings define an enantiomer-specific mechanism by which the (R)-2HG that accumulates in IDH mutant brain tumours promotes transformation and provide a justification for exploring EGLN inhibition as a potential treatment strategy.","URL":"http://www.nature.com/articles/nature10898","DOI":"10.1038/nature10898","ISSN":"1476-4687","language":"en","author":[{"family":"Koivunen","given":"Peppi"},{"family":"Lee","given":"Sungwoo"},{"family":"Duncan","given":"Christopher G."},{"family":"Lopez","given":"Giselle"},{"family":"Lu","given":"Gang"},{"family":"Ramkissoon","given":"Shakti"},{"family":"Losman","given":"Julie A."},{"family":"Joensuu","given":"Päivi"},{"family":"Bergmann","given":"Ulrich"},{"family":"Gross","given":"Stefan"},{"family":"Travins","given":"Jeremy"},{"family":"Weiss","given":"Samuel"},{"family":"Looper","given":"Ryan"},{"family":"Ligon","given":"Keith L."},{"family":"Verhaak","given":"Roel G. W."},{"family":"Yan","given":"Hai"},{"family":"Kaelin Jr","given":"William G."}],"issued":{"date-parts":[["2012",3]]},"accessed":{"date-parts":[["2019",2,25]]}}}],"schema":"https://github.com/citation-style-language/schema/raw/master/csl-citation.json"} </w:instrText>
      </w:r>
      <w:r w:rsidR="004714CA">
        <w:rPr>
          <w:rFonts w:ascii="Calibri" w:hAnsi="Calibri" w:cs="Calibri"/>
          <w:color w:val="000000"/>
          <w:sz w:val="22"/>
          <w:lang w:val="en-US"/>
        </w:rPr>
        <w:fldChar w:fldCharType="separate"/>
      </w:r>
      <w:r w:rsidR="00E52DEA" w:rsidRPr="00E52DEA">
        <w:rPr>
          <w:rFonts w:ascii="Calibri" w:hAnsi="Calibri" w:cs="Calibri"/>
          <w:color w:val="000000"/>
          <w:sz w:val="22"/>
          <w:vertAlign w:val="superscript"/>
          <w:lang w:val="en-US"/>
        </w:rPr>
        <w:t>112,146,147</w:t>
      </w:r>
      <w:r w:rsidR="004714CA">
        <w:rPr>
          <w:rFonts w:ascii="Calibri" w:hAnsi="Calibri" w:cs="Calibri"/>
          <w:color w:val="000000"/>
          <w:sz w:val="22"/>
          <w:lang w:val="en-US"/>
        </w:rPr>
        <w:fldChar w:fldCharType="end"/>
      </w:r>
      <w:r w:rsidRPr="00D637BA">
        <w:rPr>
          <w:rFonts w:ascii="Calibri" w:hAnsi="Calibri" w:cs="Calibri"/>
          <w:color w:val="000000" w:themeColor="text1"/>
          <w:sz w:val="22"/>
          <w:szCs w:val="22"/>
        </w:rPr>
        <w:t xml:space="preserve">, </w:t>
      </w:r>
      <w:r w:rsidR="00FB34BA" w:rsidRPr="00D637BA">
        <w:rPr>
          <w:rFonts w:ascii="Calibri" w:hAnsi="Calibri" w:cs="Calibri"/>
          <w:color w:val="000000" w:themeColor="text1"/>
          <w:sz w:val="22"/>
          <w:szCs w:val="22"/>
        </w:rPr>
        <w:t xml:space="preserve">whereas </w:t>
      </w:r>
      <w:r w:rsidRPr="00D637BA">
        <w:rPr>
          <w:rFonts w:ascii="Calibri" w:hAnsi="Calibri" w:cs="Calibri"/>
          <w:color w:val="000000" w:themeColor="text1"/>
          <w:sz w:val="22"/>
          <w:szCs w:val="22"/>
        </w:rPr>
        <w:t xml:space="preserve">the </w:t>
      </w:r>
      <w:r w:rsidR="00FB34BA" w:rsidRPr="00D637BA">
        <w:rPr>
          <w:rFonts w:ascii="Calibri" w:hAnsi="Calibri" w:cs="Calibri"/>
          <w:color w:val="000000" w:themeColor="text1"/>
          <w:sz w:val="22"/>
          <w:szCs w:val="22"/>
        </w:rPr>
        <w:t xml:space="preserve">effect </w:t>
      </w:r>
      <w:r w:rsidRPr="00D637BA">
        <w:rPr>
          <w:rFonts w:ascii="Calibri" w:hAnsi="Calibri" w:cs="Calibri"/>
          <w:color w:val="000000" w:themeColor="text1"/>
          <w:sz w:val="22"/>
          <w:szCs w:val="22"/>
        </w:rPr>
        <w:t xml:space="preserve">of D2HG on PHD remains contentious. Unexpected agonistic activity of D2HG on PHDs has been observed </w:t>
      </w:r>
      <w:r w:rsidRPr="00D637BA">
        <w:rPr>
          <w:rFonts w:ascii="Calibri" w:hAnsi="Calibri" w:cs="Calibri"/>
          <w:i/>
          <w:color w:val="000000" w:themeColor="text1"/>
          <w:sz w:val="22"/>
          <w:szCs w:val="22"/>
        </w:rPr>
        <w:t>in vitro</w:t>
      </w:r>
      <w:r w:rsidR="00DE12B1">
        <w:rPr>
          <w:rFonts w:ascii="Calibri" w:hAnsi="Calibri" w:cs="Calibri"/>
          <w:i/>
          <w:color w:val="000000" w:themeColor="text1"/>
          <w:sz w:val="22"/>
          <w:szCs w:val="22"/>
        </w:rPr>
        <w:fldChar w:fldCharType="begin"/>
      </w:r>
      <w:r w:rsidR="00E52DEA">
        <w:rPr>
          <w:rFonts w:ascii="Calibri" w:hAnsi="Calibri" w:cs="Calibri"/>
          <w:i/>
          <w:color w:val="000000" w:themeColor="text1"/>
          <w:sz w:val="22"/>
          <w:szCs w:val="22"/>
        </w:rPr>
        <w:instrText xml:space="preserve"> ADDIN ZOTERO_ITEM CSL_CITATION {"citationID":"a4etma5cra","properties":{"formattedCitation":"\\super 112,147\\nosupersub{}","plainCitation":"112,147","noteIndex":0},"citationItems":[{"id":1496,"uris":["http://zotero.org/users/4775618/items/865MM5FR"],"uri":["http://zotero.org/users/4775618/items/865MM5FR"],"itemData":{"id":1496,"type":"article-journal","title":"Mitochondrial Protein Lipoylation and the 2-Oxoglutarate Dehydrogenase Complex Controls HIF1α Stability in Aerobic Conditions","container-title":"Cell Metabolism","page":"740-752","volume":"24","issue":"5","source":"Crossref","abstract":"Hypoxia-inducible transcription factors (HIFs) control adaptation to low oxygen environments by activating genes involved in metabolism, angiogenesis, and redox homeostasis. The ﬁnding that HIFs are also regulated by small molecule metabolites highlights the need to understand the complexity of their cellular regulation. Here we use a forward genetic screen in near-haploid human cells to identify genes that stabilize HIFs under aerobic conditions. We identify two mitochondrial genes, oxoglutarate dehydrogenase (OGDH) and lipoic acid synthase (LIAS), which when mutated stabilize HIF1a in a non-hydroxylated form. Disruption of OGDH complex activity in OGDH or LIAS mutants promotes L-2-hydroxyglutarate formation, which inhibits the activity of the HIFa prolyl hydroxylases (PHDs) and TET 2-oxoglutarate dependent dioxygenases. We also ﬁnd that PHD activity is decreased in patients with homozygous germline mutations in lipoic acid synthesis, leading to HIF1 activation. Thus, mutations affecting OGDHC activity may have broad implications for epigenetic regulation and tumorigenesis.","URL":"https://linkinghub.elsevier.com/retrieve/pii/S1550413116305009","DOI":"10.1016/j.cmet.2016.09.015","ISSN":"15504131","language":"en","author":[{"family":"Burr","given":"Stephen P."},{"family":"Costa","given":"Ana S.H."},{"family":"Grice","given":"Guinevere L."},{"family":"Timms","given":"Richard T."},{"family":"Lobb","given":"Ian T."},{"family":"Freisinger","given":"Peter"},{"family":"Dodd","given":"Roger B."},{"family":"Dougan","given":"Gordon"},{"family":"Lehner","given":"Paul J."},{"family":"Frezza","given":"Christian"},{"family":"Nathan","given":"James A."}],"issued":{"date-parts":[["2016",11]]},"accessed":{"date-parts":[["2019",2,25]]}}},{"id":1474,"uris":["http://zotero.org/users/4775618/items/LBJESESZ"],"uri":["http://zotero.org/users/4775618/items/LBJESESZ"],"itemData":{"id":1474,"type":"article-journal","title":"Transformation by the (&lt;i&gt;R&lt;/i&gt;)-enantiomer of 2-hydroxyglutarate linked to EGLN activation","container-title":"Nature","page":"484-488","volume":"483","issue":"7390","source":"www-nature-com.ezp.lib.cam.ac.uk","abstract":"The identification of succinate dehydrogenase (SDH), fumarate hydratase (FH) and isocitrate dehydrogenase (IDH) mutations in human cancers has rekindled the idea that altered cellular metabolism can transform cells. Inactivating SDH and FH mutations cause the accumulation of succinate and fumarate, respectively, which can inhibit 2-oxoglutarate (2-OG)-dependent enzymes, including the EGLN prolyl 4-hydroxylases that mark the hypoxia inducible factor (HIF) transcription factor for polyubiquitylation and proteasomal degradation1. Inappropriate HIF activation is suspected of contributing to the pathogenesis of SDH-defective and FH-defective tumours but can suppress tumour growth in some other contexts. IDH1 and IDH2, which catalyse the interconversion of isocitrate and 2-OG, are frequently mutated in human brain tumours and leukaemias. The resulting mutants have the neomorphic ability to convert 2-OG to the (R)-enantiomer of 2-hydroxyglutarate ((R)-2HG)2,3. Here we show that (R)-2HG, but not (S)-2HG, stimulates EGLN activity, leading to diminished HIF levels, which enhances the proliferation and soft agar growth of human astrocytes. These findings define an enantiomer-specific mechanism by which the (R)-2HG that accumulates in IDH mutant brain tumours promotes transformation and provide a justification for exploring EGLN inhibition as a potential treatment strategy.","URL":"http://www.nature.com/articles/nature10898","DOI":"10.1038/nature10898","ISSN":"1476-4687","language":"en","author":[{"family":"Koivunen","given":"Peppi"},{"family":"Lee","given":"Sungwoo"},{"family":"Duncan","given":"Christopher G."},{"family":"Lopez","given":"Giselle"},{"family":"Lu","given":"Gang"},{"family":"Ramkissoon","given":"Shakti"},{"family":"Losman","given":"Julie A."},{"family":"Joensuu","given":"Päivi"},{"family":"Bergmann","given":"Ulrich"},{"family":"Gross","given":"Stefan"},{"family":"Travins","given":"Jeremy"},{"family":"Weiss","given":"Samuel"},{"family":"Looper","given":"Ryan"},{"family":"Ligon","given":"Keith L."},{"family":"Verhaak","given":"Roel G. W."},{"family":"Yan","given":"Hai"},{"family":"Kaelin Jr","given":"William G."}],"issued":{"date-parts":[["2012",3]]},"accessed":{"date-parts":[["2019",2,25]]}}}],"schema":"https://github.com/citation-style-language/schema/raw/master/csl-citation.json"} </w:instrText>
      </w:r>
      <w:r w:rsidR="00DE12B1">
        <w:rPr>
          <w:rFonts w:ascii="Calibri" w:hAnsi="Calibri" w:cs="Calibri"/>
          <w:i/>
          <w:color w:val="000000" w:themeColor="text1"/>
          <w:sz w:val="22"/>
          <w:szCs w:val="22"/>
        </w:rPr>
        <w:fldChar w:fldCharType="separate"/>
      </w:r>
      <w:r w:rsidR="00E52DEA" w:rsidRPr="00E52DEA">
        <w:rPr>
          <w:rFonts w:ascii="Calibri" w:hAnsi="Calibri" w:cs="Calibri"/>
          <w:color w:val="000000"/>
          <w:sz w:val="22"/>
          <w:vertAlign w:val="superscript"/>
          <w:lang w:val="en-US"/>
        </w:rPr>
        <w:t>112,147</w:t>
      </w:r>
      <w:r w:rsidR="00DE12B1">
        <w:rPr>
          <w:rFonts w:ascii="Calibri" w:hAnsi="Calibri" w:cs="Calibri"/>
          <w:i/>
          <w:color w:val="000000" w:themeColor="text1"/>
          <w:sz w:val="22"/>
          <w:szCs w:val="22"/>
        </w:rPr>
        <w:fldChar w:fldCharType="end"/>
      </w:r>
      <w:r w:rsidR="000167D7" w:rsidRPr="000167D7">
        <w:rPr>
          <w:rFonts w:ascii="Calibri" w:hAnsi="Calibri" w:cs="Calibri"/>
          <w:sz w:val="22"/>
          <w:szCs w:val="22"/>
        </w:rPr>
        <w:t>.</w:t>
      </w:r>
      <w:r w:rsidR="002139BF" w:rsidRPr="00D637BA">
        <w:rPr>
          <w:rFonts w:ascii="Calibri" w:hAnsi="Calibri" w:cs="Calibri"/>
          <w:color w:val="000000" w:themeColor="text1"/>
          <w:sz w:val="22"/>
          <w:szCs w:val="22"/>
        </w:rPr>
        <w:t xml:space="preserve"> This</w:t>
      </w:r>
      <w:r w:rsidRPr="00D637BA">
        <w:rPr>
          <w:rFonts w:ascii="Calibri" w:hAnsi="Calibri" w:cs="Calibri"/>
          <w:color w:val="000000" w:themeColor="text1"/>
          <w:sz w:val="22"/>
          <w:szCs w:val="22"/>
        </w:rPr>
        <w:t xml:space="preserve"> finding </w:t>
      </w:r>
      <w:r w:rsidR="00FB34BA" w:rsidRPr="00D637BA">
        <w:rPr>
          <w:rFonts w:ascii="Calibri" w:hAnsi="Calibri" w:cs="Calibri"/>
          <w:color w:val="000000" w:themeColor="text1"/>
          <w:sz w:val="22"/>
          <w:szCs w:val="22"/>
        </w:rPr>
        <w:t>ha</w:t>
      </w:r>
      <w:r w:rsidR="008E35CC" w:rsidRPr="00D637BA">
        <w:rPr>
          <w:rFonts w:ascii="Calibri" w:hAnsi="Calibri" w:cs="Calibri"/>
          <w:color w:val="000000" w:themeColor="text1"/>
          <w:sz w:val="22"/>
          <w:szCs w:val="22"/>
        </w:rPr>
        <w:t>s</w:t>
      </w:r>
      <w:r w:rsidR="00FB34BA" w:rsidRPr="00D637BA">
        <w:rPr>
          <w:rFonts w:ascii="Calibri" w:hAnsi="Calibri" w:cs="Calibri"/>
          <w:color w:val="000000" w:themeColor="text1"/>
          <w:sz w:val="22"/>
          <w:szCs w:val="22"/>
        </w:rPr>
        <w:t xml:space="preserve"> been </w:t>
      </w:r>
      <w:r w:rsidRPr="00D637BA">
        <w:rPr>
          <w:rFonts w:ascii="Calibri" w:hAnsi="Calibri" w:cs="Calibri"/>
          <w:color w:val="000000" w:themeColor="text1"/>
          <w:sz w:val="22"/>
          <w:szCs w:val="22"/>
        </w:rPr>
        <w:t>challenged</w:t>
      </w:r>
      <w:r w:rsidR="002139BF" w:rsidRPr="00D637BA">
        <w:rPr>
          <w:rFonts w:ascii="Calibri" w:hAnsi="Calibri" w:cs="Calibri"/>
          <w:color w:val="000000" w:themeColor="text1"/>
          <w:sz w:val="22"/>
          <w:szCs w:val="22"/>
        </w:rPr>
        <w:t>, however,</w:t>
      </w:r>
      <w:r w:rsidRPr="00D637BA">
        <w:rPr>
          <w:rFonts w:ascii="Calibri" w:hAnsi="Calibri" w:cs="Calibri"/>
          <w:color w:val="000000" w:themeColor="text1"/>
          <w:sz w:val="22"/>
          <w:szCs w:val="22"/>
        </w:rPr>
        <w:t xml:space="preserve"> </w:t>
      </w:r>
      <w:r w:rsidR="00FB34BA" w:rsidRPr="00D637BA">
        <w:rPr>
          <w:rFonts w:ascii="Calibri" w:hAnsi="Calibri" w:cs="Calibri"/>
          <w:color w:val="000000" w:themeColor="text1"/>
          <w:sz w:val="22"/>
          <w:szCs w:val="22"/>
        </w:rPr>
        <w:t xml:space="preserve">owing </w:t>
      </w:r>
      <w:r w:rsidRPr="00D637BA">
        <w:rPr>
          <w:rFonts w:ascii="Calibri" w:hAnsi="Calibri" w:cs="Calibri"/>
          <w:color w:val="000000" w:themeColor="text1"/>
          <w:sz w:val="22"/>
          <w:szCs w:val="22"/>
        </w:rPr>
        <w:t xml:space="preserve">to the </w:t>
      </w:r>
      <w:r w:rsidR="002139BF" w:rsidRPr="00D637BA">
        <w:rPr>
          <w:rFonts w:ascii="Calibri" w:hAnsi="Calibri" w:cs="Calibri"/>
          <w:color w:val="000000" w:themeColor="text1"/>
          <w:sz w:val="22"/>
          <w:szCs w:val="22"/>
        </w:rPr>
        <w:t xml:space="preserve">observation of </w:t>
      </w:r>
      <w:r w:rsidRPr="00D637BA">
        <w:rPr>
          <w:rFonts w:ascii="Calibri" w:hAnsi="Calibri" w:cs="Calibri"/>
          <w:color w:val="000000" w:themeColor="text1"/>
          <w:sz w:val="22"/>
          <w:szCs w:val="22"/>
        </w:rPr>
        <w:t xml:space="preserve">non-enzymatic oxidation of D2HG to </w:t>
      </w:r>
      <w:r w:rsidR="002139BF" w:rsidRPr="00D637BA">
        <w:rPr>
          <w:rFonts w:ascii="Calibri" w:hAnsi="Calibri" w:cs="Calibri"/>
          <w:color w:val="000000" w:themeColor="text1"/>
          <w:sz w:val="22"/>
          <w:szCs w:val="22"/>
        </w:rPr>
        <w:t xml:space="preserve">form </w:t>
      </w:r>
      <w:r w:rsidRPr="00D637BA">
        <w:rPr>
          <w:rFonts w:ascii="Calibri" w:hAnsi="Calibri" w:cs="Calibri"/>
          <w:color w:val="000000" w:themeColor="text1"/>
          <w:sz w:val="22"/>
          <w:szCs w:val="22"/>
        </w:rPr>
        <w:t xml:space="preserve">αKG </w:t>
      </w:r>
      <w:r w:rsidRPr="00D637BA">
        <w:rPr>
          <w:rFonts w:ascii="Calibri" w:hAnsi="Calibri" w:cs="Calibri"/>
          <w:i/>
          <w:color w:val="000000" w:themeColor="text1"/>
          <w:sz w:val="22"/>
          <w:szCs w:val="22"/>
        </w:rPr>
        <w:t>in vitro</w:t>
      </w:r>
      <w:r w:rsidR="00DE12B1">
        <w:rPr>
          <w:rFonts w:ascii="Calibri" w:hAnsi="Calibri" w:cs="Calibri"/>
          <w:i/>
          <w:color w:val="000000" w:themeColor="text1"/>
          <w:sz w:val="22"/>
          <w:szCs w:val="22"/>
        </w:rPr>
        <w:fldChar w:fldCharType="begin"/>
      </w:r>
      <w:r w:rsidR="00E52DEA">
        <w:rPr>
          <w:rFonts w:ascii="Calibri" w:hAnsi="Calibri" w:cs="Calibri"/>
          <w:i/>
          <w:color w:val="000000" w:themeColor="text1"/>
          <w:sz w:val="22"/>
          <w:szCs w:val="22"/>
        </w:rPr>
        <w:instrText xml:space="preserve"> ADDIN ZOTERO_ITEM CSL_CITATION {"citationID":"a20sen2es4i","properties":{"formattedCitation":"\\super 148\\nosupersub{}","plainCitation":"148","noteIndex":0},"citationItems":[{"id":1492,"uris":["http://zotero.org/users/4775618/items/3TTGG5TN"],"uri":["http://zotero.org/users/4775618/items/3TTGG5TN"],"itemData":{"id":1492,"type":"article-journal","title":"Non-enzymatic chemistry enables 2-hydroxyglutarate-mediated activation of 2-oxoglutarate oxygenases","container-title":"Nature Communications","page":"3423","volume":"5","source":"www-nature-com.ezp.lib.cam.ac.uk","abstract":"Accumulation of (R)-2-hydroxyglutarate in cells results from mutations to isocitrate dehydrogenase that correlate with cancer. A recent study reports that (R)-, but not (S)-2-hydroxyglutarate, acts as a co-substrate for the hypoxia-inducible factor prolyl hydroxylases via enzyme-catalysed oxidation to 2-oxoglutarate. Here we investigate the mechanism of 2-hydroxyglutarate-enabled activation of 2-oxoglutarate oxygenases, including prolyl hydroxylase domain 2, the most important human prolyl hydroxylase isoform. We observe that 2-hydroxyglutarate-enabled catalysis by prolyl hydroxylase domain 2 is not enantiomer-specific and is stimulated by ferrous/ferric ion and reducing agents including L-ascorbate. The results reveal that 2-hydroxyglutarate is oxidized to 2-oxoglutarate non-enzymatically, likely via iron-mediated Fenton-chemistry, at levels supporting in vitro catalysis by 2-oxoglutarate oxygenases. Succinic semialdehyde and succinate are also identified as products of 2-hydroxyglutarate oxidation. Overall, the results rationalize the reported effects of 2-hydroxyglutarate on catalysis by prolyl hydroxylases in vitro and suggest that non-enzymatic 2-hydroxyglutarate oxidation may be of biological interest.","URL":"http://www.nature.com/articles/ncomms4423","DOI":"10.1038/ncomms4423","ISSN":"2041-1723","language":"en","author":[{"family":"Tarhonskaya","given":"Hanna"},{"family":"Rydzik","given":"Anna M."},{"family":"Leung","given":"Ivanhoe K. H."},{"family":"Loik","given":"Nikita D."},{"family":"Chan","given":"Mun Chiang"},{"family":"Kawamura","given":"Akane"},{"family":"McCullagh","given":"James S. O."},{"family":"Claridge","given":"Timothy D. W."},{"family":"Flashman","given":"Emily"},{"family":"Schofield","given":"Christopher J."}],"issued":{"date-parts":[["2014",3,5]]},"accessed":{"date-parts":[["2019",2,25]]}}}],"schema":"https://github.com/citation-style-language/schema/raw/master/csl-citation.json"} </w:instrText>
      </w:r>
      <w:r w:rsidR="00DE12B1">
        <w:rPr>
          <w:rFonts w:ascii="Calibri" w:hAnsi="Calibri" w:cs="Calibri"/>
          <w:i/>
          <w:color w:val="000000" w:themeColor="text1"/>
          <w:sz w:val="22"/>
          <w:szCs w:val="22"/>
        </w:rPr>
        <w:fldChar w:fldCharType="separate"/>
      </w:r>
      <w:r w:rsidR="00E52DEA" w:rsidRPr="00E52DEA">
        <w:rPr>
          <w:rFonts w:ascii="Calibri" w:hAnsi="Calibri" w:cs="Calibri"/>
          <w:color w:val="000000"/>
          <w:sz w:val="22"/>
          <w:vertAlign w:val="superscript"/>
          <w:lang w:val="en-US"/>
        </w:rPr>
        <w:t>148</w:t>
      </w:r>
      <w:r w:rsidR="00DE12B1">
        <w:rPr>
          <w:rFonts w:ascii="Calibri" w:hAnsi="Calibri" w:cs="Calibri"/>
          <w:i/>
          <w:color w:val="000000" w:themeColor="text1"/>
          <w:sz w:val="22"/>
          <w:szCs w:val="22"/>
        </w:rPr>
        <w:fldChar w:fldCharType="end"/>
      </w:r>
      <w:r w:rsidR="00A65C9C" w:rsidRPr="00D637BA">
        <w:rPr>
          <w:rFonts w:ascii="Calibri" w:hAnsi="Calibri" w:cs="Calibri"/>
          <w:color w:val="000000" w:themeColor="text1"/>
          <w:sz w:val="22"/>
          <w:szCs w:val="22"/>
        </w:rPr>
        <w:t xml:space="preserve">. This process </w:t>
      </w:r>
      <w:r w:rsidRPr="00D637BA">
        <w:rPr>
          <w:rFonts w:ascii="Calibri" w:hAnsi="Calibri" w:cs="Calibri"/>
          <w:color w:val="000000" w:themeColor="text1"/>
          <w:sz w:val="22"/>
          <w:szCs w:val="22"/>
        </w:rPr>
        <w:t>would</w:t>
      </w:r>
      <w:r w:rsidR="001B21F8">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provide the co-substrate</w:t>
      </w:r>
      <w:r w:rsidR="00A65C9C" w:rsidRPr="00B946E4">
        <w:rPr>
          <w:rFonts w:ascii="Calibri" w:hAnsi="Calibri" w:cs="Calibri"/>
          <w:color w:val="000000" w:themeColor="text1"/>
          <w:sz w:val="22"/>
          <w:szCs w:val="22"/>
        </w:rPr>
        <w:t xml:space="preserve"> (αKG)</w:t>
      </w:r>
      <w:r w:rsidR="002139BF" w:rsidRPr="00B946E4">
        <w:rPr>
          <w:rFonts w:ascii="Calibri" w:hAnsi="Calibri" w:cs="Calibri"/>
          <w:color w:val="000000" w:themeColor="text1"/>
          <w:sz w:val="22"/>
          <w:szCs w:val="22"/>
        </w:rPr>
        <w:t xml:space="preserve"> that is</w:t>
      </w:r>
      <w:r w:rsidRPr="00D637BA">
        <w:rPr>
          <w:rFonts w:ascii="Calibri" w:hAnsi="Calibri" w:cs="Calibri"/>
          <w:color w:val="000000" w:themeColor="text1"/>
          <w:sz w:val="22"/>
          <w:szCs w:val="22"/>
        </w:rPr>
        <w:t xml:space="preserve"> </w:t>
      </w:r>
      <w:r w:rsidR="002139BF" w:rsidRPr="00B946E4">
        <w:rPr>
          <w:rFonts w:ascii="Calibri" w:hAnsi="Calibri" w:cs="Calibri"/>
          <w:color w:val="000000" w:themeColor="text1"/>
          <w:sz w:val="22"/>
          <w:szCs w:val="22"/>
        </w:rPr>
        <w:t xml:space="preserve">necessary </w:t>
      </w:r>
      <w:r w:rsidRPr="00D637BA">
        <w:rPr>
          <w:rFonts w:ascii="Calibri" w:hAnsi="Calibri" w:cs="Calibri"/>
          <w:color w:val="000000" w:themeColor="text1"/>
          <w:sz w:val="22"/>
          <w:szCs w:val="22"/>
        </w:rPr>
        <w:t>for PHD activation</w:t>
      </w:r>
      <w:r w:rsidR="00E37025">
        <w:rPr>
          <w:rFonts w:ascii="Calibri" w:hAnsi="Calibri" w:cs="Calibri"/>
          <w:color w:val="000000" w:themeColor="text1"/>
          <w:sz w:val="22"/>
          <w:szCs w:val="22"/>
        </w:rPr>
        <w:t>.</w:t>
      </w:r>
    </w:p>
    <w:p w14:paraId="4A0901F9" w14:textId="77777777" w:rsidR="003D1B55" w:rsidRPr="00D637BA" w:rsidRDefault="003D1B55" w:rsidP="00B946E4">
      <w:pPr>
        <w:spacing w:line="360" w:lineRule="auto"/>
        <w:jc w:val="both"/>
        <w:rPr>
          <w:rFonts w:ascii="Calibri" w:hAnsi="Calibri" w:cs="Calibri"/>
          <w:color w:val="000000" w:themeColor="text1"/>
          <w:sz w:val="22"/>
          <w:szCs w:val="22"/>
        </w:rPr>
      </w:pPr>
    </w:p>
    <w:p w14:paraId="6EA3DDC3" w14:textId="77777777" w:rsidR="00E37025" w:rsidRDefault="003D1B55" w:rsidP="00B946E4">
      <w:pPr>
        <w:spacing w:line="360" w:lineRule="auto"/>
        <w:jc w:val="both"/>
        <w:rPr>
          <w:rFonts w:ascii="Calibri" w:hAnsi="Calibri" w:cs="Calibri"/>
          <w:b/>
          <w:color w:val="0000FF"/>
          <w:sz w:val="22"/>
          <w:szCs w:val="22"/>
        </w:rPr>
      </w:pPr>
      <w:r w:rsidRPr="00B946E4">
        <w:rPr>
          <w:rFonts w:ascii="Calibri" w:hAnsi="Calibri" w:cs="Calibri"/>
          <w:b/>
          <w:color w:val="000000" w:themeColor="text1"/>
          <w:sz w:val="22"/>
          <w:szCs w:val="22"/>
        </w:rPr>
        <w:t>[H3] Epigenetic dysregulation</w:t>
      </w:r>
      <w:r w:rsidRPr="00D637BA">
        <w:rPr>
          <w:rFonts w:ascii="Calibri" w:hAnsi="Calibri" w:cs="Calibri"/>
          <w:color w:val="000000" w:themeColor="text1"/>
          <w:sz w:val="22"/>
          <w:szCs w:val="22"/>
        </w:rPr>
        <w:t xml:space="preserve">. </w:t>
      </w:r>
    </w:p>
    <w:p w14:paraId="780AB789" w14:textId="7535FF58" w:rsidR="00FD28DC" w:rsidRPr="00D637BA" w:rsidRDefault="00F131BF" w:rsidP="00B946E4">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Oncometabolite</w:t>
      </w:r>
      <w:r w:rsidR="00EF4B2B" w:rsidRPr="00D637BA">
        <w:rPr>
          <w:rFonts w:ascii="Calibri" w:hAnsi="Calibri" w:cs="Calibri"/>
          <w:color w:val="000000" w:themeColor="text1"/>
          <w:sz w:val="22"/>
          <w:szCs w:val="22"/>
        </w:rPr>
        <w:t>s</w:t>
      </w:r>
      <w:r w:rsidRPr="00D637BA">
        <w:rPr>
          <w:rFonts w:ascii="Calibri" w:hAnsi="Calibri" w:cs="Calibri"/>
          <w:color w:val="000000" w:themeColor="text1"/>
          <w:sz w:val="22"/>
          <w:szCs w:val="22"/>
        </w:rPr>
        <w:t xml:space="preserve"> have a role in epigenetic alterations through direct inhibition of KDMs</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{"citationID":"a7vqu6parb","properties":{"formattedCitation":"\\super 141,142\\nosupersub{}","plainCitation":"141,142","noteIndex":0},"citationItems":[{"id":1510,"uris":["http://zotero.org/users/4775618/items/KQPZH6CD"],"uri":["http://zotero.org/users/4775618/items/KQPZH6CD"],"itemData":{"id":1510,"type":"article-journal","title":"SDH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id":1355,"uris":["http://zotero.org/users/4775618/items/TMNJ2W2F"],"uri":["http://zotero.org/users/4775618/items/TMNJ2W2F"],"itemData":{"id":1355,"type":"article-journal","title":"IDH mutation impairs histone demethylation and results in a block to cell differentiation","container-title":"Nature","page":"474-478","volume":"483","issue":"7390","source":"www-nature-com.ezp.lib.cam.ac.uk","abstract":"Recurrent mutations in isocitrate dehydrogenase 1 (IDH1) and IDH2 have been identified in gliomas, acute myeloid leukaemias (AML) and chondrosarcomas, and share a novel enzymatic property of producing 2-hydroxyglutarate (2HG) from α-ketoglutarate1,2,3,4,5,6. Here we report that 2HG-producing IDH mutants can prevent the histone demethylation that is required for lineage-specific progenitor cells to differentiate into terminally differentiated cells. In tumour samples from glioma patients, IDH mutations were associated with a distinct gene expression profile enriched for genes expressed in neural progenitor cells, and this was associated with increased histone methylation. To test whether the ability of IDH mutants to promote histone methylation contributes to a block in cell differentiation in non-transformed cells, we tested the effect of neomorphic IDH mutants on adipocyte differentiation in vitro. Introduction of either mutant IDH or cell-permeable 2HG was associated with repression of the inducible expression of lineage-specific differentiation genes and a block to differentiation. This correlated with a significant increase in repressive histone methylation marks without observable changes in promoter DNA methylation. Gliomas were found to have elevated levels of similar histone repressive marks. Stable transfection of a 2HG-producing mutant IDH into immortalized astrocytes resulted in progressive accumulation of histone methylation. Of the marks examined, increased H3K9 methylation reproducibly preceded a rise in DNA methylation as cells were passaged in culture. Furthermore, we found that the 2HG-inhibitable H3K9 demethylase KDM4C was induced during adipocyte differentiation, and that RNA-interference suppression of KDM4C was sufficient to block differentiation. Together these data demonstrate that 2HG can inhibit histone demethylation and that inhibition of histone demethylation can be sufficient to block the differentiation of non-transformed cells.","URL":"http://www.nature.com/articles/nature10860","DOI":"10.1038/nature10860","ISSN":"1476-4687","language":"en","author":[{"family":"Lu","given":"Chao"},{"family":"Ward","given":"Patrick S."},{"family":"Kapoor","given":"Gurpreet S."},{"family":"Rohle","given":"Dan"},{"family":"Turcan","given":"Sevin"},{"family":"Abdel-Wahab","given":"Omar"},{"family":"Edwards","given":"Christopher R."},{"family":"Khanin","given":"Raya"},{"family":"Figueroa","given":"Maria E."},{"family":"Melnick","given":"Ari"},{"family":"Wellen","given":"Kathryn E."},{"family":"O’Rourke","given":"Donald M."},{"family":"Berger","given":"Shelley L."},{"family":"Chan","given":"Timothy A."},{"family":"Levine","given":"Ross L."},{"family":"Mellinghoff","given":"Ingo K."},{"family":"Thompson","given":"Craig B."}],"issued":{"date-parts":[["2012",3]]},"accessed":{"date-parts":[["2019",2,23]]}}}],"schema":"https://github.com/citation-style-language/schema/raw/master/csl-citation.json"}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141,142</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and TETs</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{"citationID":"a1qk7q74oip","properties":{"formattedCitation":"\\super 143\\nosupersub{}","plainCitation":"143","noteIndex":0},"citationItems":[{"id":1439,"uris":["http://zotero.org/users/4775618/items/JZLIJDMI"],"uri":["http://zotero.org/users/4775618/items/JZLIJDMI"],"itemData":{"id":1439,"type":"article-journal","title":"Fumarate and Succinate Regulate Expression of Hypoxia-inducible Genes via TET Enzymes","container-title":"Journal of Biological Chemistry","page":"4256-4265","volume":"291","issue":"8","source":"www.jbc.org.ezp.lib.cam.ac.uk","abstract":"The TET enzymes are members of the 2-oxoglutarate-dependent dioxygenase family and comprise three isoenzymes in humans: TETs 1–3. These TETs convert 5-methylcytosine to 5-hydroxymethylcytosine (5-hmC) in DNA, and high 5-hmC levels are associated with active transcription. The importance of the balance in these modified cytosines is emphasized by the fact that TET2 is mutated in several human cancers, including myeloid malignancies such as acute myeloid leukemia (AML). We characterize here the kinetic and inhibitory properties of Tets and show that the Km value of Tets 1 and 2 for O2 is 30 μm, indicating that they retain high activity even under hypoxic conditions. The AML-associated mutations in the Fe2+ and 2-oxoglutarate-binding residues increased the Km values for these factors 30–80-fold and reduced the Vmax values. Fumarate and succinate, which can accumulate to millimolar levels in succinate dehydrogenase and fumarate hydratase-mutant tumors, were identified as potent Tet inhibitors in vitro, with IC50 values </w:instrText>
      </w:r>
      <w:r w:rsidR="00E52DEA">
        <w:rPr>
          <w:rFonts w:ascii="Cambria Math" w:hAnsi="Cambria Math" w:cs="Cambria Math"/>
          <w:color w:val="000000" w:themeColor="text1"/>
          <w:sz w:val="22"/>
          <w:szCs w:val="22"/>
        </w:rPr>
        <w:instrText>∼</w:instrText>
      </w:r>
      <w:r w:rsidR="00E52DEA">
        <w:rPr>
          <w:rFonts w:ascii="Calibri" w:hAnsi="Calibri" w:cs="Calibri"/>
          <w:color w:val="000000" w:themeColor="text1"/>
          <w:sz w:val="22"/>
          <w:szCs w:val="22"/>
        </w:rPr>
        <w:instrText xml:space="preserve">400–500 μm. Fumarate and succinate also down-regulated global 5-hmC levels in neuroblastoma cells and the expression levels of some hypoxia-inducible factor (HIF) target genes via TET inhibition, despite simultaneous HIFα stabilization. The combination of fumarate or succinate treatment with TET1 or TET3 silencing caused differential effects on the expression of specific HIF target genes. Altogether these data show that hypoxia-inducible genes are regulated in a multilayered manner that includes epigenetic regulation via TETs and 5-hmC levels in addition to HIF stabilization.","URL":"http://www.jbc.org.ezp.lib.cam.ac.uk/content/291/8/4256","DOI":"10.1074/jbc.M115.688762","ISSN":"0021-9258, 1083-351X","note":"PMID: 26703470","journalAbbreviation":"J. Biol. Chem.","language":"en","author":[{"family":"Laukka","given":"Tuomas"},{"family":"Mariani","given":"Christopher J."},{"family":"Ihantola","given":"Tuukka"},{"family":"Cao","given":"John Z."},{"family":"Hokkanen","given":"Juho"},{"family":"Kaelin","given":"William G."},{"family":"Godley","given":"Lucy A."},{"family":"Koivunen","given":"Peppi"}],"issued":{"date-parts":[["2016",2,19]]},"accessed":{"date-parts":[["2019",2,24]]}}}],"schema":"https://github.com/citation-style-language/schema/raw/master/csl-citation.json"}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143</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00EF4B2B"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Th</w:t>
      </w:r>
      <w:r w:rsidR="00A65289">
        <w:rPr>
          <w:rFonts w:ascii="Calibri" w:hAnsi="Calibri" w:cs="Calibri"/>
          <w:color w:val="000000" w:themeColor="text1"/>
          <w:sz w:val="22"/>
          <w:szCs w:val="22"/>
        </w:rPr>
        <w:t xml:space="preserve">e resulting </w:t>
      </w:r>
      <w:r w:rsidRPr="00D637BA">
        <w:rPr>
          <w:rFonts w:ascii="Calibri" w:hAnsi="Calibri" w:cs="Calibri"/>
          <w:color w:val="000000" w:themeColor="text1"/>
          <w:sz w:val="22"/>
          <w:szCs w:val="22"/>
        </w:rPr>
        <w:t xml:space="preserve">hypermethylation phenotypes alter the expression of a wide range of genes involved in cellular differentiation and </w:t>
      </w:r>
      <w:r w:rsidR="00446E80" w:rsidRPr="00D637BA">
        <w:rPr>
          <w:rFonts w:ascii="Calibri" w:hAnsi="Calibri" w:cs="Calibri"/>
          <w:color w:val="000000" w:themeColor="text1"/>
          <w:sz w:val="22"/>
          <w:szCs w:val="22"/>
        </w:rPr>
        <w:t xml:space="preserve">the </w:t>
      </w:r>
      <w:r w:rsidRPr="00D637BA">
        <w:rPr>
          <w:rFonts w:ascii="Calibri" w:hAnsi="Calibri" w:cs="Calibri"/>
          <w:color w:val="000000" w:themeColor="text1"/>
          <w:sz w:val="22"/>
          <w:szCs w:val="22"/>
        </w:rPr>
        <w:t xml:space="preserve">acquisition of malignant features. </w:t>
      </w:r>
      <w:r w:rsidR="00446E80" w:rsidRPr="00D637BA">
        <w:rPr>
          <w:rFonts w:ascii="Calibri" w:hAnsi="Calibri" w:cs="Calibri"/>
          <w:color w:val="000000" w:themeColor="text1"/>
          <w:sz w:val="22"/>
          <w:szCs w:val="22"/>
        </w:rPr>
        <w:t>T</w:t>
      </w:r>
      <w:r w:rsidRPr="00D637BA">
        <w:rPr>
          <w:rFonts w:ascii="Calibri" w:hAnsi="Calibri" w:cs="Calibri"/>
          <w:color w:val="000000" w:themeColor="text1"/>
          <w:sz w:val="22"/>
          <w:szCs w:val="22"/>
        </w:rPr>
        <w:t>he epigenetic effects of DNA and histone methylation on transcriptional activity are challenging to distinguish as they are often interdependent and inter-regulated</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{"citationID":"a1c99j1vlet","properties":{"formattedCitation":"\\super 149\\nosupersub{}","plainCitation":"149","noteIndex":0},"citationItems":[{"id":1513,"uris":["http://zotero.org/users/4775618/items/8MKIAT4C"],"uri":["http://zotero.org/users/4775618/items/8MKIAT4C"],"itemData":{"id":1513,"type":"article-journal","title":"Linking DNA methylation and histone modification: patterns and paradigms","container-title":"Nature Reviews. Genetics","page":"295-304","volume":"10","issue":"5","source":"PubMed","abstract":"Both DNA methylation and histone modification are involved in establishing patterns of gene repression during development. Certain forms of histone methylation cause local formation of heterochromatin, which is readily reversible, whereas DNA methylation leads to stable long-term repression. It has recently become apparent that DNA methylation and histone modification pathways can be dependent on one another, and that this crosstalk can be mediated by biochemical interactions between SET domain histone methyltransferases and DNA methyltransferases. Relationships between DNA methylation and histone modification have implications for understanding normal development as well as somatic cell reprogramming and tumorigenesis.","DOI":"10.1038/nrg2540","ISSN":"1471-0064","note":"PMID: 19308066","title-short":"Linking DNA methylation and histone modification","journalAbbreviation":"Nat. Rev. Genet.","language":"eng","author":[{"family":"Cedar","given":"Howard"},{"family":"Bergman","given":"Yehudit"}],"issued":{"date-parts":[["2009",5]]}}}],"schema":"https://github.com/citation-style-language/schema/raw/master/csl-citation.json"}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149</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A65289">
        <w:rPr>
          <w:rFonts w:ascii="Calibri" w:hAnsi="Calibri" w:cs="Calibri"/>
          <w:color w:val="000000" w:themeColor="text1"/>
          <w:sz w:val="22"/>
          <w:szCs w:val="22"/>
        </w:rPr>
        <w:t>In general</w:t>
      </w:r>
      <w:r w:rsidRPr="00D637BA">
        <w:rPr>
          <w:rFonts w:ascii="Calibri" w:hAnsi="Calibri" w:cs="Calibri"/>
          <w:color w:val="000000" w:themeColor="text1"/>
          <w:sz w:val="22"/>
          <w:szCs w:val="22"/>
        </w:rPr>
        <w:t xml:space="preserve">, histone hypermethylation </w:t>
      </w:r>
      <w:r w:rsidR="00EF4B2B" w:rsidRPr="00D637BA">
        <w:rPr>
          <w:rFonts w:ascii="Calibri" w:hAnsi="Calibri" w:cs="Calibri"/>
          <w:color w:val="000000" w:themeColor="text1"/>
          <w:sz w:val="22"/>
          <w:szCs w:val="22"/>
        </w:rPr>
        <w:t>(</w:t>
      </w:r>
      <w:r w:rsidR="00446E80" w:rsidRPr="00D637BA">
        <w:rPr>
          <w:rFonts w:ascii="Calibri" w:hAnsi="Calibri" w:cs="Calibri"/>
          <w:color w:val="000000" w:themeColor="text1"/>
          <w:sz w:val="22"/>
          <w:szCs w:val="22"/>
        </w:rPr>
        <w:t xml:space="preserve">for example owing </w:t>
      </w:r>
      <w:r w:rsidRPr="00D637BA">
        <w:rPr>
          <w:rFonts w:ascii="Calibri" w:hAnsi="Calibri" w:cs="Calibri"/>
          <w:color w:val="000000" w:themeColor="text1"/>
          <w:sz w:val="22"/>
          <w:szCs w:val="22"/>
        </w:rPr>
        <w:t>to KDM inhibition</w:t>
      </w:r>
      <w:r w:rsidR="00EF4B2B"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results in either transcriptional gene repression or activation depending on the type of histone residues and the number of methyl groups added</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{"citationID":"a1blk5m8cj9","properties":{"formattedCitation":"\\super 67,149\\nosupersub{}","plainCitation":"67,149","noteIndex":0},"citationItems":[{"id":1513,"uris":["http://zotero.org/users/4775618/items/8MKIAT4C"],"uri":["http://zotero.org/users/4775618/items/8MKIAT4C"],"itemData":{"id":1513,"type":"article-journal","title":"Linking DNA methylation and histone modification: patterns and paradigms","container-title":"Nature Reviews. Genetics","page":"295-304","volume":"10","issue":"5","source":"PubMed","abstract":"Both DNA methylation and histone modification are involved in establishing patterns of gene repression during development. Certain forms of histone methylation cause local formation of heterochromatin, which is readily reversible, whereas DNA methylation leads to stable long-term repression. It has recently become apparent that DNA methylation and histone modification pathways can be dependent on one another, and that this crosstalk can be mediated by biochemical interactions between SET domain histone methyltransferases and DNA methyltransferases. Relationships between DNA methylation and histone modification have implications for understanding normal development as well as somatic cell reprogramming and tumorigenesis.","DOI":"10.1038/nrg2540","ISSN":"1471-0064","note":"PMID: 19308066","title-short":"Linking DNA methylation and histone modification","journalAbbreviation":"Nat. Rev. Genet.","language":"eng","author":[{"family":"Cedar","given":"Howard"},{"family":"Bergman","given":"Yehudit"}],"issued":{"date-parts":[["2009",5]]}}},{"id":323,"uris":["http://zotero.org/users/4775618/items/JCMXXDI7"],"uri":["http://zotero.org/users/4775618/items/JCMXXDI7"],"itemData":{"id":323,"type":"article-journal","title":"Oncometabolites‐driven tumorigenesis: From genetics to targeted therapy","container-title":"International Journal of Cancer","page":"2237-2248","volume":"135","issue":"10","source":"onlinelibrary.wiley.com","URL":"https://onlinelibrary.wiley.com/doi/abs/10.1002/ijc.29080","DOI":"10.1002/ijc.29080","ISSN":"1097-0215","title-short":"Oncometabolites‐driven tumorigenesis","language":"en","author":[{"family":"Morin","given":"Aurélie"},{"family":"Letouzé","given":"Eric"},{"family":"Gimenez‐Roqueplo","given":"Anne-Paule"},{"family":"Favier","given":"Judith"}],"issued":{"date-parts":[["2014",11,15]]},"accessed":{"date-parts":[["2018",3,29]]}}}],"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67,149</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DNA methylation at </w:t>
      </w:r>
      <w:r w:rsidRPr="00B946E4">
        <w:rPr>
          <w:rFonts w:ascii="Calibri" w:hAnsi="Calibri" w:cs="Calibri"/>
          <w:color w:val="FF0000"/>
          <w:sz w:val="22"/>
          <w:szCs w:val="22"/>
        </w:rPr>
        <w:t>CpG islands</w:t>
      </w:r>
      <w:r w:rsidR="00BB6383" w:rsidRPr="00D637BA">
        <w:rPr>
          <w:rFonts w:ascii="Calibri" w:hAnsi="Calibri" w:cs="Calibri"/>
          <w:sz w:val="22"/>
          <w:szCs w:val="22"/>
        </w:rPr>
        <w:t xml:space="preserve"> </w:t>
      </w:r>
      <w:r w:rsidR="00BB6383" w:rsidRPr="00D637BA">
        <w:rPr>
          <w:rFonts w:ascii="Calibri" w:hAnsi="Calibri" w:cs="Calibri"/>
          <w:b/>
          <w:color w:val="0000FF"/>
          <w:sz w:val="22"/>
          <w:szCs w:val="22"/>
        </w:rPr>
        <w:t>[G]</w:t>
      </w:r>
      <w:r w:rsidR="00BB6383" w:rsidRPr="00D637BA">
        <w:rPr>
          <w:rFonts w:ascii="Calibri" w:hAnsi="Calibri" w:cs="Calibri"/>
          <w:sz w:val="22"/>
          <w:szCs w:val="22"/>
        </w:rPr>
        <w:t xml:space="preserve"> </w:t>
      </w:r>
      <w:r w:rsidRPr="00D637BA">
        <w:rPr>
          <w:rFonts w:ascii="Calibri" w:hAnsi="Calibri" w:cs="Calibri"/>
          <w:color w:val="000000" w:themeColor="text1"/>
          <w:sz w:val="22"/>
          <w:szCs w:val="22"/>
        </w:rPr>
        <w:t>usually represses downstream gene transcription</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{"citationID":"an2l538chr","properties":{"formattedCitation":"\\super 67,149\\nosupersub{}","plainCitation":"67,149","noteIndex":0},"citationItems":[{"id":1513,"uris":["http://zotero.org/users/4775618/items/8MKIAT4C"],"uri":["http://zotero.org/users/4775618/items/8MKIAT4C"],"itemData":{"id":1513,"type":"article-journal","title":"Linking DNA methylation and histone modification: patterns and paradigms","container-title":"Nature Reviews. Genetics","page":"295-304","volume":"10","issue":"5","source":"PubMed","abstract":"Both DNA methylation and histone modification are involved in establishing patterns of gene repression during development. Certain forms of histone methylation cause local formation of heterochromatin, which is readily reversible, whereas DNA methylation leads to stable long-term repression. It has recently become apparent that DNA methylation and histone modification pathways can be dependent on one another, and that this crosstalk can be mediated by biochemical interactions between SET domain histone methyltransferases and DNA methyltransferases. Relationships between DNA methylation and histone modification have implications for understanding normal development as well as somatic cell reprogramming and tumorigenesis.","DOI":"10.1038/nrg2540","ISSN":"1471-0064","note":"PMID: 19308066","title-short":"Linking DNA methylation and histone modification","journalAbbreviation":"Nat. Rev. Genet.","language":"eng","author":[{"family":"Cedar","given":"Howard"},{"family":"Bergman","given":"Yehudit"}],"issued":{"date-parts":[["2009",5]]}}},{"id":323,"uris":["http://zotero.org/users/4775618/items/JCMXXDI7"],"uri":["http://zotero.org/users/4775618/items/JCMXXDI7"],"itemData":{"id":323,"type":"article-journal","title":"Oncometabolites‐driven tumorigenesis: From genetics to targeted therapy","container-title":"International Journal of Cancer","page":"2237-2248","volume":"135","issue":"10","source":"onlinelibrary.wiley.com","URL":"https://onlinelibrary.wiley.com/doi/abs/10.1002/ijc.29080","DOI":"10.1002/ijc.29080","ISSN":"1097-0215","title-short":"Oncometabolites‐driven tumorigenesis","language":"en","author":[{"family":"Morin","given":"Aurélie"},{"family":"Letouzé","given":"Eric"},{"family":"Gimenez‐Roqueplo","given":"Anne-Paule"},{"family":"Favier","given":"Judith"}],"issued":{"date-parts":[["2014",11,15]]},"accessed":{"date-parts":[["2018",3,29]]}}}],"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67,149</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827705" w:rsidRPr="00D637BA">
        <w:rPr>
          <w:rFonts w:ascii="Calibri" w:hAnsi="Calibri" w:cs="Calibri"/>
          <w:color w:val="000000" w:themeColor="text1"/>
          <w:sz w:val="22"/>
          <w:szCs w:val="22"/>
        </w:rPr>
        <w:t xml:space="preserve">Oxidation </w:t>
      </w:r>
      <w:r w:rsidRPr="00D637BA">
        <w:rPr>
          <w:rFonts w:ascii="Calibri" w:hAnsi="Calibri" w:cs="Calibri"/>
          <w:color w:val="000000" w:themeColor="text1"/>
          <w:sz w:val="22"/>
          <w:szCs w:val="22"/>
        </w:rPr>
        <w:t xml:space="preserve">by </w:t>
      </w:r>
      <w:r w:rsidR="00B84158" w:rsidRPr="00D637BA">
        <w:rPr>
          <w:rFonts w:ascii="Calibri" w:hAnsi="Calibri" w:cs="Calibri"/>
          <w:color w:val="000000" w:themeColor="text1"/>
          <w:sz w:val="22"/>
          <w:szCs w:val="22"/>
        </w:rPr>
        <w:t xml:space="preserve">TET enzymes </w:t>
      </w:r>
      <w:r w:rsidRPr="00D637BA">
        <w:rPr>
          <w:rFonts w:ascii="Calibri" w:hAnsi="Calibri" w:cs="Calibri"/>
          <w:color w:val="000000" w:themeColor="text1"/>
          <w:sz w:val="22"/>
          <w:szCs w:val="22"/>
        </w:rPr>
        <w:t>convert</w:t>
      </w:r>
      <w:r w:rsidR="00827705" w:rsidRPr="00B946E4">
        <w:rPr>
          <w:rFonts w:ascii="Calibri" w:hAnsi="Calibri" w:cs="Calibri"/>
          <w:color w:val="000000" w:themeColor="text1"/>
          <w:sz w:val="22"/>
          <w:szCs w:val="22"/>
        </w:rPr>
        <w:t>s</w:t>
      </w:r>
      <w:r w:rsidRPr="00D637BA">
        <w:rPr>
          <w:rFonts w:ascii="Calibri" w:hAnsi="Calibri" w:cs="Calibri"/>
          <w:color w:val="000000" w:themeColor="text1"/>
          <w:sz w:val="22"/>
          <w:szCs w:val="22"/>
        </w:rPr>
        <w:t xml:space="preserve"> 5m</w:t>
      </w:r>
      <w:r w:rsidR="001B5AD0" w:rsidRPr="00D637BA">
        <w:rPr>
          <w:rFonts w:ascii="Calibri" w:hAnsi="Calibri" w:cs="Calibri"/>
          <w:color w:val="000000" w:themeColor="text1"/>
          <w:sz w:val="22"/>
          <w:szCs w:val="22"/>
        </w:rPr>
        <w:t>C</w:t>
      </w:r>
      <w:r w:rsidRPr="00D637BA">
        <w:rPr>
          <w:rFonts w:ascii="Calibri" w:hAnsi="Calibri" w:cs="Calibri"/>
          <w:color w:val="000000" w:themeColor="text1"/>
          <w:sz w:val="22"/>
          <w:szCs w:val="22"/>
        </w:rPr>
        <w:t xml:space="preserve"> to hydroxylated 5mc</w:t>
      </w:r>
      <w:r w:rsidR="00B84158" w:rsidRPr="00D637BA">
        <w:rPr>
          <w:rFonts w:ascii="Calibri" w:hAnsi="Calibri" w:cs="Calibri"/>
          <w:color w:val="000000" w:themeColor="text1"/>
          <w:sz w:val="22"/>
          <w:szCs w:val="22"/>
        </w:rPr>
        <w:t xml:space="preserve"> (5hmC</w:t>
      </w:r>
      <w:r w:rsidRPr="00D637BA">
        <w:rPr>
          <w:rFonts w:ascii="Calibri" w:hAnsi="Calibri" w:cs="Calibri"/>
          <w:color w:val="000000" w:themeColor="text1"/>
          <w:sz w:val="22"/>
          <w:szCs w:val="22"/>
        </w:rPr>
        <w:t>)</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{"citationID":"a1esfvte6u","properties":{"formattedCitation":"\\super 67,149\\nosupersub{}","plainCitation":"67,149","noteIndex":0},"citationItems":[{"id":1513,"uris":["http://zotero.org/users/4775618/items/8MKIAT4C"],"uri":["http://zotero.org/users/4775618/items/8MKIAT4C"],"itemData":{"id":1513,"type":"article-journal","title":"Linking DNA methylation and histone modification: patterns and paradigms","container-title":"Nature Reviews. Genetics","page":"295-304","volume":"10","issue":"5","source":"PubMed","abstract":"Both DNA methylation and histone modification are involved in establishing patterns of gene repression during development. Certain forms of histone methylation cause local formation of heterochromatin, which is readily reversible, whereas DNA methylation leads to stable long-term repression. It has recently become apparent that DNA methylation and histone modification pathways can be dependent on one another, and that this crosstalk can be mediated by biochemical interactions between SET domain histone methyltransferases and DNA methyltransferases. Relationships between DNA methylation and histone modification have implications for understanding normal development as well as somatic cell reprogramming and tumorigenesis.","DOI":"10.1038/nrg2540","ISSN":"1471-0064","note":"PMID: 19308066","title-short":"Linking DNA methylation and histone modification","journalAbbreviation":"Nat. Rev. Genet.","language":"eng","author":[{"family":"Cedar","given":"Howard"},{"family":"Bergman","given":"Yehudit"}],"issued":{"date-parts":[["2009",5]]}}},{"id":323,"uris":["http://zotero.org/users/4775618/items/JCMXXDI7"],"uri":["http://zotero.org/users/4775618/items/JCMXXDI7"],"itemData":{"id":323,"type":"article-journal","title":"Oncometabolites‐driven tumorigenesis: From genetics to targeted therapy","container-title":"International Journal of Cancer","page":"2237-2248","volume":"135","issue":"10","source":"onlinelibrary.wiley.com","URL":"https://onlinelibrary.wiley.com/doi/abs/10.1002/ijc.29080","DOI":"10.1002/ijc.29080","ISSN":"1097-0215","title-short":"Oncometabolites‐driven tumorigenesis","language":"en","author":[{"family":"Morin","given":"Aurélie"},{"family":"Letouzé","given":"Eric"},{"family":"Gimenez‐Roqueplo","given":"Anne-Paule"},{"family":"Favier","given":"Judith"}],"issued":{"date-parts":[["2014",11,15]]},"accessed":{"date-parts":[["2018",3,29]]}}}],"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67,149</w:t>
      </w:r>
      <w:r w:rsidR="00DE12B1">
        <w:rPr>
          <w:rFonts w:ascii="Calibri" w:hAnsi="Calibri" w:cs="Calibri"/>
          <w:color w:val="000000" w:themeColor="text1"/>
          <w:sz w:val="22"/>
          <w:szCs w:val="22"/>
        </w:rPr>
        <w:fldChar w:fldCharType="end"/>
      </w:r>
      <w:r w:rsidR="00827705" w:rsidRPr="00B946E4">
        <w:rPr>
          <w:rFonts w:ascii="Calibri" w:hAnsi="Calibri" w:cs="Calibri"/>
          <w:color w:val="000000" w:themeColor="text1"/>
          <w:sz w:val="22"/>
          <w:szCs w:val="22"/>
        </w:rPr>
        <w:t xml:space="preserve"> and</w:t>
      </w:r>
      <w:r w:rsidR="00E37C7E">
        <w:rPr>
          <w:rFonts w:ascii="Calibri" w:hAnsi="Calibri" w:cs="Calibri"/>
          <w:sz w:val="22"/>
          <w:szCs w:val="22"/>
        </w:rPr>
        <w:t xml:space="preserve"> </w:t>
      </w:r>
      <w:r w:rsidR="00B84158" w:rsidRPr="00D637BA">
        <w:rPr>
          <w:rFonts w:ascii="Calibri" w:hAnsi="Calibri" w:cs="Calibri"/>
          <w:color w:val="000000" w:themeColor="text1"/>
          <w:sz w:val="22"/>
          <w:szCs w:val="22"/>
        </w:rPr>
        <w:t xml:space="preserve">primes the cytosine </w:t>
      </w:r>
      <w:r w:rsidR="00827705" w:rsidRPr="00D637BA">
        <w:rPr>
          <w:rFonts w:ascii="Calibri" w:hAnsi="Calibri" w:cs="Calibri"/>
          <w:color w:val="000000" w:themeColor="text1"/>
          <w:sz w:val="22"/>
          <w:szCs w:val="22"/>
        </w:rPr>
        <w:t xml:space="preserve">for </w:t>
      </w:r>
      <w:r w:rsidR="00B84158" w:rsidRPr="00D637BA">
        <w:rPr>
          <w:rFonts w:ascii="Calibri" w:hAnsi="Calibri" w:cs="Calibri"/>
          <w:color w:val="000000" w:themeColor="text1"/>
          <w:sz w:val="22"/>
          <w:szCs w:val="22"/>
        </w:rPr>
        <w:t xml:space="preserve">demethylation, </w:t>
      </w:r>
      <w:r w:rsidR="00827705" w:rsidRPr="00D637BA">
        <w:rPr>
          <w:rFonts w:ascii="Calibri" w:hAnsi="Calibri" w:cs="Calibri"/>
          <w:color w:val="000000" w:themeColor="text1"/>
          <w:sz w:val="22"/>
          <w:szCs w:val="22"/>
        </w:rPr>
        <w:t xml:space="preserve">which </w:t>
      </w:r>
      <w:r w:rsidR="00B84158" w:rsidRPr="00D637BA">
        <w:rPr>
          <w:rFonts w:ascii="Calibri" w:hAnsi="Calibri" w:cs="Calibri"/>
          <w:color w:val="000000" w:themeColor="text1"/>
          <w:sz w:val="22"/>
          <w:szCs w:val="22"/>
        </w:rPr>
        <w:t>generat</w:t>
      </w:r>
      <w:r w:rsidR="00827705" w:rsidRPr="00D637BA">
        <w:rPr>
          <w:rFonts w:ascii="Calibri" w:hAnsi="Calibri" w:cs="Calibri"/>
          <w:color w:val="000000" w:themeColor="text1"/>
          <w:sz w:val="22"/>
          <w:szCs w:val="22"/>
        </w:rPr>
        <w:t>es</w:t>
      </w:r>
      <w:r w:rsidR="00B84158" w:rsidRPr="00D637BA">
        <w:rPr>
          <w:rFonts w:ascii="Calibri" w:hAnsi="Calibri" w:cs="Calibri"/>
          <w:color w:val="000000" w:themeColor="text1"/>
          <w:sz w:val="22"/>
          <w:szCs w:val="22"/>
        </w:rPr>
        <w:t xml:space="preserve"> unmethylated cytosine (5C). </w:t>
      </w:r>
      <w:r w:rsidR="00827705" w:rsidRPr="00D637BA">
        <w:rPr>
          <w:rFonts w:ascii="Calibri" w:hAnsi="Calibri" w:cs="Calibri"/>
          <w:color w:val="000000" w:themeColor="text1"/>
          <w:sz w:val="22"/>
          <w:szCs w:val="22"/>
        </w:rPr>
        <w:t>G</w:t>
      </w:r>
      <w:r w:rsidRPr="00D637BA">
        <w:rPr>
          <w:rFonts w:ascii="Calibri" w:hAnsi="Calibri" w:cs="Calibri"/>
          <w:color w:val="000000" w:themeColor="text1"/>
          <w:sz w:val="22"/>
          <w:szCs w:val="22"/>
        </w:rPr>
        <w:t>lobal DNA hypomethylation</w:t>
      </w:r>
      <w:r w:rsidR="00E37025">
        <w:rPr>
          <w:rFonts w:ascii="Calibri" w:hAnsi="Calibri" w:cs="Calibri"/>
          <w:color w:val="000000" w:themeColor="text1"/>
          <w:sz w:val="22"/>
          <w:szCs w:val="22"/>
        </w:rPr>
        <w:t xml:space="preserve">, </w:t>
      </w:r>
      <w:r w:rsidR="00703EDC" w:rsidRPr="00D637BA">
        <w:rPr>
          <w:rFonts w:ascii="Calibri" w:hAnsi="Calibri" w:cs="Calibri"/>
          <w:color w:val="000000" w:themeColor="text1"/>
          <w:sz w:val="22"/>
          <w:szCs w:val="22"/>
        </w:rPr>
        <w:t xml:space="preserve">which leads </w:t>
      </w:r>
      <w:r w:rsidRPr="00D637BA">
        <w:rPr>
          <w:rFonts w:ascii="Calibri" w:hAnsi="Calibri" w:cs="Calibri"/>
          <w:color w:val="000000" w:themeColor="text1"/>
          <w:sz w:val="22"/>
          <w:szCs w:val="22"/>
        </w:rPr>
        <w:t xml:space="preserve">to inappropriate transcriptional activity and chromosomal instability, coupled with specific patterns of hypermethylated CpG promoter islands, </w:t>
      </w:r>
      <w:r w:rsidR="00F05359" w:rsidRPr="00B946E4">
        <w:rPr>
          <w:rFonts w:ascii="Calibri" w:hAnsi="Calibri" w:cs="Calibri"/>
          <w:color w:val="000000" w:themeColor="text1"/>
          <w:sz w:val="22"/>
          <w:szCs w:val="22"/>
        </w:rPr>
        <w:t xml:space="preserve">particularly </w:t>
      </w:r>
      <w:r w:rsidRPr="00D637BA">
        <w:rPr>
          <w:rFonts w:ascii="Calibri" w:hAnsi="Calibri" w:cs="Calibri"/>
          <w:color w:val="000000" w:themeColor="text1"/>
          <w:sz w:val="22"/>
          <w:szCs w:val="22"/>
        </w:rPr>
        <w:t>upstream of tumour suppressor genes</w:t>
      </w:r>
      <w:r w:rsidR="00F05359" w:rsidRPr="00D637BA">
        <w:rPr>
          <w:rFonts w:ascii="Calibri" w:hAnsi="Calibri" w:cs="Calibri"/>
          <w:color w:val="000000" w:themeColor="text1"/>
          <w:sz w:val="22"/>
          <w:szCs w:val="22"/>
        </w:rPr>
        <w:t>, which</w:t>
      </w:r>
      <w:r w:rsidRPr="00D637BA">
        <w:rPr>
          <w:rFonts w:ascii="Calibri" w:hAnsi="Calibri" w:cs="Calibri"/>
          <w:color w:val="000000" w:themeColor="text1"/>
          <w:sz w:val="22"/>
          <w:szCs w:val="22"/>
        </w:rPr>
        <w:t xml:space="preserve"> represse</w:t>
      </w:r>
      <w:r w:rsidR="00827705" w:rsidRPr="00B946E4">
        <w:rPr>
          <w:rFonts w:ascii="Calibri" w:hAnsi="Calibri" w:cs="Calibri"/>
          <w:color w:val="000000" w:themeColor="text1"/>
          <w:sz w:val="22"/>
          <w:szCs w:val="22"/>
        </w:rPr>
        <w:t>s their</w:t>
      </w:r>
      <w:r w:rsidRPr="00D637BA">
        <w:rPr>
          <w:rFonts w:ascii="Calibri" w:hAnsi="Calibri" w:cs="Calibri"/>
          <w:color w:val="000000" w:themeColor="text1"/>
          <w:sz w:val="22"/>
          <w:szCs w:val="22"/>
        </w:rPr>
        <w:t xml:space="preserve"> expression, is characteristic of many tumour types</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{"citationID":"a2kbc5t904e","properties":{"formattedCitation":"\\super 149\\uc0\\u8211{}151\\nosupersub{}","plainCitation":"149–151","noteIndex":0},"citationItems":[{"id":1513,"uris":["http://zotero.org/users/4775618/items/8MKIAT4C"],"uri":["http://zotero.org/users/4775618/items/8MKIAT4C"],"itemData":{"id":1513,"type":"article-journal","title":"Linking DNA methylation and histone modification: patterns and paradigms","container-title":"Nature Reviews. Genetics","page":"295-304","volume":"10","issue":"5","source":"PubMed","abstract":"Both DNA methylation and histone modification are involved in establishing patterns of gene repression during development. Certain forms of histone methylation cause local formation of heterochromatin, which is readily reversible, whereas DNA methylation leads to stable long-term repression. It has recently become apparent that DNA methylation and histone modification pathways can be dependent on one another, and that this crosstalk can be mediated by biochemical interactions between SET domain histone methyltransferases and DNA methyltransferases. Relationships between DNA methylation and histone modification have implications for understanding normal development as well as somatic cell reprogramming and tumorigenesis.","DOI":"10.1038/nrg2540","ISSN":"1471-0064","note":"PMID: 19308066","title-short":"Linking DNA methylation and histone modification","journalAbbreviation":"Nat. Rev. Genet.","language":"eng","author":[{"family":"Cedar","given":"Howard"},{"family":"Bergman","given":"Yehudit"}],"issued":{"date-parts":[["2009",5]]}}},{"id":1519,"uris":["http://zotero.org/users/4775618/items/8Y6UD6DA"],"uri":["http://zotero.org/users/4775618/items/8Y6UD6DA"],"itemData":{"id":1519,"type":"article-journal","title":"The epigenetic progenitor origin of human cancer","container-title":"Nature Reviews. Genetics","page":"21-33","volume":"7","issue":"1","source":"PubMed","abstract":"Cancer is widely perceived as a heterogeneous group of disorders with markedly different biological properties, which are caused by a series of clonally selected genetic changes in key tumour-suppressor genes and oncogenes. However, recent data suggest that cancer has a fundamentally common basis that is grounded in a polyclonal epigenetic disruption of stem/progenitor cells, mediated by 'tumour-progenitor genes'. Furthermore, tumour cell heterogeneity is due in part to epigenetic variation in progenitor cells, and epigenetic plasticity together with genetic lesions drives tumour progression. This crucial early role for epigenetic alterations in cancer is in addition to epigenetic alterations that can substitute for genetic variation later in tumour progression. Therefore, non-neoplastic but epigenetically disrupted stem/progenitor cells might be a crucial target for cancer risk assessment and chemoprevention.","DOI":"10.1038/nrg1748","ISSN":"1471-0056","note":"PMID: 16369569","journalAbbreviation":"Nat. Rev. Genet.","language":"eng","author":[{"family":"Feinberg","given":"Andrew P."},{"family":"Ohlsson","given":"Rolf"},{"family":"Henikoff","given":"Steven"}],"issued":{"date-parts":[["2006",1]]}}},{"id":1523,"uris":["http://zotero.org/users/4775618/items/I6988753"],"uri":["http://zotero.org/users/4775618/items/I6988753"],"itemData":{"id":1523,"type":"article-journal","title":"The Epigenomics of Cancer","container-title":"Cell","page":"683-692","volume":"128","issue":"4","source":"ScienceDirect","abstract":"Aberrant gene function and altered patterns of gene expression are key features of cancer. Growing evidence shows that acquired epigenetic abnormalities participate with genetic alterations to cause this dysregulation. Here, we review recent advances in understanding how epigenetic alterations participate in the earliest stages of neoplasia, including stem/precursor cell contributions, and discuss the growing implications of these advances for strategies to control cancer.","URL":"http://www.sciencedirect.com/science/article/pii/S0092867407001274","DOI":"10.1016/j.cell.2007.01.029","ISSN":"0092-8674","journalAbbreviation":"Cell","author":[{"family":"Jones","given":"Peter A."},{"family":"Baylin","given":"Stephen B."}],"issued":{"date-parts":[["2007",2,23]]},"accessed":{"date-parts":[["2019",2,26]]}}}],"schema":"https://github.com/citation-style-language/schema/raw/master/csl-citation.json"}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149–151</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p>
    <w:p w14:paraId="30378266" w14:textId="1A2016A1" w:rsidR="00FD28DC" w:rsidRPr="00200BE5" w:rsidRDefault="00F131BF" w:rsidP="00FD28DC">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Several studies have investigated the oncometabolic effects </w:t>
      </w:r>
      <w:r w:rsidR="00446E80" w:rsidRPr="00D637BA">
        <w:rPr>
          <w:rFonts w:ascii="Calibri" w:hAnsi="Calibri" w:cs="Calibri"/>
          <w:color w:val="000000" w:themeColor="text1"/>
          <w:sz w:val="22"/>
          <w:szCs w:val="22"/>
        </w:rPr>
        <w:t xml:space="preserve">of </w:t>
      </w:r>
      <w:r w:rsidRPr="00D637BA">
        <w:rPr>
          <w:rFonts w:ascii="Calibri" w:hAnsi="Calibri" w:cs="Calibri"/>
          <w:color w:val="000000" w:themeColor="text1"/>
          <w:sz w:val="22"/>
          <w:szCs w:val="22"/>
        </w:rPr>
        <w:t>histone</w:t>
      </w:r>
      <w:r w:rsidR="00703EDC" w:rsidRPr="00D637BA">
        <w:rPr>
          <w:rFonts w:ascii="Calibri" w:hAnsi="Calibri" w:cs="Calibri"/>
          <w:color w:val="000000" w:themeColor="text1"/>
          <w:sz w:val="22"/>
          <w:szCs w:val="22"/>
        </w:rPr>
        <w:t xml:space="preserve"> and </w:t>
      </w:r>
      <w:r w:rsidRPr="00D637BA">
        <w:rPr>
          <w:rFonts w:ascii="Calibri" w:hAnsi="Calibri" w:cs="Calibri"/>
          <w:color w:val="000000" w:themeColor="text1"/>
          <w:sz w:val="22"/>
          <w:szCs w:val="22"/>
        </w:rPr>
        <w:t xml:space="preserve">DNA hypermethylation </w:t>
      </w:r>
      <w:r w:rsidR="00446E80" w:rsidRPr="00B946E4">
        <w:rPr>
          <w:rFonts w:ascii="Calibri" w:hAnsi="Calibri" w:cs="Calibri"/>
          <w:color w:val="000000" w:themeColor="text1"/>
          <w:sz w:val="22"/>
          <w:szCs w:val="22"/>
        </w:rPr>
        <w:t xml:space="preserve">owing to </w:t>
      </w:r>
      <w:r w:rsidRPr="00D637BA">
        <w:rPr>
          <w:rFonts w:ascii="Calibri" w:hAnsi="Calibri" w:cs="Calibri"/>
          <w:color w:val="000000" w:themeColor="text1"/>
          <w:sz w:val="22"/>
          <w:szCs w:val="22"/>
        </w:rPr>
        <w:t xml:space="preserve">inhibition of KDM and TETs in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 xml:space="preserve">, </w:t>
      </w:r>
      <w:r w:rsidRPr="00D637BA">
        <w:rPr>
          <w:rFonts w:ascii="Calibri" w:hAnsi="Calibri" w:cs="Calibri"/>
          <w:i/>
          <w:color w:val="000000" w:themeColor="text1"/>
          <w:sz w:val="22"/>
          <w:szCs w:val="22"/>
        </w:rPr>
        <w:t>SDH</w:t>
      </w:r>
      <w:r w:rsidRPr="00D637BA">
        <w:rPr>
          <w:rFonts w:ascii="Calibri" w:hAnsi="Calibri" w:cs="Calibri"/>
          <w:color w:val="000000" w:themeColor="text1"/>
          <w:sz w:val="22"/>
          <w:szCs w:val="22"/>
        </w:rPr>
        <w:t xml:space="preserve"> and </w:t>
      </w:r>
      <w:r w:rsidRPr="00D637BA">
        <w:rPr>
          <w:rFonts w:ascii="Calibri" w:hAnsi="Calibri" w:cs="Calibri"/>
          <w:i/>
          <w:color w:val="000000" w:themeColor="text1"/>
          <w:sz w:val="22"/>
          <w:szCs w:val="22"/>
        </w:rPr>
        <w:t>IDH</w:t>
      </w:r>
      <w:r w:rsidRPr="00D637BA">
        <w:rPr>
          <w:rFonts w:ascii="Calibri" w:hAnsi="Calibri" w:cs="Calibri"/>
          <w:color w:val="000000" w:themeColor="text1"/>
          <w:sz w:val="22"/>
          <w:szCs w:val="22"/>
        </w:rPr>
        <w:t>-mutant tumours</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{"citationID":"ao5u64vjg2","properties":{"formattedCitation":"\\super 71,140\\uc0\\u8211{}142,146,152\\uc0\\u8211{}154\\nosupersub{}","plainCitation":"71,140–142,146,152–154","noteIndex":0},"citationItems":[{"id":595,"uris":["http://zotero.org/users/4775618/items/6DLESQ5F"],"uri":["http://zotero.org/users/4775618/items/6DLESQ5F"],"itemData":{"id":595,"type":"article-journal","title":"The oncometabolite 2-hydroxyglutarate inhibits histone lysine demethylases","container-title":"EMBO reports","page":"463-469","volume":"12","issue":"5","source":"Wiley Online Library","abstract":"Mutations in isocitrate dehydrogenases (IDHs) have a gain-of-function effect leading to R(−)-2-hydroxyglutarate (R-2HG) accumulation. By using biochemical, structural and cellular assays, we show that either or both R- and S-2HG inhibit 2-oxoglutarate (2OG)-dependent oxygenases with varying potencies. Half-maximal inhibitory concentration (IC50) values for the R-form of 2HG varied from approximately 25 μM for the histone Nε-lysine demethylase JMJD2A to more than 5 mM for the hypoxia-inducible factor (HIF) prolyl hydroxylase. The results indicate that candidate oncogenic pathways in IDH-associated malignancy should include those that are regulated by other 2OG oxygenases than HIF hydroxylases, in particular those involving the regulation of histone methylation.","URL":"https://onlinelibrary.wiley.com/doi/abs/10.1038/embor.2011.43","DOI":"10.1038/embor.2011.43","ISSN":"1469-3178","language":"en","author":[{"family":"Chowdhury","given":"Rasheduzzaman"},{"family":"Yeoh","given":"Kar Kheng"},{"family":"Tian","given":"Ya-Min"},{"family":"Hillringhaus","given":"Lars"},{"family":"Bagg","given":"Eleanor A."},{"family":"Rose","given":"Nathan R."},{"family":"Leung","given":"Ivanhoe K. H."},{"family":"Li","given":"Xuan S."},{"family":"Woon","given":"Esther C. Y."},{"family":"Yang","given":"Ming"},{"family":"McDonough","given":"Michael A."},{"family":"King","given":"Oliver N."},{"family":"Clifton","given":"Ian J."},{"family":"Klose","given":"Robert J."},{"family":"Claridge","given":"Timothy D. W."},{"family":"Ratcliffe","given":"Peter J."},{"family":"Schofield","given":"Christopher J."},{"family":"Kawamura","given":"Akane"}],"issued":{"date-parts":[["2011",5,1]]},"accessed":{"date-parts":[["2018",8,20]]}}},{"id":734,"uris":["http://zotero.org/users/4775618/items/VUKVARZV"],"uri":["http://zotero.org/users/4775618/items/VUKVARZV"],"itemData":{"id":734,"type":"article-journal","title":"Leukemic IDH1 and IDH2 mutations result in a hypermethylation phenotype, disrupt TET2 function, and impair hematopoietic differentiation","container-title":"Cancer Cell","page":"553-567","volume":"18","issue":"6","source":"PubMed","abstract":"Cancer-associated IDH mutations are characterized by neomorphic enzyme activity and resultant 2-hydroxyglutarate (2HG) production. Mutational and epigenetic profiling of a large acute myeloid leukemia (AML) patient cohort revealed that IDH1/2-mutant AMLs display global DNA hypermethylation and a specific hypermethylation signature. Furthermore, expression of 2HG-producing IDH alleles in cells induced global DNA hypermethylation. In the AML cohort, IDH1/2 mutations were mutually exclusive with mutations in the α-ketoglutarate-dependent enzyme TET2, and TET2 loss-of-function mutations were associated with similar epigenetic defects as IDH1/2 mutants. Consistent with these genetic and epigenetic data, expression of IDH mutants impaired TET2 catalytic function in cells. Finally, either expression of mutant IDH1/2 or Tet2 depletion impaired hematopoietic differentiation and increased stem/progenitor cell marker expression, suggesting a shared proleukemogenic effect.","DOI":"10.1016/j.ccr.2010.11.015","ISSN":"1878-3686","note":"PMID: 21130701\nPMCID: PMC4105845","journalAbbreviation":"Cancer Cell","language":"eng","author":[{"family":"Figueroa","given":"Maria E."},{"family":"Abdel-Wahab","given":"Omar"},{"family":"Lu","given":"Chao"},{"family":"Ward","given":"Patrick S."},{"family":"Patel","given":"Jay"},{"family":"Shih","given":"Alan"},{"family":"Li","given":"Yushan"},{"family":"Bhagwat","given":"Neha"},{"family":"Vasanthakumar","given":"Aparna"},{"family":"Fernandez","given":"Hugo F."},{"family":"Tallman","given":"Martin S."},{"family":"Sun","given":"Zhuoxin"},{"family":"Wolniak","given":"Kristy"},{"family":"Peeters","given":"Justine K."},{"family":"Liu","given":"Wei"},{"family":"Choe","given":"Sung E."},{"family":"Fantin","given":"Valeria R."},{"family":"Paietta","given":"Elisabeth"},{"family":"Löwenberg","given":"Bob"},{"family":"Licht","given":"Jonathan D."},{"family":"Godley","given":"Lucy A."},{"family":"Delwel","given":"Ruud"},{"family":"Valk","given":"Peter J. M."},{"family":"Thompson","given":"Craig B."},{"family":"Levine","given":"Ross L."},{"family":"Melnick","given":"Ari"}],"issued":{"date-parts":[["2010",12,14]]}}},{"id":1510,"uris":["http://zotero.org/users/4775618/items/KQPZH6CD"],"uri":["http://zotero.org/users/4775618/items/KQPZH6CD"],"itemData":{"id":1510,"type":"article-journal","title":"SDH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id":1355,"uris":["http://zotero.org/users/4775618/items/TMNJ2W2F"],"uri":["http://zotero.org/users/4775618/items/TMNJ2W2F"],"itemData":{"id":1355,"type":"article-journal","title":"IDH mutation impairs histone demethylation and results in a block to cell differentiation","container-title":"Nature","page":"474-478","volume":"483","issue":"7390","source":"www-nature-com.ezp.lib.cam.ac.uk","abstract":"Recurrent mutations in isocitrate dehydrogenase 1 (IDH1) and IDH2 have been identified in gliomas, acute myeloid leukaemias (AML) and chondrosarcomas, and share a novel enzymatic property of producing 2-hydroxyglutarate (2HG) from α-ketoglutarate1,2,3,4,5,6. Here we report that 2HG-producing IDH mutants can prevent the histone demethylation that is required for lineage-specific progenitor cells to differentiate into terminally differentiated cells. In tumour samples from glioma patients, IDH mutations were associated with a distinct gene expression profile enriched for genes expressed in neural progenitor cells, and this was associated with increased histone methylation. To test whether the ability of IDH mutants to promote histone methylation contributes to a block in cell differentiation in non-transformed cells, we tested the effect of neomorphic IDH mutants on adipocyte differentiation in vitro. Introduction of either mutant IDH or cell-permeable 2HG was associated with repression of the inducible expression of lineage-specific differentiation genes and a block to differentiation. This correlated with a significant increase in repressive histone methylation marks without observable changes in promoter DNA methylation. Gliomas were found to have elevated levels of similar histone repressive marks. Stable transfection of a 2HG-producing mutant IDH into immortalized astrocytes resulted in progressive accumulation of histone methylation. Of the marks examined, increased H3K9 methylation reproducibly preceded a rise in DNA methylation as cells were passaged in culture. Furthermore, we found that the 2HG-inhibitable H3K9 demethylase KDM4C was induced during adipocyte differentiation, and that RNA-interference suppression of KDM4C was sufficient to block differentiation. Together these data demonstrate that 2HG can inhibit histone demethylation and that inhibition of histone demethylation can be sufficient to block the differentiation of non-transformed cells.","URL":"http://www.nature.com/articles/nature10860","DOI":"10.1038/nature10860","ISSN":"1476-4687","language":"en","author":[{"family":"Lu","given":"Chao"},{"family":"Ward","given":"Patrick S."},{"family":"Kapoor","given":"Gurpreet S."},{"family":"Rohle","given":"Dan"},{"family":"Turcan","given":"Sevin"},{"family":"Abdel-Wahab","given":"Omar"},{"family":"Edwards","given":"Christopher R."},{"family":"Khanin","given":"Raya"},{"family":"Figueroa","given":"Maria E."},{"family":"Melnick","given":"Ari"},{"family":"Wellen","given":"Kathryn E."},{"family":"O’Rourke","given":"Donald M."},{"family":"Berger","given":"Shelley L."},{"family":"Chan","given":"Timothy A."},{"family":"Levine","given":"Ross L."},{"family":"Mellinghoff","given":"Ingo K."},{"family":"Thompson","given":"Craig B."}],"issued":{"date-parts":[["2012",3]]},"accessed":{"date-parts":[["2019",2,23]]}}},{"id":1526,"uris":["http://zotero.org/users/4775618/items/VJWPJGKC"],"uri":["http://zotero.org/users/4775618/items/VJWPJGKC"],"itemData":{"id":1526,"type":"article-journal","title":"Induction of sarcomas by mutant IDH2","container-title":"Genes &amp; Development","page":"1986-1998","volume":"27","issue":"18","source":"PubMed Central","abstract":"Most chondrosarcoma patients exhibit gain-of-function mutations in either IDH1 or IDH2. Lu et al. found that IDH mutations were associated with DNA hypermethylation at CpG islands in chondrosarcoma biopsies. Regions of hypermethylation were enriched for genes implicated in stem cell maintenance/differentiation and lineage specification. In murine mesenchymal progenitor cells, mutant IDH2 led to DNA hypermethylation and impairment in differentiation, which could be reversed by DNA-hypomethylating agents. Mutant IDH2 also generated undifferentiated sarcomas in vivo. This work demonstrates that neomorphic IDH2 mutations can be oncogenic in mesenchymal cells., More than 50% of patients with chondrosarcomas exhibit gain-of-function mutations in either isocitrate dehydrogenase 1 (IDH1) or IDH2. In this study, we performed genome-wide CpG methylation sequencing of chondrosarcoma biopsies and found that IDH mutations were associated with DNA hypermethylation at CpG islands but not other genomic regions. Regions of CpG island hypermethylation were enriched for genes implicated in stem cell maintenance/differentiation and lineage specification. In murine 10T1/2 mesenchymal progenitor cells, expression of mutant IDH2 led to DNA hypermethylation and an impairment in differentiation that could be reversed by treatment with DNA-hypomethylating agents. Introduction of mutant IDH2 also induced loss of contact inhibition and generated undifferentiated sarcomas in vivo. The oncogenic potential of mutant IDH2 correlated with the ability to produce 2-hydroxyglutarate. Together, these data demonstrate that neomorphic IDH2 mutations can be oncogenic in mesenchymal cells.","URL":"https://www.ncbi.nlm.nih.gov/pmc/articles/PMC3792475/","DOI":"10.1101/gad.226753.113","ISSN":"0890-9369","note":"PMID: 24065766\nPMCID: PMC3792475","journalAbbreviation":"Genes Dev","author":[{"family":"Lu","given":"Chao"},{"family":"Venneti","given":"Sriram"},{"family":"Akalin","given":"Altuna"},{"family":"Fang","given":"Fang"},{"family":"Ward","given":"Patrick S."},{"family":"DeMatteo","given":"Raymond G."},{"family":"Intlekofer","given":"Andrew M."},{"family":"Chen","given":"Chong"},{"family":"Ye","given":"Jiangbin"},{"family":"Hameed","given":"Meera"},{"family":"Nafa","given":"Khedoudja"},{"family":"Agaram","given":"Narasimhan P."},{"family":"Cross","given":"Justin R."},{"family":"Khanin","given":"Raya"},{"family":"Mason","given":"Christopher E."},{"family":"Healey","given":"John H."},{"family":"Lowe","given":"Scott W."},{"family":"Schwartz","given":"Gary K."},{"family":"Melnick","given":"Ari"},{"family":"Thompson","given":"Craig B."}],"issued":{"date-parts":[["2013",9,15]]},"accessed":{"date-parts":[["2019",2,26]]}}},{"id":1529,"uris":["http://zotero.org/users/4775618/items/J8Y3EZR5"],"uri":["http://zotero.org/users/4775618/items/J8Y3EZR5"],"itemData":{"id":1529,"type":"article-journal","title":"IDH1 mutation is sufficient to establish the glioma hypermethylator phenotype","container-title":"Nature","page":"479-483","volume":"483","issue":"7390","source":"PubMed","abstract":"Both genome-wide genetic and epigenetic alterations are fundamentally important for the development of cancers, but the interdependence of these aberrations is poorly understood. Glioblastomas and other cancers with the CpG island methylator phenotype (CIMP) constitute a subset of tumours with extensive epigenomic aberrations and a distinct biology. Glioma CIMP (G-CIMP) is a powerful determinant of tumour pathogenicity, but the molecular basis of G-CIMP remains unresolved. Here we show that mutation of a single gene, isocitrate dehydrogenase 1 (IDH1), establishes G-CIMP by remodelling the methylome. This remodelling results in reorganization of the methylome and transcriptome. Examination of the epigenome of a large set of intermediate-grade gliomas demonstrates a distinct G-CIMP phenotype that is highly dependent on the presence of IDH mutation. Introduction of mutant IDH1 into primary human astrocytes alters specific histone marks, induces extensive DNA hypermethylation, and reshapes the methylome in a fashion that mirrors the changes observed in G-CIMP-positive lower-grade gliomas. Furthermore, the epigenomic alterations resulting from mutant IDH1 activate key gene expression programs, characterize G-CIMP-positive proneural glioblastomas but not other glioblastomas, and are predictive of improved survival. Our findings demonstrate that IDH mutation is the molecular basis of CIMP in gliomas, provide a framework for understanding oncogenesis in these gliomas, and highlight the interplay between genomic and epigenomic changes in human cancers.","DOI":"10.1038/nature10866","ISSN":"1476-4687","note":"PMID: 22343889\nPMCID: PMC3351699","journalAbbreviation":"Nature","language":"eng","author":[{"family":"Turcan","given":"Sevin"},{"family":"Rohle","given":"Daniel"},{"family":"Goenka","given":"Anuj"},{"family":"Walsh","given":"Logan A."},{"family":"Fang","given":"Fang"},{"family":"Yilmaz","given":"Emrullah"},{"family":"Campos","given":"Carl"},{"family":"Fabius","given":"Armida W. M."},{"family":"Lu","given":"Chao"},{"family":"Ward","given":"Patrick S."},{"family":"Thompson","given":"Craig B."},{"family":"Kaufman","given":"Andrew"},{"family":"Guryanova","given":"Olga"},{"family":"Levine","given":"Ross"},{"family":"Heguy","given":"Adriana"},{"family":"Viale","given":"Agnes"},{"family":"Morris","given":"Luc G. T."},{"family":"Huse","given":"Jason T."},{"family":"Mellinghoff","given":"Ingo K."},{"family":"Chan","given":"Timothy A."}],"issued":{"date-parts":[["2012",2,15]]}}},{"id":700,"uris":["http://zotero.org/users/4775618/items/UXVXGHY3"],"uri":["http://zotero.org/users/4775618/items/UXVXGHY3"],"itemData":{"id":700,"type":"article-journal","title":"Inhibition of α-KG-dependent histone and DNA demethylases by fumarate and succinate that are accumulated in mutations of FH and SDH tumor suppressors","container-title":"Genes &amp; Development","page":"1326-1338","volume":"26","issue":"12","source":"PubMed","abstract":"Two Krebs cycle genes, fumarate hydratase (FH) and succinate dehydrogenase (SDH), are mutated in a subset of human cancers, leading to accumulation of their substrates, fumarate and succinate, respectively. Here we demonstrate that fumarate and succinate are competitive inhibitors of multiple α-ketoglutarate (α-KG)-dependent dioxygenases, including histone demethylases, prolyl hydroxylases, collagen prolyl-4-hydroxylases, and the TET (ten-eleven translocation) family of 5-methlycytosine (5mC) hydroxylases. Knockdown of FH and SDH results in elevated intracellular levels of fumarate and succinate, respectively, which act as competitors of α-KG to broadly inhibit the activity of α-KG-dependent dioxygenases. In addition, ectopic expression of tumor-derived FH and SDH mutants inhibits histone demethylation and hydroxylation of 5mC. Our study suggests that tumor-derived FH and SDH mutations accumulate fumarate and succinate, leading to enzymatic inhibition of multiple α-KG-dependent dioxygenases and consequent alterations of genome-wide histone and DNA methylation. These epigenetic alterations associated with mutations of FH and SDH likely contribute to tumorigenesis.","DOI":"10.1101/gad.191056.112","ISSN":"1549-5477","note":"PMID: 22677546\nPMCID: PMC3387660","journalAbbreviation":"Genes Dev.","language":"eng","author":[{"family":"Xiao","given":"Mengtao"},{"family":"Yang","given":"Hui"},{"family":"Xu","given":"Wei"},{"family":"Ma","given":"Shenghong"},{"family":"Lin","given":"Huaipeng"},{"family":"Zhu","given":"Honguang"},{"family":"Liu","given":"Lixia"},{"family":"Liu","given":"Ying"},{"family":"Yang","given":"Chen"},{"family":"Xu","given":"Yanhui"},{"family":"Zhao","given":"Shimin"},{"family":"Ye","given":"Dan"},{"family":"Xiong","given":"Yue"},{"family":"Guan","given":"Kun-Liang"}],"issued":{"date-parts":[["2012",6,15]]}}},{"id":331,"uris":["http://zotero.org/users/4775618/items/CH9YES7I"],"uri":["http://zotero.org/users/4775618/items/CH9YES7I"],"itemData":{"id":331,"type":"article-journal","title":"Oncometabolite 2-Hydroxyglutarate Is a Competitive Inhibitor of α-Ketoglutarate-Dependent Dioxygenases","container-title":"Cancer cell","page":"17-30","volume":"19","issue":"1","source":"PubMed Central","abstract":"IDH1 and IDH2 mutations occur frequently in gliomas and acute myeloid leukemia, leading to simultaneous loss and gain of activities in the production of α-ketoglutarate (α-KG) and 2-hydroxyglutarate (2-HG), respectively. Here we demonstrate that 2-HG is a competitive inhibitor of multiple α-KG-dependent dioxygenases, including histone demethylases and the TET family of 5-methlycytosine (5mC) hydroxylases. 2-HG occupies the same space as α-KG does in the active site of histone demethylases. Ectopic expression of tumor-derived IDH1 and IDH2 mutants inhibits histone demethylation and 5mC hydroxylation. In glioma, IDH1 mutations are associated with increased histone methylation and decreased 5-hydroxylmethylcytosine (5hmC). Hence, tumor-derived IDH1 and IDH2 mutations reduce α-KG and accumulate an α-KG antagonist, 2-HG, leading to genome-wide histone and DNA methylation alterations.","URL":"https://www.ncbi.nlm.nih.gov/pmc/articles/PMC3229304/","DOI":"10.1016/j.ccr.2010.12.014","ISSN":"1535-6108","note":"PMID: 21251613\nPMCID: PMC3229304","journalAbbreviation":"Cancer Cell","author":[{"family":"Xu","given":"Wei"},{"family":"Yang","given":"Hui"},{"family":"Liu","given":"Ying"},{"family":"Yang","given":"Ying"},{"family":"Wang","given":"Ping"},{"family":"Kim","given":"Se-Hee"},{"family":"Ito","given":"Shinsuke"},{"family":"Yang","given":"Chen"},{"family":"Wang","given":"Pu"},{"family":"Xiao","given":"Meng-Tao"},{"family":"Liu","given":"Li-xia"},{"family":"Jiang","given":"Wen-qing"},{"family":"Liu","given":"Jing"},{"family":"Zhang","given":"Jin-ye"},{"family":"Wang","given":"Bin"},{"family":"Frye","given":"Stephen"},{"family":"Zhang","given":"Yi"},{"family":"Xu","given":"Yan-hui"},{"family":"Lei","given":"Qun-ying"},{"family":"Guan","given":"Kun-Liang"},{"family":"Zhao","given":"Shi-min"},{"family":"Xiong","given":"Yue"}],"issued":{"date-parts":[["2011",1,18]]},"accessed":{"date-parts":[["2018",3,29]]}}}],"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71,140–142,146,152–154</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Pr="00D637BA">
        <w:rPr>
          <w:rFonts w:ascii="Calibri" w:hAnsi="Calibri" w:cs="Calibri"/>
          <w:i/>
          <w:color w:val="000000" w:themeColor="text1"/>
          <w:sz w:val="22"/>
          <w:szCs w:val="22"/>
        </w:rPr>
        <w:t>SDH-</w:t>
      </w:r>
      <w:r w:rsidRPr="00D637BA">
        <w:rPr>
          <w:rFonts w:ascii="Calibri" w:hAnsi="Calibri" w:cs="Calibri"/>
          <w:color w:val="000000" w:themeColor="text1"/>
          <w:sz w:val="22"/>
          <w:szCs w:val="22"/>
        </w:rPr>
        <w:t>deficient tissues from patients with PGL and PCC demonstrated high levels of repressive histone marks (</w:t>
      </w:r>
      <w:r w:rsidR="008A1D0D" w:rsidRPr="00D637BA">
        <w:rPr>
          <w:rFonts w:ascii="Calibri" w:hAnsi="Calibri" w:cs="Calibri"/>
          <w:color w:val="000000" w:themeColor="text1"/>
          <w:sz w:val="22"/>
          <w:szCs w:val="22"/>
        </w:rPr>
        <w:t>trimethylation of histone H3 at lysine 4 (</w:t>
      </w:r>
      <w:r w:rsidRPr="00D637BA">
        <w:rPr>
          <w:rFonts w:ascii="Calibri" w:hAnsi="Calibri" w:cs="Calibri"/>
          <w:color w:val="000000" w:themeColor="text1"/>
          <w:sz w:val="22"/>
          <w:szCs w:val="22"/>
        </w:rPr>
        <w:t>H3K27me3</w:t>
      </w:r>
      <w:r w:rsidR="008A1D0D"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{"citationID":"a1f2k2cud9r","properties":{"formattedCitation":"\\super 141\\nosupersub{}","plainCitation":"141","noteIndex":0},"citationItems":[{"id":1510,"uris":["http://zotero.org/users/4775618/items/KQPZH6CD"],"uri":["http://zotero.org/users/4775618/items/KQPZH6CD"],"itemData":{"id":1510,"type":"article-journal","title":"SDH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141</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In addition, succinate accumulation in </w:t>
      </w:r>
      <w:r w:rsidRPr="00D637BA">
        <w:rPr>
          <w:rFonts w:ascii="Calibri" w:hAnsi="Calibri" w:cs="Calibri"/>
          <w:i/>
          <w:color w:val="000000" w:themeColor="text1"/>
          <w:sz w:val="22"/>
          <w:szCs w:val="22"/>
        </w:rPr>
        <w:t>SDHB</w:t>
      </w:r>
      <w:r w:rsidRPr="00D637BA">
        <w:rPr>
          <w:rFonts w:ascii="Calibri" w:hAnsi="Calibri" w:cs="Calibri"/>
          <w:color w:val="000000" w:themeColor="text1"/>
          <w:sz w:val="22"/>
          <w:szCs w:val="22"/>
        </w:rPr>
        <w:t>-knockout chromaffin cells</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{"citationID":"ashqi3p78d","properties":{"formattedCitation":"\\super 141\\nosupersub{}","plainCitation":"141","noteIndex":0},"citationItems":[{"id":1510,"uris":["http://zotero.org/users/4775618/items/KQPZH6CD"],"uri":["http://zotero.org/users/4775618/items/KQPZH6CD"],"itemData":{"id":1510,"type":"article-journal","title":"SDH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141</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and </w:t>
      </w:r>
      <w:r w:rsidRPr="00D637BA">
        <w:rPr>
          <w:rFonts w:ascii="Calibri" w:hAnsi="Calibri" w:cs="Calibri"/>
          <w:i/>
          <w:color w:val="000000" w:themeColor="text1"/>
          <w:sz w:val="22"/>
          <w:szCs w:val="22"/>
        </w:rPr>
        <w:t>SDHB-</w:t>
      </w:r>
      <w:r w:rsidRPr="00D637BA">
        <w:rPr>
          <w:rFonts w:ascii="Calibri" w:hAnsi="Calibri" w:cs="Calibri"/>
          <w:color w:val="000000" w:themeColor="text1"/>
          <w:sz w:val="22"/>
          <w:szCs w:val="22"/>
        </w:rPr>
        <w:t>knockdown murine ovarian cancer cells</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{"citationID":"a1dhsdoei5v","properties":{"formattedCitation":"\\super 155\\nosupersub{}","plainCitation":"155","noteIndex":0},"citationItems":[{"id":1660,"uris":["http://zotero.org/users/4775618/items/UT3FIYWZ"],"uri":["http://zotero.org/users/4775618/items/UT3FIYWZ"],"itemData":{"id":1660,"type":"article-journal","title":"Succinate dehydrogenase inhibition leads to epithelial-mesenchymal transition and reprogrammed carbon metabolism","container-title":"Cancer &amp; Metabolism","volume":"2","source":"PubMed Central","abstract":"Background\nSuccinate dehydrogenase (SDH) is a mitochondrial metabolic enzyme complex involved in both the electron transport chain and the citric acid cycle. SDH mutations resulting in enzymatic dysfunction have been found to be a predisposing factor in various hereditary cancers. Therefore, SDH has been implicated as a tumor suppressor.\n\nResults\nWe identified that dysregulation of SDH components also occurs in serous ovarian cancer, particularly the SDH subunit SDHB. Targeted knockdown of Sdhb in mouse ovarian cancer cells resulted in enhanced proliferation and an epithelial-to-mesenchymal transition (EMT). Bioinformatics analysis revealed that decreased SDHB expression leads to a transcriptional upregulation of genes involved in metabolic networks affecting histone methylation. We confirmed that Sdhb knockdown leads to a hypermethylated epigenome that is sufficient to promote EMT. Metabolically, the loss of Sdhb resulted in reprogrammed carbon source utilization and mitochondrial dysfunction. This altered metabolic state of Sdhb knockdown cells rendered them hypersensitive to energy stress.\n\nConclusions\nThese data illustrate how SDH dysfunction alters the epigenetic and metabolic landscape in ovarian cancer. By analyzing the involvement of this enzyme in transcriptional and metabolic networks, we find a metabolic Achilles’ heel that can be exploited therapeutically. Analyses of this type provide an understanding how specific perturbations in cancer metabolism may lead to novel anticancer strategies.\n\nElectronic supplementary material\nThe online version of this article (doi:10.1186/2049-3002-2-21) contains supplementary material, which is available to authorized users.","URL":"https://www.ncbi.nlm.nih.gov/pmc/articles/PMC4322794/","DOI":"10.1186/2049-3002-2-21","ISSN":"2049-3002","note":"PMID: 25671108\nPMCID: PMC4322794","journalAbbreviation":"Cancer Metab","author":[{"family":"Aspuria","given":"Paul-Joseph P"},{"family":"Lunt","given":"Sophia Y"},{"family":"Väremo","given":"Leif"},{"family":"Vergnes","given":"Laurent"},{"family":"Gozo","given":"Maricel"},{"family":"Beach","given":"Jessica A"},{"family":"Salumbides","given":"Brenda"},{"family":"Reue","given":"Karen"},{"family":"Wiedemeyer","given":"W Ruprecht"},{"family":"Nielsen","given":"Jens"},{"family":"Karlan","given":"Beth Y"},{"family":"Orsulic","given":"Sandra"}],"issued":{"date-parts":[["2014",12,15]]},"accessed":{"date-parts":[["2019",3,2]]}}}],"schema":"https://github.com/citation-style-language/schema/raw/master/csl-citation.json"}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155</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as well as 2HG accumulation in </w:t>
      </w:r>
      <w:r w:rsidRPr="00D637BA">
        <w:rPr>
          <w:rFonts w:ascii="Calibri" w:hAnsi="Calibri" w:cs="Calibri"/>
          <w:i/>
          <w:color w:val="000000" w:themeColor="text1"/>
          <w:sz w:val="22"/>
          <w:szCs w:val="22"/>
        </w:rPr>
        <w:t>IDH1</w:t>
      </w:r>
      <w:r w:rsidR="00D95712">
        <w:rPr>
          <w:rFonts w:ascii="Calibri" w:hAnsi="Calibri" w:cs="Calibri"/>
          <w:color w:val="000000" w:themeColor="text1"/>
          <w:sz w:val="22"/>
          <w:szCs w:val="22"/>
        </w:rPr>
        <w:t>-</w:t>
      </w:r>
      <w:r w:rsidRPr="00D637BA">
        <w:rPr>
          <w:rFonts w:ascii="Calibri" w:hAnsi="Calibri" w:cs="Calibri"/>
          <w:color w:val="000000" w:themeColor="text1"/>
          <w:sz w:val="22"/>
          <w:szCs w:val="22"/>
        </w:rPr>
        <w:t>mutant</w:t>
      </w:r>
      <w:r w:rsidR="003F444B">
        <w:rPr>
          <w:rFonts w:ascii="Calibri" w:hAnsi="Calibri" w:cs="Calibri"/>
          <w:color w:val="000000" w:themeColor="text1"/>
          <w:sz w:val="22"/>
          <w:szCs w:val="22"/>
        </w:rPr>
        <w:t xml:space="preserve"> </w:t>
      </w:r>
      <w:r w:rsidR="00486522">
        <w:rPr>
          <w:rFonts w:ascii="Calibri" w:hAnsi="Calibri" w:cs="Calibri"/>
          <w:color w:val="000000" w:themeColor="text1"/>
          <w:sz w:val="22"/>
          <w:szCs w:val="22"/>
        </w:rPr>
        <w:t xml:space="preserve">murine fibroblasts </w:t>
      </w:r>
      <w:r w:rsidR="00B75DD0">
        <w:rPr>
          <w:rFonts w:ascii="Calibri" w:hAnsi="Calibri" w:cs="Calibri"/>
          <w:color w:val="000000" w:themeColor="text1"/>
          <w:sz w:val="22"/>
          <w:szCs w:val="22"/>
        </w:rPr>
        <w:t xml:space="preserve">and </w:t>
      </w:r>
      <w:r w:rsidR="00B75DD0" w:rsidRPr="00D637BA">
        <w:rPr>
          <w:rFonts w:ascii="Calibri" w:hAnsi="Calibri" w:cs="Calibri"/>
          <w:i/>
          <w:color w:val="000000" w:themeColor="text1"/>
          <w:sz w:val="22"/>
          <w:szCs w:val="22"/>
        </w:rPr>
        <w:t>IDH1</w:t>
      </w:r>
      <w:r w:rsidR="00D95712">
        <w:rPr>
          <w:rFonts w:ascii="Calibri" w:hAnsi="Calibri" w:cs="Calibri"/>
          <w:color w:val="000000" w:themeColor="text1"/>
          <w:sz w:val="22"/>
          <w:szCs w:val="22"/>
        </w:rPr>
        <w:t>-</w:t>
      </w:r>
      <w:r w:rsidR="00B75DD0" w:rsidRPr="00D637BA">
        <w:rPr>
          <w:rFonts w:ascii="Calibri" w:hAnsi="Calibri" w:cs="Calibri"/>
          <w:color w:val="000000" w:themeColor="text1"/>
          <w:sz w:val="22"/>
          <w:szCs w:val="22"/>
        </w:rPr>
        <w:t>mutant</w:t>
      </w:r>
      <w:r w:rsidR="00B75DD0">
        <w:rPr>
          <w:rFonts w:ascii="Calibri" w:hAnsi="Calibri" w:cs="Calibri"/>
          <w:color w:val="000000" w:themeColor="text1"/>
          <w:sz w:val="22"/>
          <w:szCs w:val="22"/>
        </w:rPr>
        <w:t xml:space="preserve"> </w:t>
      </w:r>
      <w:r w:rsidR="00B57E41">
        <w:rPr>
          <w:rFonts w:ascii="Calibri" w:hAnsi="Calibri" w:cs="Calibri"/>
          <w:color w:val="000000" w:themeColor="text1"/>
          <w:sz w:val="22"/>
          <w:szCs w:val="22"/>
        </w:rPr>
        <w:t>glioma ce</w:t>
      </w:r>
      <w:r w:rsidR="00B57E41" w:rsidRPr="00E37025">
        <w:rPr>
          <w:rFonts w:ascii="Calibri" w:hAnsi="Calibri" w:cs="Calibri"/>
          <w:color w:val="000000" w:themeColor="text1"/>
          <w:sz w:val="22"/>
          <w:szCs w:val="22"/>
        </w:rPr>
        <w:t>lls</w:t>
      </w:r>
      <w:r w:rsidR="00703EDC" w:rsidRPr="00E37025">
        <w:rPr>
          <w:rFonts w:ascii="Calibri" w:hAnsi="Calibri" w:cs="Calibri"/>
          <w:color w:val="000000" w:themeColor="text1"/>
          <w:sz w:val="22"/>
          <w:szCs w:val="22"/>
        </w:rPr>
        <w:t xml:space="preserve"> </w:t>
      </w:r>
      <w:r w:rsidR="00DE12B1" w:rsidRPr="00E37025">
        <w:rPr>
          <w:rFonts w:ascii="Calibri" w:hAnsi="Calibri" w:cs="Calibri"/>
          <w:b/>
          <w:color w:val="000000" w:themeColor="text1"/>
          <w:sz w:val="22"/>
          <w:szCs w:val="22"/>
        </w:rPr>
        <w:fldChar w:fldCharType="begin"/>
      </w:r>
      <w:r w:rsidR="00E52DEA" w:rsidRPr="00E37025">
        <w:rPr>
          <w:rFonts w:ascii="Calibri" w:hAnsi="Calibri" w:cs="Calibri"/>
          <w:b/>
          <w:color w:val="000000" w:themeColor="text1"/>
          <w:sz w:val="22"/>
          <w:szCs w:val="22"/>
        </w:rPr>
        <w:instrText xml:space="preserve"> ADDIN ZOTERO_ITEM CSL_CITATION {"citationID":"a1bntuaa2o6","properties":{"formattedCitation":"\\super 71,142\\nosupersub{}","plainCitation":"71,142","noteIndex":0},"citationItems":[{"id":1355,"uris":["http://zotero.org/users/4775618/items/TMNJ2W2F"],"uri":["http://zotero.org/users/4775618/items/TMNJ2W2F"],"itemData":{"id":1355,"type":"article-journal","title":"IDH mutation impairs histone demethylation and results in a block to cell differentiation","container-title":"Nature","page":"474-478","volume":"483","issue":"7390","source":"www-nature-com.ezp.lib.cam.ac.uk","abstract":"Recurrent mutations in isocitrate dehydrogenase 1 (IDH1) and IDH2 have been identified in gliomas, acute myeloid leukaemias (AML) and chondrosarcomas, and share a novel enzymatic property of producing 2-hydroxyglutarate (2HG) from α-ketoglutarate1,2,3,4,5,6. Here we report that 2HG-producing IDH mutants can prevent the histone demethylation that is required for lineage-specific progenitor cells to differentiate into terminally differentiated cells. In tumour samples from glioma patients, IDH mutations were associated with a distinct gene expression profile enriched for genes expressed in neural progenitor cells, and this was associated with increased histone methylation. To test whether the ability of IDH mutants to promote histone methylation contributes to a block in cell differentiation in non-transformed cells, we tested the effect of neomorphic IDH mutants on adipocyte differentiation in vitro. Introduction of either mutant IDH or cell-permeable 2HG was associated with repression of the inducible expression of lineage-specific differentiation genes and a block to differentiation. This correlated with a significant increase in repressive histone methylation marks without observable changes in promoter DNA methylation. Gliomas were found to have elevated levels of similar histone repressive marks. Stable transfection of a 2HG-producing mutant IDH into immortalized astrocytes resulted in progressive accumulation of histone methylation. Of the marks examined, increased H3K9 methylation reproducibly preceded a rise in DNA methylation as cells were passaged in culture. Furthermore, we found that the 2HG-inhibitable H3K9 demethylase KDM4C was induced during adipocyte differentiation, and that RNA-interference suppression of KDM4C was sufficient to block differentiation. Together these data demonstrate that 2HG can inhibit histone demethylation and that inhibition of histone demethylation can be sufficient to block the differentiation of non-transformed cells.","URL":"http://www.nature.com/articles/nature10860","DOI":"10.1038/nature10860","ISSN":"1476-4687","language":"en","author":[{"family":"Lu","given":"Chao"},{"family":"Ward","given":"Patrick S."},{"family":"Kapoor","given":"Gurpreet S."},{"family":"Rohle","given":"Dan"},{"family":"Turcan","given":"Sevin"},{"family":"Abdel-Wahab","given":"Omar"},{"family":"Edwards","given":"Christopher R."},{"family":"Khanin","given":"Raya"},{"family":"Figueroa","given":"Maria E."},{"family":"Melnick","given":"Ari"},{"family":"Wellen","given":"Kathryn E."},{"family":"O’Rourke","given":"Donald M."},{"family":"Berger","given":"Shelley L."},{"family":"Chan","given":"Timothy A."},{"family":"Levine","given":"Ross L."},{"family":"Mellinghoff","given":"Ingo K."},{"family":"Thompson","given":"Craig B."}],"issued":{"date-parts":[["2012",3]]},"accessed":{"date-parts":[["2019",2,23]]}}},{"id":331,"uris":["http://zotero.org/users/4775618/items/CH9YES7I"],"uri":["http://zotero.org/users/4775618/items/CH9YES7I"],"itemData":{"id":331,"type":"article-journal","title":"Oncometabolite 2-Hydroxyglutarate Is a Competitive Inhibitor of α-Ketoglutarate-Dependent Dioxygenases","container-title":"Cancer cell","page":"17-30","volume":"19","issue":"1","source":"PubMed Central","abstract":"IDH1 and IDH2 mutations occur frequently in gliomas and acute myeloid leukemia, leading to simultaneous loss and gain of activities in the production of α-ketoglutarate (α-KG) and 2-hydroxyglutarate (2-HG), respectively. Here we demonstrate that 2-HG is a competitive inhibitor of multiple α-KG-dependent dioxygenases, including histone demethylases and the TET family of 5-methlycytosine (5mC) hydroxylases. 2-HG occupies the same space as α-KG does in the active site of histone demethylases. Ectopic expression of tumor-derived IDH1 and IDH2 mutants inhibits histone demethylation and 5mC hydroxylation. In glioma, IDH1 mutations are associated with increased histone methylation and decreased 5-hydroxylmethylcytosine (5hmC). Hence, tumor-derived IDH1 and IDH2 mutations reduce α-KG and accumulate an α-KG antagonist, 2-HG, leading to genome-wide histone and DNA methylation alterations.","URL":"https://www.ncbi.nlm.nih.gov/pmc/articles/PMC3229304/","DOI":"10.1016/j.ccr.2010.12.014","ISSN":"1535-6108","note":"PMID: 21251613\nPMCID: PMC3229304","journalAbbreviation":"Cancer Cell","author":[{"family":"Xu","given":"Wei"},{"family":"Yang","given":"Hui"},{"family":"Liu","given":"Ying"},{"family":"Yang","given":"Ying"},{"family":"Wang","given":"Ping"},{"family":"Kim","given":"Se-Hee"},{"family":"Ito","given":"Shinsuke"},{"family":"Yang","given":"Chen"},{"family":"Wang","given":"Pu"},{"family":"Xiao","given":"Meng-Tao"},{"family":"Liu","given":"Li-xia"},{"family":"Jiang","given":"Wen-qing"},{"family":"Liu","given":"Jing"},{"family":"Zhang","given":"Jin-ye"},{"family":"Wang","given":"Bin"},{"family":"Frye","given":"Stephen"},{"family":"Zhang","given":"Yi"},{"family":"Xu","given":"Yan-hui"},{"family":"Lei","given":"Qun-ying"},{"family":"Guan","given":"Kun-Liang"},{"family":"Zhao","given":"Shi-min"},{"family":"Xiong","given":"Yue"}],"issued":{"date-parts":[["2011",1,18]]},"accessed":{"date-parts":[["2018",3,29]]}}}],"schema":"https://github.com/citation-style-language/schema/raw/master/csl-citation.json"} </w:instrText>
      </w:r>
      <w:r w:rsidR="00DE12B1" w:rsidRPr="00E37025">
        <w:rPr>
          <w:rFonts w:ascii="Calibri" w:hAnsi="Calibri" w:cs="Calibri"/>
          <w:b/>
          <w:color w:val="000000" w:themeColor="text1"/>
          <w:sz w:val="22"/>
          <w:szCs w:val="22"/>
        </w:rPr>
        <w:fldChar w:fldCharType="separate"/>
      </w:r>
      <w:r w:rsidR="00E52DEA" w:rsidRPr="00E37025">
        <w:rPr>
          <w:rFonts w:ascii="Calibri" w:hAnsi="Calibri" w:cs="Calibri"/>
          <w:color w:val="000000" w:themeColor="text1"/>
          <w:sz w:val="22"/>
          <w:vertAlign w:val="superscript"/>
          <w:lang w:val="en-US"/>
        </w:rPr>
        <w:t>71,142</w:t>
      </w:r>
      <w:r w:rsidR="00DE12B1" w:rsidRPr="00E37025">
        <w:rPr>
          <w:rFonts w:ascii="Calibri" w:hAnsi="Calibri" w:cs="Calibri"/>
          <w:b/>
          <w:color w:val="000000" w:themeColor="text1"/>
          <w:sz w:val="22"/>
          <w:szCs w:val="22"/>
        </w:rPr>
        <w:fldChar w:fldCharType="end"/>
      </w:r>
      <w:r w:rsidRPr="00D637BA">
        <w:rPr>
          <w:rFonts w:ascii="Calibri" w:hAnsi="Calibri" w:cs="Calibri"/>
          <w:color w:val="000000" w:themeColor="text1"/>
          <w:sz w:val="22"/>
          <w:szCs w:val="22"/>
        </w:rPr>
        <w:t xml:space="preserve">, </w:t>
      </w:r>
      <w:r w:rsidR="00703EDC" w:rsidRPr="00D637BA">
        <w:rPr>
          <w:rFonts w:ascii="Calibri" w:hAnsi="Calibri" w:cs="Calibri"/>
          <w:color w:val="000000" w:themeColor="text1"/>
          <w:sz w:val="22"/>
          <w:szCs w:val="22"/>
        </w:rPr>
        <w:t xml:space="preserve">led to inhibition of </w:t>
      </w:r>
      <w:r w:rsidRPr="00D637BA">
        <w:rPr>
          <w:rFonts w:ascii="Calibri" w:hAnsi="Calibri" w:cs="Calibri"/>
          <w:color w:val="000000" w:themeColor="text1"/>
          <w:sz w:val="22"/>
          <w:szCs w:val="22"/>
        </w:rPr>
        <w:t>KDM and TET with characteristic hypermethylation phenotypes associated with suppression of cellular differentiation</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{"citationID":"a2ccsibs2a6","properties":{"formattedCitation":"\\super 141,142\\nosupersub{}","plainCitation":"141,142","noteIndex":0},"citationItems":[{"id":1510,"uris":["http://zotero.org/users/4775618/items/KQPZH6CD"],"uri":["http://zotero.org/users/4775618/items/KQPZH6CD"],"itemData":{"id":1510,"type":"article-journal","title":"SDH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id":1355,"uris":["http://zotero.org/users/4775618/items/TMNJ2W2F"],"uri":["http://zotero.org/users/4775618/items/TMNJ2W2F"],"itemData":{"id":1355,"type":"article-journal","title":"IDH mutation impairs histone demethylation and results in a block to cell differentiation","container-title":"Nature","page":"474-478","volume":"483","issue":"7390","source":"www-nature-com.ezp.lib.cam.ac.uk","abstract":"Recurrent mutations in isocitrate dehydrogenase 1 (IDH1) and IDH2 have been identified in gliomas, acute myeloid leukaemias (AML) and chondrosarcomas, and share a novel enzymatic property of producing 2-hydroxyglutarate (2HG) from α-ketoglutarate1,2,3,4,5,6. Here we report that 2HG-producing IDH mutants can prevent the histone demethylation that is required for lineage-specific progenitor cells to differentiate into terminally differentiated cells. In tumour samples from glioma patients, IDH mutations were associated with a distinct gene expression profile enriched for genes expressed in neural progenitor cells, and this was associated with increased histone methylation. To test whether the ability of IDH mutants to promote histone methylation contributes to a block in cell differentiation in non-transformed cells, we tested the effect of neomorphic IDH mutants on adipocyte differentiation in vitro. Introduction of either mutant IDH or cell-permeable 2HG was associated with repression of the inducible expression of lineage-specific differentiation genes and a block to differentiation. This correlated with a significant increase in repressive histone methylation marks without observable changes in promoter DNA methylation. Gliomas were found to have elevated levels of similar histone repressive marks. Stable transfection of a 2HG-producing mutant IDH into immortalized astrocytes resulted in progressive accumulation of histone methylation. Of the marks examined, increased H3K9 methylation reproducibly preceded a rise in DNA methylation as cells were passaged in culture. Furthermore, we found that the 2HG-inhibitable H3K9 demethylase KDM4C was induced during adipocyte differentiation, and that RNA-interference suppression of KDM4C was sufficient to block differentiation. Together these data demonstrate that 2HG can inhibit histone demethylation and that inhibition of histone demethylation can be sufficient to block the differentiation of non-transformed cells.","URL":"http://www.nature.com/articles/nature10860","DOI":"10.1038/nature10860","ISSN":"1476-4687","language":"en","author":[{"family":"Lu","given":"Chao"},{"family":"Ward","given":"Patrick S."},{"family":"Kapoor","given":"Gurpreet S."},{"family":"Rohle","given":"Dan"},{"family":"Turcan","given":"Sevin"},{"family":"Abdel-Wahab","given":"Omar"},{"family":"Edwards","given":"Christopher R."},{"family":"Khanin","given":"Raya"},{"family":"Figueroa","given":"Maria E."},{"family":"Melnick","given":"Ari"},{"family":"Wellen","given":"Kathryn E."},{"family":"O’Rourke","given":"Donald M."},{"family":"Berger","given":"Shelley L."},{"family":"Chan","given":"Timothy A."},{"family":"Levine","given":"Ross L."},{"family":"Mellinghoff","given":"Ingo K."},{"family":"Thompson","given":"Craig B."}],"issued":{"date-parts":[["2012",3]]},"accessed":{"date-parts":[["2019",2,23]]}}}],"schema":"https://github.com/citation-style-language/schema/raw/master/csl-citation.json"}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141,142</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and activation of </w:t>
      </w:r>
      <w:r w:rsidR="008A1D0D" w:rsidRPr="00D637BA">
        <w:rPr>
          <w:rFonts w:ascii="Calibri" w:hAnsi="Calibri" w:cs="Calibri"/>
          <w:color w:val="000000" w:themeColor="text1"/>
          <w:sz w:val="22"/>
          <w:szCs w:val="22"/>
        </w:rPr>
        <w:t xml:space="preserve">epithelial-to-mesenchymal transition (EMT; a hallmark of tumour aggressiveness and metastatic progression) </w:t>
      </w:r>
      <w:r w:rsidR="00703EDC" w:rsidRPr="00D637BA">
        <w:rPr>
          <w:rFonts w:ascii="Calibri" w:hAnsi="Calibri" w:cs="Calibri"/>
          <w:color w:val="000000" w:themeColor="text1"/>
          <w:sz w:val="22"/>
          <w:szCs w:val="22"/>
        </w:rPr>
        <w:t xml:space="preserve">owing to </w:t>
      </w:r>
      <w:r w:rsidRPr="00D637BA">
        <w:rPr>
          <w:rFonts w:ascii="Calibri" w:hAnsi="Calibri" w:cs="Calibri"/>
          <w:color w:val="000000" w:themeColor="text1"/>
          <w:sz w:val="22"/>
          <w:szCs w:val="22"/>
        </w:rPr>
        <w:t>up</w:t>
      </w:r>
      <w:r w:rsidR="00703EDC" w:rsidRPr="00D637BA">
        <w:rPr>
          <w:rFonts w:ascii="Calibri" w:hAnsi="Calibri" w:cs="Calibri"/>
          <w:color w:val="000000" w:themeColor="text1"/>
          <w:sz w:val="22"/>
          <w:szCs w:val="22"/>
        </w:rPr>
        <w:t xml:space="preserve">regulation </w:t>
      </w:r>
      <w:r w:rsidR="008A1D0D" w:rsidRPr="00D637BA">
        <w:rPr>
          <w:rFonts w:ascii="Calibri" w:hAnsi="Calibri" w:cs="Calibri"/>
          <w:color w:val="000000" w:themeColor="text1"/>
          <w:sz w:val="22"/>
          <w:szCs w:val="22"/>
        </w:rPr>
        <w:t xml:space="preserve">of positive </w:t>
      </w:r>
      <w:r w:rsidR="00703EDC" w:rsidRPr="00D637BA">
        <w:rPr>
          <w:rFonts w:ascii="Calibri" w:hAnsi="Calibri" w:cs="Calibri"/>
          <w:color w:val="000000" w:themeColor="text1"/>
          <w:sz w:val="22"/>
          <w:szCs w:val="22"/>
        </w:rPr>
        <w:t xml:space="preserve">or </w:t>
      </w:r>
      <w:r w:rsidRPr="00D637BA">
        <w:rPr>
          <w:rFonts w:ascii="Calibri" w:hAnsi="Calibri" w:cs="Calibri"/>
          <w:color w:val="000000" w:themeColor="text1"/>
          <w:sz w:val="22"/>
          <w:szCs w:val="22"/>
        </w:rPr>
        <w:t xml:space="preserve">downregulation </w:t>
      </w:r>
      <w:r w:rsidR="008A1D0D" w:rsidRPr="00D637BA">
        <w:rPr>
          <w:rFonts w:ascii="Calibri" w:hAnsi="Calibri" w:cs="Calibri"/>
          <w:color w:val="000000" w:themeColor="text1"/>
          <w:sz w:val="22"/>
          <w:szCs w:val="22"/>
        </w:rPr>
        <w:t>of</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negative EMT regulator genes</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{"citationID":"abus7qvosr","properties":{"formattedCitation":"\\super 141,155\\nosupersub{}","plainCitation":"141,155","noteIndex":0},"citationItems":[{"id":1660,"uris":["http://zotero.org/users/4775618/items/UT3FIYWZ"],"uri":["http://zotero.org/users/4775618/items/UT3FIYWZ"],"itemData":{"id":1660,"type":"article-journal","title":"Succinate dehydrogenase inhibition leads to epithelial-mesenchymal transition and reprogrammed carbon metabolism","container-title":"Cancer &amp; Metabolism","volume":"2","source":"PubMed Central","abstract":"Background\nSuccinate dehydrogenase (SDH) is a mitochondrial metabolic enzyme complex involved in both the electron transport chain and the citric acid cycle. SDH mutations resulting in enzymatic dysfunction have been found to be a predisposing factor in various hereditary cancers. Therefore, SDH has been implicated as a tumor suppressor.\n\nResults\nWe identified that dysregulation of SDH components also occurs in serous ovarian cancer, particularly the SDH subunit SDHB. Targeted knockdown of Sdhb in mouse ovarian cancer cells resulted in enhanced proliferation and an epithelial-to-mesenchymal transition (EMT). Bioinformatics analysis revealed that decreased SDHB expression leads to a transcriptional upregulation of genes involved in metabolic networks affecting histone methylation. We confirmed that Sdhb knockdown leads to a hypermethylated epigenome that is sufficient to promote EMT. Metabolically, the loss of Sdhb resulted in reprogrammed carbon source utilization and mitochondrial dysfunction. This altered metabolic state of Sdhb knockdown cells rendered them hypersensitive to energy stress.\n\nConclusions\nThese data illustrate how SDH dysfunction alters the epigenetic and metabolic landscape in ovarian cancer. By analyzing the involvement of this enzyme in transcriptional and metabolic networks, we find a metabolic Achilles’ heel that can be exploited therapeutically. Analyses of this type provide an understanding how specific perturbations in cancer metabolism may lead to novel anticancer strategies.\n\nElectronic supplementary material\nThe online version of this article (doi:10.1186/2049-3002-2-21) contains supplementary material, which is available to authorized users.","URL":"https://www.ncbi.nlm.nih.gov/pmc/articles/PMC4322794/","DOI":"10.1186/2049-3002-2-21","ISSN":"2049-3002","note":"PMID: 25671108\nPMCID: PMC4322794","journalAbbreviation":"Cancer Metab","author":[{"family":"Aspuria","given":"Paul-Joseph P"},{"family":"Lunt","given":"Sophia Y"},{"family":"Väremo","given":"Leif"},{"family":"Vergnes","given":"Laurent"},{"family":"Gozo","given":"Maricel"},{"family":"Beach","given":"Jessica A"},{"family":"Salumbides","given":"Brenda"},{"family":"Reue","given":"Karen"},{"family":"Wiedemeyer","given":"W Ruprecht"},{"family":"Nielsen","given":"Jens"},{"family":"Karlan","given":"Beth Y"},{"family":"Orsulic","given":"Sandra"}],"issued":{"date-parts":[["2014",12,15]]},"accessed":{"date-parts":[["2019",3,2]]}}},{"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141,155</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HLRCC-derived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 xml:space="preserve">deficient cells also elicited an EMT signature via fumarate-induced TET-mediated epigenetic suppression </w:t>
      </w:r>
      <w:r w:rsidRPr="00D637BA">
        <w:rPr>
          <w:rFonts w:ascii="Calibri" w:hAnsi="Calibri" w:cs="Calibri"/>
          <w:color w:val="000000" w:themeColor="text1"/>
          <w:sz w:val="22"/>
          <w:szCs w:val="22"/>
        </w:rPr>
        <w:lastRenderedPageBreak/>
        <w:t xml:space="preserve">of miR-200, </w:t>
      </w:r>
      <w:r w:rsidR="006B257D" w:rsidRPr="00D637BA">
        <w:rPr>
          <w:rFonts w:ascii="Calibri" w:hAnsi="Calibri" w:cs="Calibri"/>
          <w:color w:val="000000" w:themeColor="text1"/>
          <w:sz w:val="22"/>
          <w:szCs w:val="22"/>
        </w:rPr>
        <w:t>which has</w:t>
      </w:r>
      <w:r w:rsidRPr="00D637BA">
        <w:rPr>
          <w:rFonts w:ascii="Calibri" w:hAnsi="Calibri" w:cs="Calibri"/>
          <w:color w:val="000000" w:themeColor="text1"/>
          <w:sz w:val="22"/>
          <w:szCs w:val="22"/>
        </w:rPr>
        <w:t xml:space="preserve"> tumour suppressive effects on EMT gene expression</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{"citationID":"a2q54eq2ok7","properties":{"formattedCitation":"\\super 77\\nosupersub{}","plainCitation":"77","noteIndex":0},"citationItems":[{"id":338,"uris":["http://zotero.org/users/4775618/items/NH6M7PMD"],"uri":["http://zotero.org/users/4775618/items/NH6M7PMD"],"itemData":{"id":338,"type":"article-journal","title":"Fumarate is an epigenetic modifier that elicits epithelial-to-mesenchymal transition","container-title":"Nature","page":"544-547","volume":"537","issue":"7621","source":"www.nature.com","abstract":"Mutations of the tricarboxylic acid cycle enzyme fumarate hydratase cause hereditary leiomyomatosis and renal cell cancer1. Fumarate hydratase-deficient renal cancers are highly aggressive and metastasize even when small, leading to a very poor clinical outcome2. Fumarate, a small molecule metabolite that accumulates in fumarate hydratase-deficient cells, plays a key role in cell transformation, making it a bona fide oncometabolite3. Fumarate has been shown to inhibit α-ketoglutarate-dependent dioxygenases that are involved in DNA and histone demethylation4,5. However, the link between fumarate accumulation, epigenetic changes, and tumorigenesis is unclear. Here we show that loss of fumarate hydratase and the subsequent accumulation of fumarate in mouse and human cells elicits an epithelial-to-mesenchymal-transition (EMT), a phenotypic switch associated with cancer initiation, invasion, and metastasis6. We demonstrate that fumarate inhibits Tet-mediated demethylation of a regulatory region of the antimetastatic miRNA cluster6 mir-200ba429, leading to the expression of EMT-related transcription factors and enhanced migratory properties. These epigenetic and phenotypic changes are recapitulated by the incubation of fumarate hydratase-proficient cells with cell-permeable fumarate. Loss of fumarate hydratase is associated with suppression of miR-200 and the EMT signature in renal cancer and is associated with poor clinical outcome. These results imply that loss of fumarate hydratase and fumarate accumulation contribute to the aggressive features of fumarate hydratase-deficient tumours.","URL":"https://www.nature.com/articles/nature19353","DOI":"10.1038/nature19353","ISSN":"1476-4687","language":"en","author":[{"family":"Sciacovelli","given":"Marco"},{"family":"Gonçalves","given":"Emanuel"},{"family":"Johnson","given":"Timothy Isaac"},{"family":"Zecchini","given":"Vincent Roberto"},{"family":"Costa","given":"Ana Sofia Henriques","non-dropping-particle":"da"},{"family":"Gaude","given":"Edoardo"},{"family":"Drubbel","given":"Alizee Vercauteren"},{"family":"Theobald","given":"Sebastian Julian"},{"family":"Abbo","given":"Sandra Riekje"},{"family":"Tran","given":"Maxine Gia Binh"},{"family":"Rajeeve","given":"Vinothini"},{"family":"Cardaci","given":"Simone"},{"family":"Foster","given":"Sarah"},{"family":"Yun","given":"Haiyang"},{"family":"Cutillas","given":"Pedro"},{"family":"Warren","given":"Anne"},{"family":"Gnanapragasam","given":"Vincent"},{"family":"Gottlieb","given":"Eyal"},{"family":"Franze","given":"Kristian"},{"family":"Huntly","given":"Brian"},{"family":"Maher","given":"Eamonn Richard"},{"family":"Maxwell","given":"Patrick Henry"},{"family":"Saez-Rodriguez","given":"Julio"},{"family":"Frezza","given":"Christian"}],"issued":{"date-parts":[["2016",9]]},"accessed":{"date-parts":[["2018",3,29]]}}}],"schema":"https://github.com/citation-style-language/schema/raw/master/csl-citation.json"}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77</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Th</w:t>
      </w:r>
      <w:r w:rsidR="006B257D" w:rsidRPr="00D637BA">
        <w:rPr>
          <w:rFonts w:ascii="Calibri" w:hAnsi="Calibri" w:cs="Calibri"/>
          <w:color w:val="000000" w:themeColor="text1"/>
          <w:sz w:val="22"/>
          <w:szCs w:val="22"/>
        </w:rPr>
        <w:t>e</w:t>
      </w:r>
      <w:r w:rsidRPr="00D637BA">
        <w:rPr>
          <w:rFonts w:ascii="Calibri" w:hAnsi="Calibri" w:cs="Calibri"/>
          <w:color w:val="000000" w:themeColor="text1"/>
          <w:sz w:val="22"/>
          <w:szCs w:val="22"/>
        </w:rPr>
        <w:t xml:space="preserve"> EMT phenotypic switch induced by oncometabolite accumulation in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w:t>
      </w:r>
      <w:r w:rsidR="00703EDC" w:rsidRPr="00D637BA">
        <w:rPr>
          <w:rFonts w:ascii="Calibri" w:hAnsi="Calibri" w:cs="Calibri"/>
          <w:color w:val="000000" w:themeColor="text1"/>
          <w:sz w:val="22"/>
          <w:szCs w:val="22"/>
        </w:rPr>
        <w:t>mutant</w:t>
      </w:r>
      <w:r w:rsidRPr="00D637BA">
        <w:rPr>
          <w:rFonts w:ascii="Calibri" w:hAnsi="Calibri" w:cs="Calibri"/>
          <w:color w:val="000000" w:themeColor="text1"/>
          <w:sz w:val="22"/>
          <w:szCs w:val="22"/>
        </w:rPr>
        <w:t xml:space="preserve"> and </w:t>
      </w:r>
      <w:r w:rsidRPr="00D637BA">
        <w:rPr>
          <w:rFonts w:ascii="Calibri" w:hAnsi="Calibri" w:cs="Calibri"/>
          <w:i/>
          <w:color w:val="000000" w:themeColor="text1"/>
          <w:sz w:val="22"/>
          <w:szCs w:val="22"/>
        </w:rPr>
        <w:t>SDH-</w:t>
      </w:r>
      <w:r w:rsidRPr="00D637BA">
        <w:rPr>
          <w:rFonts w:ascii="Calibri" w:hAnsi="Calibri" w:cs="Calibri"/>
          <w:color w:val="000000" w:themeColor="text1"/>
          <w:sz w:val="22"/>
          <w:szCs w:val="22"/>
        </w:rPr>
        <w:t>mutant RCC tumours no doubt contribut</w:t>
      </w:r>
      <w:r w:rsidR="006B257D" w:rsidRPr="00D637BA">
        <w:rPr>
          <w:rFonts w:ascii="Calibri" w:hAnsi="Calibri" w:cs="Calibri"/>
          <w:color w:val="000000" w:themeColor="text1"/>
          <w:sz w:val="22"/>
          <w:szCs w:val="22"/>
        </w:rPr>
        <w:t>es</w:t>
      </w:r>
      <w:r w:rsidRPr="00D637BA">
        <w:rPr>
          <w:rFonts w:ascii="Calibri" w:hAnsi="Calibri" w:cs="Calibri"/>
          <w:color w:val="000000" w:themeColor="text1"/>
          <w:sz w:val="22"/>
          <w:szCs w:val="22"/>
        </w:rPr>
        <w:t xml:space="preserve"> to their clinically aggressive behaviour. </w:t>
      </w:r>
      <w:r w:rsidRPr="00D637BA">
        <w:rPr>
          <w:rFonts w:ascii="Calibri" w:hAnsi="Calibri" w:cs="Calibri"/>
          <w:i/>
          <w:color w:val="000000" w:themeColor="text1"/>
          <w:sz w:val="22"/>
          <w:szCs w:val="22"/>
        </w:rPr>
        <w:t>In vivo</w:t>
      </w:r>
      <w:r w:rsidRPr="00D637BA">
        <w:rPr>
          <w:rFonts w:ascii="Calibri" w:hAnsi="Calibri" w:cs="Calibri"/>
          <w:color w:val="000000" w:themeColor="text1"/>
          <w:sz w:val="22"/>
          <w:szCs w:val="22"/>
        </w:rPr>
        <w:t xml:space="preserve">, </w:t>
      </w:r>
      <w:r w:rsidR="006B257D" w:rsidRPr="00D637BA">
        <w:rPr>
          <w:rFonts w:ascii="Calibri" w:hAnsi="Calibri" w:cs="Calibri"/>
          <w:color w:val="000000" w:themeColor="text1"/>
          <w:sz w:val="22"/>
          <w:szCs w:val="22"/>
        </w:rPr>
        <w:t xml:space="preserve">silencing of </w:t>
      </w:r>
      <w:r w:rsidRPr="00D637BA">
        <w:rPr>
          <w:rFonts w:ascii="Calibri" w:hAnsi="Calibri" w:cs="Calibri"/>
          <w:i/>
          <w:color w:val="000000" w:themeColor="text1"/>
          <w:sz w:val="22"/>
          <w:szCs w:val="22"/>
        </w:rPr>
        <w:t>SDHA</w:t>
      </w:r>
      <w:r w:rsidRPr="00D637BA">
        <w:rPr>
          <w:rFonts w:ascii="Calibri" w:hAnsi="Calibri" w:cs="Calibri"/>
          <w:color w:val="000000" w:themeColor="text1"/>
          <w:sz w:val="22"/>
          <w:szCs w:val="22"/>
        </w:rPr>
        <w:t xml:space="preserve"> </w:t>
      </w:r>
      <w:r w:rsidR="00703EDC" w:rsidRPr="00D637BA">
        <w:rPr>
          <w:rFonts w:ascii="Calibri" w:hAnsi="Calibri" w:cs="Calibri"/>
          <w:color w:val="000000" w:themeColor="text1"/>
          <w:sz w:val="22"/>
          <w:szCs w:val="22"/>
        </w:rPr>
        <w:t xml:space="preserve">or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 xml:space="preserve"> in mouse hepatocytes led to </w:t>
      </w:r>
      <w:r w:rsidR="006B257D" w:rsidRPr="00D637BA">
        <w:rPr>
          <w:rFonts w:ascii="Calibri" w:hAnsi="Calibri" w:cs="Calibri"/>
          <w:color w:val="000000" w:themeColor="text1"/>
          <w:sz w:val="22"/>
          <w:szCs w:val="22"/>
        </w:rPr>
        <w:t xml:space="preserve">the accumulation of </w:t>
      </w:r>
      <w:r w:rsidRPr="00D637BA">
        <w:rPr>
          <w:rFonts w:ascii="Calibri" w:hAnsi="Calibri" w:cs="Calibri"/>
          <w:color w:val="000000" w:themeColor="text1"/>
          <w:sz w:val="22"/>
          <w:szCs w:val="22"/>
        </w:rPr>
        <w:t xml:space="preserve">succinate </w:t>
      </w:r>
      <w:r w:rsidR="00703EDC" w:rsidRPr="00D637BA">
        <w:rPr>
          <w:rFonts w:ascii="Calibri" w:hAnsi="Calibri" w:cs="Calibri"/>
          <w:color w:val="000000" w:themeColor="text1"/>
          <w:sz w:val="22"/>
          <w:szCs w:val="22"/>
        </w:rPr>
        <w:t xml:space="preserve">or </w:t>
      </w:r>
      <w:r w:rsidRPr="00D637BA">
        <w:rPr>
          <w:rFonts w:ascii="Calibri" w:hAnsi="Calibri" w:cs="Calibri"/>
          <w:color w:val="000000" w:themeColor="text1"/>
          <w:sz w:val="22"/>
          <w:szCs w:val="22"/>
        </w:rPr>
        <w:t>fumarate</w:t>
      </w:r>
      <w:r w:rsidR="00703EDC"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respectively, with evidence of KDM and TET inhibition and regulation of target gene expression</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{"citationID":"a22cho6r15p","properties":{"formattedCitation":"\\super 140\\nosupersub{}","plainCitation":"140","noteIndex":0},"citationItems":[{"id":700,"uris":["http://zotero.org/users/4775618/items/UXVXGHY3"],"uri":["http://zotero.org/users/4775618/items/UXVXGHY3"],"itemData":{"id":700,"type":"article-journal","title":"Inhibition of α-KG-dependent histone and DNA demethylases by fumarate and succinate that are accumulated in mutations of FH and SDH tumor suppressors","container-title":"Genes &amp; Development","page":"1326-1338","volume":"26","issue":"12","source":"PubMed","abstract":"Two Krebs cycle genes, fumarate hydratase (FH) and succinate dehydrogenase (SDH), are mutated in a subset of human cancers, leading to accumulation of their substrates, fumarate and succinate, respectively. Here we demonstrate that fumarate and succinate are competitive inhibitors of multiple α-ketoglutarate (α-KG)-dependent dioxygenases, including histone demethylases, prolyl hydroxylases, collagen prolyl-4-hydroxylases, and the TET (ten-eleven translocation) family of 5-methlycytosine (5mC) hydroxylases. Knockdown of FH and SDH results in elevated intracellular levels of fumarate and succinate, respectively, which act as competitors of α-KG to broadly inhibit the activity of α-KG-dependent dioxygenases. In addition, ectopic expression of tumor-derived FH and SDH mutants inhibits histone demethylation and hydroxylation of 5mC. Our study suggests that tumor-derived FH and SDH mutations accumulate fumarate and succinate, leading to enzymatic inhibition of multiple α-KG-dependent dioxygenases and consequent alterations of genome-wide histone and DNA methylation. These epigenetic alterations associated with mutations of FH and SDH likely contribute to tumorigenesis.","DOI":"10.1101/gad.191056.112","ISSN":"1549-5477","note":"PMID: 22677546\nPMCID: PMC3387660","journalAbbreviation":"Genes Dev.","language":"eng","author":[{"family":"Xiao","given":"Mengtao"},{"family":"Yang","given":"Hui"},{"family":"Xu","given":"Wei"},{"family":"Ma","given":"Shenghong"},{"family":"Lin","given":"Huaipeng"},{"family":"Zhu","given":"Honguang"},{"family":"Liu","given":"Lixia"},{"family":"Liu","given":"Ying"},{"family":"Yang","given":"Chen"},{"family":"Xu","given":"Yanhui"},{"family":"Zhao","given":"Shimin"},{"family":"Ye","given":"Dan"},{"family":"Xiong","given":"Yue"},{"family":"Guan","given":"Kun-Liang"}],"issued":{"date-parts":[["2012",6,15]]}}}],"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140</w:t>
      </w:r>
      <w:r w:rsidR="00DE12B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DNA hypermethylation </w:t>
      </w:r>
      <w:r w:rsidR="002F6269" w:rsidRPr="00D637BA">
        <w:rPr>
          <w:rFonts w:ascii="Calibri" w:hAnsi="Calibri" w:cs="Calibri"/>
          <w:color w:val="000000" w:themeColor="text1"/>
          <w:sz w:val="22"/>
          <w:szCs w:val="22"/>
        </w:rPr>
        <w:t xml:space="preserve">associated with </w:t>
      </w:r>
      <w:r w:rsidRPr="00D637BA">
        <w:rPr>
          <w:rFonts w:ascii="Calibri" w:hAnsi="Calibri" w:cs="Calibri"/>
          <w:color w:val="000000" w:themeColor="text1"/>
          <w:sz w:val="22"/>
          <w:szCs w:val="22"/>
        </w:rPr>
        <w:t xml:space="preserve">repression of </w:t>
      </w:r>
      <w:r w:rsidR="002F6269" w:rsidRPr="00D637BA">
        <w:rPr>
          <w:rFonts w:ascii="Calibri" w:hAnsi="Calibri" w:cs="Calibri"/>
          <w:color w:val="000000" w:themeColor="text1"/>
          <w:sz w:val="22"/>
          <w:szCs w:val="22"/>
        </w:rPr>
        <w:t xml:space="preserve">genes with roles in </w:t>
      </w:r>
      <w:r w:rsidR="00A65289">
        <w:rPr>
          <w:rFonts w:ascii="Calibri" w:hAnsi="Calibri" w:cs="Calibri"/>
          <w:color w:val="000000" w:themeColor="text1"/>
          <w:sz w:val="22"/>
          <w:szCs w:val="22"/>
        </w:rPr>
        <w:t xml:space="preserve">cell </w:t>
      </w:r>
      <w:r w:rsidR="002F6269" w:rsidRPr="00D637BA">
        <w:rPr>
          <w:rFonts w:ascii="Calibri" w:hAnsi="Calibri" w:cs="Calibri"/>
          <w:color w:val="000000" w:themeColor="text1"/>
          <w:sz w:val="22"/>
          <w:szCs w:val="22"/>
        </w:rPr>
        <w:t>differentiation</w:t>
      </w:r>
      <w:r w:rsidR="00E37025">
        <w:rPr>
          <w:rStyle w:val="CommentReference"/>
        </w:rPr>
        <w:t xml:space="preserve"> </w:t>
      </w:r>
      <w:r w:rsidRPr="00D637BA">
        <w:rPr>
          <w:rFonts w:ascii="Calibri" w:hAnsi="Calibri" w:cs="Calibri"/>
          <w:color w:val="000000" w:themeColor="text1"/>
          <w:sz w:val="22"/>
          <w:szCs w:val="22"/>
        </w:rPr>
        <w:t xml:space="preserve">as been observed </w:t>
      </w:r>
      <w:r w:rsidR="00CE259E">
        <w:rPr>
          <w:rFonts w:ascii="Calibri" w:hAnsi="Calibri" w:cs="Calibri"/>
          <w:color w:val="000000" w:themeColor="text1"/>
          <w:sz w:val="22"/>
          <w:szCs w:val="22"/>
        </w:rPr>
        <w:t xml:space="preserve">at CpG island sites </w:t>
      </w:r>
      <w:r w:rsidRPr="00D637BA">
        <w:rPr>
          <w:rFonts w:ascii="Calibri" w:hAnsi="Calibri" w:cs="Calibri"/>
          <w:color w:val="000000" w:themeColor="text1"/>
          <w:sz w:val="22"/>
          <w:szCs w:val="22"/>
        </w:rPr>
        <w:t xml:space="preserve">in patients with </w:t>
      </w:r>
      <w:r w:rsidRPr="00D637BA">
        <w:rPr>
          <w:rFonts w:ascii="Calibri" w:hAnsi="Calibri" w:cs="Calibri"/>
          <w:i/>
          <w:color w:val="000000" w:themeColor="text1"/>
          <w:sz w:val="22"/>
          <w:szCs w:val="22"/>
        </w:rPr>
        <w:t>IDH1</w:t>
      </w:r>
      <w:r w:rsidR="00582662">
        <w:rPr>
          <w:rFonts w:ascii="Calibri" w:hAnsi="Calibri" w:cs="Calibri"/>
          <w:i/>
          <w:color w:val="000000" w:themeColor="text1"/>
          <w:sz w:val="22"/>
          <w:szCs w:val="22"/>
        </w:rPr>
        <w:t xml:space="preserve"> </w:t>
      </w:r>
      <w:r w:rsidR="00582662">
        <w:rPr>
          <w:rFonts w:ascii="Calibri" w:hAnsi="Calibri" w:cs="Calibri"/>
          <w:color w:val="000000" w:themeColor="text1"/>
          <w:sz w:val="22"/>
          <w:szCs w:val="22"/>
        </w:rPr>
        <w:t xml:space="preserve">and </w:t>
      </w:r>
      <w:r w:rsidR="00582662">
        <w:rPr>
          <w:rFonts w:ascii="Calibri" w:hAnsi="Calibri" w:cs="Calibri"/>
          <w:i/>
          <w:color w:val="000000" w:themeColor="text1"/>
          <w:sz w:val="22"/>
          <w:szCs w:val="22"/>
        </w:rPr>
        <w:t>IDH</w:t>
      </w:r>
      <w:r w:rsidRPr="00D637BA">
        <w:rPr>
          <w:rFonts w:ascii="Calibri" w:hAnsi="Calibri" w:cs="Calibri"/>
          <w:i/>
          <w:color w:val="000000" w:themeColor="text1"/>
          <w:sz w:val="22"/>
          <w:szCs w:val="22"/>
        </w:rPr>
        <w:t>2</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mutant chondrosarcoma</w:t>
      </w:r>
      <w:r w:rsidR="00DE12B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{"citationID":"aqugp4b530","properties":{"formattedCitation":"\\super 153\\nosupersub{}","plainCitation":"153","noteIndex":0},"citationItems":[{"id":1526,"uris":["http://zotero.org/users/4775618/items/VJWPJGKC"],"uri":["http://zotero.org/users/4775618/items/VJWPJGKC"],"itemData":{"id":1526,"type":"article-journal","title":"Induction of sarcomas by mutant IDH2","container-title":"Genes &amp; Development","page":"1986-1998","volume":"27","issue":"18","source":"PubMed Central","abstract":"Most chondrosarcoma patients exhibit gain-of-function mutations in either IDH1 or IDH2. Lu et al. found that IDH mutations were associated with DNA hypermethylation at CpG islands in chondrosarcoma biopsies. Regions of hypermethylation were enriched for genes implicated in stem cell maintenance/differentiation and lineage specification. In murine mesenchymal progenitor cells, mutant IDH2 led to DNA hypermethylation and impairment in differentiation, which could be reversed by DNA-hypomethylating agents. Mutant IDH2 also generated undifferentiated sarcomas in vivo. This work demonstrates that neomorphic IDH2 mutations can be oncogenic in mesenchymal cells., More than 50% of patients with chondrosarcomas exhibit gain-of-function mutations in either isocitrate dehydrogenase 1 (IDH1) or IDH2. In this study, we performed genome-wide CpG methylation sequencing of chondrosarcoma biopsies and found that IDH mutations were associated with DNA hypermethylation at CpG islands but not other genomic regions. Regions of CpG island hypermethylation were enriched for genes implicated in stem cell maintenance/differentiation and lineage specification. In murine 10T1/2 mesenchymal progenitor cells, expression of mutant IDH2 led to DNA hypermethylation and an impairment in differentiation that could be reversed by treatment with DNA-hypomethylating agents. Introduction of mutant IDH2 also induced loss of contact inhibition and generated undifferentiated sarcomas in vivo. The oncogenic potential of mutant IDH2 correlated with the ability to produce 2-hydroxyglutarate. Together, these data demonstrate that neomorphic IDH2 mutations can be oncogenic in mesenchymal cells.","URL":"https://www.ncbi.nlm.nih.gov/pmc/articles/PMC3792475/","DOI":"10.1101/gad.226753.113","ISSN":"0890-9369","note":"PMID: 24065766\nPMCID: PMC3792475","journalAbbreviation":"Genes Dev","author":[{"family":"Lu","given":"Chao"},{"family":"Venneti","given":"Sriram"},{"family":"Akalin","given":"Altuna"},{"family":"Fang","given":"Fang"},{"family":"Ward","given":"Patrick S."},{"family":"DeMatteo","given":"Raymond G."},{"family":"Intlekofer","given":"Andrew M."},{"family":"Chen","given":"Chong"},{"family":"Ye","given":"Jiangbin"},{"family":"Hameed","given":"Meera"},{"family":"Nafa","given":"Khedoudja"},{"family":"Agaram","given":"Narasimhan P."},{"family":"Cross","given":"Justin R."},{"family":"Khanin","given":"Raya"},{"family":"Mason","given":"Christopher E."},{"family":"Healey","given":"John H."},{"family":"Lowe","given":"Scott W."},{"family":"Schwartz","given":"Gary K."},{"family":"Melnick","given":"Ari"},{"family":"Thompson","given":"Craig B."}],"issued":{"date-parts":[["2013",9,15]]},"accessed":{"date-parts":[["2019",2,26]]}}}],"schema":"https://github.com/citation-style-language/schema/raw/master/csl-citation.json"} </w:instrText>
      </w:r>
      <w:r w:rsidR="00DE12B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153</w:t>
      </w:r>
      <w:r w:rsidR="00DE12B1">
        <w:rPr>
          <w:rFonts w:ascii="Calibri" w:hAnsi="Calibri" w:cs="Calibri"/>
          <w:color w:val="000000" w:themeColor="text1"/>
          <w:sz w:val="22"/>
          <w:szCs w:val="22"/>
        </w:rPr>
        <w:fldChar w:fldCharType="end"/>
      </w:r>
      <w:r w:rsidR="00CE259E">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and </w:t>
      </w:r>
      <w:r w:rsidR="00CE259E">
        <w:rPr>
          <w:rFonts w:ascii="Calibri" w:hAnsi="Calibri" w:cs="Calibri"/>
          <w:color w:val="000000" w:themeColor="text1"/>
          <w:sz w:val="22"/>
          <w:szCs w:val="22"/>
        </w:rPr>
        <w:t xml:space="preserve">more globally in </w:t>
      </w:r>
      <w:r w:rsidRPr="00D637BA">
        <w:rPr>
          <w:rFonts w:ascii="Calibri" w:hAnsi="Calibri" w:cs="Calibri"/>
          <w:color w:val="000000" w:themeColor="text1"/>
          <w:sz w:val="22"/>
          <w:szCs w:val="22"/>
        </w:rPr>
        <w:t>acute myeloid leukaemia</w:t>
      </w:r>
      <w:r w:rsidR="00F95D6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{"citationID":"a17hsn4uob7","properties":{"formattedCitation":"\\super 152\\nosupersub{}","plainCitation":"152","noteIndex":0},"citationItems":[{"id":734,"uris":["http://zotero.org/users/4775618/items/VUKVARZV"],"uri":["http://zotero.org/users/4775618/items/VUKVARZV"],"itemData":{"id":734,"type":"article-journal","title":"Leukemic IDH1 and IDH2 mutations result in a hypermethylation phenotype, disrupt TET2 function, and impair hematopoietic differentiation","container-title":"Cancer Cell","page":"553-567","volume":"18","issue":"6","source":"PubMed","abstract":"Cancer-associated IDH mutations are characterized by neomorphic enzyme activity and resultant 2-hydroxyglutarate (2HG) production. Mutational and epigenetic profiling of a large acute myeloid leukemia (AML) patient cohort revealed that IDH1/2-mutant AMLs display global DNA hypermethylation and a specific hypermethylation signature. Furthermore, expression of 2HG-producing IDH alleles in cells induced global DNA hypermethylation. In the AML cohort, IDH1/2 mutations were mutually exclusive with mutations in the α-ketoglutarate-dependent enzyme TET2, and TET2 loss-of-function mutations were associated with similar epigenetic defects as IDH1/2 mutants. Consistent with these genetic and epigenetic data, expression of IDH mutants impaired TET2 catalytic function in cells. Finally, either expression of mutant IDH1/2 or Tet2 depletion impaired hematopoietic differentiation and increased stem/progenitor cell marker expression, suggesting a shared proleukemogenic effect.","DOI":"10.1016/j.ccr.2010.11.015","ISSN":"1878-3686","note":"PMID: 21130701\nPMCID: PMC4105845","journalAbbreviation":"Cancer Cell","language":"eng","author":[{"family":"Figueroa","given":"Maria E."},{"family":"Abdel-Wahab","given":"Omar"},{"family":"Lu","given":"Chao"},{"family":"Ward","given":"Patrick S."},{"family":"Patel","given":"Jay"},{"family":"Shih","given":"Alan"},{"family":"Li","given":"Yushan"},{"family":"Bhagwat","given":"Neha"},{"family":"Vasanthakumar","given":"Aparna"},{"family":"Fernandez","given":"Hugo F."},{"family":"Tallman","given":"Martin S."},{"family":"Sun","given":"Zhuoxin"},{"family":"Wolniak","given":"Kristy"},{"family":"Peeters","given":"Justine K."},{"family":"Liu","given":"Wei"},{"family":"Choe","given":"Sung E."},{"family":"Fantin","given":"Valeria R."},{"family":"Paietta","given":"Elisabeth"},{"family":"Löwenberg","given":"Bob"},{"family":"Licht","given":"Jonathan D."},{"family":"Godley","given":"Lucy A."},{"family":"Delwel","given":"Ruud"},{"family":"Valk","given":"Peter J. M."},{"family":"Thompson","given":"Craig B."},{"family":"Levine","given":"Ross L."},{"family":"Melnick","given":"Ari"}],"issued":{"date-parts":[["2010",12,14]]}}}],"schema":"https://github.com/citation-style-language/schema/raw/master/csl-citation.json"} </w:instrText>
      </w:r>
      <w:r w:rsidR="00F95D6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152</w:t>
      </w:r>
      <w:r w:rsidR="00F95D6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Furthermore, accumulations of D2HG result</w:t>
      </w:r>
      <w:r w:rsidR="00703EDC" w:rsidRPr="00D637BA">
        <w:rPr>
          <w:rFonts w:ascii="Calibri" w:hAnsi="Calibri" w:cs="Calibri"/>
          <w:color w:val="000000" w:themeColor="text1"/>
          <w:sz w:val="22"/>
          <w:szCs w:val="22"/>
        </w:rPr>
        <w:t>ing</w:t>
      </w:r>
      <w:r w:rsidRPr="00D637BA">
        <w:rPr>
          <w:rFonts w:ascii="Calibri" w:hAnsi="Calibri" w:cs="Calibri"/>
          <w:color w:val="000000" w:themeColor="text1"/>
          <w:sz w:val="22"/>
          <w:szCs w:val="22"/>
        </w:rPr>
        <w:t xml:space="preserve"> in increased DNA methylation (5mc) with concurrent decreased DNA hydroxymethylation indicating TET inhibition, </w:t>
      </w:r>
      <w:r w:rsidR="00703EDC" w:rsidRPr="00D637BA">
        <w:rPr>
          <w:rFonts w:ascii="Calibri" w:hAnsi="Calibri" w:cs="Calibri"/>
          <w:color w:val="000000" w:themeColor="text1"/>
          <w:sz w:val="22"/>
          <w:szCs w:val="22"/>
        </w:rPr>
        <w:t xml:space="preserve">were </w:t>
      </w:r>
      <w:r w:rsidRPr="00D637BA">
        <w:rPr>
          <w:rFonts w:ascii="Calibri" w:hAnsi="Calibri" w:cs="Calibri"/>
          <w:color w:val="000000" w:themeColor="text1"/>
          <w:sz w:val="22"/>
          <w:szCs w:val="22"/>
        </w:rPr>
        <w:t xml:space="preserve">observed in human </w:t>
      </w:r>
      <w:r w:rsidRPr="00D637BA">
        <w:rPr>
          <w:rFonts w:ascii="Calibri" w:hAnsi="Calibri" w:cs="Calibri"/>
          <w:i/>
          <w:color w:val="000000" w:themeColor="text1"/>
          <w:sz w:val="22"/>
          <w:szCs w:val="22"/>
        </w:rPr>
        <w:t xml:space="preserve">IDH1 </w:t>
      </w:r>
      <w:r w:rsidRPr="00D637BA">
        <w:rPr>
          <w:rFonts w:ascii="Calibri" w:hAnsi="Calibri" w:cs="Calibri"/>
          <w:color w:val="000000" w:themeColor="text1"/>
          <w:sz w:val="22"/>
          <w:szCs w:val="22"/>
        </w:rPr>
        <w:t>glioma tissue</w:t>
      </w:r>
      <w:r w:rsidR="00F95D6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{"citationID":"a1b4jljhq30","properties":{"formattedCitation":"\\super 71\\nosupersub{}","plainCitation":"71","noteIndex":0},"citationItems":[{"id":331,"uris":["http://zotero.org/users/4775618/items/CH9YES7I"],"uri":["http://zotero.org/users/4775618/items/CH9YES7I"],"itemData":{"id":331,"type":"article-journal","title":"Oncometabolite 2-Hydroxyglutarate Is a Competitive Inhibitor of α-Ketoglutarate-Dependent Dioxygenases","container-title":"Cancer cell","page":"17-30","volume":"19","issue":"1","source":"PubMed Central","abstract":"IDH1 and IDH2 mutations occur frequently in gliomas and acute myeloid leukemia, leading to simultaneous loss and gain of activities in the production of α-ketoglutarate (α-KG) and 2-hydroxyglutarate (2-HG), respectively. Here we demonstrate that 2-HG is a competitive inhibitor of multiple α-KG-dependent dioxygenases, including histone demethylases and the TET family of 5-methlycytosine (5mC) hydroxylases. 2-HG occupies the same space as α-KG does in the active site of histone demethylases. Ectopic expression of tumor-derived IDH1 and IDH2 mutants inhibits histone demethylation and 5mC hydroxylation. In glioma, IDH1 mutations are associated with increased histone methylation and decreased 5-hydroxylmethylcytosine (5hmC). Hence, tumor-derived IDH1 and IDH2 mutations reduce α-KG and accumulate an α-KG antagonist, 2-HG, leading to genome-wide histone and DNA methylation alterations.","URL":"https://www.ncbi.nlm.nih.gov/pmc/articles/PMC3229304/","DOI":"10.1016/j.ccr.2010.12.014","ISSN":"1535-6108","note":"PMID: 21251613\nPMCID: PMC3229304","journalAbbreviation":"Cancer Cell","author":[{"family":"Xu","given":"Wei"},{"family":"Yang","given":"Hui"},{"family":"Liu","given":"Ying"},{"family":"Yang","given":"Ying"},{"family":"Wang","given":"Ping"},{"family":"Kim","given":"Se-Hee"},{"family":"Ito","given":"Shinsuke"},{"family":"Yang","given":"Chen"},{"family":"Wang","given":"Pu"},{"family":"Xiao","given":"Meng-Tao"},{"family":"Liu","given":"Li-xia"},{"family":"Jiang","given":"Wen-qing"},{"family":"Liu","given":"Jing"},{"family":"Zhang","given":"Jin-ye"},{"family":"Wang","given":"Bin"},{"family":"Frye","given":"Stephen"},{"family":"Zhang","given":"Yi"},{"family":"Xu","given":"Yan-hui"},{"family":"Lei","given":"Qun-ying"},{"family":"Guan","given":"Kun-Liang"},{"family":"Zhao","given":"Shi-min"},{"family":"Xiong","given":"Yue"}],"issued":{"date-parts":[["2011",1,18]]},"accessed":{"date-parts":[["2018",3,29]]}}}],"schema":"https://github.com/citation-style-language/schema/raw/master/csl-citation.json"} </w:instrText>
      </w:r>
      <w:r w:rsidR="00F95D6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71</w:t>
      </w:r>
      <w:r w:rsidR="00F95D61">
        <w:rPr>
          <w:rFonts w:ascii="Calibri" w:hAnsi="Calibri" w:cs="Calibri"/>
          <w:color w:val="000000" w:themeColor="text1"/>
          <w:sz w:val="22"/>
          <w:szCs w:val="22"/>
        </w:rPr>
        <w:fldChar w:fldCharType="end"/>
      </w:r>
      <w:r w:rsidR="00FE760B">
        <w:rPr>
          <w:rFonts w:ascii="Calibri" w:hAnsi="Calibri" w:cs="Calibri"/>
          <w:color w:val="000000" w:themeColor="text1"/>
          <w:sz w:val="22"/>
          <w:szCs w:val="22"/>
        </w:rPr>
        <w:t xml:space="preserve"> and in various cell types ectopically</w:t>
      </w:r>
      <w:r w:rsidRPr="00D637BA">
        <w:rPr>
          <w:rFonts w:ascii="Calibri" w:hAnsi="Calibri" w:cs="Calibri"/>
          <w:color w:val="000000" w:themeColor="text1"/>
          <w:sz w:val="22"/>
          <w:szCs w:val="22"/>
        </w:rPr>
        <w:t xml:space="preserve"> expressin</w:t>
      </w:r>
      <w:r w:rsidR="00FE760B">
        <w:rPr>
          <w:rFonts w:ascii="Calibri" w:hAnsi="Calibri" w:cs="Calibri"/>
          <w:color w:val="000000" w:themeColor="text1"/>
          <w:sz w:val="22"/>
          <w:szCs w:val="22"/>
        </w:rPr>
        <w:t>g</w:t>
      </w:r>
      <w:r w:rsidRPr="00D637BA">
        <w:rPr>
          <w:rFonts w:ascii="Calibri" w:hAnsi="Calibri" w:cs="Calibri"/>
          <w:color w:val="000000" w:themeColor="text1"/>
          <w:sz w:val="22"/>
          <w:szCs w:val="22"/>
        </w:rPr>
        <w:t xml:space="preserve"> </w:t>
      </w:r>
      <w:r w:rsidRPr="00D637BA">
        <w:rPr>
          <w:rFonts w:ascii="Calibri" w:hAnsi="Calibri" w:cs="Calibri"/>
          <w:i/>
          <w:color w:val="000000" w:themeColor="text1"/>
          <w:sz w:val="22"/>
          <w:szCs w:val="22"/>
        </w:rPr>
        <w:t>IDH1</w:t>
      </w:r>
      <w:r w:rsidR="00CE259E">
        <w:rPr>
          <w:rFonts w:ascii="Calibri" w:hAnsi="Calibri" w:cs="Calibri"/>
          <w:i/>
          <w:color w:val="000000" w:themeColor="text1"/>
          <w:sz w:val="22"/>
          <w:szCs w:val="22"/>
        </w:rPr>
        <w:t xml:space="preserve"> </w:t>
      </w:r>
      <w:r w:rsidR="00CE259E">
        <w:rPr>
          <w:rFonts w:ascii="Calibri" w:hAnsi="Calibri" w:cs="Calibri"/>
          <w:color w:val="000000" w:themeColor="text1"/>
          <w:sz w:val="22"/>
          <w:szCs w:val="22"/>
        </w:rPr>
        <w:t xml:space="preserve">and </w:t>
      </w:r>
      <w:r w:rsidR="00CE259E">
        <w:rPr>
          <w:rFonts w:ascii="Calibri" w:hAnsi="Calibri" w:cs="Calibri"/>
          <w:i/>
          <w:color w:val="000000" w:themeColor="text1"/>
          <w:sz w:val="22"/>
          <w:szCs w:val="22"/>
        </w:rPr>
        <w:t>IDH</w:t>
      </w:r>
      <w:r w:rsidRPr="00D637BA">
        <w:rPr>
          <w:rFonts w:ascii="Calibri" w:hAnsi="Calibri" w:cs="Calibri"/>
          <w:i/>
          <w:color w:val="000000" w:themeColor="text1"/>
          <w:sz w:val="22"/>
          <w:szCs w:val="22"/>
        </w:rPr>
        <w:t>2</w:t>
      </w:r>
      <w:r w:rsidRPr="00D637BA">
        <w:rPr>
          <w:rFonts w:ascii="Calibri" w:hAnsi="Calibri" w:cs="Calibri"/>
          <w:color w:val="000000" w:themeColor="text1"/>
          <w:sz w:val="22"/>
          <w:szCs w:val="22"/>
        </w:rPr>
        <w:t xml:space="preserve"> mutation</w:t>
      </w:r>
      <w:r w:rsidR="00E37025">
        <w:rPr>
          <w:rFonts w:ascii="Calibri" w:hAnsi="Calibri" w:cs="Calibri"/>
          <w:color w:val="000000" w:themeColor="text1"/>
          <w:sz w:val="22"/>
          <w:szCs w:val="22"/>
        </w:rPr>
        <w:t>s,</w:t>
      </w:r>
      <w:r w:rsidR="002F6269" w:rsidRPr="00D637BA">
        <w:rPr>
          <w:rFonts w:ascii="Calibri" w:hAnsi="Calibri" w:cs="Calibri"/>
          <w:color w:val="000000" w:themeColor="text1"/>
          <w:sz w:val="22"/>
          <w:szCs w:val="22"/>
        </w:rPr>
        <w:t xml:space="preserve"> </w:t>
      </w:r>
      <w:r w:rsidR="00FE760B">
        <w:rPr>
          <w:rFonts w:ascii="Calibri" w:hAnsi="Calibri" w:cs="Calibri"/>
          <w:color w:val="000000" w:themeColor="text1"/>
          <w:sz w:val="22"/>
          <w:szCs w:val="22"/>
        </w:rPr>
        <w:t>leading to a block in</w:t>
      </w:r>
      <w:r w:rsidRPr="00D637BA">
        <w:rPr>
          <w:rFonts w:ascii="Calibri" w:hAnsi="Calibri" w:cs="Calibri"/>
          <w:color w:val="000000" w:themeColor="text1"/>
          <w:sz w:val="22"/>
          <w:szCs w:val="22"/>
        </w:rPr>
        <w:t xml:space="preserve"> cellular differentiation</w:t>
      </w:r>
      <w:r w:rsidR="00F95D61">
        <w:rPr>
          <w:rFonts w:ascii="Calibri" w:hAnsi="Calibri" w:cs="Calibri"/>
          <w:color w:val="000000" w:themeColor="text1"/>
          <w:sz w:val="22"/>
          <w:szCs w:val="22"/>
        </w:rPr>
        <w:fldChar w:fldCharType="begin"/>
      </w:r>
      <w:r w:rsidR="00E52DEA">
        <w:rPr>
          <w:rFonts w:ascii="Calibri" w:hAnsi="Calibri" w:cs="Calibri"/>
          <w:color w:val="000000" w:themeColor="text1"/>
          <w:sz w:val="22"/>
          <w:szCs w:val="22"/>
        </w:rPr>
        <w:instrText xml:space="preserve"> ADDIN ZOTERO_ITEM CSL_CITATION {"citationID":"a27jf4f5nlq","properties":{"formattedCitation":"\\super 152\\uc0\\u8211{}154\\nosupersub{}","plainCitation":"152–154","noteIndex":0},"citationItems":[{"id":734,"uris":["http://zotero.org/users/4775618/items/VUKVARZV"],"uri":["http://zotero.org/users/4775618/items/VUKVARZV"],"itemData":{"id":734,"type":"article-journal","title":"Leukemic IDH1 and IDH2 mutations result in a hypermethylation phenotype, disrupt TET2 function, and impair hematopoietic differentiation","container-title":"Cancer Cell","page":"553-567","volume":"18","issue":"6","source":"PubMed","abstract":"Cancer-associated IDH mutations are characterized by neomorphic enzyme activity and resultant 2-hydroxyglutarate (2HG) production. Mutational and epigenetic profiling of a large acute myeloid leukemia (AML) patient cohort revealed that IDH1/2-mutant AMLs display global DNA hypermethylation and a specific hypermethylation signature. Furthermore, expression of 2HG-producing IDH alleles in cells induced global DNA hypermethylation. In the AML cohort, IDH1/2 mutations were mutually exclusive with mutations in the α-ketoglutarate-dependent enzyme TET2, and TET2 loss-of-function mutations were associated with similar epigenetic defects as IDH1/2 mutants. Consistent with these genetic and epigenetic data, expression of IDH mutants impaired TET2 catalytic function in cells. Finally, either expression of mutant IDH1/2 or Tet2 depletion impaired hematopoietic differentiation and increased stem/progenitor cell marker expression, suggesting a shared proleukemogenic effect.","DOI":"10.1016/j.ccr.2010.11.015","ISSN":"1878-3686","note":"PMID: 21130701\nPMCID: PMC4105845","journalAbbreviation":"Cancer Cell","language":"eng","author":[{"family":"Figueroa","given":"Maria E."},{"family":"Abdel-Wahab","given":"Omar"},{"family":"Lu","given":"Chao"},{"family":"Ward","given":"Patrick S."},{"family":"Patel","given":"Jay"},{"family":"Shih","given":"Alan"},{"family":"Li","given":"Yushan"},{"family":"Bhagwat","given":"Neha"},{"family":"Vasanthakumar","given":"Aparna"},{"family":"Fernandez","given":"Hugo F."},{"family":"Tallman","given":"Martin S."},{"family":"Sun","given":"Zhuoxin"},{"family":"Wolniak","given":"Kristy"},{"family":"Peeters","given":"Justine K."},{"family":"Liu","given":"Wei"},{"family":"Choe","given":"Sung E."},{"family":"Fantin","given":"Valeria R."},{"family":"Paietta","given":"Elisabeth"},{"family":"Löwenberg","given":"Bob"},{"family":"Licht","given":"Jonathan D."},{"family":"Godley","given":"Lucy A."},{"family":"Delwel","given":"Ruud"},{"family":"Valk","given":"Peter J. M."},{"family":"Thompson","given":"Craig B."},{"family":"Levine","given":"Ross L."},{"family":"Melnick","given":"Ari"}],"issued":{"date-parts":[["2010",12,14]]}}},{"id":1526,"uris":["http://zotero.org/users/4775618/items/VJWPJGKC"],"uri":["http://zotero.org/users/4775618/items/VJWPJGKC"],"itemData":{"id":1526,"type":"article-journal","title":"Induction of sarcomas by mutant IDH2","container-title":"Genes &amp; Development","page":"1986-1998","volume":"27","issue":"18","source":"PubMed Central","abstract":"Most chondrosarcoma patients exhibit gain-of-function mutations in either IDH1 or IDH2. Lu et al. found that IDH mutations were associated with DNA hypermethylation at CpG islands in chondrosarcoma biopsies. Regions of hypermethylation were enriched for genes implicated in stem cell maintenance/differentiation and lineage specification. In murine mesenchymal progenitor cells, mutant IDH2 led to DNA hypermethylation and impairment in differentiation, which could be reversed by DNA-hypomethylating agents. Mutant IDH2 also generated undifferentiated sarcomas in vivo. This work demonstrates that neomorphic IDH2 mutations can be oncogenic in mesenchymal cells., More than 50% of patients with chondrosarcomas exhibit gain-of-function mutations in either isocitrate dehydrogenase 1 (IDH1) or IDH2. In this study, we performed genome-wide CpG methylation sequencing of chondrosarcoma biopsies and found that IDH mutations were associated with DNA hypermethylation at CpG islands but not other genomic regions. Regions of CpG island hypermethylation were enriched for genes implicated in stem cell maintenance/differentiation and lineage specification. In murine 10T1/2 mesenchymal progenitor cells, expression of mutant IDH2 led to DNA hypermethylation and an impairment in differentiation that could be reversed by treatment with DNA-hypomethylating agents. Introduction of mutant IDH2 also induced loss of contact inhibition and generated undifferentiated sarcomas in vivo. The oncogenic potential of mutant IDH2 correlated with the ability to produce 2-hydroxyglutarate. Together, these data demonstrate that neomorphic IDH2 mutations can be oncogenic in mesenchymal cells.","URL":"https://www.ncbi.nlm.nih.gov/pmc/articles/PMC3792475/","DOI":"10.1101/gad.226753.113","ISSN":"0890-9369","note":"PMID: 24065766\nPMCID: PMC3792475","journalAbbreviation":"Genes Dev","author":[{"family":"Lu","given":"Chao"},{"family":"Venneti","given":"Sriram"},{"family":"Akalin","given":"Altuna"},{"family":"Fang","given":"Fang"},{"family":"Ward","given":"Patrick S."},{"family":"DeMatteo","given":"Raymond G."},{"family":"Intlekofer","given":"Andrew M."},{"family":"Chen","given":"Chong"},{"family":"Ye","given":"Jiangbin"},{"family":"Hameed","given":"Meera"},{"family":"Nafa","given":"Khedoudja"},{"family":"Agaram","given":"Narasimhan P."},{"family":"Cross","given":"Justin R."},{"family":"Khanin","given":"Raya"},{"family":"Mason","given":"Christopher E."},{"family":"Healey","given":"John H."},{"family":"Lowe","given":"Scott W."},{"family":"Schwartz","given":"Gary K."},{"family":"Melnick","given":"Ari"},{"family":"Thompson","given":"Craig B."}],"issued":{"date-parts":[["2013",9,15]]},"accessed":{"date-parts":[["2019",2,26]]}}},{"id":1529,"uris":["http://zotero.org/users/4775618/items/J8Y3EZR5"],"uri":["http://zotero.org/users/4775618/items/J8Y3EZR5"],"itemData":{"id":1529,"type":"article-journal","title":"IDH1 mutation is sufficient to establish the glioma hypermethylator phenotype","container-title":"Nature","page":"479-483","volume":"483","issue":"7390","source":"PubMed","abstract":"Both genome-wide genetic and epigenetic alterations are fundamentally important for the development of cancers, but the interdependence of these aberrations is poorly understood. Glioblastomas and other cancers with the CpG island methylator phenotype (CIMP) constitute a subset of tumours with extensive epigenomic aberrations and a distinct biology. Glioma CIMP (G-CIMP) is a powerful determinant of tumour pathogenicity, but the molecular basis of G-CIMP remains unresolved. Here we show that mutation of a single gene, isocitrate dehydrogenase 1 (IDH1), establishes G-CIMP by remodelling the methylome. This remodelling results in reorganization of the methylome and transcriptome. Examination of the epigenome of a large set of intermediate-grade gliomas demonstrates a distinct G-CIMP phenotype that is highly dependent on the presence of IDH mutation. Introduction of mutant IDH1 into primary human astrocytes alters specific histone marks, induces extensive DNA hypermethylation, and reshapes the methylome in a fashion that mirrors the changes observed in G-CIMP-positive lower-grade gliomas. Furthermore, the epigenomic alterations resulting from mutant IDH1 activate key gene expression programs, characterize G-CIMP-positive proneural glioblastomas but not other glioblastomas, and are predictive of improved survival. Our findings demonstrate that IDH mutation is the molecular basis of CIMP in gliomas, provide a framework for understanding oncogenesis in these gliomas, and highlight the interplay between genomic and epigenomic changes in human cancers.","DOI":"10.1038/nature10866","ISSN":"1476-4687","note":"PMID: 22343889\nPMCID: PMC3351699","journalAbbreviation":"Nature","language":"eng","author":[{"family":"Turcan","given":"Sevin"},{"family":"Rohle","given":"Daniel"},{"family":"Goenka","given":"Anuj"},{"family":"Walsh","given":"Logan A."},{"family":"Fang","given":"Fang"},{"family":"Yilmaz","given":"Emrullah"},{"family":"Campos","given":"Carl"},{"family":"Fabius","given":"Armida W. M."},{"family":"Lu","given":"Chao"},{"family":"Ward","given":"Patrick S."},{"family":"Thompson","given":"Craig B."},{"family":"Kaufman","given":"Andrew"},{"family":"Guryanova","given":"Olga"},{"family":"Levine","given":"Ross"},{"family":"Heguy","given":"Adriana"},{"family":"Viale","given":"Agnes"},{"family":"Morris","given":"Luc G. T."},{"family":"Huse","given":"Jason T."},{"family":"Mellinghoff","given":"Ingo K."},{"family":"Chan","given":"Timothy A."}],"issued":{"date-parts":[["2012",2,15]]}}}],"schema":"https://github.com/citation-style-language/schema/raw/master/csl-citation.json"} </w:instrText>
      </w:r>
      <w:r w:rsidR="00F95D61">
        <w:rPr>
          <w:rFonts w:ascii="Calibri" w:hAnsi="Calibri" w:cs="Calibri"/>
          <w:color w:val="000000" w:themeColor="text1"/>
          <w:sz w:val="22"/>
          <w:szCs w:val="22"/>
        </w:rPr>
        <w:fldChar w:fldCharType="separate"/>
      </w:r>
      <w:r w:rsidR="00E52DEA" w:rsidRPr="00E52DEA">
        <w:rPr>
          <w:rFonts w:ascii="Calibri" w:hAnsi="Calibri" w:cs="Calibri"/>
          <w:color w:val="000000"/>
          <w:sz w:val="22"/>
          <w:vertAlign w:val="superscript"/>
          <w:lang w:val="en-US"/>
        </w:rPr>
        <w:t>152–154</w:t>
      </w:r>
      <w:r w:rsidR="00F95D61">
        <w:rPr>
          <w:rFonts w:ascii="Calibri" w:hAnsi="Calibri" w:cs="Calibri"/>
          <w:color w:val="000000" w:themeColor="text1"/>
          <w:sz w:val="22"/>
          <w:szCs w:val="22"/>
        </w:rPr>
        <w:fldChar w:fldCharType="end"/>
      </w:r>
      <w:r w:rsidR="001979F6" w:rsidRPr="00D637BA">
        <w:rPr>
          <w:rFonts w:ascii="Calibri" w:hAnsi="Calibri" w:cs="Calibri"/>
          <w:color w:val="000000" w:themeColor="text1"/>
          <w:sz w:val="22"/>
          <w:szCs w:val="22"/>
        </w:rPr>
        <w:t>.</w:t>
      </w:r>
      <w:r w:rsidR="00F316AB" w:rsidRPr="00D637BA">
        <w:rPr>
          <w:rFonts w:ascii="Calibri" w:hAnsi="Calibri" w:cs="Calibri"/>
          <w:color w:val="000000" w:themeColor="text1"/>
          <w:sz w:val="22"/>
          <w:szCs w:val="22"/>
        </w:rPr>
        <w:t xml:space="preserve"> </w:t>
      </w:r>
      <w:r w:rsidR="009D05A9" w:rsidRPr="00E37025">
        <w:rPr>
          <w:rFonts w:ascii="Calibri" w:hAnsi="Calibri" w:cs="Calibri"/>
          <w:color w:val="000000" w:themeColor="text1"/>
          <w:sz w:val="22"/>
          <w:szCs w:val="22"/>
        </w:rPr>
        <w:t>The lack of cell differentiation is considered a hallmark of malignancy and progression</w:t>
      </w:r>
      <w:r w:rsidR="009D05A9" w:rsidRPr="00E37025">
        <w:rPr>
          <w:rFonts w:ascii="Calibri" w:hAnsi="Calibri" w:cs="Calibri"/>
          <w:color w:val="000000" w:themeColor="text1"/>
          <w:sz w:val="22"/>
          <w:szCs w:val="22"/>
        </w:rPr>
        <w:fldChar w:fldCharType="begin"/>
      </w:r>
      <w:r w:rsidR="009D05A9" w:rsidRPr="00E37025">
        <w:rPr>
          <w:rFonts w:ascii="Calibri" w:hAnsi="Calibri" w:cs="Calibri"/>
          <w:color w:val="000000" w:themeColor="text1"/>
          <w:sz w:val="22"/>
          <w:szCs w:val="22"/>
        </w:rPr>
        <w:instrText xml:space="preserve"> ADDIN ZOTERO_ITEM CSL_CITATION {"citationID":"a2ett580h6a","properties":{"formattedCitation":"\\super 156,157\\nosupersub{}","plainCitation":"156,157","noteIndex":0},"citationItems":[{"id":2809,"uris":["http://zotero.org/users/4775618/items/2ZNG5C5T"],"uri":["http://zotero.org/users/4775618/items/2ZNG5C5T"],"itemData":{"id":2809,"type":"article-journal","title":"Differentiation therapy and the mechanisms that terminate cancer cell proliferation without harming normal cells","container-title":"Cell Death &amp; Disease","page":"1-15","volume":"9","issue":"9","source":"www-nature-com.ezp.lib.cam.ac.uk","abstract":"Chemotherapeutic drugs have a common intent to activate apoptosis in tumor cells. However, master regulators of apoptosis (e.g., p53, p16/CDKN2A) are frequently genetically inactivated in cancers, resulting in multidrug resistance. An alternative, p53-independent method for terminating malignant proliferation is to engage terminal-differentiation. Normally, the exponential proliferation of lineage-committed progenitors, coordinated by the master transcription factor (TF) MYC, is self-limited by forward-differentiation to terminal lineage-fates. In cancers, however, this exponential proliferation is disengaged from terminal-differentiation. The mechanisms underlying this decoupling are mostly unknown. We performed a systematic review of published literature (January 2007–June 2018) to identify gene pathways linked to differentiation-failure in three treatment-recalcitrant cancers: hepatocellular carcinoma (HCC), ovarian cancer (OVC), and pancreatic ductal adenocarcinoma (PDAC). We analyzed key gene alterations in various apoptosis, proliferation and differentiation pathways to determine whether it is possible to predict treatment outcomes and suggest novel therapies. Poorly differentiated tumors were linked to poorer survival across histologies. Our analyses suggested loss-of-function events to master TF drivers of lineage-fates and their cofactors as being linked to differentiation-failure: genomic data in TCGA and ICGC databases demonstrated frequent haploinsufficiency of lineage master TFs (e.g., GATA4/6) in poorly differentiated tumors; the coactivators that these TFs use to activate genes (e.g. ARID1A, PBRM1) were also frequently inactivated by genetic mutation and/or deletion. By contrast, corepressor components (e.g., DNMT1, EED, UHRF1, and BAZ1A/B), that oppose coactivators to repress or turn off genes, were frequently amplified instead, and the level of amplification was highest in poorly differentiated lesions. This selection by neoplastic evolution towards unbalanced activity of transcriptional corepressors suggests these enzymes as candidate targets for inhibition aiming to re-engage forward-differentiation. This notion is supported by both pre-clinical and clinical trial literature.","URL":"https://www-nature-com.ezp.lib.cam.ac.uk/articles/s41419-018-0919-9","DOI":"10.1038/s41419-018-0919-9","ISSN":"2041-4889","journalAbbreviation":"Cell Death Dis","language":"en","author":[{"family":"Enane","given":"Francis O."},{"family":"Saunthararajah","given":"Yogen"},{"family":"Korc","given":"Murray"}],"issued":{"date-parts":[["2018",9,6]]},"accessed":{"date-parts":[["2019",8,20]]}}},{"id":2806,"uris":["http://zotero.org/users/4775618/items/B7TBDAXC"],"uri":["http://zotero.org/users/4775618/items/B7TBDAXC"],"itemData":{"id":2806,"type":"article-journal","title":"The invasion of de-differentiating cancer cells into hierarchical tissues","container-title":"PLOS Computational Biology","page":"e1007167","volume":"15","issue":"7","source":"PLoS Journals","abstract":"Many fast renewing tissues are characterized by a hierarchical cellular architecture, with tissue specific stem cells at the root of the cellular hierarchy, differentiating into a whole range of specialized cells. There is increasing evidence that tumors are structured in a very similar way, mirroring the hierarchical structure of the host tissue. In some tissues, differentiated cells can also revert to the stem cell phenotype, which increases the risk that mutant cells lead to long lasting clones in the tissue. However, it is unclear under which circumstances de-differentiating cells will invade a tissue. To address this, we developed mathematical models to investigate how de-differentiation is selected as an adaptive mechanism in the context of cellular hierarchies. We derive thresholds for which de-differentiation is expected to emerge, and it is shown that the selection of de-differentiation is a result of the combination of the properties of cellular hierarchy and de-differentiation patterns. Our results suggest that de-differentiation is most likely to be favored provided stem cells having the largest effective self-renewal rate. Moreover, jumpwise de-differentiation provides a wider range of favorable conditions than stepwise de-differentiation. Finally, the effect of de-differentiation on the redistribution of self-renewal and differentiation probabilities also greatly influences the selection for de-differentiation.","URL":"https://journals.plos.org/ploscompbiol/article?id=10.1371/journal.pcbi.1007167","DOI":"10.1371/journal.pcbi.1007167","ISSN":"1553-7358","journalAbbreviation":"PLOS Computational Biology","language":"en","author":[{"family":"Zhou","given":"Da"},{"family":"Luo","given":"Yue"},{"family":"Dingli","given":"David"},{"family":"Traulsen","given":"Arne"}],"issued":{"date-parts":[["2019",7,1]]},"accessed":{"date-parts":[["2019",8,20]]}}}],"schema":"https://github.com/citation-style-language/schema/raw/master/csl-citation.json"} </w:instrText>
      </w:r>
      <w:r w:rsidR="009D05A9" w:rsidRPr="00E37025">
        <w:rPr>
          <w:rFonts w:ascii="Calibri" w:hAnsi="Calibri" w:cs="Calibri"/>
          <w:color w:val="000000" w:themeColor="text1"/>
          <w:sz w:val="22"/>
          <w:szCs w:val="22"/>
        </w:rPr>
        <w:fldChar w:fldCharType="separate"/>
      </w:r>
      <w:r w:rsidR="009D05A9" w:rsidRPr="00E37025">
        <w:rPr>
          <w:rFonts w:ascii="Calibri" w:hAnsi="Calibri" w:cs="Calibri"/>
          <w:color w:val="000000" w:themeColor="text1"/>
          <w:sz w:val="22"/>
          <w:vertAlign w:val="superscript"/>
          <w:lang w:val="en-US"/>
        </w:rPr>
        <w:t>156,157</w:t>
      </w:r>
      <w:r w:rsidR="009D05A9" w:rsidRPr="00E37025">
        <w:rPr>
          <w:rFonts w:ascii="Calibri" w:hAnsi="Calibri" w:cs="Calibri"/>
          <w:color w:val="000000" w:themeColor="text1"/>
          <w:sz w:val="22"/>
          <w:szCs w:val="22"/>
        </w:rPr>
        <w:fldChar w:fldCharType="end"/>
      </w:r>
      <w:r w:rsidR="009D05A9" w:rsidRPr="00E37025">
        <w:rPr>
          <w:rFonts w:ascii="Calibri" w:hAnsi="Calibri" w:cs="Calibri"/>
          <w:color w:val="000000" w:themeColor="text1"/>
          <w:sz w:val="22"/>
          <w:szCs w:val="22"/>
        </w:rPr>
        <w:t xml:space="preserve">.  Indeed, this </w:t>
      </w:r>
      <w:r w:rsidR="00064FEA" w:rsidRPr="00E37025">
        <w:rPr>
          <w:rFonts w:ascii="Calibri" w:hAnsi="Calibri" w:cs="Calibri"/>
          <w:color w:val="000000" w:themeColor="text1"/>
          <w:sz w:val="22"/>
          <w:szCs w:val="22"/>
        </w:rPr>
        <w:t>b</w:t>
      </w:r>
      <w:r w:rsidR="00B54531" w:rsidRPr="00E37025">
        <w:rPr>
          <w:rFonts w:ascii="Calibri" w:hAnsi="Calibri" w:cs="Calibri"/>
          <w:color w:val="000000" w:themeColor="text1"/>
          <w:sz w:val="22"/>
          <w:szCs w:val="22"/>
        </w:rPr>
        <w:t>lock</w:t>
      </w:r>
      <w:r w:rsidR="00064FEA" w:rsidRPr="00E37025">
        <w:rPr>
          <w:rFonts w:ascii="Calibri" w:hAnsi="Calibri" w:cs="Calibri"/>
          <w:color w:val="000000" w:themeColor="text1"/>
          <w:sz w:val="22"/>
          <w:szCs w:val="22"/>
        </w:rPr>
        <w:t xml:space="preserve"> in</w:t>
      </w:r>
      <w:r w:rsidR="00200BE5" w:rsidRPr="00E37025">
        <w:rPr>
          <w:rFonts w:ascii="Calibri" w:hAnsi="Calibri" w:cs="Calibri"/>
          <w:color w:val="000000" w:themeColor="text1"/>
          <w:sz w:val="22"/>
          <w:szCs w:val="22"/>
        </w:rPr>
        <w:t xml:space="preserve"> differentiation</w:t>
      </w:r>
      <w:r w:rsidR="00B54531" w:rsidRPr="00E37025">
        <w:rPr>
          <w:rFonts w:ascii="Calibri" w:hAnsi="Calibri" w:cs="Calibri"/>
          <w:color w:val="000000" w:themeColor="text1"/>
          <w:sz w:val="22"/>
          <w:szCs w:val="22"/>
        </w:rPr>
        <w:t xml:space="preserve"> is thought to</w:t>
      </w:r>
      <w:r w:rsidR="00170D65" w:rsidRPr="00E37025">
        <w:rPr>
          <w:rFonts w:ascii="Calibri" w:hAnsi="Calibri" w:cs="Calibri"/>
          <w:color w:val="000000" w:themeColor="text1"/>
          <w:sz w:val="22"/>
          <w:szCs w:val="22"/>
        </w:rPr>
        <w:t xml:space="preserve"> retain the cancer </w:t>
      </w:r>
      <w:r w:rsidR="00B54531" w:rsidRPr="00E37025">
        <w:rPr>
          <w:rFonts w:ascii="Calibri" w:hAnsi="Calibri" w:cs="Calibri"/>
          <w:color w:val="000000" w:themeColor="text1"/>
          <w:sz w:val="22"/>
          <w:szCs w:val="22"/>
        </w:rPr>
        <w:t xml:space="preserve">cells ability </w:t>
      </w:r>
      <w:r w:rsidR="009D05A9" w:rsidRPr="00E37025">
        <w:rPr>
          <w:rFonts w:ascii="Calibri" w:hAnsi="Calibri" w:cs="Calibri"/>
          <w:color w:val="000000" w:themeColor="text1"/>
          <w:sz w:val="22"/>
          <w:szCs w:val="22"/>
        </w:rPr>
        <w:t xml:space="preserve"> to proliferate </w:t>
      </w:r>
      <w:r w:rsidR="00B54531" w:rsidRPr="00E37025">
        <w:rPr>
          <w:rFonts w:ascii="Calibri" w:hAnsi="Calibri" w:cs="Calibri"/>
          <w:color w:val="000000" w:themeColor="text1"/>
          <w:sz w:val="22"/>
          <w:szCs w:val="22"/>
        </w:rPr>
        <w:t>and propagat</w:t>
      </w:r>
      <w:r w:rsidR="00C4757E" w:rsidRPr="00E37025">
        <w:rPr>
          <w:rFonts w:ascii="Calibri" w:hAnsi="Calibri" w:cs="Calibri"/>
          <w:color w:val="000000" w:themeColor="text1"/>
          <w:sz w:val="22"/>
          <w:szCs w:val="22"/>
        </w:rPr>
        <w:t>e</w:t>
      </w:r>
      <w:r w:rsidR="00170D65" w:rsidRPr="00E37025">
        <w:rPr>
          <w:rFonts w:ascii="Calibri" w:hAnsi="Calibri" w:cs="Calibri"/>
          <w:color w:val="000000" w:themeColor="text1"/>
          <w:sz w:val="22"/>
          <w:szCs w:val="22"/>
        </w:rPr>
        <w:t xml:space="preserve"> </w:t>
      </w:r>
      <w:r w:rsidR="00B54531" w:rsidRPr="00E37025">
        <w:rPr>
          <w:rFonts w:ascii="Calibri" w:hAnsi="Calibri" w:cs="Calibri"/>
          <w:color w:val="000000" w:themeColor="text1"/>
          <w:sz w:val="22"/>
          <w:szCs w:val="22"/>
        </w:rPr>
        <w:t>mutant clones, contributing to tumourigenesis</w:t>
      </w:r>
      <w:r w:rsidR="00F95D61" w:rsidRPr="00E37025">
        <w:rPr>
          <w:rFonts w:ascii="Calibri" w:hAnsi="Calibri" w:cs="Calibri"/>
          <w:color w:val="000000" w:themeColor="text1"/>
          <w:sz w:val="22"/>
          <w:szCs w:val="22"/>
        </w:rPr>
        <w:fldChar w:fldCharType="begin"/>
      </w:r>
      <w:r w:rsidR="00E52DEA" w:rsidRPr="00E37025">
        <w:rPr>
          <w:rFonts w:ascii="Calibri" w:hAnsi="Calibri" w:cs="Calibri"/>
          <w:color w:val="000000" w:themeColor="text1"/>
          <w:sz w:val="22"/>
          <w:szCs w:val="22"/>
        </w:rPr>
        <w:instrText xml:space="preserve"> ADDIN ZOTERO_ITEM CSL_CITATION {"citationID":"a1564oheddq","properties":{"formattedCitation":"\\super 156,157\\nosupersub{}","plainCitation":"156,157","noteIndex":0},"citationItems":[{"id":2809,"uris":["http://zotero.org/users/4775618/items/2ZNG5C5T"],"uri":["http://zotero.org/users/4775618/items/2ZNG5C5T"],"itemData":{"id":2809,"type":"article-journal","title":"Differentiation therapy and the mechanisms that terminate cancer cell proliferation without harming normal cells","container-title":"Cell Death &amp; Disease","page":"1-15","volume":"9","issue":"9","source":"www-nature-com.ezp.lib.cam.ac.uk","abstract":"Chemotherapeutic drugs have a common intent to activate apoptosis in tumor cells. However, master regulators of apoptosis (e.g., p53, p16/CDKN2A) are frequently genetically inactivated in cancers, resulting in multidrug resistance. An alternative, p53-independent method for terminating malignant proliferation is to engage terminal-differentiation. Normally, the exponential proliferation of lineage-committed progenitors, coordinated by the master transcription factor (TF) MYC, is self-limited by forward-differentiation to terminal lineage-fates. In cancers, however, this exponential proliferation is disengaged from terminal-differentiation. The mechanisms underlying this decoupling are mostly unknown. We performed a systematic review of published literature (January 2007–June 2018) to identify gene pathways linked to differentiation-failure in three treatment-recalcitrant cancers: hepatocellular carcinoma (HCC), ovarian cancer (OVC), and pancreatic ductal adenocarcinoma (PDAC). We analyzed key gene alterations in various apoptosis, proliferation and differentiation pathways to determine whether it is possible to predict treatment outcomes and suggest novel therapies. Poorly differentiated tumors were linked to poorer survival across histologies. Our analyses suggested loss-of-function events to master TF drivers of lineage-fates and their cofactors as being linked to differentiation-failure: genomic data in TCGA and ICGC databases demonstrated frequent haploinsufficiency of lineage master TFs (e.g., GATA4/6) in poorly differentiated tumors; the coactivators that these TFs use to activate genes (e.g. ARID1A, PBRM1) were also frequently inactivated by genetic mutation and/or deletion. By contrast, corepressor components (e.g., DNMT1, EED, UHRF1, and BAZ1A/B), that oppose coactivators to repress or turn off genes, were frequently amplified instead, and the level of amplification was highest in poorly differentiated lesions. This selection by neoplastic evolution towards unbalanced activity of transcriptional corepressors suggests these enzymes as candidate targets for inhibition aiming to re-engage forward-differentiation. This notion is supported by both pre-clinical and clinical trial literature.","URL":"https://www-nature-com.ezp.lib.cam.ac.uk/articles/s41419-018-0919-9","DOI":"10.1038/s41419-018-0919-9","ISSN":"2041-4889","journalAbbreviation":"Cell Death Dis","language":"en","author":[{"family":"Enane","given":"Francis O."},{"family":"Saunthararajah","given":"Yogen"},{"family":"Korc","given":"Murray"}],"issued":{"date-parts":[["2018",9,6]]},"accessed":{"date-parts":[["2019",8,20]]}},"locator":"20"},{"id":2806,"uris":["http://zotero.org/users/4775618/items/B7TBDAXC"],"uri":["http://zotero.org/users/4775618/items/B7TBDAXC"],"itemData":{"id":2806,"type":"article-journal","title":"The invasion of de-differentiating cancer cells into hierarchical tissues","container-title":"PLOS Computational Biology","page":"e1007167","volume":"15","issue":"7","source":"PLoS Journals","abstract":"Many fast renewing tissues are characterized by a hierarchical cellular architecture, with tissue specific stem cells at the root of the cellular hierarchy, differentiating into a whole range of specialized cells. There is increasing evidence that tumors are structured in a very similar way, mirroring the hierarchical structure of the host tissue. In some tissues, differentiated cells can also revert to the stem cell phenotype, which increases the risk that mutant cells lead to long lasting clones in the tissue. However, it is unclear under which circumstances de-differentiating cells will invade a tissue. To address this, we developed mathematical models to investigate how de-differentiation is selected as an adaptive mechanism in the context of cellular hierarchies. We derive thresholds for which de-differentiation is expected to emerge, and it is shown that the selection of de-differentiation is a result of the combination of the properties of cellular hierarchy and de-differentiation patterns. Our results suggest that de-differentiation is most likely to be favored provided stem cells having the largest effective self-renewal rate. Moreover, jumpwise de-differentiation provides a wider range of favorable conditions than stepwise de-differentiation. Finally, the effect of de-differentiation on the redistribution of self-renewal and differentiation probabilities also greatly influences the selection for de-differentiation.","URL":"https://journals.plos.org/ploscompbiol/article?id=10.1371/journal.pcbi.1007167","DOI":"10.1371/journal.pcbi.1007167","ISSN":"1553-7358","journalAbbreviation":"PLOS Computational Biology","language":"en","author":[{"family":"Zhou","given":"Da"},{"family":"Luo","given":"Yue"},{"family":"Dingli","given":"David"},{"family":"Traulsen","given":"Arne"}],"issued":{"date-parts":[["2019",7,1]]},"accessed":{"date-parts":[["2019",8,20]]}}}],"schema":"https://github.com/citation-style-language/schema/raw/master/csl-citation.json"} </w:instrText>
      </w:r>
      <w:r w:rsidR="00F95D61" w:rsidRPr="00E37025">
        <w:rPr>
          <w:rFonts w:ascii="Calibri" w:hAnsi="Calibri" w:cs="Calibri"/>
          <w:color w:val="000000" w:themeColor="text1"/>
          <w:sz w:val="22"/>
          <w:szCs w:val="22"/>
        </w:rPr>
        <w:fldChar w:fldCharType="separate"/>
      </w:r>
      <w:r w:rsidR="00E52DEA" w:rsidRPr="00E37025">
        <w:rPr>
          <w:rFonts w:ascii="Calibri" w:hAnsi="Calibri" w:cs="Calibri"/>
          <w:color w:val="000000" w:themeColor="text1"/>
          <w:sz w:val="22"/>
          <w:vertAlign w:val="superscript"/>
          <w:lang w:val="en-US"/>
        </w:rPr>
        <w:t>156,157</w:t>
      </w:r>
      <w:r w:rsidR="00F95D61" w:rsidRPr="00E37025">
        <w:rPr>
          <w:rFonts w:ascii="Calibri" w:hAnsi="Calibri" w:cs="Calibri"/>
          <w:color w:val="000000" w:themeColor="text1"/>
          <w:sz w:val="22"/>
          <w:szCs w:val="22"/>
        </w:rPr>
        <w:fldChar w:fldCharType="end"/>
      </w:r>
      <w:r w:rsidR="00170D65" w:rsidRPr="00E37025">
        <w:rPr>
          <w:rFonts w:ascii="Calibri" w:hAnsi="Calibri" w:cs="Calibri"/>
          <w:color w:val="000000" w:themeColor="text1"/>
          <w:sz w:val="22"/>
          <w:szCs w:val="22"/>
        </w:rPr>
        <w:t>.</w:t>
      </w:r>
      <w:r w:rsidR="009D05A9" w:rsidRPr="00E37025">
        <w:rPr>
          <w:rFonts w:ascii="Calibri" w:hAnsi="Calibri" w:cs="Calibri"/>
          <w:color w:val="000000" w:themeColor="text1"/>
          <w:sz w:val="22"/>
          <w:szCs w:val="22"/>
        </w:rPr>
        <w:t xml:space="preserve"> </w:t>
      </w:r>
    </w:p>
    <w:p w14:paraId="5856E26C" w14:textId="5C10DB67" w:rsidR="00C44E06" w:rsidRPr="00D637BA" w:rsidRDefault="00F131BF" w:rsidP="00720190">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Identification of specific DNA hypermethylation patterns within a subset of colorectal cancers</w:t>
      </w:r>
      <w:r w:rsidR="00F95D6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{"citationID":"a2ni44s00t9","properties":{"formattedCitation":"\\super 158\\nosupersub{}","plainCitation":"158","noteIndex":0},"citationItems":[{"id":1540,"uris":["http://zotero.org/users/4775618/items/K8B9AS9M"],"uri":["http://zotero.org/users/4775618/items/K8B9AS9M"],"itemData":{"id":1540,"type":"article-journal","title":"Association between CpG island methylation and microsatellite instability in colorectal cancer","container-title":"Cancer Research","page":"3370-3374","volume":"57","issue":"16","source":"PubMed","abstract":"De novo methylation of promoter region CpG islands has been increasingly associated with transcriptional inactivation of important genes in neoplasia. To study the potential mechanisms underlying aberrant methylation in cancer, we have determined the methylation patterns of selected genes in colorectal cancers with and without microsatellite instability (MI), which results from defects in one of several base mismatch repair genes. A total of 47 colorectal cancers were analyzed, of which 15 were MI+ (32%). We now report that both the frequency and the extent of de novo methylation are strikingly increased in MI+ cancers. Hypermethylation of the p16 gene was found in 60% of MI+ cancers, compared to only 22% in MI- cancers (P = 0.02). Similarly, hypermethylation of the thrombospondin-1 (TSP-1) gene, an angiogenesis inhibitor, was increased in MI+ cancers (27% versus 0%; P = 0.008). Extensive methylation of insulin-like growth factor II (IGF2) and hypermethylated in cancer-1 (HIC-1) genes was observed in 60 and 80% of MI+ cancers, respectively, as contrasted with 6 and 38% of MI- cancers (P = 0.0002 and 0.01, respectively). Furthermore, 60% of the MI+ cancers displayed the hypermethylation events at two or more loci in a concordant manner compared to only 9% of the MI- cancers (P &lt; 0.001). These results demonstrate a strong link between promoter hypermethylation and genetic instability due to deficient DNA repair.","ISSN":"0008-5472","note":"PMID: 9269998","journalAbbreviation":"Cancer Res.","language":"eng","author":[{"family":"Ahuja","given":"N."},{"family":"Mohan","given":"A. L."},{"family":"Li","given":"Q."},{"family":"Stolker","given":"J. M."},{"family":"Herman","given":"J. G."},{"family":"Hamilton","given":"S. R."},{"family":"Baylin","given":"S. B."},{"family":"Issa","given":"J. P."}],"issued":{"date-parts":[["1997",8,15]]}}}],"schema":"https://github.com/citation-style-language/schema/raw/master/csl-citation.json"} </w:instrText>
      </w:r>
      <w:r w:rsidR="00F95D6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158</w:t>
      </w:r>
      <w:r w:rsidR="00F95D6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gave rise to the CpG island methylator phenotype (CIMP)-associated cancer subtypes, </w:t>
      </w:r>
      <w:r w:rsidR="00703EDC" w:rsidRPr="00D637BA">
        <w:rPr>
          <w:rFonts w:ascii="Calibri" w:hAnsi="Calibri" w:cs="Calibri"/>
          <w:color w:val="000000" w:themeColor="text1"/>
          <w:sz w:val="22"/>
          <w:szCs w:val="22"/>
        </w:rPr>
        <w:t xml:space="preserve">which are </w:t>
      </w:r>
      <w:r w:rsidRPr="00D637BA">
        <w:rPr>
          <w:rFonts w:ascii="Calibri" w:hAnsi="Calibri" w:cs="Calibri"/>
          <w:color w:val="000000" w:themeColor="text1"/>
          <w:sz w:val="22"/>
          <w:szCs w:val="22"/>
        </w:rPr>
        <w:t>characterised by their extensive epigenomic aberrations and distinct biology</w:t>
      </w:r>
      <w:r w:rsidR="00F95D6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{"citationID":"a2dtg2i23jg","properties":{"formattedCitation":"\\super 154,158,159\\nosupersub{}","plainCitation":"154,158,159","noteIndex":0},"citationItems":[{"id":1540,"uris":["http://zotero.org/users/4775618/items/K8B9AS9M"],"uri":["http://zotero.org/users/4775618/items/K8B9AS9M"],"itemData":{"id":1540,"type":"article-journal","title":"Association between CpG island methylation and microsatellite instability in colorectal cancer","container-title":"Cancer Research","page":"3370-3374","volume":"57","issue":"16","source":"PubMed","abstract":"De novo methylation of promoter region CpG islands has been increasingly associated with transcriptional inactivation of important genes in neoplasia. To study the potential mechanisms underlying aberrant methylation in cancer, we have determined the methylation patterns of selected genes in colorectal cancers with and without microsatellite instability (MI), which results from defects in one of several base mismatch repair genes. A total of 47 colorectal cancers were analyzed, of which 15 were MI+ (32%). We now report that both the frequency and the extent of de novo methylation are strikingly increased in MI+ cancers. Hypermethylation of the p16 gene was found in 60% of MI+ cancers, compared to only 22% in MI- cancers (P = 0.02). Similarly, hypermethylation of the thrombospondin-1 (TSP-1) gene, an angiogenesis inhibitor, was increased in MI+ cancers (27% versus 0%; P = 0.008). Extensive methylation of insulin-like growth factor II (IGF2) and hypermethylated in cancer-1 (HIC-1) genes was observed in 60 and 80% of MI+ cancers, respectively, as contrasted with 6 and 38% of MI- cancers (P = 0.0002 and 0.01, respectively). Furthermore, 60% of the MI+ cancers displayed the hypermethylation events at two or more loci in a concordant manner compared to only 9% of the MI- cancers (P &lt; 0.001). These results demonstrate a strong link between promoter hypermethylation and genetic instability due to deficient DNA repair.","ISSN":"0008-5472","note":"PMID: 9269998","journalAbbreviation":"Cancer Res.","language":"eng","author":[{"family":"Ahuja","given":"N."},{"family":"Mohan","given":"A. L."},{"family":"Li","given":"Q."},{"family":"Stolker","given":"J. M."},{"family":"Herman","given":"J. G."},{"family":"Hamilton","given":"S. R."},{"family":"Baylin","given":"S. B."},{"family":"Issa","given":"J. P."}],"issued":{"date-parts":[["1997",8,15]]}}},{"id":1537,"uris":["http://zotero.org/users/4775618/items/3LULAZL8"],"uri":["http://zotero.org/users/4775618/items/3LULAZL8"],"itemData":{"id":1537,"type":"article-journal","title":"CpG island methylator phenotype in cancer","container-title":"Nature Reviews Cancer","page":"988-993","volume":"4","issue":"12","source":"www-nature-com.ezp.lib.cam.ac.uk","abstract":"DNA hypermethylation in CpG-rich promoters is now recognized as a common feature of human neoplasia. However, the pathophysiology of hyper-methylation (why, when, where) remains obscure. Cancers can be classified according to their degree of methylation, and those cancers with high degrees of methylation (the CpG island methylator phenotype, or CIMP) represent a clinically and aetiologically distinct group that is characterized by 'epigenetic instability'. Furthermore, CIMP-associated cancers seem to have a distinct epidemiology, a distinct histology, distinct precursor lesions and distinct molecular features.","URL":"http://www.nature.com/articles/nrc1507","DOI":"10.1038/nrc1507","ISSN":"1474-1768","language":"en","author":[{"family":"Issa","given":"Jean-Pierre"}],"issued":{"date-parts":[["2004",12]]},"accessed":{"date-parts":[["2019",2,26]]}}},{"id":1529,"uris":["http://zotero.org/users/4775618/items/J8Y3EZR5"],"uri":["http://zotero.org/users/4775618/items/J8Y3EZR5"],"itemData":{"id":1529,"type":"article-journal","title":"IDH1 mutation is sufficient to establish the glioma hypermethylator phenotype","container-title":"Nature","page":"479-483","volume":"483","issue":"7390","source":"PubMed","abstract":"Both genome-wide genetic and epigenetic alterations are fundamentally important for the development of cancers, but the interdependence of these aberrations is poorly understood. Glioblastomas and other cancers with the CpG island methylator phenotype (CIMP) constitute a subset of tumours with extensive epigenomic aberrations and a distinct biology. Glioma CIMP (G-CIMP) is a powerful determinant of tumour pathogenicity, but the molecular basis of G-CIMP remains unresolved. Here we show that mutation of a single gene, isocitrate dehydrogenase 1 (IDH1), establishes G-CIMP by remodelling the methylome. This remodelling results in reorganization of the methylome and transcriptome. Examination of the epigenome of a large set of intermediate-grade gliomas demonstrates a distinct G-CIMP phenotype that is highly dependent on the presence of IDH mutation. Introduction of mutant IDH1 into primary human astrocytes alters specific histone marks, induces extensive DNA hypermethylation, and reshapes the methylome in a fashion that mirrors the changes observed in G-CIMP-positive lower-grade gliomas. Furthermore, the epigenomic alterations resulting from mutant IDH1 activate key gene expression programs, characterize G-CIMP-positive proneural glioblastomas but not other glioblastomas, and are predictive of improved survival. Our findings demonstrate that IDH mutation is the molecular basis of CIMP in gliomas, provide a framework for understanding oncogenesis in these gliomas, and highlight the interplay between genomic and epigenomic changes in human cancers.","DOI":"10.1038/nature10866","ISSN":"1476-4687","note":"PMID: 22343889\nPMCID: PMC3351699","journalAbbreviation":"Nature","language":"eng","author":[{"family":"Turcan","given":"Sevin"},{"family":"Rohle","given":"Daniel"},{"family":"Goenka","given":"Anuj"},{"family":"Walsh","given":"Logan A."},{"family":"Fang","given":"Fang"},{"family":"Yilmaz","given":"Emrullah"},{"family":"Campos","given":"Carl"},{"family":"Fabius","given":"Armida W. M."},{"family":"Lu","given":"Chao"},{"family":"Ward","given":"Patrick S."},{"family":"Thompson","given":"Craig B."},{"family":"Kaufman","given":"Andrew"},{"family":"Guryanova","given":"Olga"},{"family":"Levine","given":"Ross"},{"family":"Heguy","given":"Adriana"},{"family":"Viale","given":"Agnes"},{"family":"Morris","given":"Luc G. T."},{"family":"Huse","given":"Jason T."},{"family":"Mellinghoff","given":"Ingo K."},{"family":"Chan","given":"Timothy A."}],"issued":{"date-parts":[["2012",2,15]]}}}],"schema":"https://github.com/citation-style-language/schema/raw/master/csl-citation.json"} </w:instrText>
      </w:r>
      <w:r w:rsidR="00F95D6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154,158,159</w:t>
      </w:r>
      <w:r w:rsidR="00F95D61">
        <w:rPr>
          <w:rFonts w:ascii="Calibri" w:hAnsi="Calibri" w:cs="Calibri"/>
          <w:color w:val="000000" w:themeColor="text1"/>
          <w:sz w:val="22"/>
          <w:szCs w:val="22"/>
        </w:rPr>
        <w:fldChar w:fldCharType="end"/>
      </w:r>
      <w:r w:rsidR="000167D7" w:rsidRPr="000167D7">
        <w:rPr>
          <w:rFonts w:ascii="Calibri" w:hAnsi="Calibri" w:cs="Calibri"/>
          <w:sz w:val="22"/>
          <w:szCs w:val="22"/>
        </w:rPr>
        <w:t>.</w:t>
      </w:r>
      <w:r w:rsidR="007B0281" w:rsidRPr="00D637BA">
        <w:rPr>
          <w:rFonts w:ascii="Calibri" w:hAnsi="Calibri" w:cs="Calibri"/>
          <w:color w:val="000000" w:themeColor="text1"/>
          <w:sz w:val="22"/>
          <w:szCs w:val="22"/>
        </w:rPr>
        <w:t xml:space="preserve"> CIMP subtypes</w:t>
      </w:r>
      <w:r w:rsidRPr="00D637BA">
        <w:rPr>
          <w:rFonts w:ascii="Calibri" w:hAnsi="Calibri" w:cs="Calibri"/>
          <w:color w:val="000000" w:themeColor="text1"/>
          <w:sz w:val="22"/>
          <w:szCs w:val="22"/>
        </w:rPr>
        <w:t xml:space="preserve"> ha</w:t>
      </w:r>
      <w:r w:rsidR="007B0281" w:rsidRPr="00D637BA">
        <w:rPr>
          <w:rFonts w:ascii="Calibri" w:hAnsi="Calibri" w:cs="Calibri"/>
          <w:color w:val="000000" w:themeColor="text1"/>
          <w:sz w:val="22"/>
          <w:szCs w:val="22"/>
        </w:rPr>
        <w:t>ve</w:t>
      </w:r>
      <w:r w:rsidRPr="00D637BA">
        <w:rPr>
          <w:rFonts w:ascii="Calibri" w:hAnsi="Calibri" w:cs="Calibri"/>
          <w:color w:val="000000" w:themeColor="text1"/>
          <w:sz w:val="22"/>
          <w:szCs w:val="22"/>
        </w:rPr>
        <w:t xml:space="preserve"> been increasingly recognised in other malignancies</w:t>
      </w:r>
      <w:r w:rsidR="007B0281"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including gliomas (G-CIMP</w:t>
      </w:r>
      <w:r w:rsidR="00B31657" w:rsidRPr="00D637BA">
        <w:rPr>
          <w:rFonts w:ascii="Calibri" w:hAnsi="Calibri" w:cs="Calibri"/>
          <w:color w:val="000000" w:themeColor="text1"/>
          <w:sz w:val="22"/>
          <w:szCs w:val="22"/>
        </w:rPr>
        <w:t>)</w:t>
      </w:r>
      <w:r w:rsidR="00F95D6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{"citationID":"a238khg4p9r","properties":{"formattedCitation":"\\super 154,159,160\\nosupersub{}","plainCitation":"154,159,160","noteIndex":0},"citationItems":[{"id":1537,"uris":["http://zotero.org/users/4775618/items/3LULAZL8"],"uri":["http://zotero.org/users/4775618/items/3LULAZL8"],"itemData":{"id":1537,"type":"article-journal","title":"CpG island methylator phenotype in cancer","container-title":"Nature Reviews Cancer","page":"988-993","volume":"4","issue":"12","source":"www-nature-com.ezp.lib.cam.ac.uk","abstract":"DNA hypermethylation in CpG-rich promoters is now recognized as a common feature of human neoplasia. However, the pathophysiology of hyper-methylation (why, when, where) remains obscure. Cancers can be classified according to their degree of methylation, and those cancers with high degrees of methylation (the CpG island methylator phenotype, or CIMP) represent a clinically and aetiologically distinct group that is characterized by 'epigenetic instability'. Furthermore, CIMP-associated cancers seem to have a distinct epidemiology, a distinct histology, distinct precursor lesions and distinct molecular features.","URL":"http://www.nature.com/articles/nrc1507","DOI":"10.1038/nrc1507","ISSN":"1474-1768","language":"en","author":[{"family":"Issa","given":"Jean-Pierre"}],"issued":{"date-parts":[["2004",12]]},"accessed":{"date-parts":[["2019",2,26]]}}},{"id":1542,"uris":["http://zotero.org/users/4775618/items/4D4SFN3X"],"uri":["http://zotero.org/users/4775618/items/4D4SFN3X"],"itemData":{"id":1542,"type":"article-journal","title":"Identification of a CpG Island Methylator Phenotype that Defines a Distinct Subgroup of Glioma","container-title":"Cancer cell","page":"510-522","volume":"17","issue":"5","source":"PubMed Central","abstract":"We have profiled promoter DNA methylation alterations in 272 glioblastoma tumors in the context of The Cancer Genome Atlas (TCGA). We found that a distinct subset of samples displays concerted hypermethylation at a large number of loci, indicating the existence of a glioma-CpG Island Methylator Phenotype (G-CIMP). We validated G-CIMP in a set of non-TCGA glioblastomas and low-grade gliomas. G-CIMP tumors belong to the Proneural subgroup, are more prevalent among low-grade gliomas, display distinct copy-number alterations and are tightly associated with IDH1 somatic mutations. Patients with G-CIMP tumors are younger at the time of diagnosis and experience significantly improved outcome. These findings identify G-CIMP as a distinct subset of human gliomas on molecular and clinical grounds.","URL":"https://www.ncbi.nlm.nih.gov/pmc/articles/PMC2872684/","DOI":"10.1016/j.ccr.2010.03.017","ISSN":"1535-6108","note":"PMID: 20399149\nPMCID: PMC2872684","journalAbbreviation":"Cancer Cell","author":[{"family":"Noushmehr","given":"Houtan"},{"family":"Weisenberger","given":"Daniel J."},{"family":"Diefes","given":"Kristin"},{"family":"Phillips","given":"Heidi S."},{"family":"Pujara","given":"Kanan"},{"family":"Berman","given":"Benjamin P."},{"family":"Pan","given":"Fei"},{"family":"Pelloski","given":"Christopher E."},{"family":"Sulman","given":"Erik P."},{"family":"Bhat","given":"Krishna P."},{"family":"Verhaak","given":"Roel G.W."},{"family":"Hoadley","given":"Katherine A."},{"family":"Hayes","given":"D. Neil"},{"family":"Perou","given":"Charles M."},{"family":"Schmidt","given":"Heather K."},{"family":"Ding","given":"Li"},{"family":"Wilson","given":"Richard K."},{"family":"Van Den Berg","given":"David"},{"family":"Shen","given":"Hui"},{"family":"Bengtsson","given":"Henrik"},{"family":"Neuvial","given":"Pierre"},{"family":"Cope","given":"Leslie M."},{"family":"Buckley","given":"Jonathan"},{"family":"Herman","given":"James G."},{"family":"Baylin","given":"Stephen B."},{"family":"Laird","given":"Peter W."},{"family":"Aldape","given":"Kenneth"}],"issued":{"date-parts":[["2010",5,18]]},"accessed":{"date-parts":[["2019",2,26]]}}},{"id":1529,"uris":["http://zotero.org/users/4775618/items/J8Y3EZR5"],"uri":["http://zotero.org/users/4775618/items/J8Y3EZR5"],"itemData":{"id":1529,"type":"article-journal","title":"IDH1 mutation is sufficient to establish the glioma hypermethylator phenotype","container-title":"Nature","page":"479-483","volume":"483","issue":"7390","source":"PubMed","abstract":"Both genome-wide genetic and epigenetic alterations are fundamentally important for the development of cancers, but the interdependence of these aberrations is poorly understood. Glioblastomas and other cancers with the CpG island methylator phenotype (CIMP) constitute a subset of tumours with extensive epigenomic aberrations and a distinct biology. Glioma CIMP (G-CIMP) is a powerful determinant of tumour pathogenicity, but the molecular basis of G-CIMP remains unresolved. Here we show that mutation of a single gene, isocitrate dehydrogenase 1 (IDH1), establishes G-CIMP by remodelling the methylome. This remodelling results in reorganization of the methylome and transcriptome. Examination of the epigenome of a large set of intermediate-grade gliomas demonstrates a distinct G-CIMP phenotype that is highly dependent on the presence of IDH mutation. Introduction of mutant IDH1 into primary human astrocytes alters specific histone marks, induces extensive DNA hypermethylation, and reshapes the methylome in a fashion that mirrors the changes observed in G-CIMP-positive lower-grade gliomas. Furthermore, the epigenomic alterations resulting from mutant IDH1 activate key gene expression programs, characterize G-CIMP-positive proneural glioblastomas but not other glioblastomas, and are predictive of improved survival. Our findings demonstrate that IDH mutation is the molecular basis of CIMP in gliomas, provide a framework for understanding oncogenesis in these gliomas, and highlight the interplay between genomic and epigenomic changes in human cancers.","DOI":"10.1038/nature10866","ISSN":"1476-4687","note":"PMID: 22343889\nPMCID: PMC3351699","journalAbbreviation":"Nature","language":"eng","author":[{"family":"Turcan","given":"Sevin"},{"family":"Rohle","given":"Daniel"},{"family":"Goenka","given":"Anuj"},{"family":"Walsh","given":"Logan A."},{"family":"Fang","given":"Fang"},{"family":"Yilmaz","given":"Emrullah"},{"family":"Campos","given":"Carl"},{"family":"Fabius","given":"Armida W. M."},{"family":"Lu","given":"Chao"},{"family":"Ward","given":"Patrick S."},{"family":"Thompson","given":"Craig B."},{"family":"Kaufman","given":"Andrew"},{"family":"Guryanova","given":"Olga"},{"family":"Levine","given":"Ross"},{"family":"Heguy","given":"Adriana"},{"family":"Viale","given":"Agnes"},{"family":"Morris","given":"Luc G. T."},{"family":"Huse","given":"Jason T."},{"family":"Mellinghoff","given":"Ingo K."},{"family":"Chan","given":"Timothy A."}],"issued":{"date-parts":[["2012",2,15]]}}}],"schema":"https://github.com/citation-style-language/schema/raw/master/csl-citation.json"} </w:instrText>
      </w:r>
      <w:r w:rsidR="00F95D6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154,159,160</w:t>
      </w:r>
      <w:r w:rsidR="00F95D6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and in a subset of type 2 papillary RCC (CIMP-RCC)</w:t>
      </w:r>
      <w:r w:rsidR="00F95D6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{"citationID":"a1pmf131tbm","properties":{"formattedCitation":"\\super 5,161\\nosupersub{}","plainCitation":"5,161","noteIndex":0},"citationItems":[{"id":427,"uris":["http://zotero.org/users/4775618/items/ZV692HDZ"],"uri":["http://zotero.org/users/4775618/items/ZV692HDZ"],"itemData":{"id":427,"type":"article-journal","title":"The Cancer Genome Atlas Comprehensive Molecular Characterization of Renal Cell Carcinoma","container-title":"Cell Reports","volume":"0","issue":"0","source":"www.cell.com","abstract":"&lt;h2&gt;Summary&lt;/h2&gt;&lt;p&gt;Renal cell carcinoma (RCC) is not a single disease, but several histologically defined cancers with different genetic drivers, clinical courses, and therapeutic responses. The current study evaluated 843 RCC from the three major histologic subtypes, including 488 clear cell RCC, 274 papillary RCC, and 81 chromophobe RCC. Comprehensive genomic and phenotypic analysis of the RCC subtypes reveals distinctive features of each subtype that provide the foundation for the development of subtype-specific therapeutic and management strategies for patients affected with these cancers. Somatic alteration of &lt;i&gt;BAP1&lt;/i&gt;, &lt;i&gt;PBRM1&lt;/i&gt;, and &lt;i&gt;PTEN&lt;/i&gt; and altered metabolic pathways correlated with subtype-specific decreased survival, while &lt;i&gt;CDKN2A&lt;/i&gt; alteration, increased DNA hypermethylation, and increases in the immune-related Th2 gene expression signature correlated with decreased survival within all major histologic subtypes. CIMP-RCC demonstrated an increased immune signature, and a uniform and distinct metabolic expression pattern identified a subset of metabolically divergent (MD) ChRCC that associated with extremely poor survival.&lt;/p&gt;","URL":"http://www.cell.com/cell-reports/abstract/S2211-1247(18)30436-4","DOI":"10.1016/j.celrep.2018.03.075","ISSN":"2211-1247","note":"PMID: 29617669, 29617669","journalAbbreviation":"Cell Reports","language":"English","author":[{"family":"Ricketts","given":"Christopher J."},{"family":"Cubas","given":"Aguirre A. De"},{"family":"Fan","given":"Huihui"},{"family":"Smith","given":"Christof C."},{"family":"Lang","given":"Martin"},{"family":"Reznik","given":"Ed"},{"family":"Bowlby","given":"Reanne"},{"family":"Gibb","given":"Ewan A."},{"family":"Akbani","given":"Rehan"},{"family":"Beroukhim","given":"Rameen"},{"family":"Bottaro","given":"Donald P."},{"family":"Choueiri","given":"Toni K."},{"family":"Gibbs","given":"Richard A."},{"family":"Godwin","given":"Andrew K."},{"family":"Haake","given":"Scott"},{"family":"Hakimi","given":"A. Ari"},{"family":"Henske","given":"Elizabeth P."},{"family":"Hsieh","given":"James J."},{"family":"Ho","given":"Thai H."},{"family":"Kanchi","given":"Rupa S."},{"family":"Krishnan","given":"Bhavani"},{"family":"Kwaitkowski","given":"David J."},{"family":"Lui","given":"Wembin"},{"family":"Merino","given":"Maria J."},{"family":"Mills","given":"Gordon B."},{"family":"Myers","given":"Jerome"},{"family":"Nickerson","given":"Michael L."},{"family":"Reuter","given":"Victor E."},{"family":"Schmidt","given":"Laura S."},{"family":"Shelley","given":"C. Simon"},{"family":"Shen","given":"Hui"},{"family":"Shuch","given":"Brian"},{"family":"Signoretti","given":"Sabina"},{"family":"Srinivasan","given":"Ramaprasad"},{"family":"Tamboli","given":"Pheroze"},{"family":"Thomas","given":"George"},{"family":"Vincent","given":"Benjamin G."},{"family":"Vocke","given":"Cathy D."},{"family":"Wheeler","given":"David A."},{"family":"Yang","given":"Lixing"},{"family":"Kim","given":"William T."},{"family":"Robertson","given":"A. Gordon"},{"family":"Caesar-Johnson","given":"Samantha J."},{"family":"Demchok","given":"John A."},{"family":"Felau","given":"Ina"},{"family":"Kasapi","given":"Melpomeni"},{"family":"Ferguson","given":"Martin L."},{"family":"Hutter","given":"Carolyn M."},{"family":"Sofia","given":"Heidi J."},{"family":"Tarnuzzer","given":"Roy"},{"family":"Wang","given":"Zhining"},{"family":"Yang","given":"Liming"},{"family":"Zenklusen","given":"Jean C."},{"family":"Zhang","given":"Jiashan (Julia)"},{"family":"Chudamani","given":"Sudha"},{"family":"Liu","given":"Jia"},{"family":"Lolla","given":"Laxmi"},{"family":"Naresh","given":"Rashi"},{"family":"Pihl","given":"Todd"},{"family":"Sun","given":"Qiang"},{"family":"Wan","given":"Yunhu"},{"family":"Wu","given":"Ye"},{"family":"Cho","given":"Juok"},{"family":"DeFreitas","given":"Timothy"},{"family":"Frazer","given":"Scott"},{"family":"Gehlenborg","given":"Nils"},{"family":"Getz","given":"Gad"},{"family":"Heiman","given":"David I."},{"family":"Kim","given":"Jaegil"},{"family":"Lawrence","given":"Michael S."},{"family":"Lin","given":"Pei"},{"family":"Meier","given":"Sam"},{"family":"Noble","given":"Michael S."},{"family":"Saksena","given":"Gordon"},{"family":"Voet","given":"Doug"},{"family":"Zhang","given":"Hailei"},{"family":"Bernard","given":"Brady"},{"family":"Chambwe","given":"Nyasha"},{"family":"Dhankani","given":"Varsha"},{"family":"Knijnenburg","given":"Theo"},{"family":"Kramer","given":"Roger"},{"family":"Leinonen","given":"Kalle"},{"family":"Liu","given":"Yuexin"},{"family":"Miller","given":"Michael"},{"family":"Reynolds","given":"Sheila"},{"family":"Shmulevich","given":"Ilya"},{"family":"Thorsson","given":"Vesteinn"},{"family":"Zhang","given":"Wei"},{"family":"Akbani","given":"Rehan"},{"family":"Broom","given":"Bradley M."},{"family":"Hegde","given":"Apurva M."},{"family":"Ju","given":"Zhenlin"},{"family":"Kanchi","given":"Rupa S."},{"family":"Korkut","given":"Anil"},{"family":"Li","given":"Jun"},{"family":"Liang","given":"Han"},{"family":"Ling","given":"Shiyun"},{"family":"Liu","given":"Wenbin"},{"family":"Lu","given":"Yiling"},{"family":"Mills","given":"Gordon B."},{"family":"Ng","given":"Kwok-Shing"},{"family":"Rao","given":"Arvind"},{"family":"Ryan","given":"Michael"},{"family":"Wang","given":"Jing"},{"family":"Weinstein","given":"John N."},{"family":"Zhang","given":"Jiexin"},{"family":"Abeshouse","given":"Adam"},{"family":"Armenia","given":"Joshua"},{"family":"Chakravarty","given":"Debyani"},{"family":"Chatila","given":"Walid K."},{"family":"Bruijn","given":"Ino","dropping-particle":"de"},{"family":"Gao","given":"Jianjiong"},{"family":"Gross","given":"Benjamin E."},{"family":"Heins","given":"Zachary J."},{"family":"Kundra","given":"Ritika"},{"family":"La","given":"Konnor"},{"family":"Ladanyi","given":"Marc"},{"family":"Luna","given":"Augustin"},{"family":"Nissan","given":"Moriah G."},{"family":"Ochoa","given":"Angelica"},{"family":"Phillips","given":"Sarah M."},{"family":"Reznik","given":"Ed"},{"family":"Sanchez-Vega","given":"Francisco"},{"family":"Sander","given":"Chris"},{"family":"Schultz","given":"Nikolaus"},{"family":"Sheridan","given":"Robert"},{"family":"Sumer","given":"S. Onur"},{"family":"Sun","given":"Yichao"},{"family":"Taylor","given":"Barry S."},{"family":"Wang","given":"Jioajiao"},{"family":"Zhang","given":"Hongxin"},{"family":"Anur","given":"Pavana"},{"family":"Peto","given":"Myron"},{"family":"Spellman","given":"Paul"},{"family":"Benz","given":"Christopher"},{"family":"Stuart","given":"Joshua M."},{"family":"Wong","given":"Christopher K."},{"family":"Yau","given":"Christina"},{"family":"Hayes","given":"D. Neil"},{"family":"Parker","given":"Joel S."},{"family":"Wilkerson","given":"Matthew D."},{"family":"Ally","given":"Adrian"},{"family":"Balasundaram","given":"Miruna"},{"family":"Bowlby","given":"Reanne"},{"family":"Brooks","given":"Denise"},{"family":"Carlsen","given":"Rebecca"},{"family":"Chuah","given":"Eric"},{"family":"Dhalla","given":"Noreen"},{"family":"Holt","given":"Robert"},{"family":"Jones","given":"Steven J. M."},{"family":"Kasaian","given":"Katayoon"},{"family":"Lee","given":"Darlene"},{"family":"Ma","given":"Yussanne"},{"family":"Marra","given":"Marco A."},{"family":"Mayo","given":"Michael"},{"family":"Moore","given":"Richard A."},{"family":"Mungall","given":"Andrew J."},{"family":"Mungall","given":"Karen"},{"family":"Robertson","given":"A. Gordon"},{"family":"Sadeghi","given":"Sara"},{"family":"Schein","given":"Jacqueline E."},{"family":"Sipahimalani","given":"Payal"},{"family":"Tam","given":"Angela"},{"family":"Thiessen","given":"Nina"},{"family":"Tse","given":"Kane"},{"family":"Wong","given":"Tina"},{"family":"Berger","given":"Ashton C."},{"family":"Beroukhim","given":"Rameen"},{"family":"Cherniack","given":"Andrew D."},{"family":"Cibulskis","given":"Carrie"},{"family":"Gabriel","given":"Stacey B."},{"family":"Gao","given":"Galen F."},{"family":"Ha","given":"Gavin"},{"family":"Meyerson","given":"Matthew"},{"family":"Schumacher","given":"Steven E."},{"family":"Shih","given":"Juliann"},{"family":"Kucherlapati","given":"Melanie H."},{"family":"Kucherlapati","given":"Raju S."},{"family":"Baylin","given":"Stephen"},{"family":"Cope","given":"Leslie"},{"family":"Danilova","given":"Ludmila"},{"family":"Bootwalla","given":"Moiz S."},{"family":"Lai","given":"Phillip H."},{"family":"Maglinte","given":"Dennis T."},{"family":"Berg","given":"David J. Van Den"},{"family":"Weisenberger","given":"Daniel J."},{"family":"Auman","given":"J. Todd"},{"family":"Balu","given":"Saianand"},{"family":"Bodenheimer","given":"Tom"},{"family":"Fan","given":"Cheng"},{"family":"Hoadley","given":"Katherine A."},{"family":"Hoyle","given":"Alan P."},{"family":"Jefferys","given":"Stuart R."},{"family":"Jones","given":"Corbin D."},{"family":"Meng","given":"Shaowu"},{"family":"Mieczkowski","given":"Piotr A."},{"family":"Mose","given":"Lisle E."},{"family":"Perou","given":"Amy H."},{"family":"Perou","given":"Charles M."},{"family":"Roach","given":"Jeffrey"},{"family":"Shi","given":"Yan"},{"family":"Simons","given":"Janae V."},{"family":"Skelly","given":"Tara"},{"family":"Soloway","given":"Matthew G."},{"family":"Tan","given":"Donghui"},{"family":"Veluvolu","given":"Umadevi"},{"family":"Fan","given":"Huihui"},{"family":"Hinoue","given":"Toshinori"},{"family":"Laird","given":"Peter W."},{"family":"Shen","given":"Hui"},{"family":"Zhou","given":"Wanding"},{"family":"Bellair","given":"Michelle"},{"family":"Chang","given":"Kyle"},{"family":"Covington","given":"Kyle"},{"family":"Creighton","given":"Chad J."},{"family":"Dinh","given":"Huyen"},{"family":"Doddapaneni","given":"HarshaVardhan"},{"family":"Donehower","given":"Lawrence A."},{"family":"Drummond","given":"Jennifer"},{"family":"Gibbs","given":"Richard A."},{"family":"Glenn","given":"Robert"},{"family":"Hale","given":"Walker"},{"family":"Han","given":"Yi"},{"family":"Hu","given":"Jianhong"},{"family":"Korchina","given":"Viktoriya"},{"family":"Lee","given":"Sandra"},{"family":"Lewis","given":"Lora"},{"family":"Li","given":"Wei"},{"family":"Liu","given":"Xiuping"},{"family":"Morgan","given":"Margaret"},{"family":"Morton","given":"Donna"},{"family":"Muzny","given":"Donna"},{"family":"Santibanez","given":"Jireh"},{"family":"Sheth","given":"Margi"},{"family":"Shinbrot","given":"Eve"},{"family":"Wang","given":"Linghua"},{"family":"Wang","given":"Min"},{"family":"Wheeler","given":"David A."},{"family":"Xi","given":"Liu"},{"family":"Zhao","given":"Fengmei"},{"family":"Hess","given":"Julian"},{"family":"Appelbaum","given":"Elizabeth L."},{"family":"Bailey","given":"Matthew"},{"family":"Cordes","given":"Matthew G."},{"family":"Ding","given":"Li"},{"family":"Fronick","given":"Catrina C."},{"family":"Fulton","given":"Lucinda A."},{"family":"Fulton","given":"Robert S."},{"family":"Kandoth","given":"Cyriac"},{"family":"Mardis","given":"Elaine R."},{"family":"McLellan","given":"Michael D."},{"family":"Miller","given":"Christopher A."},{"family":"Schmidt","given":"Heather K."},{"family":"Wilson","given":"Richard K."},{"family":"Crain","given":"Daniel"},{"family":"Curley","given":"Erin"},{"family":"Gardner","given":"Johanna"},{"family":"Lau","given":"Kevin"},{"family":"Mallery","given":"David"},{"family":"Morris","given":"Scott"},{"family":"Paulauskis","given":"Joseph"},{"family":"Penny","given":"Robert"},{"family":"Shelton","given":"Candace"},{"family":"Shelton","given":"Troy"},{"family":"Sherman","given":"Mark"},{"family":"Thompson","given":"Eric"},{"family":"Yena","given":"Peggy"},{"family":"Bowen","given":"Jay"},{"family":"Gastier-Foster","given":"Julie M."},{"family":"Gerken","given":"Mark"},{"family":"Leraas","given":"Kristen M."},{"family":"Lichtenberg","given":"Tara M."},{"family":"Ramirez","given":"Nilsa C."},{"family":"Wise","given":"Lisa"},{"family":"Zmuda","given":"Erik"},{"family":"Corcoran","given":"Niall"},{"family":"Costello","given":"Tony"},{"family":"Hovens","given":"Christopher"},{"family":"Carvalho","given":"Andre L."},{"family":"Carvalho","given":"Ana C.","dropping-particle":"de"},{"family":"Fregnani","given":"José H."},{"family":"Longatto-Filho","given":"Adhemar"},{"family":"Reis","given":"Rui M."},{"family":"Scapulatempo-Neto","given":"Cristovam"},{"family":"Silveira","given":"Henrique C. S."},{"family":"Vidal","given":"Daniel O."},{"family":"Burnette","given":"Andrew"},{"family":"Eschbacher","given":"Jennifer"},{"family":"Hermes","given":"Beth"},{"family":"Noss","given":"Ardene"},{"family":"Singh","given":"Rosy"},{"family":"Anderson","given":"Matthew L."},{"family":"Castro","given":"Patricia D."},{"family":"Ittmann","given":"Michael"},{"family":"Huntsman","given":"David"},{"family":"Kohl","given":"Bernard"},{"family":"Le","given":"Xuan"},{"family":"Thorp","given":"Richard"},{"family":"Andry","given":"Chris"},{"family":"Duffy","given":"Elizabeth R."},{"family":"Lyadov","given":"Vladimir"},{"family":"Paklina","given":"Oxana"},{"family":"Setdikova","given":"Galiya"},{"family":"Shabunin","given":"Alexey"},{"family":"Tavobilov","given":"Mikhail"},{"family":"McPherson","given":"Christopher"},{"family":"Warnick","given":"Ronald"},{"family":"Berkowitz","given":"Ross"},{"family":"Cramer","given":"Daniel"},{"family":"Feltmate","given":"Colleen"},{"family":"Horowitz","given":"Neil"},{"family":"Kibel","given":"Adam"},{"family":"Muto","given":"Michael"},{"family":"Raut","given":"Chandrajit P."},{"family":"Malykh","given":"Andrei"},{"family":"Barnholtz-Sloan","given":"Jill S."},{"family":"Barrett","given":"Wendi"},{"family":"Devine","given":"Karen"},{"family":"Fulop","given":"Jordonna"},{"family":"Ostrom","given":"Quinn T."},{"family":"Shimmel","given":"Kristen"},{"family":"Wolinsky","given":"Yingli"},{"family":"Sloan","given":"Andrew E."},{"family":"Rose","given":"Agostino De"},{"family":"Giuliante","given":"Felice"},{"family":"Goodman","given":"Marc"},{"family":"Karlan","given":"Beth Y."},{"family":"Hagedorn","given":"Curt H."},{"family":"Eckman","given":"John"},{"family":"Harr","given":"Jodi"},{"family":"Myers","given":"Jerome"},{"family":"Tucker","given":"Kelinda"},{"family":"Zach","given":"Leigh Anne"},{"family":"Deyarmin","given":"Brenda"},{"family":"Hu","given":"Hai"},{"family":"Kvecher","given":"Leonid"},{"family":"Larson","given":"Caroline"},{"family":"Mural","given":"Richard J."},{"family":"Somiari","given":"Stella"},{"family":"Vicha","given":"Ales"},{"family":"Zelinka","given":"Tomas"},{"family":"Bennett","given":"Joseph"},{"family":"Iacocca","given":"Mary"},{"family":"Rabeno","given":"Brenda"},{"family":"Swanson","given":"Patricia"},{"family":"Latour","given":"Mathieu"},{"family":"Lacombe","given":"Louis"},{"family":"Têtu","given":"Bernard"},{"family":"Bergeron","given":"Alain"},{"family":"McGraw","given":"Mary"},{"family":"Staugaitis","given":"Susan M."},{"family":"Chabot","given":"John"},{"family":"Hibshoosh","given":"Hanina"},{"family":"Sepulveda","given":"Antonia"},{"family":"Su","given":"Tao"},{"family":"Wang","given":"Timothy"},{"family":"Potapova","given":"Olga"},{"family":"Voronina","given":"Olga"},{"family":"Desjardins","given":"Laurence"},{"family":"Mariani","given":"Odette"},{"family":"Roman-Roman","given":"Sergio"},{"family":"Sastre","given":"Xavier"},{"family":"Stern","given":"Marc-Henri"},{"family":"Cheng","given":"Feixiong"},{"family":"Signoretti","given":"Sabina"},{"family":"Berchuck","given":"Andrew"},{"family":"Bigner","given":"Darell"},{"family":"Lipp","given":"Eric"},{"family":"Marks","given":"Jeffrey"},{"family":"McCall","given":"Shannon"},{"family":"McLendon","given":"Roger"},{"family":"Secord","given":"Angeles"},{"family":"Sharp","given":"Alexis"},{"family":"Behera","given":"Madhusmita"},{"family":"Brat","given":"Daniel J."},{"family":"Chen","given":"Amy"},{"family":"Delman","given":"Keith"},{"family":"Force","given":"Seth"},{"family":"Khuri","given":"Fadlo"},{"family":"Magliocca","given":"Kelly"},{"family":"Maithel","given":"Shishir"},{"family":"Olson","given":"Jeffrey J."},{"family":"Owonikoko","given":"Taofeek"},{"family":"Pickens","given":"Alan"},{"family":"Ramalingam","given":"Suresh"},{"family":"Shin","given":"Dong M."},{"family":"Sica","given":"Gabriel"},{"family":"Meir","given":"Erwin G. Van"},{"family":"Zhang","given":"Hongzheng"},{"family":"Eijckenboom","given":"Wil"},{"family":"Gillis","given":"Ad"},{"family":"Korpershoek","given":"Esther"},{"family":"Looijenga","given":"Leendert"},{"family":"Oosterhuis","given":"Wolter"},{"family":"Stoop","given":"Hans"},{"family":"Kessel","given":"Kim E.","dropping-particle":"van"},{"family":"Zwarthoff","given":"Ellen C."},{"family":"Calatozzolo","given":"Chiara"},{"family":"Cuppini","given":"Lucia"},{"family":"Cuzzubbo","given":"Stefania"},{"family":"DiMeco","given":"Francesco"},{"family":"Finocchiaro","given":"Gaetano"},{"family":"Mattei","given":"Luca"},{"family":"Perin","given":"Alessandro"},{"family":"Pollo","given":"Bianca"},{"family":"Chen","given":"Chu"},{"family":"Houck","given":"John"},{"family":"Lohavanichbutr","given":"Pawadee"},{"family":"Hartmann","given":"Arndt"},{"family":"Stoehr","given":"Christine"},{"family":"Stoehr","given":"Robert"},{"family":"Taubert","given":"Helge"},{"family":"Wach","given":"Sven"},{"family":"Wullich","given":"Bernd"},{"family":"Kycler","given":"Witold"},{"family":"Murawa","given":"Dawid"},{"family":"Wiznerowicz","given":"Maciej"},{"family":"Chung","given":"Ki"},{"family":"Edenfield","given":"W. Jeffrey"},{"family":"Martin","given":"Julie"},{"family":"Baudin","given":"Eric"},{"family":"Bubley","given":"Glenn"},{"family":"Bueno","given":"Raphael"},{"family":"Rienzo","given":"Assunta De"},{"family":"Richards","given":"William G."},{"family":"Kalkanis","given":"Steven"},{"family":"Mikkelsen","given":"Tom"},{"family":"Noushmehr","given":"Houtan"},{"family":"Scarpace","given":"Lisa"},{"family":"Girard","given":"Nicolas"},{"family":"Aymerich","given":"Marta"},{"family":"Campo","given":"Elias"},{"family":"Giné","given":"Eva"},{"family":"Guillermo","given":"Armando López"},{"family":"Bang","given":"Nguyen Van"},{"family":"Hanh","given":"Phan Thi"},{"family":"Phu","given":"Bui Duc"},{"family":"Tang","given":"Yufang"},{"family":"Colman","given":"Howard"},{"family":"Evason","given":"Kimberley"},{"family":"Dottino","given":"Peter R."},{"family":"Martignetti","given":"John A."},{"family":"Gabra","given":"Hani"},{"family":"Juhl","given":"Hartmut"},{"family":"Akeredolu","given":"Teniola"},{"family":"Stepa","given":"Serghei"},{"family":"Hoon","given":"Dave"},{"family":"Ahn","given":"Keunsoo"},{"family":"Kang","given":"Koo Jeong"},{"family":"Beuschlein","given":"Felix"},{"family":"Breggia","given":"Anne"},{"family":"Birrer","given":"Michael"},{"family":"Bell","given":"Debra"},{"family":"Borad","given":"Mitesh"},{"family":"Bryce","given":"Alan H."},{"family":"Castle","given":"Erik"},{"family":"Chandan","given":"Vishal"},{"family":"Cheville","given":"John"},{"family":"Copland","given":"John A."},{"family":"Farnell","given":"Michael"},{"family":"Flotte","given":"Thomas"},{"family":"Giama","given":"Nasra"},{"family":"Ho","given":"Thai"},{"family":"Kendrick","given":"Michael"},{"family":"Kocher","given":"Jean-Pierre"},{"family":"Kopp","given":"Karla"},{"family":"Moser","given":"Catherine"},{"family":"Nagorney","given":"David"},{"family":"O’Brien","given":"Daniel"},{"family":"O’Neill","given":"Brian Patrick"},{"family":"Patel","given":"Tushar"},{"family":"Petersen","given":"Gloria"},{"family":"Que","given":"Florencia"},{"family":"Rivera","given":"Michael"},{"family":"Roberts","given":"Lewis"},{"family":"Smallridge","given":"Robert"},{"family":"Smyrk","given":"Thomas"},{"family":"Stanton","given":"Melissa"},{"family":"Thompson","given":"R. Houston"},{"family":"Torbenson","given":"Michael"},{"family":"Yang","given":"Ju Dong"},{"family":"Zhang","given":"Lizhi"},{"family":"Brimo","given":"Fadi"},{"family":"Ajani","given":"Jaffer A."},{"family":"Gonzalez","given":"Ana Maria Angulo"},{"family":"Behrens","given":"Carmen"},{"family":"Bondaruk","given":"Jolanta"},{"family":"Broaddus","given":"Russell"},{"family":"Czerniak","given":"Bogdan"},{"family":"Esmaeli","given":"Bita"},{"family":"Fujimoto","given":"Junya"},{"family":"Gershenwald","given":"Jeffrey"},{"family":"Guo","given":"Charles"},{"family":"Lazar","given":"Alexander J."},{"family":"Logothetis","given":"Christopher"},{"family":"Meric-Bernstam","given":"Funda"},{"family":"Moran","given":"Cesar"},{"family":"Ramondetta","given":"Lois"},{"family":"Rice","given":"David"},{"family":"Sood","given":"Anil"},{"family":"Tamboli","given":"Pheroze"},{"family":"Thompson","given":"Timothy"},{"family":"Troncoso","given":"Patricia"},{"family":"Tsao","given":"Anne"},{"family":"Wistuba","given":"Ignacio"},{"family":"Carter","given":"Candace"},{"family":"Haydu","given":"Lauren"},{"family":"Hersey","given":"Peter"},{"family":"Jakrot","given":"Valerie"},{"family":"Kakavand","given":"Hojabr"},{"family":"Kefford","given":"Richard"},{"family":"Lee","given":"Kenneth"},{"family":"Long","given":"Georgina"},{"family":"Mann","given":"Graham"},{"family":"Quinn","given":"Michael"},{"family":"Saw","given":"Robyn"},{"family":"Scolyer","given":"Richard"},{"family":"Shannon","given":"Kerwin"},{"family":"Spillane","given":"Andrew"},{"family":"Stretch","given":"Onathan"},{"family":"Synott","given":"Maria"},{"family":"Thompson","given":"John"},{"family":"Wilmott","given":"James"},{"family":"Al-Ahmadie","given":"Hikmat"},{"family":"Chan","given":"Timothy A."},{"family":"Ghossein","given":"Ronald"},{"family":"Gopalan","given":"Anuradha"},{"family":"Levine","given":"Douglas A."},{"family":"Reuter","given":"Victor"},{"family":"Singer","given":"Samuel"},{"family":"Singh","given":"Bhuvanesh"},{"family":"Tien","given":"Nguyen Viet"},{"family":"Broudy","given":"Thomas"},{"family":"Mirsaidi","given":"Cyrus"},{"family":"Nair","given":"Praveen"},{"family":"Drwiega","given":"Paul"},{"family":"Miller","given":"Judy"},{"family":"Smith","given":"Jennifer"},{"family":"Zaren","given":"Howard"},{"family":"Park","given":"Joong-Won"},{"family":"Hung","given":"Nguyen Phi"},{"family":"Kebebew","given":"Electron"},{"family":"Linehan","given":"W. Marston"},{"family":"Metwalli","given":"Adam R."},{"family":"Pacak","given":"Karel"},{"family":"Pinto","given":"Peter A."},{"family":"Schiffman","given":"Mark"},{"family":"Schmidt","given":"Laura S."},{"family":"Vocke","given":"Cathy D."},{"family":"Wentzensen","given":"Nicolas"},{"family":"Worrell","given":"Robert"},{"family":"Yang","given":"Hannah"},{"family":"Moncrieff","given":"Marc"},{"family":"Goparaju","given":"Chandra"},{"family":"Melamed","given":"Jonathan"},{"family":"Pass","given":"Harvey"},{"family":"Botnariuc","given":"Natalia"},{"family":"Caraman","given":"Irina"},{"family":"Cernat","given":"Mircea"},{"family":"Chemencedji","given":"Inga"},{"family":"Clipca","given":"Adrian"},{"family":"Doruc","given":"Serghei"},{"family":"Gorincioi","given":"Ghenadie"},{"family":"Mura","given":"Sergiu"},{"family":"Pirtac","given":"Maria"},{"family":"Stancul","given":"Irina"},{"family":"Tcaciuc","given":"Diana"},{"family":"Albert","given":"Monique"},{"family":"Alexopoulou","given":"Iakovina"},{"family":"Arnaout","given":"Angel"},{"family":"Bartlett","given":"John"},{"family":"Engel","given":"Jay"},{"family":"Gilbert","given":"Sebastien"},{"family":"Parfitt","given":"Jeremy"},{"family":"Sekhon","given":"Harman"},{"family":"Thomas","given":"George"},{"family":"Rassl","given":"Doris M."},{"family":"Rintoul","given":"Robert C."},{"family":"Bifulco","given":"Carlo"},{"family":"Tamakawa","given":"Raina"},{"family":"Urba","given":"Walter"},{"family":"Hayward","given":"Nicholas"},{"family":"Timmers","given":"Henri"},{"family":"Antenucci","given":"Anna"},{"family":"Facciolo","given":"Francesco"},{"family":"Grazi","given":"Gianluca"},{"family":"Marino","given":"Mirella"},{"family":"Merola","given":"Roberta"},{"family":"Krijger","given":"Ronald","dropping-particle":"de"},{"family":"Gimenez-Roqueplo","given":"Anne-Paule"},{"family":"Piché","given":"Alain"},{"family":"Chevalier","given":"Simone"},{"family":"McKercher","given":"Ginette"},{"family":"Birsoy","given":"Kivanc"},{"family":"Barnett","given":"Gene"},{"family":"Brewer","given":"Cathy"},{"family":"Farver","given":"Carol"},{"family":"Naska","given":"Theresa"},{"family":"Pennell","given":"Nathan A."},{"family":"Raymond","given":"Daniel"},{"family":"Schilero","given":"Cathy"},{"family":"Smolenski","given":"Kathy"},{"family":"Williams","given":"Felicia"},{"family":"Morrison","given":"Carl"},{"family":"Borgia","given":"Jeffrey A."},{"family":"Liptay","given":"Michael J."},{"family":"Pool","given":"Mark"},{"family":"Seder","given":"Christopher W."},{"family":"Junker","given":"Kerstin"},{"family":"Omberg","given":"Larsson"},{"family":"Dinkin","given":"Mikhail"},{"family":"Manikhas","given":"George"},{"family":"Alvaro","given":"Domenico"},{"family":"Bragazzi","given":"Maria Consiglia"},{"family":"Cardinale","given":"Vincenzo"},{"family":"Carpino","given":"Guido"},{"family":"Gaudio","given":"Eugenio"},{"family":"Chesla","given":"David"},{"family":"Cottingham","given":"Sandra"},{"family":"Dubina","given":"Michael"},{"family":"Moiseenko","given":"Fedor"},{"family":"Dhanasekaran","given":"Renumathy"},{"family":"Becker","given":"Karl-Friedrich"},{"family":"Janssen","given":"Klaus-Peter"},{"family":"Slotta-Huspenina","given":"Julia"},{"family":"Abdel-Rahman","given":"Mohamed H."},{"family":"Aziz","given":"Dina"},{"family":"Bell","given":"Sue"},{"family":"Cebulla","given":"Colleen M."},{"family":"Davis","given":"Amy"},{"family":"Duell","given":"Rebecca"},{"family":"Elder","given":"J. Bradley"},{"family":"Hilty","given":"Joe"},{"family":"Kumar","given":"Bahavna"},{"family":"Lang","given":"James"},{"family":"Lehman","given":"Norman L."},{"family":"Mandt","given":"Randy"},{"family":"Nguyen","given":"Phuong"},{"family":"Pilarski","given":"Robert"},{"family":"Rai","given":"Karan"},{"family":"Schoenfield","given":"Lynn"},{"family":"Senecal","given":"Kelly"},{"family":"Wakely","given":"Paul"},{"family":"Hansen","given":"Paul"},{"family":"Lechan","given":"Ronald"},{"family":"Powers","given":"James"},{"family":"Tischler","given":"Arthur"},{"family":"Grizzle","given":"William E."},{"family":"Sexton","given":"Katherine C."},{"family":"Kastl","given":"Alison"},{"family":"Henderson","given":"Joel"},{"family":"Porten","given":"Sima"},{"family":"Waldmann","given":"Jens"},{"family":"Fassnacht","given":"Martin"},{"family":"Asa","given":"Sylvia L."},{"family":"Schadendorf","given":"Dirk"},{"family":"Couce","given":"Marta"},{"family":"Graefen","given":"Markus"},{"family":"Huland","given":"Hartwig"},{"family":"Sauter","given":"Guido"},{"family":"Schlomm","given":"Thorsten"},{"family":"Simon","given":"Ronald"},{"family":"Tennstedt","given":"Pierre"},{"family":"Olabode","given":"Oluwole"},{"family":"Nelson","given":"Mark"},{"family":"Bathe","given":"Oliver"},{"family":"Carroll","given":"Peter R."},{"family":"Chan","given":"June M."},{"family":"Disaia","given":"Philip"},{"family":"Glenn","given":"Pat"},{"family":"Kelley","given":"Robin K."},{"family":"Landen","given":"Charles N."},{"family":"Phillips","given":"Joanna"},{"family":"Prados","given":"Michael"},{"family":"Simko","given":"Jeffry"},{"family":"Smith-McCune","given":"Karen"},{"family":"VandenBerg","given":"Scott"},{"family":"Roggin","given":"Kevin"},{"family":"Fehrenbach","given":"Ashley"},{"family":"Kendler","given":"Ady"},{"family":"Sifri","given":"Suzanne"},{"family":"Steele","given":"Ruth"},{"family":"Jimeno","given":"Antonio"},{"family":"Carey","given":"Francis"},{"family":"Forgie","given":"Ian"},{"family":"Mannelli","given":"Massimo"},{"family":"Carney","given":"Michael"},{"family":"Hernandez","given":"Brenda"},{"family":"Campos","given":"Benito"},{"family":"Herold-Mende","given":"Christel"},{"family":"Jungk","given":"Christin"},{"family":"Unterberg","given":"Andreas"},{"family":"Deimling","given":"Andreas","dropping-particle":"von"},{"family":"Bossler","given":"Aaron"},{"family":"Galbraith","given":"Joseph"},{"family":"Jacobus","given":"Laura"},{"family":"Knudson","given":"Michael"},{"family":"Knutson","given":"Tina"},{"family":"Ma","given":"Deqin"},{"family":"Milhem","given":"Mohammed"},{"family":"Sigmund","given":"Rita"},{"family":"Godwin","given":"Andrew K."},{"family":"Madan","given":"Rashna"},{"family":"Rosenthal","given":"Howard G."},{"family":"Adebamowo","given":"Clement"},{"family":"Adebamowo","given":"Sally N."},{"family":"Boussioutas","given":"Alex"},{"family":"Beer","given":"David"},{"family":"Giordano","given":"Thomas"},{"family":"Mes-Masson","given":"Anne-Marie"},{"family":"Saad","given":"Fred"},{"family":"Bocklage","given":"Therese"},{"family":"Landrum","given":"Lisa"},{"family":"Mannel","given":"Robert"},{"family":"Moore","given":"Kathleen"},{"family":"Moxley","given":"Katherine"},{"family":"Postier","given":"Russel"},{"family":"Walker","given":"Joan"},{"family":"Zuna","given":"Rosemary"},{"family":"Feldman","given":"Michael"},{"family":"Valdivieso","given":"Federico"},{"family":"Dhir","given":"Rajiv"},{"family":"Luketich","given":"James"},{"family":"Pinero","given":"Edna M. Mora"},{"family":"Quintero-Aguilo","given":"Mario"},{"family":"Carlotti","given":"Carlos Gilberto"},{"family":"Santos","given":"Jose Sebastião Dos"},{"family":"Kemp","given":"Rafael"},{"family":"Sankarankuty","given":"Ajith"},{"family":"Tirapelli","given":"Daniela"},{"family":"Catto","given":"James"},{"family":"Agnew","given":"Kathy"},{"family":"Swisher","given":"Elizabeth"},{"family":"Creaney","given":"Jenette"},{"family":"Robinson","given":"Bruce"},{"family":"Shelley","given":"Carl Simon"},{"family":"Godwin","given":"Eryn M."},{"family":"Kendall","given":"Sara"},{"family":"Shipman","given":"Cassaundra"},{"family":"Bradford","given":"Carol"},{"family":"Carey","given":"Thomas"},{"family":"Haddad","given":"Andrea"},{"family":"Moyer","given":"Jeffey"},{"family":"Peterson","given":"Lisa"},{"family":"Prince","given":"Mark"},{"family":"Rozek","given":"Laura"},{"family":"Wolf","given":"Gregory"},{"family":"Bowman","given":"Rayleen"},{"family":"Fong","given":"Kwun M."},{"family":"Yang","given":"Ian"},{"family":"Korst","given":"Robert"},{"family":"Rathmell","given":"W. Kimryn"},{"family":"Fantacone-Campbell","given":"J. Leigh"},{"family":"Hooke","given":"Jeffrey A."},{"family":"Kovatich","given":"Albert J."},{"family":"Shriver","given":"Craig D."},{"family":"DiPersio","given":"John"},{"family":"Drake","given":"Bettina"},{"family":"Govindan","given":"Ramaswamy"},{"family":"Heath","given":"Sharon"},{"family":"Ley","given":"Timothy"},{"family":"Tine","given":"Brian Van"},{"family":"Westervelt","given":"Peter"},{"family":"Rubin","given":"Mark A."},{"family":"Lee","given":"Jung Il"},{"family":"Aredes","given":"Natália D."},{"family":"Mariamidze","given":"Armaz"},{"family":"Spellman","given":"Paul T."},{"family":"Rathmell","given":"W. Kimryn"},{"family":"Linehan","given":"W. Marston"}],"issued":{"date-parts":[["2018",4,5]]},"accessed":{"date-parts":[["2018",4,9]]}}},{"id":435,"uris":["http://zotero.org/users/4775618/items/BJSHNDRW"],"uri":["http://zotero.org/users/4775618/items/BJSHNDRW"],"itemData":{"id":435,"type":"article-journal","title":"Comprehensive Molecular Characterization of Papillary Renal Cell Carcinoma","container-title":"The New England journal of medicine","page":"135-145","volume":"374","issue":"2","source":"PubMed Central","abstract":"Background\nPapillary renal cell carcinoma, accounting for 15% of renal cell carcinoma, is a heterogeneous disease consisting of different types of renal cancer, including tumors with indolent, multifocal presentation and solitary tumors with an aggressive, highly lethal phenotype. Little is known about the genetic basis of sporadic papillary renal cell carcinoma; no effective forms of therapy for advanced disease exist.\n\nMethods\nWe performed comprehensive molecular characterization utilizing whole-exome sequencing, copy number, mRNA, microRNA, methylation and proteomic analyses of 161 primary papillary renal cell carcinomas.\n\nResults\nType 1 and Type 2 papillary renal cell carcinomas were found to be different types of renal cancer characterized by specific genetic alterations, with Type 2 further classified into three individual subgroups based on molecular differences that influenced patient survival. MET alterations were associated with Type 1 tumors, whereas Type 2 tumors were characterized by CDKN2A silencing, SETD2 mutations, TFE3 fusions, and increased expression of the NRF2-ARE pathway. A CpG island methylator phenotype (CIMP) was found in a distinct subset of Type 2 papillary renal cell carcinoma characterized by poor survival and mutation of the fumarate hydratase (FH) gene.\n\nConclusions\nType 1 and Type 2 papillary renal cell carcinomas are clinically and biologically distinct. Alterations in the MET pathway are associated with Type 1 and activation of the NRF2-ARE pathway with Type 2; CDKN2A loss and CIMP in Type 2 convey a poor prognosis. Furthermore, Type 2 papillary renal cell carcinoma consists of at least 3 subtypes based upon molecular and phenotypic features.","URL":"https://www.ncbi.nlm.nih.gov/pmc/articles/PMC4775252/","DOI":"10.1056/NEJMoa1505917","ISSN":"0028-4793","note":"PMID: 26536169\nPMCID: PMC4775252","journalAbbreviation":"N Engl J Med","author":[{"family":"Linehan","given":"W. Marston"},{"family":"Spellman","given":"Paul T."},{"family":"Ricketts","given":"Christopher J."},{"family":"Creighton","given":"Chad J."},{"family":"Fei","given":"Suzanne S."},{"family":"Davis","given":"Caleb"},{"family":"Wheeler","given":"David A."},{"family":"Murray","given":"Bradley A."},{"family":"Schmidt","given":"Laura"},{"family":"Vocke","given":"Cathy D."},{"family":"Peto","given":"Myron"},{"family":"Al Mamun","given":"Abu Amar M."},{"family":"Shinbrot","given":"Eve"},{"family":"Sethi","given":"Anurag"},{"family":"Brooks","given":"Samira"},{"family":"Rathmell","given":"W. Kimryn"},{"family":"Brooks","given":"Angela N."},{"family":"Hoadley","given":"Katherine A."},{"family":"Robertson","given":"A. Gordon"},{"family":"Brooks","given":"Denise"},{"family":"Bowlby","given":"Reanne"},{"family":"Sadeghi","given":"Sara"},{"family":"Shen","given":"Hui"},{"family":"Weisenberger","given":"Daniel J."},{"family":"Bootwalla","given":"Moiz"},{"family":"Baylin","given":"Stephen B."},{"family":"Laird","given":"Peter W."},{"family":"Cherniack","given":"Andrew D."},{"family":"Saksena","given":"Gordon"},{"family":"Haake","given":"Scott"},{"family":"Li","given":"Jun"},{"family":"Liang","given":"Han"},{"family":"Lu","given":"Yiling"},{"family":"Mills","given":"Gordon B."},{"family":"Akbani","given":"Rehan"},{"family":"Leiserson","given":"Mark D.M."},{"family":"Raphael","given":"Benjamin J."},{"family":"Anur","given":"Pavana"},{"family":"Bottaro","given":"Donald"},{"family":"Albiges","given":"Laurence"},{"family":"Barnabas","given":"Nandita"},{"family":"Choueiri","given":"Toni K."},{"family":"Czerniak","given":"Bogdan"},{"family":"Godwin","given":"Andrew K."},{"family":"Hakimi","given":"A. Ari"},{"family":"Ho","given":"Thai"},{"family":"Hsieh","given":"James"},{"family":"Ittmann","given":"Michael"},{"family":"Kim","given":"William Y."},{"family":"Krishnan","given":"Bhavani"},{"family":"Merino","given":"Maria J."},{"family":"Mills Shaw","given":"Kenna R."},{"family":"Reuter","given":"Victor E."},{"family":"Reznik","given":"Ed"},{"family":"Shelley","given":"Carl Simon"},{"family":"Shuch","given":"Brian"},{"family":"Signoretti","given":"Sabina"},{"family":"Srinivasan","given":"Ramaprasad"},{"family":"Tamboli","given":"Pheroze"},{"family":"Thomas","given":"George"},{"family":"Tickoo","given":"Satish"},{"family":"Burnett","given":"Kenneth"},{"family":"Crain","given":"Daniel"},{"family":"Gardner","given":"Johanna"},{"family":"Lau","given":"Kevin"},{"family":"Mallery","given":"David"},{"family":"Morris","given":"Scott"},{"family":"Paulauskis","given":"Joseph D."},{"family":"Penny","given":"Robert J."},{"family":"Shelton","given":"Candace"},{"family":"Shelton","given":"W. Troy"},{"family":"Sherman","given":"Mark"},{"family":"Thompson","given":"Eric"},{"family":"Yena","given":"Peggy"},{"family":"Avedon","given":"Melissa T."},{"family":"Bowen","given":"Jay"},{"family":"Gastier-Foster","given":"Julie M."},{"family":"Gerken","given":"Mark"},{"family":"Leraas","given":"Kristen M."},{"family":"Lichtenberg","given":"Tara M."},{"family":"Ramirez","given":"Nilsa C."},{"family":"Santos","given":"Tracie"},{"family":"Wise","given":"Lisa"},{"family":"Zmuda","given":"Erik"},{"family":"Demchok","given":"John A."},{"family":"Felau","given":"Ina"},{"family":"Hutter","given":"Carolyn M."},{"family":"Sheth","given":"Margi"},{"family":"Sofia","given":"Heidi J."},{"family":"Tarnuzzer","given":"Roy"},{"family":"Wang","given":"Zhining"},{"family":"Yang","given":"Liming"},{"family":"Zenklusen","given":"Jean C."},{"family":"Zhang","given":"Jiashan (Julia)"},{"family":"Ayala","given":"Brenda"},{"family":"Baboud","given":"Julien"},{"family":"Chudamani","given":"Sudha"},{"family":"Liu","given":"Jia"},{"family":"Lolla","given":"Laxmi"},{"family":"Naresh","given":"Rashi"},{"family":"Pihl","given":"Todd"},{"family":"Sun","given":"Qiang"},{"family":"Wan","given":"Yunhu"},{"family":"Wu","given":"Ye"},{"family":"Ally","given":"Adrian"},{"family":"Balasundaram","given":"Miruna"},{"family":"Balu","given":"Saianand"},{"family":"Beroukhim","given":"Rameen"},{"family":"Bodenheimer","given":"Tom"},{"family":"Buhay","given":"Christian"},{"family":"Butterfield","given":"Yaron S.N."},{"family":"Carlsen","given":"Rebecca"},{"family":"Carter","given":"Scott L."},{"family":"Chao","given":"Hsu"},{"family":"Chuah","given":"Eric"},{"family":"Clarke","given":"Amanda"},{"family":"Covington","given":"Kyle R."},{"family":"Dahdouli","given":"Mahmoud"},{"family":"Dewal","given":"Ninad"},{"family":"Dhalla","given":"Noreen"},{"family":"Doddapaneni","given":"HarshaVardhan"},{"family":"Drummond","given":"Jennifer"},{"family":"Gabriel","given":"Stacey B."},{"family":"Gibbs","given":"Richard A."},{"family":"Guin","given":"Ranabir"},{"family":"Hale","given":"Walker"},{"family":"Hawes","given":"Alicia"},{"family":"Hayes","given":"D. Neil"},{"family":"Holt","given":"Robert A."},{"family":"Hoyle","given":"Alan P."},{"family":"Jefferys","given":"Stuart R."},{"family":"Jones","given":"Steven J.M."},{"family":"Jones","given":"Corbin D."},{"family":"Kalra","given":"Divya"},{"family":"Kovar","given":"Christie"},{"family":"Lewis","given":"Lora"},{"family":"Li","given":"Jie"},{"family":"Ma","given":"Yussanne"},{"family":"Marra","given":"Marco A."},{"family":"Mayo","given":"Michael"},{"family":"Meng","given":"Shaowu"},{"family":"Meyerson","given":"Matthew"},{"family":"Mieczkowski","given":"Piotr A."},{"family":"Moore","given":"Richard A."},{"family":"Morton","given":"Donna"},{"family":"Mose","given":"Lisle E."},{"family":"Mungall","given":"Andrew J."},{"family":"Muzny","given":"Donna"},{"family":"Parker","given":"Joel S."},{"family":"Perou","given":"Charles M."},{"family":"Roach","given":"Jeffrey"},{"family":"Schein","given":"Jacqueline E."},{"family":"Schumacher","given":"Steven E."},{"family":"Shi","given":"Yan"},{"family":"Simons","given":"Janae V."},{"family":"Sipahimalani","given":"Payal"},{"family":"Skelly","given":"Tara"},{"family":"Soloway","given":"Matthew G."},{"family":"Sougnez","given":"Carrie"},{"family":"Tam","given":"Angela"},{"family":"Tan","given":"Donghui"},{"family":"Thiessen","given":"Nina"},{"family":"Veluvolu","given":"Umadevi"},{"family":"Wang","given":"Min"},{"family":"Wilkerson","given":"Matthew D."},{"family":"Wong","given":"Tina"},{"family":"Wu","given":"Junyuan"},{"family":"Xi","given":"Liu"},{"family":"Zhou","given":"Jane"},{"family":"Bedford","given":"Jason"},{"family":"Chen","given":"Fengju"},{"family":"Fu","given":"Yao"},{"family":"Gerstein","given":"Mark"},{"family":"Haussler","given":"David"},{"family":"Kasaian","given":"Katayoon"},{"family":"Lai","given":"Phillip"},{"family":"Ling","given":"Shiyun"},{"family":"Radenbaugh","given":"Amie"},{"family":"Van Den Berg","given":"David"},{"family":"Weinstein","given":"John N."},{"family":"Zhu","given":"Jingchun"},{"family":"Albert","given":"Monique"},{"family":"Alexopoulou","given":"Iakovina"},{"family":"Andersen","given":"Jeremiah J"},{"family":"Auman","given":"J. Todd"},{"family":"Bartlett","given":"John"},{"family":"Bastacky","given":"Sheldon"},{"family":"Bergsten","given":"Julie"},{"family":"Blute","given":"Michael L."},{"family":"Boice","given":"Lori"},{"family":"Bollag","given":"Roni J."},{"family":"Boyd","given":"Jeff"},{"family":"Castle","given":"Erik"},{"family":"Chen","given":"Ying-Bei"},{"family":"Cheville","given":"John C."},{"family":"Curley","given":"Erin"},{"family":"Davies","given":"Benjamin"},{"family":"DeVolk","given":"April"},{"family":"Dhir","given":"Rajiv"},{"family":"Dike","given":"Laura"},{"family":"Eckman","given":"John"},{"family":"Engel","given":"Jay"},{"family":"Harr","given":"Jodi"},{"family":"Hrebinko","given":"Ronald"},{"family":"Huang","given":"Mei"},{"family":"Huelsenbeck-Dill","given":"Lori"},{"family":"Iacocca","given":"Mary"},{"family":"Jacobs","given":"Bruce"},{"family":"Lobis","given":"Michael"},{"family":"Maranchie","given":"Jodi K."},{"family":"McMeekin","given":"Scott"},{"family":"Myers","given":"Jerome"},{"family":"Nelson","given":"Joel"},{"family":"Parfitt","given":"Jeremy"},{"family":"Parwani","given":"Anil"},{"family":"Petrelli","given":"Nicholas"},{"family":"Rabeno","given":"Brenda"},{"family":"Roy","given":"Somak"},{"family":"Salner","given":"Andrew L."},{"family":"Slaton","given":"Joel"},{"family":"Stanton","given":"Melissa"},{"family":"Thompson","given":"R. Houston"},{"family":"Thorne","given":"Leigh"},{"family":"Tucker","given":"Kelinda"},{"family":"Weinberger","given":"Paul M."},{"family":"Winemiller","given":"Cythnia"},{"family":"Zach","given":"Leigh Anne"},{"family":"Zuna","given":"Rosemary"}],"issued":{"date-parts":[["2016",1,14]]},"accessed":{"date-parts":[["2018",4,9]]}}}],"schema":"https://github.com/citation-style-language/schema/raw/master/csl-citation.json"} </w:instrText>
      </w:r>
      <w:r w:rsidR="00F95D6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5,161</w:t>
      </w:r>
      <w:r w:rsidR="00F95D6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G-CIMP tumours are tightly associated with </w:t>
      </w:r>
      <w:r w:rsidRPr="00B946E4">
        <w:rPr>
          <w:rFonts w:ascii="Calibri" w:hAnsi="Calibri" w:cs="Calibri"/>
          <w:i/>
          <w:color w:val="000000" w:themeColor="text1"/>
          <w:sz w:val="22"/>
          <w:szCs w:val="22"/>
        </w:rPr>
        <w:t>IDH1</w:t>
      </w:r>
      <w:r w:rsidRPr="00D637BA">
        <w:rPr>
          <w:rFonts w:ascii="Calibri" w:hAnsi="Calibri" w:cs="Calibri"/>
          <w:color w:val="000000" w:themeColor="text1"/>
          <w:sz w:val="22"/>
          <w:szCs w:val="22"/>
        </w:rPr>
        <w:t xml:space="preserve"> mutations</w:t>
      </w:r>
      <w:r w:rsidR="00F95D6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{"citationID":"a1gnh05tslt","properties":{"formattedCitation":"\\super 154,160\\nosupersub{}","plainCitation":"154,160","noteIndex":0},"citationItems":[{"id":1542,"uris":["http://zotero.org/users/4775618/items/4D4SFN3X"],"uri":["http://zotero.org/users/4775618/items/4D4SFN3X"],"itemData":{"id":1542,"type":"article-journal","title":"Identification of a CpG Island Methylator Phenotype that Defines a Distinct Subgroup of Glioma","container-title":"Cancer cell","page":"510-522","volume":"17","issue":"5","source":"PubMed Central","abstract":"We have profiled promoter DNA methylation alterations in 272 glioblastoma tumors in the context of The Cancer Genome Atlas (TCGA). We found that a distinct subset of samples displays concerted hypermethylation at a large number of loci, indicating the existence of a glioma-CpG Island Methylator Phenotype (G-CIMP). We validated G-CIMP in a set of non-TCGA glioblastomas and low-grade gliomas. G-CIMP tumors belong to the Proneural subgroup, are more prevalent among low-grade gliomas, display distinct copy-number alterations and are tightly associated with IDH1 somatic mutations. Patients with G-CIMP tumors are younger at the time of diagnosis and experience significantly improved outcome. These findings identify G-CIMP as a distinct subset of human gliomas on molecular and clinical grounds.","URL":"https://www.ncbi.nlm.nih.gov/pmc/articles/PMC2872684/","DOI":"10.1016/j.ccr.2010.03.017","ISSN":"1535-6108","note":"PMID: 20399149\nPMCID: PMC2872684","journalAbbreviation":"Cancer Cell","author":[{"family":"Noushmehr","given":"Houtan"},{"family":"Weisenberger","given":"Daniel J."},{"family":"Diefes","given":"Kristin"},{"family":"Phillips","given":"Heidi S."},{"family":"Pujara","given":"Kanan"},{"family":"Berman","given":"Benjamin P."},{"family":"Pan","given":"Fei"},{"family":"Pelloski","given":"Christopher E."},{"family":"Sulman","given":"Erik P."},{"family":"Bhat","given":"Krishna P."},{"family":"Verhaak","given":"Roel G.W."},{"family":"Hoadley","given":"Katherine A."},{"family":"Hayes","given":"D. Neil"},{"family":"Perou","given":"Charles M."},{"family":"Schmidt","given":"Heather K."},{"family":"Ding","given":"Li"},{"family":"Wilson","given":"Richard K."},{"family":"Van Den Berg","given":"David"},{"family":"Shen","given":"Hui"},{"family":"Bengtsson","given":"Henrik"},{"family":"Neuvial","given":"Pierre"},{"family":"Cope","given":"Leslie M."},{"family":"Buckley","given":"Jonathan"},{"family":"Herman","given":"James G."},{"family":"Baylin","given":"Stephen B."},{"family":"Laird","given":"Peter W."},{"family":"Aldape","given":"Kenneth"}],"issued":{"date-parts":[["2010",5,18]]},"accessed":{"date-parts":[["2019",2,26]]}}},{"id":1529,"uris":["http://zotero.org/users/4775618/items/J8Y3EZR5"],"uri":["http://zotero.org/users/4775618/items/J8Y3EZR5"],"itemData":{"id":1529,"type":"article-journal","title":"IDH1 mutation is sufficient to establish the glioma hypermethylator phenotype","container-title":"Nature","page":"479-483","volume":"483","issue":"7390","source":"PubMed","abstract":"Both genome-wide genetic and epigenetic alterations are fundamentally important for the development of cancers, but the interdependence of these aberrations is poorly understood. Glioblastomas and other cancers with the CpG island methylator phenotype (CIMP) constitute a subset of tumours with extensive epigenomic aberrations and a distinct biology. Glioma CIMP (G-CIMP) is a powerful determinant of tumour pathogenicity, but the molecular basis of G-CIMP remains unresolved. Here we show that mutation of a single gene, isocitrate dehydrogenase 1 (IDH1), establishes G-CIMP by remodelling the methylome. This remodelling results in reorganization of the methylome and transcriptome. Examination of the epigenome of a large set of intermediate-grade gliomas demonstrates a distinct G-CIMP phenotype that is highly dependent on the presence of IDH mutation. Introduction of mutant IDH1 into primary human astrocytes alters specific histone marks, induces extensive DNA hypermethylation, and reshapes the methylome in a fashion that mirrors the changes observed in G-CIMP-positive lower-grade gliomas. Furthermore, the epigenomic alterations resulting from mutant IDH1 activate key gene expression programs, characterize G-CIMP-positive proneural glioblastomas but not other glioblastomas, and are predictive of improved survival. Our findings demonstrate that IDH mutation is the molecular basis of CIMP in gliomas, provide a framework for understanding oncogenesis in these gliomas, and highlight the interplay between genomic and epigenomic changes in human cancers.","DOI":"10.1038/nature10866","ISSN":"1476-4687","note":"PMID: 22343889\nPMCID: PMC3351699","journalAbbreviation":"Nature","language":"eng","author":[{"family":"Turcan","given":"Sevin"},{"family":"Rohle","given":"Daniel"},{"family":"Goenka","given":"Anuj"},{"family":"Walsh","given":"Logan A."},{"family":"Fang","given":"Fang"},{"family":"Yilmaz","given":"Emrullah"},{"family":"Campos","given":"Carl"},{"family":"Fabius","given":"Armida W. M."},{"family":"Lu","given":"Chao"},{"family":"Ward","given":"Patrick S."},{"family":"Thompson","given":"Craig B."},{"family":"Kaufman","given":"Andrew"},{"family":"Guryanova","given":"Olga"},{"family":"Levine","given":"Ross"},{"family":"Heguy","given":"Adriana"},{"family":"Viale","given":"Agnes"},{"family":"Morris","given":"Luc G. T."},{"family":"Huse","given":"Jason T."},{"family":"Mellinghoff","given":"Ingo K."},{"family":"Chan","given":"Timothy A."}],"issued":{"date-parts":[["2012",2,15]]}}}],"schema":"https://github.com/citation-style-language/schema/raw/master/csl-citation.json"} </w:instrText>
      </w:r>
      <w:r w:rsidR="00F95D6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154,160</w:t>
      </w:r>
      <w:r w:rsidR="00F95D6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and</w:t>
      </w:r>
      <w:r w:rsidR="001F5813" w:rsidRPr="00D637BA">
        <w:rPr>
          <w:rFonts w:ascii="Calibri" w:hAnsi="Calibri" w:cs="Calibri"/>
          <w:color w:val="000000" w:themeColor="text1"/>
          <w:sz w:val="22"/>
          <w:szCs w:val="22"/>
        </w:rPr>
        <w:t xml:space="preserve"> the</w:t>
      </w:r>
      <w:r w:rsidRPr="00D637BA">
        <w:rPr>
          <w:rFonts w:ascii="Calibri" w:hAnsi="Calibri" w:cs="Calibri"/>
          <w:color w:val="000000" w:themeColor="text1"/>
          <w:sz w:val="22"/>
          <w:szCs w:val="22"/>
        </w:rPr>
        <w:t xml:space="preserve"> introduction of mutant</w:t>
      </w:r>
      <w:r w:rsidR="00AF18BC"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IDH1 into human primary astrocytes led to accumulation of D2HG, inhibition of TET and a DNA hypermethylation profile that mirrored the changes observed in G-CIMP</w:t>
      </w:r>
      <w:r w:rsidR="00F95D6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{"citationID":"a1et1s3smk","properties":{"formattedCitation":"\\super 154\\nosupersub{}","plainCitation":"154","noteIndex":0},"citationItems":[{"id":1529,"uris":["http://zotero.org/users/4775618/items/J8Y3EZR5"],"uri":["http://zotero.org/users/4775618/items/J8Y3EZR5"],"itemData":{"id":1529,"type":"article-journal","title":"IDH1 mutation is sufficient to establish the glioma hypermethylator phenotype","container-title":"Nature","page":"479-483","volume":"483","issue":"7390","source":"PubMed","abstract":"Both genome-wide genetic and epigenetic alterations are fundamentally important for the development of cancers, but the interdependence of these aberrations is poorly understood. Glioblastomas and other cancers with the CpG island methylator phenotype (CIMP) constitute a subset of tumours with extensive epigenomic aberrations and a distinct biology. Glioma CIMP (G-CIMP) is a powerful determinant of tumour pathogenicity, but the molecular basis of G-CIMP remains unresolved. Here we show that mutation of a single gene, isocitrate dehydrogenase 1 (IDH1), establishes G-CIMP by remodelling the methylome. This remodelling results in reorganization of the methylome and transcriptome. Examination of the epigenome of a large set of intermediate-grade gliomas demonstrates a distinct G-CIMP phenotype that is highly dependent on the presence of IDH mutation. Introduction of mutant IDH1 into primary human astrocytes alters specific histone marks, induces extensive DNA hypermethylation, and reshapes the methylome in a fashion that mirrors the changes observed in G-CIMP-positive lower-grade gliomas. Furthermore, the epigenomic alterations resulting from mutant IDH1 activate key gene expression programs, characterize G-CIMP-positive proneural glioblastomas but not other glioblastomas, and are predictive of improved survival. Our findings demonstrate that IDH mutation is the molecular basis of CIMP in gliomas, provide a framework for understanding oncogenesis in these gliomas, and highlight the interplay between genomic and epigenomic changes in human cancers.","DOI":"10.1038/nature10866","ISSN":"1476-4687","note":"PMID: 22343889\nPMCID: PMC3351699","journalAbbreviation":"Nature","language":"eng","author":[{"family":"Turcan","given":"Sevin"},{"family":"Rohle","given":"Daniel"},{"family":"Goenka","given":"Anuj"},{"family":"Walsh","given":"Logan A."},{"family":"Fang","given":"Fang"},{"family":"Yilmaz","given":"Emrullah"},{"family":"Campos","given":"Carl"},{"family":"Fabius","given":"Armida W. M."},{"family":"Lu","given":"Chao"},{"family":"Ward","given":"Patrick S."},{"family":"Thompson","given":"Craig B."},{"family":"Kaufman","given":"Andrew"},{"family":"Guryanova","given":"Olga"},{"family":"Levine","given":"Ross"},{"family":"Heguy","given":"Adriana"},{"family":"Viale","given":"Agnes"},{"family":"Morris","given":"Luc G. T."},{"family":"Huse","given":"Jason T."},{"family":"Mellinghoff","given":"Ingo K."},{"family":"Chan","given":"Timothy A."}],"issued":{"date-parts":[["2012",2,15]]}}}],"schema":"https://github.com/citation-style-language/schema/raw/master/csl-citation.json"} </w:instrText>
      </w:r>
      <w:r w:rsidR="00F95D6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154</w:t>
      </w:r>
      <w:r w:rsidR="00F95D6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CIMP-RCC has been associated with early-onset disease and</w:t>
      </w:r>
      <w:r w:rsidR="00820A94">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perhaps unsurprisingly, germline or somatic mutations of the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 xml:space="preserve"> gene</w:t>
      </w:r>
      <w:r w:rsidR="00F95D6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{"citationID":"a2g6tmcfbak","properties":{"formattedCitation":"\\super 5,161\\nosupersub{}","plainCitation":"5,161","noteIndex":0},"citationItems":[{"id":427,"uris":["http://zotero.org/users/4775618/items/ZV692HDZ"],"uri":["http://zotero.org/users/4775618/items/ZV692HDZ"],"itemData":{"id":427,"type":"article-journal","title":"The Cancer Genome Atlas Comprehensive Molecular Characterization of Renal Cell Carcinoma","container-title":"Cell Reports","volume":"0","issue":"0","source":"www.cell.com","abstract":"&lt;h2&gt;Summary&lt;/h2&gt;&lt;p&gt;Renal cell carcinoma (RCC) is not a single disease, but several histologically defined cancers with different genetic drivers, clinical courses, and therapeutic responses. The current study evaluated 843 RCC from the three major histologic subtypes, including 488 clear cell RCC, 274 papillary RCC, and 81 chromophobe RCC. Comprehensive genomic and phenotypic analysis of the RCC subtypes reveals distinctive features of each subtype that provide the foundation for the development of subtype-specific therapeutic and management strategies for patients affected with these cancers. Somatic alteration of &lt;i&gt;BAP1&lt;/i&gt;, &lt;i&gt;PBRM1&lt;/i&gt;, and &lt;i&gt;PTEN&lt;/i&gt; and altered metabolic pathways correlated with subtype-specific decreased survival, while &lt;i&gt;CDKN2A&lt;/i&gt; alteration, increased DNA hypermethylation, and increases in the immune-related Th2 gene expression signature correlated with decreased survival within all major histologic subtypes. CIMP-RCC demonstrated an increased immune signature, and a uniform and distinct metabolic expression pattern identified a subset of metabolically divergent (MD) ChRCC that associated with extremely poor survival.&lt;/p&gt;","URL":"http://www.cell.com/cell-reports/abstract/S2211-1247(18)30436-4","DOI":"10.1016/j.celrep.2018.03.075","ISSN":"2211-1247","note":"PMID: 29617669, 29617669","journalAbbreviation":"Cell Reports","language":"English","author":[{"family":"Ricketts","given":"Christopher J."},{"family":"Cubas","given":"Aguirre A. De"},{"family":"Fan","given":"Huihui"},{"family":"Smith","given":"Christof C."},{"family":"Lang","given":"Martin"},{"family":"Reznik","given":"Ed"},{"family":"Bowlby","given":"Reanne"},{"family":"Gibb","given":"Ewan A."},{"family":"Akbani","given":"Rehan"},{"family":"Beroukhim","given":"Rameen"},{"family":"Bottaro","given":"Donald P."},{"family":"Choueiri","given":"Toni K."},{"family":"Gibbs","given":"Richard A."},{"family":"Godwin","given":"Andrew K."},{"family":"Haake","given":"Scott"},{"family":"Hakimi","given":"A. Ari"},{"family":"Henske","given":"Elizabeth P."},{"family":"Hsieh","given":"James J."},{"family":"Ho","given":"Thai H."},{"family":"Kanchi","given":"Rupa S."},{"family":"Krishnan","given":"Bhavani"},{"family":"Kwaitkowski","given":"David J."},{"family":"Lui","given":"Wembin"},{"family":"Merino","given":"Maria J."},{"family":"Mills","given":"Gordon B."},{"family":"Myers","given":"Jerome"},{"family":"Nickerson","given":"Michael L."},{"family":"Reuter","given":"Victor E."},{"family":"Schmidt","given":"Laura S."},{"family":"Shelley","given":"C. Simon"},{"family":"Shen","given":"Hui"},{"family":"Shuch","given":"Brian"},{"family":"Signoretti","given":"Sabina"},{"family":"Srinivasan","given":"Ramaprasad"},{"family":"Tamboli","given":"Pheroze"},{"family":"Thomas","given":"George"},{"family":"Vincent","given":"Benjamin G."},{"family":"Vocke","given":"Cathy D."},{"family":"Wheeler","given":"David A."},{"family":"Yang","given":"Lixing"},{"family":"Kim","given":"William T."},{"family":"Robertson","given":"A. Gordon"},{"family":"Caesar-Johnson","given":"Samantha J."},{"family":"Demchok","given":"John A."},{"family":"Felau","given":"Ina"},{"family":"Kasapi","given":"Melpomeni"},{"family":"Ferguson","given":"Martin L."},{"family":"Hutter","given":"Carolyn M."},{"family":"Sofia","given":"Heidi J."},{"family":"Tarnuzzer","given":"Roy"},{"family":"Wang","given":"Zhining"},{"family":"Yang","given":"Liming"},{"family":"Zenklusen","given":"Jean C."},{"family":"Zhang","given":"Jiashan (Julia)"},{"family":"Chudamani","given":"Sudha"},{"family":"Liu","given":"Jia"},{"family":"Lolla","given":"Laxmi"},{"family":"Naresh","given":"Rashi"},{"family":"Pihl","given":"Todd"},{"family":"Sun","given":"Qiang"},{"family":"Wan","given":"Yunhu"},{"family":"Wu","given":"Ye"},{"family":"Cho","given":"Juok"},{"family":"DeFreitas","given":"Timothy"},{"family":"Frazer","given":"Scott"},{"family":"Gehlenborg","given":"Nils"},{"family":"Getz","given":"Gad"},{"family":"Heiman","given":"David I."},{"family":"Kim","given":"Jaegil"},{"family":"Lawrence","given":"Michael S."},{"family":"Lin","given":"Pei"},{"family":"Meier","given":"Sam"},{"family":"Noble","given":"Michael S."},{"family":"Saksena","given":"Gordon"},{"family":"Voet","given":"Doug"},{"family":"Zhang","given":"Hailei"},{"family":"Bernard","given":"Brady"},{"family":"Chambwe","given":"Nyasha"},{"family":"Dhankani","given":"Varsha"},{"family":"Knijnenburg","given":"Theo"},{"family":"Kramer","given":"Roger"},{"family":"Leinonen","given":"Kalle"},{"family":"Liu","given":"Yuexin"},{"family":"Miller","given":"Michael"},{"family":"Reynolds","given":"Sheila"},{"family":"Shmulevich","given":"Ilya"},{"family":"Thorsson","given":"Vesteinn"},{"family":"Zhang","given":"Wei"},{"family":"Akbani","given":"Rehan"},{"family":"Broom","given":"Bradley M."},{"family":"Hegde","given":"Apurva M."},{"family":"Ju","given":"Zhenlin"},{"family":"Kanchi","given":"Rupa S."},{"family":"Korkut","given":"Anil"},{"family":"Li","given":"Jun"},{"family":"Liang","given":"Han"},{"family":"Ling","given":"Shiyun"},{"family":"Liu","given":"Wenbin"},{"family":"Lu","given":"Yiling"},{"family":"Mills","given":"Gordon B."},{"family":"Ng","given":"Kwok-Shing"},{"family":"Rao","given":"Arvind"},{"family":"Ryan","given":"Michael"},{"family":"Wang","given":"Jing"},{"family":"Weinstein","given":"John N."},{"family":"Zhang","given":"Jiexin"},{"family":"Abeshouse","given":"Adam"},{"family":"Armenia","given":"Joshua"},{"family":"Chakravarty","given":"Debyani"},{"family":"Chatila","given":"Walid K."},{"family":"Bruijn","given":"Ino","dropping-particle":"de"},{"family":"Gao","given":"Jianjiong"},{"family":"Gross","given":"Benjamin E."},{"family":"Heins","given":"Zachary J."},{"family":"Kundra","given":"Ritika"},{"family":"La","given":"Konnor"},{"family":"Ladanyi","given":"Marc"},{"family":"Luna","given":"Augustin"},{"family":"Nissan","given":"Moriah G."},{"family":"Ochoa","given":"Angelica"},{"family":"Phillips","given":"Sarah M."},{"family":"Reznik","given":"Ed"},{"family":"Sanchez-Vega","given":"Francisco"},{"family":"Sander","given":"Chris"},{"family":"Schultz","given":"Nikolaus"},{"family":"Sheridan","given":"Robert"},{"family":"Sumer","given":"S. Onur"},{"family":"Sun","given":"Yichao"},{"family":"Taylor","given":"Barry S."},{"family":"Wang","given":"Jioajiao"},{"family":"Zhang","given":"Hongxin"},{"family":"Anur","given":"Pavana"},{"family":"Peto","given":"Myron"},{"family":"Spellman","given":"Paul"},{"family":"Benz","given":"Christopher"},{"family":"Stuart","given":"Joshua M."},{"family":"Wong","given":"Christopher K."},{"family":"Yau","given":"Christina"},{"family":"Hayes","given":"D. Neil"},{"family":"Parker","given":"Joel S."},{"family":"Wilkerson","given":"Matthew D."},{"family":"Ally","given":"Adrian"},{"family":"Balasundaram","given":"Miruna"},{"family":"Bowlby","given":"Reanne"},{"family":"Brooks","given":"Denise"},{"family":"Carlsen","given":"Rebecca"},{"family":"Chuah","given":"Eric"},{"family":"Dhalla","given":"Noreen"},{"family":"Holt","given":"Robert"},{"family":"Jones","given":"Steven J. M."},{"family":"Kasaian","given":"Katayoon"},{"family":"Lee","given":"Darlene"},{"family":"Ma","given":"Yussanne"},{"family":"Marra","given":"Marco A."},{"family":"Mayo","given":"Michael"},{"family":"Moore","given":"Richard A."},{"family":"Mungall","given":"Andrew J."},{"family":"Mungall","given":"Karen"},{"family":"Robertson","given":"A. Gordon"},{"family":"Sadeghi","given":"Sara"},{"family":"Schein","given":"Jacqueline E."},{"family":"Sipahimalani","given":"Payal"},{"family":"Tam","given":"Angela"},{"family":"Thiessen","given":"Nina"},{"family":"Tse","given":"Kane"},{"family":"Wong","given":"Tina"},{"family":"Berger","given":"Ashton C."},{"family":"Beroukhim","given":"Rameen"},{"family":"Cherniack","given":"Andrew D."},{"family":"Cibulskis","given":"Carrie"},{"family":"Gabriel","given":"Stacey B."},{"family":"Gao","given":"Galen F."},{"family":"Ha","given":"Gavin"},{"family":"Meyerson","given":"Matthew"},{"family":"Schumacher","given":"Steven E."},{"family":"Shih","given":"Juliann"},{"family":"Kucherlapati","given":"Melanie H."},{"family":"Kucherlapati","given":"Raju S."},{"family":"Baylin","given":"Stephen"},{"family":"Cope","given":"Leslie"},{"family":"Danilova","given":"Ludmila"},{"family":"Bootwalla","given":"Moiz S."},{"family":"Lai","given":"Phillip H."},{"family":"Maglinte","given":"Dennis T."},{"family":"Berg","given":"David J. Van Den"},{"family":"Weisenberger","given":"Daniel J."},{"family":"Auman","given":"J. Todd"},{"family":"Balu","given":"Saianand"},{"family":"Bodenheimer","given":"Tom"},{"family":"Fan","given":"Cheng"},{"family":"Hoadley","given":"Katherine A."},{"family":"Hoyle","given":"Alan P."},{"family":"Jefferys","given":"Stuart R."},{"family":"Jones","given":"Corbin D."},{"family":"Meng","given":"Shaowu"},{"family":"Mieczkowski","given":"Piotr A."},{"family":"Mose","given":"Lisle E."},{"family":"Perou","given":"Amy H."},{"family":"Perou","given":"Charles M."},{"family":"Roach","given":"Jeffrey"},{"family":"Shi","given":"Yan"},{"family":"Simons","given":"Janae V."},{"family":"Skelly","given":"Tara"},{"family":"Soloway","given":"Matthew G."},{"family":"Tan","given":"Donghui"},{"family":"Veluvolu","given":"Umadevi"},{"family":"Fan","given":"Huihui"},{"family":"Hinoue","given":"Toshinori"},{"family":"Laird","given":"Peter W."},{"family":"Shen","given":"Hui"},{"family":"Zhou","given":"Wanding"},{"family":"Bellair","given":"Michelle"},{"family":"Chang","given":"Kyle"},{"family":"Covington","given":"Kyle"},{"family":"Creighton","given":"Chad J."},{"family":"Dinh","given":"Huyen"},{"family":"Doddapaneni","given":"HarshaVardhan"},{"family":"Donehower","given":"Lawrence A."},{"family":"Drummond","given":"Jennifer"},{"family":"Gibbs","given":"Richard A."},{"family":"Glenn","given":"Robert"},{"family":"Hale","given":"Walker"},{"family":"Han","given":"Yi"},{"family":"Hu","given":"Jianhong"},{"family":"Korchina","given":"Viktoriya"},{"family":"Lee","given":"Sandra"},{"family":"Lewis","given":"Lora"},{"family":"Li","given":"Wei"},{"family":"Liu","given":"Xiuping"},{"family":"Morgan","given":"Margaret"},{"family":"Morton","given":"Donna"},{"family":"Muzny","given":"Donna"},{"family":"Santibanez","given":"Jireh"},{"family":"Sheth","given":"Margi"},{"family":"Shinbrot","given":"Eve"},{"family":"Wang","given":"Linghua"},{"family":"Wang","given":"Min"},{"family":"Wheeler","given":"David A."},{"family":"Xi","given":"Liu"},{"family":"Zhao","given":"Fengmei"},{"family":"Hess","given":"Julian"},{"family":"Appelbaum","given":"Elizabeth L."},{"family":"Bailey","given":"Matthew"},{"family":"Cordes","given":"Matthew G."},{"family":"Ding","given":"Li"},{"family":"Fronick","given":"Catrina C."},{"family":"Fulton","given":"Lucinda A."},{"family":"Fulton","given":"Robert S."},{"family":"Kandoth","given":"Cyriac"},{"family":"Mardis","given":"Elaine R."},{"family":"McLellan","given":"Michael D."},{"family":"Miller","given":"Christopher A."},{"family":"Schmidt","given":"Heather K."},{"family":"Wilson","given":"Richard K."},{"family":"Crain","given":"Daniel"},{"family":"Curley","given":"Erin"},{"family":"Gardner","given":"Johanna"},{"family":"Lau","given":"Kevin"},{"family":"Mallery","given":"David"},{"family":"Morris","given":"Scott"},{"family":"Paulauskis","given":"Joseph"},{"family":"Penny","given":"Robert"},{"family":"Shelton","given":"Candace"},{"family":"Shelton","given":"Troy"},{"family":"Sherman","given":"Mark"},{"family":"Thompson","given":"Eric"},{"family":"Yena","given":"Peggy"},{"family":"Bowen","given":"Jay"},{"family":"Gastier-Foster","given":"Julie M."},{"family":"Gerken","given":"Mark"},{"family":"Leraas","given":"Kristen M."},{"family":"Lichtenberg","given":"Tara M."},{"family":"Ramirez","given":"Nilsa C."},{"family":"Wise","given":"Lisa"},{"family":"Zmuda","given":"Erik"},{"family":"Corcoran","given":"Niall"},{"family":"Costello","given":"Tony"},{"family":"Hovens","given":"Christopher"},{"family":"Carvalho","given":"Andre L."},{"family":"Carvalho","given":"Ana C.","dropping-particle":"de"},{"family":"Fregnani","given":"José H."},{"family":"Longatto-Filho","given":"Adhemar"},{"family":"Reis","given":"Rui M."},{"family":"Scapulatempo-Neto","given":"Cristovam"},{"family":"Silveira","given":"Henrique C. S."},{"family":"Vidal","given":"Daniel O."},{"family":"Burnette","given":"Andrew"},{"family":"Eschbacher","given":"Jennifer"},{"family":"Hermes","given":"Beth"},{"family":"Noss","given":"Ardene"},{"family":"Singh","given":"Rosy"},{"family":"Anderson","given":"Matthew L."},{"family":"Castro","given":"Patricia D."},{"family":"Ittmann","given":"Michael"},{"family":"Huntsman","given":"David"},{"family":"Kohl","given":"Bernard"},{"family":"Le","given":"Xuan"},{"family":"Thorp","given":"Richard"},{"family":"Andry","given":"Chris"},{"family":"Duffy","given":"Elizabeth R."},{"family":"Lyadov","given":"Vladimir"},{"family":"Paklina","given":"Oxana"},{"family":"Setdikova","given":"Galiya"},{"family":"Shabunin","given":"Alexey"},{"family":"Tavobilov","given":"Mikhail"},{"family":"McPherson","given":"Christopher"},{"family":"Warnick","given":"Ronald"},{"family":"Berkowitz","given":"Ross"},{"family":"Cramer","given":"Daniel"},{"family":"Feltmate","given":"Colleen"},{"family":"Horowitz","given":"Neil"},{"family":"Kibel","given":"Adam"},{"family":"Muto","given":"Michael"},{"family":"Raut","given":"Chandrajit P."},{"family":"Malykh","given":"Andrei"},{"family":"Barnholtz-Sloan","given":"Jill S."},{"family":"Barrett","given":"Wendi"},{"family":"Devine","given":"Karen"},{"family":"Fulop","given":"Jordonna"},{"family":"Ostrom","given":"Quinn T."},{"family":"Shimmel","given":"Kristen"},{"family":"Wolinsky","given":"Yingli"},{"family":"Sloan","given":"Andrew E."},{"family":"Rose","given":"Agostino De"},{"family":"Giuliante","given":"Felice"},{"family":"Goodman","given":"Marc"},{"family":"Karlan","given":"Beth Y."},{"family":"Hagedorn","given":"Curt H."},{"family":"Eckman","given":"John"},{"family":"Harr","given":"Jodi"},{"family":"Myers","given":"Jerome"},{"family":"Tucker","given":"Kelinda"},{"family":"Zach","given":"Leigh Anne"},{"family":"Deyarmin","given":"Brenda"},{"family":"Hu","given":"Hai"},{"family":"Kvecher","given":"Leonid"},{"family":"Larson","given":"Caroline"},{"family":"Mural","given":"Richard J."},{"family":"Somiari","given":"Stella"},{"family":"Vicha","given":"Ales"},{"family":"Zelinka","given":"Tomas"},{"family":"Bennett","given":"Joseph"},{"family":"Iacocca","given":"Mary"},{"family":"Rabeno","given":"Brenda"},{"family":"Swanson","given":"Patricia"},{"family":"Latour","given":"Mathieu"},{"family":"Lacombe","given":"Louis"},{"family":"Têtu","given":"Bernard"},{"family":"Bergeron","given":"Alain"},{"family":"McGraw","given":"Mary"},{"family":"Staugaitis","given":"Susan M."},{"family":"Chabot","given":"John"},{"family":"Hibshoosh","given":"Hanina"},{"family":"Sepulveda","given":"Antonia"},{"family":"Su","given":"Tao"},{"family":"Wang","given":"Timothy"},{"family":"Potapova","given":"Olga"},{"family":"Voronina","given":"Olga"},{"family":"Desjardins","given":"Laurence"},{"family":"Mariani","given":"Odette"},{"family":"Roman-Roman","given":"Sergio"},{"family":"Sastre","given":"Xavier"},{"family":"Stern","given":"Marc-Henri"},{"family":"Cheng","given":"Feixiong"},{"family":"Signoretti","given":"Sabina"},{"family":"Berchuck","given":"Andrew"},{"family":"Bigner","given":"Darell"},{"family":"Lipp","given":"Eric"},{"family":"Marks","given":"Jeffrey"},{"family":"McCall","given":"Shannon"},{"family":"McLendon","given":"Roger"},{"family":"Secord","given":"Angeles"},{"family":"Sharp","given":"Alexis"},{"family":"Behera","given":"Madhusmita"},{"family":"Brat","given":"Daniel J."},{"family":"Chen","given":"Amy"},{"family":"Delman","given":"Keith"},{"family":"Force","given":"Seth"},{"family":"Khuri","given":"Fadlo"},{"family":"Magliocca","given":"Kelly"},{"family":"Maithel","given":"Shishir"},{"family":"Olson","given":"Jeffrey J."},{"family":"Owonikoko","given":"Taofeek"},{"family":"Pickens","given":"Alan"},{"family":"Ramalingam","given":"Suresh"},{"family":"Shin","given":"Dong M."},{"family":"Sica","given":"Gabriel"},{"family":"Meir","given":"Erwin G. Van"},{"family":"Zhang","given":"Hongzheng"},{"family":"Eijckenboom","given":"Wil"},{"family":"Gillis","given":"Ad"},{"family":"Korpershoek","given":"Esther"},{"family":"Looijenga","given":"Leendert"},{"family":"Oosterhuis","given":"Wolter"},{"family":"Stoop","given":"Hans"},{"family":"Kessel","given":"Kim E.","dropping-particle":"van"},{"family":"Zwarthoff","given":"Ellen C."},{"family":"Calatozzolo","given":"Chiara"},{"family":"Cuppini","given":"Lucia"},{"family":"Cuzzubbo","given":"Stefania"},{"family":"DiMeco","given":"Francesco"},{"family":"Finocchiaro","given":"Gaetano"},{"family":"Mattei","given":"Luca"},{"family":"Perin","given":"Alessandro"},{"family":"Pollo","given":"Bianca"},{"family":"Chen","given":"Chu"},{"family":"Houck","given":"John"},{"family":"Lohavanichbutr","given":"Pawadee"},{"family":"Hartmann","given":"Arndt"},{"family":"Stoehr","given":"Christine"},{"family":"Stoehr","given":"Robert"},{"family":"Taubert","given":"Helge"},{"family":"Wach","given":"Sven"},{"family":"Wullich","given":"Bernd"},{"family":"Kycler","given":"Witold"},{"family":"Murawa","given":"Dawid"},{"family":"Wiznerowicz","given":"Maciej"},{"family":"Chung","given":"Ki"},{"family":"Edenfield","given":"W. Jeffrey"},{"family":"Martin","given":"Julie"},{"family":"Baudin","given":"Eric"},{"family":"Bubley","given":"Glenn"},{"family":"Bueno","given":"Raphael"},{"family":"Rienzo","given":"Assunta De"},{"family":"Richards","given":"William G."},{"family":"Kalkanis","given":"Steven"},{"family":"Mikkelsen","given":"Tom"},{"family":"Noushmehr","given":"Houtan"},{"family":"Scarpace","given":"Lisa"},{"family":"Girard","given":"Nicolas"},{"family":"Aymerich","given":"Marta"},{"family":"Campo","given":"Elias"},{"family":"Giné","given":"Eva"},{"family":"Guillermo","given":"Armando López"},{"family":"Bang","given":"Nguyen Van"},{"family":"Hanh","given":"Phan Thi"},{"family":"Phu","given":"Bui Duc"},{"family":"Tang","given":"Yufang"},{"family":"Colman","given":"Howard"},{"family":"Evason","given":"Kimberley"},{"family":"Dottino","given":"Peter R."},{"family":"Martignetti","given":"John A."},{"family":"Gabra","given":"Hani"},{"family":"Juhl","given":"Hartmut"},{"family":"Akeredolu","given":"Teniola"},{"family":"Stepa","given":"Serghei"},{"family":"Hoon","given":"Dave"},{"family":"Ahn","given":"Keunsoo"},{"family":"Kang","given":"Koo Jeong"},{"family":"Beuschlein","given":"Felix"},{"family":"Breggia","given":"Anne"},{"family":"Birrer","given":"Michael"},{"family":"Bell","given":"Debra"},{"family":"Borad","given":"Mitesh"},{"family":"Bryce","given":"Alan H."},{"family":"Castle","given":"Erik"},{"family":"Chandan","given":"Vishal"},{"family":"Cheville","given":"John"},{"family":"Copland","given":"John A."},{"family":"Farnell","given":"Michael"},{"family":"Flotte","given":"Thomas"},{"family":"Giama","given":"Nasra"},{"family":"Ho","given":"Thai"},{"family":"Kendrick","given":"Michael"},{"family":"Kocher","given":"Jean-Pierre"},{"family":"Kopp","given":"Karla"},{"family":"Moser","given":"Catherine"},{"family":"Nagorney","given":"David"},{"family":"O’Brien","given":"Daniel"},{"family":"O’Neill","given":"Brian Patrick"},{"family":"Patel","given":"Tushar"},{"family":"Petersen","given":"Gloria"},{"family":"Que","given":"Florencia"},{"family":"Rivera","given":"Michael"},{"family":"Roberts","given":"Lewis"},{"family":"Smallridge","given":"Robert"},{"family":"Smyrk","given":"Thomas"},{"family":"Stanton","given":"Melissa"},{"family":"Thompson","given":"R. Houston"},{"family":"Torbenson","given":"Michael"},{"family":"Yang","given":"Ju Dong"},{"family":"Zhang","given":"Lizhi"},{"family":"Brimo","given":"Fadi"},{"family":"Ajani","given":"Jaffer A."},{"family":"Gonzalez","given":"Ana Maria Angulo"},{"family":"Behrens","given":"Carmen"},{"family":"Bondaruk","given":"Jolanta"},{"family":"Broaddus","given":"Russell"},{"family":"Czerniak","given":"Bogdan"},{"family":"Esmaeli","given":"Bita"},{"family":"Fujimoto","given":"Junya"},{"family":"Gershenwald","given":"Jeffrey"},{"family":"Guo","given":"Charles"},{"family":"Lazar","given":"Alexander J."},{"family":"Logothetis","given":"Christopher"},{"family":"Meric-Bernstam","given":"Funda"},{"family":"Moran","given":"Cesar"},{"family":"Ramondetta","given":"Lois"},{"family":"Rice","given":"David"},{"family":"Sood","given":"Anil"},{"family":"Tamboli","given":"Pheroze"},{"family":"Thompson","given":"Timothy"},{"family":"Troncoso","given":"Patricia"},{"family":"Tsao","given":"Anne"},{"family":"Wistuba","given":"Ignacio"},{"family":"Carter","given":"Candace"},{"family":"Haydu","given":"Lauren"},{"family":"Hersey","given":"Peter"},{"family":"Jakrot","given":"Valerie"},{"family":"Kakavand","given":"Hojabr"},{"family":"Kefford","given":"Richard"},{"family":"Lee","given":"Kenneth"},{"family":"Long","given":"Georgina"},{"family":"Mann","given":"Graham"},{"family":"Quinn","given":"Michael"},{"family":"Saw","given":"Robyn"},{"family":"Scolyer","given":"Richard"},{"family":"Shannon","given":"Kerwin"},{"family":"Spillane","given":"Andrew"},{"family":"Stretch","given":"Onathan"},{"family":"Synott","given":"Maria"},{"family":"Thompson","given":"John"},{"family":"Wilmott","given":"James"},{"family":"Al-Ahmadie","given":"Hikmat"},{"family":"Chan","given":"Timothy A."},{"family":"Ghossein","given":"Ronald"},{"family":"Gopalan","given":"Anuradha"},{"family":"Levine","given":"Douglas A."},{"family":"Reuter","given":"Victor"},{"family":"Singer","given":"Samuel"},{"family":"Singh","given":"Bhuvanesh"},{"family":"Tien","given":"Nguyen Viet"},{"family":"Broudy","given":"Thomas"},{"family":"Mirsaidi","given":"Cyrus"},{"family":"Nair","given":"Praveen"},{"family":"Drwiega","given":"Paul"},{"family":"Miller","given":"Judy"},{"family":"Smith","given":"Jennifer"},{"family":"Zaren","given":"Howard"},{"family":"Park","given":"Joong-Won"},{"family":"Hung","given":"Nguyen Phi"},{"family":"Kebebew","given":"Electron"},{"family":"Linehan","given":"W. Marston"},{"family":"Metwalli","given":"Adam R."},{"family":"Pacak","given":"Karel"},{"family":"Pinto","given":"Peter A."},{"family":"Schiffman","given":"Mark"},{"family":"Schmidt","given":"Laura S."},{"family":"Vocke","given":"Cathy D."},{"family":"Wentzensen","given":"Nicolas"},{"family":"Worrell","given":"Robert"},{"family":"Yang","given":"Hannah"},{"family":"Moncrieff","given":"Marc"},{"family":"Goparaju","given":"Chandra"},{"family":"Melamed","given":"Jonathan"},{"family":"Pass","given":"Harvey"},{"family":"Botnariuc","given":"Natalia"},{"family":"Caraman","given":"Irina"},{"family":"Cernat","given":"Mircea"},{"family":"Chemencedji","given":"Inga"},{"family":"Clipca","given":"Adrian"},{"family":"Doruc","given":"Serghei"},{"family":"Gorincioi","given":"Ghenadie"},{"family":"Mura","given":"Sergiu"},{"family":"Pirtac","given":"Maria"},{"family":"Stancul","given":"Irina"},{"family":"Tcaciuc","given":"Diana"},{"family":"Albert","given":"Monique"},{"family":"Alexopoulou","given":"Iakovina"},{"family":"Arnaout","given":"Angel"},{"family":"Bartlett","given":"John"},{"family":"Engel","given":"Jay"},{"family":"Gilbert","given":"Sebastien"},{"family":"Parfitt","given":"Jeremy"},{"family":"Sekhon","given":"Harman"},{"family":"Thomas","given":"George"},{"family":"Rassl","given":"Doris M."},{"family":"Rintoul","given":"Robert C."},{"family":"Bifulco","given":"Carlo"},{"family":"Tamakawa","given":"Raina"},{"family":"Urba","given":"Walter"},{"family":"Hayward","given":"Nicholas"},{"family":"Timmers","given":"Henri"},{"family":"Antenucci","given":"Anna"},{"family":"Facciolo","given":"Francesco"},{"family":"Grazi","given":"Gianluca"},{"family":"Marino","given":"Mirella"},{"family":"Merola","given":"Roberta"},{"family":"Krijger","given":"Ronald","dropping-particle":"de"},{"family":"Gimenez-Roqueplo","given":"Anne-Paule"},{"family":"Piché","given":"Alain"},{"family":"Chevalier","given":"Simone"},{"family":"McKercher","given":"Ginette"},{"family":"Birsoy","given":"Kivanc"},{"family":"Barnett","given":"Gene"},{"family":"Brewer","given":"Cathy"},{"family":"Farver","given":"Carol"},{"family":"Naska","given":"Theresa"},{"family":"Pennell","given":"Nathan A."},{"family":"Raymond","given":"Daniel"},{"family":"Schilero","given":"Cathy"},{"family":"Smolenski","given":"Kathy"},{"family":"Williams","given":"Felicia"},{"family":"Morrison","given":"Carl"},{"family":"Borgia","given":"Jeffrey A."},{"family":"Liptay","given":"Michael J."},{"family":"Pool","given":"Mark"},{"family":"Seder","given":"Christopher W."},{"family":"Junker","given":"Kerstin"},{"family":"Omberg","given":"Larsson"},{"family":"Dinkin","given":"Mikhail"},{"family":"Manikhas","given":"George"},{"family":"Alvaro","given":"Domenico"},{"family":"Bragazzi","given":"Maria Consiglia"},{"family":"Cardinale","given":"Vincenzo"},{"family":"Carpino","given":"Guido"},{"family":"Gaudio","given":"Eugenio"},{"family":"Chesla","given":"David"},{"family":"Cottingham","given":"Sandra"},{"family":"Dubina","given":"Michael"},{"family":"Moiseenko","given":"Fedor"},{"family":"Dhanasekaran","given":"Renumathy"},{"family":"Becker","given":"Karl-Friedrich"},{"family":"Janssen","given":"Klaus-Peter"},{"family":"Slotta-Huspenina","given":"Julia"},{"family":"Abdel-Rahman","given":"Mohamed H."},{"family":"Aziz","given":"Dina"},{"family":"Bell","given":"Sue"},{"family":"Cebulla","given":"Colleen M."},{"family":"Davis","given":"Amy"},{"family":"Duell","given":"Rebecca"},{"family":"Elder","given":"J. Bradley"},{"family":"Hilty","given":"Joe"},{"family":"Kumar","given":"Bahavna"},{"family":"Lang","given":"James"},{"family":"Lehman","given":"Norman L."},{"family":"Mandt","given":"Randy"},{"family":"Nguyen","given":"Phuong"},{"family":"Pilarski","given":"Robert"},{"family":"Rai","given":"Karan"},{"family":"Schoenfield","given":"Lynn"},{"family":"Senecal","given":"Kelly"},{"family":"Wakely","given":"Paul"},{"family":"Hansen","given":"Paul"},{"family":"Lechan","given":"Ronald"},{"family":"Powers","given":"James"},{"family":"Tischler","given":"Arthur"},{"family":"Grizzle","given":"William E."},{"family":"Sexton","given":"Katherine C."},{"family":"Kastl","given":"Alison"},{"family":"Henderson","given":"Joel"},{"family":"Porten","given":"Sima"},{"family":"Waldmann","given":"Jens"},{"family":"Fassnacht","given":"Martin"},{"family":"Asa","given":"Sylvia L."},{"family":"Schadendorf","given":"Dirk"},{"family":"Couce","given":"Marta"},{"family":"Graefen","given":"Markus"},{"family":"Huland","given":"Hartwig"},{"family":"Sauter","given":"Guido"},{"family":"Schlomm","given":"Thorsten"},{"family":"Simon","given":"Ronald"},{"family":"Tennstedt","given":"Pierre"},{"family":"Olabode","given":"Oluwole"},{"family":"Nelson","given":"Mark"},{"family":"Bathe","given":"Oliver"},{"family":"Carroll","given":"Peter R."},{"family":"Chan","given":"June M."},{"family":"Disaia","given":"Philip"},{"family":"Glenn","given":"Pat"},{"family":"Kelley","given":"Robin K."},{"family":"Landen","given":"Charles N."},{"family":"Phillips","given":"Joanna"},{"family":"Prados","given":"Michael"},{"family":"Simko","given":"Jeffry"},{"family":"Smith-McCune","given":"Karen"},{"family":"VandenBerg","given":"Scott"},{"family":"Roggin","given":"Kevin"},{"family":"Fehrenbach","given":"Ashley"},{"family":"Kendler","given":"Ady"},{"family":"Sifri","given":"Suzanne"},{"family":"Steele","given":"Ruth"},{"family":"Jimeno","given":"Antonio"},{"family":"Carey","given":"Francis"},{"family":"Forgie","given":"Ian"},{"family":"Mannelli","given":"Massimo"},{"family":"Carney","given":"Michael"},{"family":"Hernandez","given":"Brenda"},{"family":"Campos","given":"Benito"},{"family":"Herold-Mende","given":"Christel"},{"family":"Jungk","given":"Christin"},{"family":"Unterberg","given":"Andreas"},{"family":"Deimling","given":"Andreas","dropping-particle":"von"},{"family":"Bossler","given":"Aaron"},{"family":"Galbraith","given":"Joseph"},{"family":"Jacobus","given":"Laura"},{"family":"Knudson","given":"Michael"},{"family":"Knutson","given":"Tina"},{"family":"Ma","given":"Deqin"},{"family":"Milhem","given":"Mohammed"},{"family":"Sigmund","given":"Rita"},{"family":"Godwin","given":"Andrew K."},{"family":"Madan","given":"Rashna"},{"family":"Rosenthal","given":"Howard G."},{"family":"Adebamowo","given":"Clement"},{"family":"Adebamowo","given":"Sally N."},{"family":"Boussioutas","given":"Alex"},{"family":"Beer","given":"David"},{"family":"Giordano","given":"Thomas"},{"family":"Mes-Masson","given":"Anne-Marie"},{"family":"Saad","given":"Fred"},{"family":"Bocklage","given":"Therese"},{"family":"Landrum","given":"Lisa"},{"family":"Mannel","given":"Robert"},{"family":"Moore","given":"Kathleen"},{"family":"Moxley","given":"Katherine"},{"family":"Postier","given":"Russel"},{"family":"Walker","given":"Joan"},{"family":"Zuna","given":"Rosemary"},{"family":"Feldman","given":"Michael"},{"family":"Valdivieso","given":"Federico"},{"family":"Dhir","given":"Rajiv"},{"family":"Luketich","given":"James"},{"family":"Pinero","given":"Edna M. Mora"},{"family":"Quintero-Aguilo","given":"Mario"},{"family":"Carlotti","given":"Carlos Gilberto"},{"family":"Santos","given":"Jose Sebastião Dos"},{"family":"Kemp","given":"Rafael"},{"family":"Sankarankuty","given":"Ajith"},{"family":"Tirapelli","given":"Daniela"},{"family":"Catto","given":"James"},{"family":"Agnew","given":"Kathy"},{"family":"Swisher","given":"Elizabeth"},{"family":"Creaney","given":"Jenette"},{"family":"Robinson","given":"Bruce"},{"family":"Shelley","given":"Carl Simon"},{"family":"Godwin","given":"Eryn M."},{"family":"Kendall","given":"Sara"},{"family":"Shipman","given":"Cassaundra"},{"family":"Bradford","given":"Carol"},{"family":"Carey","given":"Thomas"},{"family":"Haddad","given":"Andrea"},{"family":"Moyer","given":"Jeffey"},{"family":"Peterson","given":"Lisa"},{"family":"Prince","given":"Mark"},{"family":"Rozek","given":"Laura"},{"family":"Wolf","given":"Gregory"},{"family":"Bowman","given":"Rayleen"},{"family":"Fong","given":"Kwun M."},{"family":"Yang","given":"Ian"},{"family":"Korst","given":"Robert"},{"family":"Rathmell","given":"W. Kimryn"},{"family":"Fantacone-Campbell","given":"J. Leigh"},{"family":"Hooke","given":"Jeffrey A."},{"family":"Kovatich","given":"Albert J."},{"family":"Shriver","given":"Craig D."},{"family":"DiPersio","given":"John"},{"family":"Drake","given":"Bettina"},{"family":"Govindan","given":"Ramaswamy"},{"family":"Heath","given":"Sharon"},{"family":"Ley","given":"Timothy"},{"family":"Tine","given":"Brian Van"},{"family":"Westervelt","given":"Peter"},{"family":"Rubin","given":"Mark A."},{"family":"Lee","given":"Jung Il"},{"family":"Aredes","given":"Natália D."},{"family":"Mariamidze","given":"Armaz"},{"family":"Spellman","given":"Paul T."},{"family":"Rathmell","given":"W. Kimryn"},{"family":"Linehan","given":"W. Marston"}],"issued":{"date-parts":[["2018",4,5]]},"accessed":{"date-parts":[["2018",4,9]]}}},{"id":435,"uris":["http://zotero.org/users/4775618/items/BJSHNDRW"],"uri":["http://zotero.org/users/4775618/items/BJSHNDRW"],"itemData":{"id":435,"type":"article-journal","title":"Comprehensive Molecular Characterization of Papillary Renal Cell Carcinoma","container-title":"The New England journal of medicine","page":"135-145","volume":"374","issue":"2","source":"PubMed Central","abstract":"Background\nPapillary renal cell carcinoma, accounting for 15% of renal cell carcinoma, is a heterogeneous disease consisting of different types of renal cancer, including tumors with indolent, multifocal presentation and solitary tumors with an aggressive, highly lethal phenotype. Little is known about the genetic basis of sporadic papillary renal cell carcinoma; no effective forms of therapy for advanced disease exist.\n\nMethods\nWe performed comprehensive molecular characterization utilizing whole-exome sequencing, copy number, mRNA, microRNA, methylation and proteomic analyses of 161 primary papillary renal cell carcinomas.\n\nResults\nType 1 and Type 2 papillary renal cell carcinomas were found to be different types of renal cancer characterized by specific genetic alterations, with Type 2 further classified into three individual subgroups based on molecular differences that influenced patient survival. MET alterations were associated with Type 1 tumors, whereas Type 2 tumors were characterized by CDKN2A silencing, SETD2 mutations, TFE3 fusions, and increased expression of the NRF2-ARE pathway. A CpG island methylator phenotype (CIMP) was found in a distinct subset of Type 2 papillary renal cell carcinoma characterized by poor survival and mutation of the fumarate hydratase (FH) gene.\n\nConclusions\nType 1 and Type 2 papillary renal cell carcinomas are clinically and biologically distinct. Alterations in the MET pathway are associated with Type 1 and activation of the NRF2-ARE pathway with Type 2; CDKN2A loss and CIMP in Type 2 convey a poor prognosis. Furthermore, Type 2 papillary renal cell carcinoma consists of at least 3 subtypes based upon molecular and phenotypic features.","URL":"https://www.ncbi.nlm.nih.gov/pmc/articles/PMC4775252/","DOI":"10.1056/NEJMoa1505917","ISSN":"0028-4793","note":"PMID: 26536169\nPMCID: PMC4775252","journalAbbreviation":"N Engl J Med","author":[{"family":"Linehan","given":"W. Marston"},{"family":"Spellman","given":"Paul T."},{"family":"Ricketts","given":"Christopher J."},{"family":"Creighton","given":"Chad J."},{"family":"Fei","given":"Suzanne S."},{"family":"Davis","given":"Caleb"},{"family":"Wheeler","given":"David A."},{"family":"Murray","given":"Bradley A."},{"family":"Schmidt","given":"Laura"},{"family":"Vocke","given":"Cathy D."},{"family":"Peto","given":"Myron"},{"family":"Al Mamun","given":"Abu Amar M."},{"family":"Shinbrot","given":"Eve"},{"family":"Sethi","given":"Anurag"},{"family":"Brooks","given":"Samira"},{"family":"Rathmell","given":"W. Kimryn"},{"family":"Brooks","given":"Angela N."},{"family":"Hoadley","given":"Katherine A."},{"family":"Robertson","given":"A. Gordon"},{"family":"Brooks","given":"Denise"},{"family":"Bowlby","given":"Reanne"},{"family":"Sadeghi","given":"Sara"},{"family":"Shen","given":"Hui"},{"family":"Weisenberger","given":"Daniel J."},{"family":"Bootwalla","given":"Moiz"},{"family":"Baylin","given":"Stephen B."},{"family":"Laird","given":"Peter W."},{"family":"Cherniack","given":"Andrew D."},{"family":"Saksena","given":"Gordon"},{"family":"Haake","given":"Scott"},{"family":"Li","given":"Jun"},{"family":"Liang","given":"Han"},{"family":"Lu","given":"Yiling"},{"family":"Mills","given":"Gordon B."},{"family":"Akbani","given":"Rehan"},{"family":"Leiserson","given":"Mark D.M."},{"family":"Raphael","given":"Benjamin J."},{"family":"Anur","given":"Pavana"},{"family":"Bottaro","given":"Donald"},{"family":"Albiges","given":"Laurence"},{"family":"Barnabas","given":"Nandita"},{"family":"Choueiri","given":"Toni K."},{"family":"Czerniak","given":"Bogdan"},{"family":"Godwin","given":"Andrew K."},{"family":"Hakimi","given":"A. Ari"},{"family":"Ho","given":"Thai"},{"family":"Hsieh","given":"James"},{"family":"Ittmann","given":"Michael"},{"family":"Kim","given":"William Y."},{"family":"Krishnan","given":"Bhavani"},{"family":"Merino","given":"Maria J."},{"family":"Mills Shaw","given":"Kenna R."},{"family":"Reuter","given":"Victor E."},{"family":"Reznik","given":"Ed"},{"family":"Shelley","given":"Carl Simon"},{"family":"Shuch","given":"Brian"},{"family":"Signoretti","given":"Sabina"},{"family":"Srinivasan","given":"Ramaprasad"},{"family":"Tamboli","given":"Pheroze"},{"family":"Thomas","given":"George"},{"family":"Tickoo","given":"Satish"},{"family":"Burnett","given":"Kenneth"},{"family":"Crain","given":"Daniel"},{"family":"Gardner","given":"Johanna"},{"family":"Lau","given":"Kevin"},{"family":"Mallery","given":"David"},{"family":"Morris","given":"Scott"},{"family":"Paulauskis","given":"Joseph D."},{"family":"Penny","given":"Robert J."},{"family":"Shelton","given":"Candace"},{"family":"Shelton","given":"W. Troy"},{"family":"Sherman","given":"Mark"},{"family":"Thompson","given":"Eric"},{"family":"Yena","given":"Peggy"},{"family":"Avedon","given":"Melissa T."},{"family":"Bowen","given":"Jay"},{"family":"Gastier-Foster","given":"Julie M."},{"family":"Gerken","given":"Mark"},{"family":"Leraas","given":"Kristen M."},{"family":"Lichtenberg","given":"Tara M."},{"family":"Ramirez","given":"Nilsa C."},{"family":"Santos","given":"Tracie"},{"family":"Wise","given":"Lisa"},{"family":"Zmuda","given":"Erik"},{"family":"Demchok","given":"John A."},{"family":"Felau","given":"Ina"},{"family":"Hutter","given":"Carolyn M."},{"family":"Sheth","given":"Margi"},{"family":"Sofia","given":"Heidi J."},{"family":"Tarnuzzer","given":"Roy"},{"family":"Wang","given":"Zhining"},{"family":"Yang","given":"Liming"},{"family":"Zenklusen","given":"Jean C."},{"family":"Zhang","given":"Jiashan (Julia)"},{"family":"Ayala","given":"Brenda"},{"family":"Baboud","given":"Julien"},{"family":"Chudamani","given":"Sudha"},{"family":"Liu","given":"Jia"},{"family":"Lolla","given":"Laxmi"},{"family":"Naresh","given":"Rashi"},{"family":"Pihl","given":"Todd"},{"family":"Sun","given":"Qiang"},{"family":"Wan","given":"Yunhu"},{"family":"Wu","given":"Ye"},{"family":"Ally","given":"Adrian"},{"family":"Balasundaram","given":"Miruna"},{"family":"Balu","given":"Saianand"},{"family":"Beroukhim","given":"Rameen"},{"family":"Bodenheimer","given":"Tom"},{"family":"Buhay","given":"Christian"},{"family":"Butterfield","given":"Yaron S.N."},{"family":"Carlsen","given":"Rebecca"},{"family":"Carter","given":"Scott L."},{"family":"Chao","given":"Hsu"},{"family":"Chuah","given":"Eric"},{"family":"Clarke","given":"Amanda"},{"family":"Covington","given":"Kyle R."},{"family":"Dahdouli","given":"Mahmoud"},{"family":"Dewal","given":"Ninad"},{"family":"Dhalla","given":"Noreen"},{"family":"Doddapaneni","given":"HarshaVardhan"},{"family":"Drummond","given":"Jennifer"},{"family":"Gabriel","given":"Stacey B."},{"family":"Gibbs","given":"Richard A."},{"family":"Guin","given":"Ranabir"},{"family":"Hale","given":"Walker"},{"family":"Hawes","given":"Alicia"},{"family":"Hayes","given":"D. Neil"},{"family":"Holt","given":"Robert A."},{"family":"Hoyle","given":"Alan P."},{"family":"Jefferys","given":"Stuart R."},{"family":"Jones","given":"Steven J.M."},{"family":"Jones","given":"Corbin D."},{"family":"Kalra","given":"Divya"},{"family":"Kovar","given":"Christie"},{"family":"Lewis","given":"Lora"},{"family":"Li","given":"Jie"},{"family":"Ma","given":"Yussanne"},{"family":"Marra","given":"Marco A."},{"family":"Mayo","given":"Michael"},{"family":"Meng","given":"Shaowu"},{"family":"Meyerson","given":"Matthew"},{"family":"Mieczkowski","given":"Piotr A."},{"family":"Moore","given":"Richard A."},{"family":"Morton","given":"Donna"},{"family":"Mose","given":"Lisle E."},{"family":"Mungall","given":"Andrew J."},{"family":"Muzny","given":"Donna"},{"family":"Parker","given":"Joel S."},{"family":"Perou","given":"Charles M."},{"family":"Roach","given":"Jeffrey"},{"family":"Schein","given":"Jacqueline E."},{"family":"Schumacher","given":"Steven E."},{"family":"Shi","given":"Yan"},{"family":"Simons","given":"Janae V."},{"family":"Sipahimalani","given":"Payal"},{"family":"Skelly","given":"Tara"},{"family":"Soloway","given":"Matthew G."},{"family":"Sougnez","given":"Carrie"},{"family":"Tam","given":"Angela"},{"family":"Tan","given":"Donghui"},{"family":"Thiessen","given":"Nina"},{"family":"Veluvolu","given":"Umadevi"},{"family":"Wang","given":"Min"},{"family":"Wilkerson","given":"Matthew D."},{"family":"Wong","given":"Tina"},{"family":"Wu","given":"Junyuan"},{"family":"Xi","given":"Liu"},{"family":"Zhou","given":"Jane"},{"family":"Bedford","given":"Jason"},{"family":"Chen","given":"Fengju"},{"family":"Fu","given":"Yao"},{"family":"Gerstein","given":"Mark"},{"family":"Haussler","given":"David"},{"family":"Kasaian","given":"Katayoon"},{"family":"Lai","given":"Phillip"},{"family":"Ling","given":"Shiyun"},{"family":"Radenbaugh","given":"Amie"},{"family":"Van Den Berg","given":"David"},{"family":"Weinstein","given":"John N."},{"family":"Zhu","given":"Jingchun"},{"family":"Albert","given":"Monique"},{"family":"Alexopoulou","given":"Iakovina"},{"family":"Andersen","given":"Jeremiah J"},{"family":"Auman","given":"J. Todd"},{"family":"Bartlett","given":"John"},{"family":"Bastacky","given":"Sheldon"},{"family":"Bergsten","given":"Julie"},{"family":"Blute","given":"Michael L."},{"family":"Boice","given":"Lori"},{"family":"Bollag","given":"Roni J."},{"family":"Boyd","given":"Jeff"},{"family":"Castle","given":"Erik"},{"family":"Chen","given":"Ying-Bei"},{"family":"Cheville","given":"John C."},{"family":"Curley","given":"Erin"},{"family":"Davies","given":"Benjamin"},{"family":"DeVolk","given":"April"},{"family":"Dhir","given":"Rajiv"},{"family":"Dike","given":"Laura"},{"family":"Eckman","given":"John"},{"family":"Engel","given":"Jay"},{"family":"Harr","given":"Jodi"},{"family":"Hrebinko","given":"Ronald"},{"family":"Huang","given":"Mei"},{"family":"Huelsenbeck-Dill","given":"Lori"},{"family":"Iacocca","given":"Mary"},{"family":"Jacobs","given":"Bruce"},{"family":"Lobis","given":"Michael"},{"family":"Maranchie","given":"Jodi K."},{"family":"McMeekin","given":"Scott"},{"family":"Myers","given":"Jerome"},{"family":"Nelson","given":"Joel"},{"family":"Parfitt","given":"Jeremy"},{"family":"Parwani","given":"Anil"},{"family":"Petrelli","given":"Nicholas"},{"family":"Rabeno","given":"Brenda"},{"family":"Roy","given":"Somak"},{"family":"Salner","given":"Andrew L."},{"family":"Slaton","given":"Joel"},{"family":"Stanton","given":"Melissa"},{"family":"Thompson","given":"R. Houston"},{"family":"Thorne","given":"Leigh"},{"family":"Tucker","given":"Kelinda"},{"family":"Weinberger","given":"Paul M."},{"family":"Winemiller","given":"Cythnia"},{"family":"Zach","given":"Leigh Anne"},{"family":"Zuna","given":"Rosemary"}],"issued":{"date-parts":[["2016",1,14]]},"accessed":{"date-parts":[["2018",4,9]]}}}],"schema":"https://github.com/citation-style-language/schema/raw/master/csl-citation.json"} </w:instrText>
      </w:r>
      <w:r w:rsidR="00F95D6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5,161</w:t>
      </w:r>
      <w:r w:rsidR="00F95D61">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Given the role of oncometabolites in αKGDD inhibition, including </w:t>
      </w:r>
      <w:r w:rsidR="001F5813" w:rsidRPr="00D637BA">
        <w:rPr>
          <w:rFonts w:ascii="Calibri" w:hAnsi="Calibri" w:cs="Calibri"/>
          <w:color w:val="000000" w:themeColor="text1"/>
          <w:sz w:val="22"/>
          <w:szCs w:val="22"/>
        </w:rPr>
        <w:t>inhibition of</w:t>
      </w:r>
      <w:r w:rsidRPr="00D637BA">
        <w:rPr>
          <w:rFonts w:ascii="Calibri" w:hAnsi="Calibri" w:cs="Calibri"/>
          <w:color w:val="000000" w:themeColor="text1"/>
          <w:sz w:val="22"/>
          <w:szCs w:val="22"/>
        </w:rPr>
        <w:t xml:space="preserve"> TET enzymes, it is plausible that fumarate accumulation may be causally linked to the hypermethylated state in CIMP-RCC. </w:t>
      </w:r>
      <w:r w:rsidR="001F5813" w:rsidRPr="00D637BA">
        <w:rPr>
          <w:rFonts w:ascii="Calibri" w:hAnsi="Calibri" w:cs="Calibri"/>
          <w:color w:val="000000" w:themeColor="text1"/>
          <w:sz w:val="22"/>
          <w:szCs w:val="22"/>
        </w:rPr>
        <w:t xml:space="preserve">As </w:t>
      </w:r>
      <w:r w:rsidRPr="00D637BA">
        <w:rPr>
          <w:rFonts w:ascii="Calibri" w:hAnsi="Calibri" w:cs="Calibri"/>
          <w:color w:val="000000" w:themeColor="text1"/>
          <w:sz w:val="22"/>
          <w:szCs w:val="22"/>
        </w:rPr>
        <w:t>CIMP-RCC confer</w:t>
      </w:r>
      <w:r w:rsidR="001F5813" w:rsidRPr="00B946E4">
        <w:rPr>
          <w:rFonts w:ascii="Calibri" w:hAnsi="Calibri" w:cs="Calibri"/>
          <w:color w:val="000000" w:themeColor="text1"/>
          <w:sz w:val="22"/>
          <w:szCs w:val="22"/>
        </w:rPr>
        <w:t>s</w:t>
      </w:r>
      <w:r w:rsidRPr="00D637BA">
        <w:rPr>
          <w:rFonts w:ascii="Calibri" w:hAnsi="Calibri" w:cs="Calibri"/>
          <w:color w:val="000000" w:themeColor="text1"/>
          <w:sz w:val="22"/>
          <w:szCs w:val="22"/>
        </w:rPr>
        <w:t xml:space="preserve"> the worst prognosis of all the RCC subtypes</w:t>
      </w:r>
      <w:r w:rsidR="00F95D6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{"citationID":"a1jtuq8lial","properties":{"formattedCitation":"\\super 5\\nosupersub{}","plainCitation":"5","noteIndex":0},"citationItems":[{"id":427,"uris":["http://zotero.org/users/4775618/items/ZV692HDZ"],"uri":["http://zotero.org/users/4775618/items/ZV692HDZ"],"itemData":{"id":427,"type":"article-journal","title":"The Cancer Genome Atlas Comprehensive Molecular Characterization of Renal Cell Carcinoma","container-title":"Cell Reports","volume":"0","issue":"0","source":"www.cell.com","abstract":"&lt;h2&gt;Summary&lt;/h2&gt;&lt;p&gt;Renal cell carcinoma (RCC) is not a single disease, but several histologically defined cancers with different genetic drivers, clinical courses, and therapeutic responses. The current study evaluated 843 RCC from the three major histologic subtypes, including 488 clear cell RCC, 274 papillary RCC, and 81 chromophobe RCC. Comprehensive genomic and phenotypic analysis of the RCC subtypes reveals distinctive features of each subtype that provide the foundation for the development of subtype-specific therapeutic and management strategies for patients affected with these cancers. Somatic alteration of &lt;i&gt;BAP1&lt;/i&gt;, &lt;i&gt;PBRM1&lt;/i&gt;, and &lt;i&gt;PTEN&lt;/i&gt; and altered metabolic pathways correlated with subtype-specific decreased survival, while &lt;i&gt;CDKN2A&lt;/i&gt; alteration, increased DNA hypermethylation, and increases in the immune-related Th2 gene expression signature correlated with decreased survival within all major histologic subtypes. CIMP-RCC demonstrated an increased immune signature, and a uniform and distinct metabolic expression pattern identified a subset of metabolically divergent (MD) ChRCC that associated with extremely poor survival.&lt;/p&gt;","URL":"http://www.cell.com/cell-reports/abstract/S2211-1247(18)30436-4","DOI":"10.1016/j.celrep.2018.03.075","ISSN":"2211-1247","note":"PMID: 29617669, 29617669","journalAbbreviation":"Cell Reports","language":"English","author":[{"family":"Ricketts","given":"Christopher J."},{"family":"Cubas","given":"Aguirre A. De"},{"family":"Fan","given":"Huihui"},{"family":"Smith","given":"Christof C."},{"family":"Lang","given":"Martin"},{"family":"Reznik","given":"Ed"},{"family":"Bowlby","given":"Reanne"},{"family":"Gibb","given":"Ewan A."},{"family":"Akbani","given":"Rehan"},{"family":"Beroukhim","given":"Rameen"},{"family":"Bottaro","given":"Donald P."},{"family":"Choueiri","given":"Toni K."},{"family":"Gibbs","given":"Richard A."},{"family":"Godwin","given":"Andrew K."},{"family":"Haake","given":"Scott"},{"family":"Hakimi","given":"A. Ari"},{"family":"Henske","given":"Elizabeth P."},{"family":"Hsieh","given":"James J."},{"family":"Ho","given":"Thai H."},{"family":"Kanchi","given":"Rupa S."},{"family":"Krishnan","given":"Bhavani"},{"family":"Kwaitkowski","given":"David J."},{"family":"Lui","given":"Wembin"},{"family":"Merino","given":"Maria J."},{"family":"Mills","given":"Gordon B."},{"family":"Myers","given":"Jerome"},{"family":"Nickerson","given":"Michael L."},{"family":"Reuter","given":"Victor E."},{"family":"Schmidt","given":"Laura S."},{"family":"Shelley","given":"C. Simon"},{"family":"Shen","given":"Hui"},{"family":"Shuch","given":"Brian"},{"family":"Signoretti","given":"Sabina"},{"family":"Srinivasan","given":"Ramaprasad"},{"family":"Tamboli","given":"Pheroze"},{"family":"Thomas","given":"George"},{"family":"Vincent","given":"Benjamin G."},{"family":"Vocke","given":"Cathy D."},{"family":"Wheeler","given":"David A."},{"family":"Yang","given":"Lixing"},{"family":"Kim","given":"William T."},{"family":"Robertson","given":"A. Gordon"},{"family":"Caesar-Johnson","given":"Samantha J."},{"family":"Demchok","given":"John A."},{"family":"Felau","given":"Ina"},{"family":"Kasapi","given":"Melpomeni"},{"family":"Ferguson","given":"Martin L."},{"family":"Hutter","given":"Carolyn M."},{"family":"Sofia","given":"Heidi J."},{"family":"Tarnuzzer","given":"Roy"},{"family":"Wang","given":"Zhining"},{"family":"Yang","given":"Liming"},{"family":"Zenklusen","given":"Jean C."},{"family":"Zhang","given":"Jiashan (Julia)"},{"family":"Chudamani","given":"Sudha"},{"family":"Liu","given":"Jia"},{"family":"Lolla","given":"Laxmi"},{"family":"Naresh","given":"Rashi"},{"family":"Pihl","given":"Todd"},{"family":"Sun","given":"Qiang"},{"family":"Wan","given":"Yunhu"},{"family":"Wu","given":"Ye"},{"family":"Cho","given":"Juok"},{"family":"DeFreitas","given":"Timothy"},{"family":"Frazer","given":"Scott"},{"family":"Gehlenborg","given":"Nils"},{"family":"Getz","given":"Gad"},{"family":"Heiman","given":"David I."},{"family":"Kim","given":"Jaegil"},{"family":"Lawrence","given":"Michael S."},{"family":"Lin","given":"Pei"},{"family":"Meier","given":"Sam"},{"family":"Noble","given":"Michael S."},{"family":"Saksena","given":"Gordon"},{"family":"Voet","given":"Doug"},{"family":"Zhang","given":"Hailei"},{"family":"Bernard","given":"Brady"},{"family":"Chambwe","given":"Nyasha"},{"family":"Dhankani","given":"Varsha"},{"family":"Knijnenburg","given":"Theo"},{"family":"Kramer","given":"Roger"},{"family":"Leinonen","given":"Kalle"},{"family":"Liu","given":"Yuexin"},{"family":"Miller","given":"Michael"},{"family":"Reynolds","given":"Sheila"},{"family":"Shmulevich","given":"Ilya"},{"family":"Thorsson","given":"Vesteinn"},{"family":"Zhang","given":"Wei"},{"family":"Akbani","given":"Rehan"},{"family":"Broom","given":"Bradley M."},{"family":"Hegde","given":"Apurva M."},{"family":"Ju","given":"Zhenlin"},{"family":"Kanchi","given":"Rupa S."},{"family":"Korkut","given":"Anil"},{"family":"Li","given":"Jun"},{"family":"Liang","given":"Han"},{"family":"Ling","given":"Shiyun"},{"family":"Liu","given":"Wenbin"},{"family":"Lu","given":"Yiling"},{"family":"Mills","given":"Gordon B."},{"family":"Ng","given":"Kwok-Shing"},{"family":"Rao","given":"Arvind"},{"family":"Ryan","given":"Michael"},{"family":"Wang","given":"Jing"},{"family":"Weinstein","given":"John N."},{"family":"Zhang","given":"Jiexin"},{"family":"Abeshouse","given":"Adam"},{"family":"Armenia","given":"Joshua"},{"family":"Chakravarty","given":"Debyani"},{"family":"Chatila","given":"Walid K."},{"family":"Bruijn","given":"Ino","dropping-particle":"de"},{"family":"Gao","given":"Jianjiong"},{"family":"Gross","given":"Benjamin E."},{"family":"Heins","given":"Zachary J."},{"family":"Kundra","given":"Ritika"},{"family":"La","given":"Konnor"},{"family":"Ladanyi","given":"Marc"},{"family":"Luna","given":"Augustin"},{"family":"Nissan","given":"Moriah G."},{"family":"Ochoa","given":"Angelica"},{"family":"Phillips","given":"Sarah M."},{"family":"Reznik","given":"Ed"},{"family":"Sanchez-Vega","given":"Francisco"},{"family":"Sander","given":"Chris"},{"family":"Schultz","given":"Nikolaus"},{"family":"Sheridan","given":"Robert"},{"family":"Sumer","given":"S. Onur"},{"family":"Sun","given":"Yichao"},{"family":"Taylor","given":"Barry S."},{"family":"Wang","given":"Jioajiao"},{"family":"Zhang","given":"Hongxin"},{"family":"Anur","given":"Pavana"},{"family":"Peto","given":"Myron"},{"family":"Spellman","given":"Paul"},{"family":"Benz","given":"Christopher"},{"family":"Stuart","given":"Joshua M."},{"family":"Wong","given":"Christopher K."},{"family":"Yau","given":"Christina"},{"family":"Hayes","given":"D. Neil"},{"family":"Parker","given":"Joel S."},{"family":"Wilkerson","given":"Matthew D."},{"family":"Ally","given":"Adrian"},{"family":"Balasundaram","given":"Miruna"},{"family":"Bowlby","given":"Reanne"},{"family":"Brooks","given":"Denise"},{"family":"Carlsen","given":"Rebecca"},{"family":"Chuah","given":"Eric"},{"family":"Dhalla","given":"Noreen"},{"family":"Holt","given":"Robert"},{"family":"Jones","given":"Steven J. M."},{"family":"Kasaian","given":"Katayoon"},{"family":"Lee","given":"Darlene"},{"family":"Ma","given":"Yussanne"},{"family":"Marra","given":"Marco A."},{"family":"Mayo","given":"Michael"},{"family":"Moore","given":"Richard A."},{"family":"Mungall","given":"Andrew J."},{"family":"Mungall","given":"Karen"},{"family":"Robertson","given":"A. Gordon"},{"family":"Sadeghi","given":"Sara"},{"family":"Schein","given":"Jacqueline E."},{"family":"Sipahimalani","given":"Payal"},{"family":"Tam","given":"Angela"},{"family":"Thiessen","given":"Nina"},{"family":"Tse","given":"Kane"},{"family":"Wong","given":"Tina"},{"family":"Berger","given":"Ashton C."},{"family":"Beroukhim","given":"Rameen"},{"family":"Cherniack","given":"Andrew D."},{"family":"Cibulskis","given":"Carrie"},{"family":"Gabriel","given":"Stacey B."},{"family":"Gao","given":"Galen F."},{"family":"Ha","given":"Gavin"},{"family":"Meyerson","given":"Matthew"},{"family":"Schumacher","given":"Steven E."},{"family":"Shih","given":"Juliann"},{"family":"Kucherlapati","given":"Melanie H."},{"family":"Kucherlapati","given":"Raju S."},{"family":"Baylin","given":"Stephen"},{"family":"Cope","given":"Leslie"},{"family":"Danilova","given":"Ludmila"},{"family":"Bootwalla","given":"Moiz S."},{"family":"Lai","given":"Phillip H."},{"family":"Maglinte","given":"Dennis T."},{"family":"Berg","given":"David J. Van Den"},{"family":"Weisenberger","given":"Daniel J."},{"family":"Auman","given":"J. Todd"},{"family":"Balu","given":"Saianand"},{"family":"Bodenheimer","given":"Tom"},{"family":"Fan","given":"Cheng"},{"family":"Hoadley","given":"Katherine A."},{"family":"Hoyle","given":"Alan P."},{"family":"Jefferys","given":"Stuart R."},{"family":"Jones","given":"Corbin D."},{"family":"Meng","given":"Shaowu"},{"family":"Mieczkowski","given":"Piotr A."},{"family":"Mose","given":"Lisle E."},{"family":"Perou","given":"Amy H."},{"family":"Perou","given":"Charles M."},{"family":"Roach","given":"Jeffrey"},{"family":"Shi","given":"Yan"},{"family":"Simons","given":"Janae V."},{"family":"Skelly","given":"Tara"},{"family":"Soloway","given":"Matthew G."},{"family":"Tan","given":"Donghui"},{"family":"Veluvolu","given":"Umadevi"},{"family":"Fan","given":"Huihui"},{"family":"Hinoue","given":"Toshinori"},{"family":"Laird","given":"Peter W."},{"family":"Shen","given":"Hui"},{"family":"Zhou","given":"Wanding"},{"family":"Bellair","given":"Michelle"},{"family":"Chang","given":"Kyle"},{"family":"Covington","given":"Kyle"},{"family":"Creighton","given":"Chad J."},{"family":"Dinh","given":"Huyen"},{"family":"Doddapaneni","given":"HarshaVardhan"},{"family":"Donehower","given":"Lawrence A."},{"family":"Drummond","given":"Jennifer"},{"family":"Gibbs","given":"Richard A."},{"family":"Glenn","given":"Robert"},{"family":"Hale","given":"Walker"},{"family":"Han","given":"Yi"},{"family":"Hu","given":"Jianhong"},{"family":"Korchina","given":"Viktoriya"},{"family":"Lee","given":"Sandra"},{"family":"Lewis","given":"Lora"},{"family":"Li","given":"Wei"},{"family":"Liu","given":"Xiuping"},{"family":"Morgan","given":"Margaret"},{"family":"Morton","given":"Donna"},{"family":"Muzny","given":"Donna"},{"family":"Santibanez","given":"Jireh"},{"family":"Sheth","given":"Margi"},{"family":"Shinbrot","given":"Eve"},{"family":"Wang","given":"Linghua"},{"family":"Wang","given":"Min"},{"family":"Wheeler","given":"David A."},{"family":"Xi","given":"Liu"},{"family":"Zhao","given":"Fengmei"},{"family":"Hess","given":"Julian"},{"family":"Appelbaum","given":"Elizabeth L."},{"family":"Bailey","given":"Matthew"},{"family":"Cordes","given":"Matthew G."},{"family":"Ding","given":"Li"},{"family":"Fronick","given":"Catrina C."},{"family":"Fulton","given":"Lucinda A."},{"family":"Fulton","given":"Robert S."},{"family":"Kandoth","given":"Cyriac"},{"family":"Mardis","given":"Elaine R."},{"family":"McLellan","given":"Michael D."},{"family":"Miller","given":"Christopher A."},{"family":"Schmidt","given":"Heather K."},{"family":"Wilson","given":"Richard K."},{"family":"Crain","given":"Daniel"},{"family":"Curley","given":"Erin"},{"family":"Gardner","given":"Johanna"},{"family":"Lau","given":"Kevin"},{"family":"Mallery","given":"David"},{"family":"Morris","given":"Scott"},{"family":"Paulauskis","given":"Joseph"},{"family":"Penny","given":"Robert"},{"family":"Shelton","given":"Candace"},{"family":"Shelton","given":"Troy"},{"family":"Sherman","given":"Mark"},{"family":"Thompson","given":"Eric"},{"family":"Yena","given":"Peggy"},{"family":"Bowen","given":"Jay"},{"family":"Gastier-Foster","given":"Julie M."},{"family":"Gerken","given":"Mark"},{"family":"Leraas","given":"Kristen M."},{"family":"Lichtenberg","given":"Tara M."},{"family":"Ramirez","given":"Nilsa C."},{"family":"Wise","given":"Lisa"},{"family":"Zmuda","given":"Erik"},{"family":"Corcoran","given":"Niall"},{"family":"Costello","given":"Tony"},{"family":"Hovens","given":"Christopher"},{"family":"Carvalho","given":"Andre L."},{"family":"Carvalho","given":"Ana C.","dropping-particle":"de"},{"family":"Fregnani","given":"José H."},{"family":"Longatto-Filho","given":"Adhemar"},{"family":"Reis","given":"Rui M."},{"family":"Scapulatempo-Neto","given":"Cristovam"},{"family":"Silveira","given":"Henrique C. S."},{"family":"Vidal","given":"Daniel O."},{"family":"Burnette","given":"Andrew"},{"family":"Eschbacher","given":"Jennifer"},{"family":"Hermes","given":"Beth"},{"family":"Noss","given":"Ardene"},{"family":"Singh","given":"Rosy"},{"family":"Anderson","given":"Matthew L."},{"family":"Castro","given":"Patricia D."},{"family":"Ittmann","given":"Michael"},{"family":"Huntsman","given":"David"},{"family":"Kohl","given":"Bernard"},{"family":"Le","given":"Xuan"},{"family":"Thorp","given":"Richard"},{"family":"Andry","given":"Chris"},{"family":"Duffy","given":"Elizabeth R."},{"family":"Lyadov","given":"Vladimir"},{"family":"Paklina","given":"Oxana"},{"family":"Setdikova","given":"Galiya"},{"family":"Shabunin","given":"Alexey"},{"family":"Tavobilov","given":"Mikhail"},{"family":"McPherson","given":"Christopher"},{"family":"Warnick","given":"Ronald"},{"family":"Berkowitz","given":"Ross"},{"family":"Cramer","given":"Daniel"},{"family":"Feltmate","given":"Colleen"},{"family":"Horowitz","given":"Neil"},{"family":"Kibel","given":"Adam"},{"family":"Muto","given":"Michael"},{"family":"Raut","given":"Chandrajit P."},{"family":"Malykh","given":"Andrei"},{"family":"Barnholtz-Sloan","given":"Jill S."},{"family":"Barrett","given":"Wendi"},{"family":"Devine","given":"Karen"},{"family":"Fulop","given":"Jordonna"},{"family":"Ostrom","given":"Quinn T."},{"family":"Shimmel","given":"Kristen"},{"family":"Wolinsky","given":"Yingli"},{"family":"Sloan","given":"Andrew E."},{"family":"Rose","given":"Agostino De"},{"family":"Giuliante","given":"Felice"},{"family":"Goodman","given":"Marc"},{"family":"Karlan","given":"Beth Y."},{"family":"Hagedorn","given":"Curt H."},{"family":"Eckman","given":"John"},{"family":"Harr","given":"Jodi"},{"family":"Myers","given":"Jerome"},{"family":"Tucker","given":"Kelinda"},{"family":"Zach","given":"Leigh Anne"},{"family":"Deyarmin","given":"Brenda"},{"family":"Hu","given":"Hai"},{"family":"Kvecher","given":"Leonid"},{"family":"Larson","given":"Caroline"},{"family":"Mural","given":"Richard J."},{"family":"Somiari","given":"Stella"},{"family":"Vicha","given":"Ales"},{"family":"Zelinka","given":"Tomas"},{"family":"Bennett","given":"Joseph"},{"family":"Iacocca","given":"Mary"},{"family":"Rabeno","given":"Brenda"},{"family":"Swanson","given":"Patricia"},{"family":"Latour","given":"Mathieu"},{"family":"Lacombe","given":"Louis"},{"family":"Têtu","given":"Bernard"},{"family":"Bergeron","given":"Alain"},{"family":"McGraw","given":"Mary"},{"family":"Staugaitis","given":"Susan M."},{"family":"Chabot","given":"John"},{"family":"Hibshoosh","given":"Hanina"},{"family":"Sepulveda","given":"Antonia"},{"family":"Su","given":"Tao"},{"family":"Wang","given":"Timothy"},{"family":"Potapova","given":"Olga"},{"family":"Voronina","given":"Olga"},{"family":"Desjardins","given":"Laurence"},{"family":"Mariani","given":"Odette"},{"family":"Roman-Roman","given":"Sergio"},{"family":"Sastre","given":"Xavier"},{"family":"Stern","given":"Marc-Henri"},{"family":"Cheng","given":"Feixiong"},{"family":"Signoretti","given":"Sabina"},{"family":"Berchuck","given":"Andrew"},{"family":"Bigner","given":"Darell"},{"family":"Lipp","given":"Eric"},{"family":"Marks","given":"Jeffrey"},{"family":"McCall","given":"Shannon"},{"family":"McLendon","given":"Roger"},{"family":"Secord","given":"Angeles"},{"family":"Sharp","given":"Alexis"},{"family":"Behera","given":"Madhusmita"},{"family":"Brat","given":"Daniel J."},{"family":"Chen","given":"Amy"},{"family":"Delman","given":"Keith"},{"family":"Force","given":"Seth"},{"family":"Khuri","given":"Fadlo"},{"family":"Magliocca","given":"Kelly"},{"family":"Maithel","given":"Shishir"},{"family":"Olson","given":"Jeffrey J."},{"family":"Owonikoko","given":"Taofeek"},{"family":"Pickens","given":"Alan"},{"family":"Ramalingam","given":"Suresh"},{"family":"Shin","given":"Dong M."},{"family":"Sica","given":"Gabriel"},{"family":"Meir","given":"Erwin G. Van"},{"family":"Zhang","given":"Hongzheng"},{"family":"Eijckenboom","given":"Wil"},{"family":"Gillis","given":"Ad"},{"family":"Korpershoek","given":"Esther"},{"family":"Looijenga","given":"Leendert"},{"family":"Oosterhuis","given":"Wolter"},{"family":"Stoop","given":"Hans"},{"family":"Kessel","given":"Kim E.","dropping-particle":"van"},{"family":"Zwarthoff","given":"Ellen C."},{"family":"Calatozzolo","given":"Chiara"},{"family":"Cuppini","given":"Lucia"},{"family":"Cuzzubbo","given":"Stefania"},{"family":"DiMeco","given":"Francesco"},{"family":"Finocchiaro","given":"Gaetano"},{"family":"Mattei","given":"Luca"},{"family":"Perin","given":"Alessandro"},{"family":"Pollo","given":"Bianca"},{"family":"Chen","given":"Chu"},{"family":"Houck","given":"John"},{"family":"Lohavanichbutr","given":"Pawadee"},{"family":"Hartmann","given":"Arndt"},{"family":"Stoehr","given":"Christine"},{"family":"Stoehr","given":"Robert"},{"family":"Taubert","given":"Helge"},{"family":"Wach","given":"Sven"},{"family":"Wullich","given":"Bernd"},{"family":"Kycler","given":"Witold"},{"family":"Murawa","given":"Dawid"},{"family":"Wiznerowicz","given":"Maciej"},{"family":"Chung","given":"Ki"},{"family":"Edenfield","given":"W. Jeffrey"},{"family":"Martin","given":"Julie"},{"family":"Baudin","given":"Eric"},{"family":"Bubley","given":"Glenn"},{"family":"Bueno","given":"Raphael"},{"family":"Rienzo","given":"Assunta De"},{"family":"Richards","given":"William G."},{"family":"Kalkanis","given":"Steven"},{"family":"Mikkelsen","given":"Tom"},{"family":"Noushmehr","given":"Houtan"},{"family":"Scarpace","given":"Lisa"},{"family":"Girard","given":"Nicolas"},{"family":"Aymerich","given":"Marta"},{"family":"Campo","given":"Elias"},{"family":"Giné","given":"Eva"},{"family":"Guillermo","given":"Armando López"},{"family":"Bang","given":"Nguyen Van"},{"family":"Hanh","given":"Phan Thi"},{"family":"Phu","given":"Bui Duc"},{"family":"Tang","given":"Yufang"},{"family":"Colman","given":"Howard"},{"family":"Evason","given":"Kimberley"},{"family":"Dottino","given":"Peter R."},{"family":"Martignetti","given":"John A."},{"family":"Gabra","given":"Hani"},{"family":"Juhl","given":"Hartmut"},{"family":"Akeredolu","given":"Teniola"},{"family":"Stepa","given":"Serghei"},{"family":"Hoon","given":"Dave"},{"family":"Ahn","given":"Keunsoo"},{"family":"Kang","given":"Koo Jeong"},{"family":"Beuschlein","given":"Felix"},{"family":"Breggia","given":"Anne"},{"family":"Birrer","given":"Michael"},{"family":"Bell","given":"Debra"},{"family":"Borad","given":"Mitesh"},{"family":"Bryce","given":"Alan H."},{"family":"Castle","given":"Erik"},{"family":"Chandan","given":"Vishal"},{"family":"Cheville","given":"John"},{"family":"Copland","given":"John A."},{"family":"Farnell","given":"Michael"},{"family":"Flotte","given":"Thomas"},{"family":"Giama","given":"Nasra"},{"family":"Ho","given":"Thai"},{"family":"Kendrick","given":"Michael"},{"family":"Kocher","given":"Jean-Pierre"},{"family":"Kopp","given":"Karla"},{"family":"Moser","given":"Catherine"},{"family":"Nagorney","given":"David"},{"family":"O’Brien","given":"Daniel"},{"family":"O’Neill","given":"Brian Patrick"},{"family":"Patel","given":"Tushar"},{"family":"Petersen","given":"Gloria"},{"family":"Que","given":"Florencia"},{"family":"Rivera","given":"Michael"},{"family":"Roberts","given":"Lewis"},{"family":"Smallridge","given":"Robert"},{"family":"Smyrk","given":"Thomas"},{"family":"Stanton","given":"Melissa"},{"family":"Thompson","given":"R. Houston"},{"family":"Torbenson","given":"Michael"},{"family":"Yang","given":"Ju Dong"},{"family":"Zhang","given":"Lizhi"},{"family":"Brimo","given":"Fadi"},{"family":"Ajani","given":"Jaffer A."},{"family":"Gonzalez","given":"Ana Maria Angulo"},{"family":"Behrens","given":"Carmen"},{"family":"Bondaruk","given":"Jolanta"},{"family":"Broaddus","given":"Russell"},{"family":"Czerniak","given":"Bogdan"},{"family":"Esmaeli","given":"Bita"},{"family":"Fujimoto","given":"Junya"},{"family":"Gershenwald","given":"Jeffrey"},{"family":"Guo","given":"Charles"},{"family":"Lazar","given":"Alexander J."},{"family":"Logothetis","given":"Christopher"},{"family":"Meric-Bernstam","given":"Funda"},{"family":"Moran","given":"Cesar"},{"family":"Ramondetta","given":"Lois"},{"family":"Rice","given":"David"},{"family":"Sood","given":"Anil"},{"family":"Tamboli","given":"Pheroze"},{"family":"Thompson","given":"Timothy"},{"family":"Troncoso","given":"Patricia"},{"family":"Tsao","given":"Anne"},{"family":"Wistuba","given":"Ignacio"},{"family":"Carter","given":"Candace"},{"family":"Haydu","given":"Lauren"},{"family":"Hersey","given":"Peter"},{"family":"Jakrot","given":"Valerie"},{"family":"Kakavand","given":"Hojabr"},{"family":"Kefford","given":"Richard"},{"family":"Lee","given":"Kenneth"},{"family":"Long","given":"Georgina"},{"family":"Mann","given":"Graham"},{"family":"Quinn","given":"Michael"},{"family":"Saw","given":"Robyn"},{"family":"Scolyer","given":"Richard"},{"family":"Shannon","given":"Kerwin"},{"family":"Spillane","given":"Andrew"},{"family":"Stretch","given":"Onathan"},{"family":"Synott","given":"Maria"},{"family":"Thompson","given":"John"},{"family":"Wilmott","given":"James"},{"family":"Al-Ahmadie","given":"Hikmat"},{"family":"Chan","given":"Timothy A."},{"family":"Ghossein","given":"Ronald"},{"family":"Gopalan","given":"Anuradha"},{"family":"Levine","given":"Douglas A."},{"family":"Reuter","given":"Victor"},{"family":"Singer","given":"Samuel"},{"family":"Singh","given":"Bhuvanesh"},{"family":"Tien","given":"Nguyen Viet"},{"family":"Broudy","given":"Thomas"},{"family":"Mirsaidi","given":"Cyrus"},{"family":"Nair","given":"Praveen"},{"family":"Drwiega","given":"Paul"},{"family":"Miller","given":"Judy"},{"family":"Smith","given":"Jennifer"},{"family":"Zaren","given":"Howard"},{"family":"Park","given":"Joong-Won"},{"family":"Hung","given":"Nguyen Phi"},{"family":"Kebebew","given":"Electron"},{"family":"Linehan","given":"W. Marston"},{"family":"Metwalli","given":"Adam R."},{"family":"Pacak","given":"Karel"},{"family":"Pinto","given":"Peter A."},{"family":"Schiffman","given":"Mark"},{"family":"Schmidt","given":"Laura S."},{"family":"Vocke","given":"Cathy D."},{"family":"Wentzensen","given":"Nicolas"},{"family":"Worrell","given":"Robert"},{"family":"Yang","given":"Hannah"},{"family":"Moncrieff","given":"Marc"},{"family":"Goparaju","given":"Chandra"},{"family":"Melamed","given":"Jonathan"},{"family":"Pass","given":"Harvey"},{"family":"Botnariuc","given":"Natalia"},{"family":"Caraman","given":"Irina"},{"family":"Cernat","given":"Mircea"},{"family":"Chemencedji","given":"Inga"},{"family":"Clipca","given":"Adrian"},{"family":"Doruc","given":"Serghei"},{"family":"Gorincioi","given":"Ghenadie"},{"family":"Mura","given":"Sergiu"},{"family":"Pirtac","given":"Maria"},{"family":"Stancul","given":"Irina"},{"family":"Tcaciuc","given":"Diana"},{"family":"Albert","given":"Monique"},{"family":"Alexopoulou","given":"Iakovina"},{"family":"Arnaout","given":"Angel"},{"family":"Bartlett","given":"John"},{"family":"Engel","given":"Jay"},{"family":"Gilbert","given":"Sebastien"},{"family":"Parfitt","given":"Jeremy"},{"family":"Sekhon","given":"Harman"},{"family":"Thomas","given":"George"},{"family":"Rassl","given":"Doris M."},{"family":"Rintoul","given":"Robert C."},{"family":"Bifulco","given":"Carlo"},{"family":"Tamakawa","given":"Raina"},{"family":"Urba","given":"Walter"},{"family":"Hayward","given":"Nicholas"},{"family":"Timmers","given":"Henri"},{"family":"Antenucci","given":"Anna"},{"family":"Facciolo","given":"Francesco"},{"family":"Grazi","given":"Gianluca"},{"family":"Marino","given":"Mirella"},{"family":"Merola","given":"Roberta"},{"family":"Krijger","given":"Ronald","dropping-particle":"de"},{"family":"Gimenez-Roqueplo","given":"Anne-Paule"},{"family":"Piché","given":"Alain"},{"family":"Chevalier","given":"Simone"},{"family":"McKercher","given":"Ginette"},{"family":"Birsoy","given":"Kivanc"},{"family":"Barnett","given":"Gene"},{"family":"Brewer","given":"Cathy"},{"family":"Farver","given":"Carol"},{"family":"Naska","given":"Theresa"},{"family":"Pennell","given":"Nathan A."},{"family":"Raymond","given":"Daniel"},{"family":"Schilero","given":"Cathy"},{"family":"Smolenski","given":"Kathy"},{"family":"Williams","given":"Felicia"},{"family":"Morrison","given":"Carl"},{"family":"Borgia","given":"Jeffrey A."},{"family":"Liptay","given":"Michael J."},{"family":"Pool","given":"Mark"},{"family":"Seder","given":"Christopher W."},{"family":"Junker","given":"Kerstin"},{"family":"Omberg","given":"Larsson"},{"family":"Dinkin","given":"Mikhail"},{"family":"Manikhas","given":"George"},{"family":"Alvaro","given":"Domenico"},{"family":"Bragazzi","given":"Maria Consiglia"},{"family":"Cardinale","given":"Vincenzo"},{"family":"Carpino","given":"Guido"},{"family":"Gaudio","given":"Eugenio"},{"family":"Chesla","given":"David"},{"family":"Cottingham","given":"Sandra"},{"family":"Dubina","given":"Michael"},{"family":"Moiseenko","given":"Fedor"},{"family":"Dhanasekaran","given":"Renumathy"},{"family":"Becker","given":"Karl-Friedrich"},{"family":"Janssen","given":"Klaus-Peter"},{"family":"Slotta-Huspenina","given":"Julia"},{"family":"Abdel-Rahman","given":"Mohamed H."},{"family":"Aziz","given":"Dina"},{"family":"Bell","given":"Sue"},{"family":"Cebulla","given":"Colleen M."},{"family":"Davis","given":"Amy"},{"family":"Duell","given":"Rebecca"},{"family":"Elder","given":"J. Bradley"},{"family":"Hilty","given":"Joe"},{"family":"Kumar","given":"Bahavna"},{"family":"Lang","given":"James"},{"family":"Lehman","given":"Norman L."},{"family":"Mandt","given":"Randy"},{"family":"Nguyen","given":"Phuong"},{"family":"Pilarski","given":"Robert"},{"family":"Rai","given":"Karan"},{"family":"Schoenfield","given":"Lynn"},{"family":"Senecal","given":"Kelly"},{"family":"Wakely","given":"Paul"},{"family":"Hansen","given":"Paul"},{"family":"Lechan","given":"Ronald"},{"family":"Powers","given":"James"},{"family":"Tischler","given":"Arthur"},{"family":"Grizzle","given":"William E."},{"family":"Sexton","given":"Katherine C."},{"family":"Kastl","given":"Alison"},{"family":"Henderson","given":"Joel"},{"family":"Porten","given":"Sima"},{"family":"Waldmann","given":"Jens"},{"family":"Fassnacht","given":"Martin"},{"family":"Asa","given":"Sylvia L."},{"family":"Schadendorf","given":"Dirk"},{"family":"Couce","given":"Marta"},{"family":"Graefen","given":"Markus"},{"family":"Huland","given":"Hartwig"},{"family":"Sauter","given":"Guido"},{"family":"Schlomm","given":"Thorsten"},{"family":"Simon","given":"Ronald"},{"family":"Tennstedt","given":"Pierre"},{"family":"Olabode","given":"Oluwole"},{"family":"Nelson","given":"Mark"},{"family":"Bathe","given":"Oliver"},{"family":"Carroll","given":"Peter R."},{"family":"Chan","given":"June M."},{"family":"Disaia","given":"Philip"},{"family":"Glenn","given":"Pat"},{"family":"Kelley","given":"Robin K."},{"family":"Landen","given":"Charles N."},{"family":"Phillips","given":"Joanna"},{"family":"Prados","given":"Michael"},{"family":"Simko","given":"Jeffry"},{"family":"Smith-McCune","given":"Karen"},{"family":"VandenBerg","given":"Scott"},{"family":"Roggin","given":"Kevin"},{"family":"Fehrenbach","given":"Ashley"},{"family":"Kendler","given":"Ady"},{"family":"Sifri","given":"Suzanne"},{"family":"Steele","given":"Ruth"},{"family":"Jimeno","given":"Antonio"},{"family":"Carey","given":"Francis"},{"family":"Forgie","given":"Ian"},{"family":"Mannelli","given":"Massimo"},{"family":"Carney","given":"Michael"},{"family":"Hernandez","given":"Brenda"},{"family":"Campos","given":"Benito"},{"family":"Herold-Mende","given":"Christel"},{"family":"Jungk","given":"Christin"},{"family":"Unterberg","given":"Andreas"},{"family":"Deimling","given":"Andreas","dropping-particle":"von"},{"family":"Bossler","given":"Aaron"},{"family":"Galbraith","given":"Joseph"},{"family":"Jacobus","given":"Laura"},{"family":"Knudson","given":"Michael"},{"family":"Knutson","given":"Tina"},{"family":"Ma","given":"Deqin"},{"family":"Milhem","given":"Mohammed"},{"family":"Sigmund","given":"Rita"},{"family":"Godwin","given":"Andrew K."},{"family":"Madan","given":"Rashna"},{"family":"Rosenthal","given":"Howard G."},{"family":"Adebamowo","given":"Clement"},{"family":"Adebamowo","given":"Sally N."},{"family":"Boussioutas","given":"Alex"},{"family":"Beer","given":"David"},{"family":"Giordano","given":"Thomas"},{"family":"Mes-Masson","given":"Anne-Marie"},{"family":"Saad","given":"Fred"},{"family":"Bocklage","given":"Therese"},{"family":"Landrum","given":"Lisa"},{"family":"Mannel","given":"Robert"},{"family":"Moore","given":"Kathleen"},{"family":"Moxley","given":"Katherine"},{"family":"Postier","given":"Russel"},{"family":"Walker","given":"Joan"},{"family":"Zuna","given":"Rosemary"},{"family":"Feldman","given":"Michael"},{"family":"Valdivieso","given":"Federico"},{"family":"Dhir","given":"Rajiv"},{"family":"Luketich","given":"James"},{"family":"Pinero","given":"Edna M. Mora"},{"family":"Quintero-Aguilo","given":"Mario"},{"family":"Carlotti","given":"Carlos Gilberto"},{"family":"Santos","given":"Jose Sebastião Dos"},{"family":"Kemp","given":"Rafael"},{"family":"Sankarankuty","given":"Ajith"},{"family":"Tirapelli","given":"Daniela"},{"family":"Catto","given":"James"},{"family":"Agnew","given":"Kathy"},{"family":"Swisher","given":"Elizabeth"},{"family":"Creaney","given":"Jenette"},{"family":"Robinson","given":"Bruce"},{"family":"Shelley","given":"Carl Simon"},{"family":"Godwin","given":"Eryn M."},{"family":"Kendall","given":"Sara"},{"family":"Shipman","given":"Cassaundra"},{"family":"Bradford","given":"Carol"},{"family":"Carey","given":"Thomas"},{"family":"Haddad","given":"Andrea"},{"family":"Moyer","given":"Jeffey"},{"family":"Peterson","given":"Lisa"},{"family":"Prince","given":"Mark"},{"family":"Rozek","given":"Laura"},{"family":"Wolf","given":"Gregory"},{"family":"Bowman","given":"Rayleen"},{"family":"Fong","given":"Kwun M."},{"family":"Yang","given":"Ian"},{"family":"Korst","given":"Robert"},{"family":"Rathmell","given":"W. Kimryn"},{"family":"Fantacone-Campbell","given":"J. Leigh"},{"family":"Hooke","given":"Jeffrey A."},{"family":"Kovatich","given":"Albert J."},{"family":"Shriver","given":"Craig D."},{"family":"DiPersio","given":"John"},{"family":"Drake","given":"Bettina"},{"family":"Govindan","given":"Ramaswamy"},{"family":"Heath","given":"Sharon"},{"family":"Ley","given":"Timothy"},{"family":"Tine","given":"Brian Van"},{"family":"Westervelt","given":"Peter"},{"family":"Rubin","given":"Mark A."},{"family":"Lee","given":"Jung Il"},{"family":"Aredes","given":"Natália D."},{"family":"Mariamidze","given":"Armaz"},{"family":"Spellman","given":"Paul T."},{"family":"Rathmell","given":"W. Kimryn"},{"family":"Linehan","given":"W. Marston"}],"issued":{"date-parts":[["2018",4,5]]},"accessed":{"date-parts":[["2018",4,9]]}}}],"schema":"https://github.com/citation-style-language/schema/raw/master/csl-citation.json"} </w:instrText>
      </w:r>
      <w:r w:rsidR="00F95D6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5</w:t>
      </w:r>
      <w:r w:rsidR="00F95D61">
        <w:rPr>
          <w:rFonts w:ascii="Calibri" w:hAnsi="Calibri" w:cs="Calibri"/>
          <w:color w:val="000000" w:themeColor="text1"/>
          <w:sz w:val="22"/>
          <w:szCs w:val="22"/>
        </w:rPr>
        <w:fldChar w:fldCharType="end"/>
      </w:r>
      <w:r w:rsidR="00720190">
        <w:rPr>
          <w:rFonts w:ascii="Calibri" w:hAnsi="Calibri" w:cs="Calibri"/>
          <w:color w:val="000000" w:themeColor="text1"/>
          <w:sz w:val="22"/>
          <w:szCs w:val="22"/>
        </w:rPr>
        <w:t xml:space="preserve"> and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-deficient RCC</w:t>
      </w:r>
      <w:r w:rsidR="001F5813" w:rsidRPr="00B946E4">
        <w:rPr>
          <w:rFonts w:ascii="Calibri" w:hAnsi="Calibri" w:cs="Calibri"/>
          <w:color w:val="000000" w:themeColor="text1"/>
          <w:sz w:val="22"/>
          <w:szCs w:val="22"/>
        </w:rPr>
        <w:t xml:space="preserve"> is highly aggressive</w:t>
      </w:r>
      <w:r w:rsidR="00F95D6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{"citationID":"avf2rsm5a1","properties":{"formattedCitation":"\\super 96,97,162\\nosupersub{}","plainCitation":"96,97,162","noteIndex":0},"citationItems":[{"id":1548,"uris":["http://zotero.org/users/4775618/items/K5KIXGCG"],"uri":["http://zotero.org/users/4775618/items/K5KIXGCG"],"itemData":{"id":1548,"type":"article-journal","title":"Cascade Fumarate Hydratase mutation screening allows early detection of kidney tumour: a case report","container-title":"BMC Medical Genetics","volume":"18","source":"PubMed Central","abstract":"Background\nFumarate hydratase (FH) deficiency is a rare autosomal recessive disorder which results in a major defect in cellular metabolism. It presents in infancy with progressive encephalopathy, hypotonia, seizures and failure to thrive and is often fatal in childhood. It is caused by mutations in the FH gene (1q42.1) that result in deficiency of the citric acid cycle enzyme fumarate hydratase, resulting in accumulation of fumaric acid. Heterozygous germline mutations in the FH gene predispose to an aggressive autosomal dominant inherited early-onset kidney cancer syndrome: hereditary leiomyomatosis and renal cell cancer (HLRCC).\n\nCase presentation\nCascade FH mutation screening enabled the early diagnosis of a renal tumour in an asymptomatic parent of a child with fumarate hydratase deficiency, resulting in timely and possibly life-saving treatment.\n\nConclusion\nWhile the theoretical risk of kidney cancer in parents of children with recessive fumarate hydratase deficiency is well recognized, to our knowledge this is the first report of a kidney tumour being detected in a parent by screening performed for this indication. This underscores the importance of offering lifelong kidney surveillance to such parents and other heterozygous relatives of children born with fumarate hydratase deficiency.","URL":"https://www.ncbi.nlm.nih.gov/pmc/articles/PMC5530463/","DOI":"10.1186/s12881-017-0436-1","ISSN":"1471-2350","note":"PMID: 28747166\nPMCID: PMC5530463","title-short":"Cascade Fumarate Hydratase mutation screening allows early detection of kidney tumour","journalAbbreviation":"BMC Med Genet","author":[{"family":"Chan","given":"Melanie M. Y."},{"family":"Barnicoat","given":"Angela"},{"family":"Mumtaz","given":"Faiz"},{"family":"Aitchison","given":"Michael"},{"family":"Side","given":"Lucy"},{"family":"Brittain","given":"Helen"},{"family":"Bates","given":"Alan W. H."},{"family":"Gale","given":"Daniel P."}],"issued":{"date-parts":[["2017",7,26]]},"accessed":{"date-parts":[["2019",2,26]]}}},{"id":1149,"uris":["http://zotero.org/users/4775618/items/DR37R26G"],"uri":["http://zotero.org/users/4775618/items/DR37R26G"],"itemData":{"id":1149,"type":"article-journal","title":"Genetic predisposition to kidney cancer","container-title":"Seminars in oncology","page":"566-574","volume":"43","issue":"5","source":"PubMed Central","abstract":"Kidney cancer is not a single disease but is made up of a number of different types of cancer classified by histology that are disparate in presentation, clinical course, and genetic basis. Studies of families with inherited renal cell carcinoma (RCC) have provided the basis for our understanding of the causative genes and altered metabolic pathways in renal cancer with different histologies. Von Hippel-Lindau disease was the first renal cancer disorder with a defined genetic basis. Over the next two decades, the genes responsible for a number of other inherited renal cancer syndromes including hereditary papillary renal carcinoma, Birt-Hogg-Dubé syndrome, hereditary leiomyomatosis and renal cell carcinoma, and succinate dehydrogenase–associated renal cancer were identified. Recently, renal cell carcinoma has been confirmed as part of the clinical phenotype in individuals from families with BAP1-associated tumor predisposition syndrome and MiTF-associated cancer syndrome. Here we summarize the clinical characteristics of and causative genes for these and other inherited RCC syndromes, the pathways that are dysregulated when the inherited genes are mutated, and recommended clinical management of patients with these inherited renal cancer syndromes.","URL":"https://www.ncbi.nlm.nih.gov/pmc/articles/PMC5137802/","DOI":"10.1053/j.seminoncol.2016.09.001","ISSN":"0093-7754","note":"PMID: 27899189\nPMCID: PMC5137802","journalAbbreviation":"Semin Oncol","author":[{"family":"Schmidt","given":"Laura S."},{"family":"Linehan","given":"W. Marston"}],"issued":{"date-parts":[["2016",10]]},"accessed":{"date-parts":[["2019",2,17]]}}},{"id":1931,"uris":["http://zotero.org/users/4775618/items/5JRY88DA"],"uri":["http://zotero.org/users/4775618/items/5JRY88DA"],"itemData":{"id":1931,"type":"article-journal","title":"Hereditary leiomyomatosis and renal cell carcinoma","container-title":"International Journal of Nephrology and Renovascular Disease","page":"253-260","volume":"7","source":"PubMed Central","abstract":"Hereditary leiomyomatosis and renal cell carcinoma (HLRCC) is an autosomal-dominant hereditary syndrome, which is caused by germline mutations in the FH gene that encodes the tricarboxylic acid cycle enzyme fumarate hydratase (FH). HLRCC patients are predisposed to develop cutaneous leiomyomas, multiple, symptomatic uterine fibroids in young women resulting in early hysterectomies, and early onset renal tumors with a type 2 papillary morphology that can progress and metastasize, even when small. Since HLRCC-associated renal tumors can be more aggressive than renal tumors in other hereditary renal cancer syndromes, caution is warranted, and surgical intervention is recommended rather than active surveillance. At-risk members of an HLRCC family who test positive for the familial germline FH mutation should undergo surveillance by annual magnetic resonance imaging from the age of 8 years. Biochemical studies have shown that FH-deficient kidney cancer is characterized by a metabolic shift to aerobic glycolysis. It is hoped that through ongoing clinical trials evaluating targeted molecular therapies, an effective form of treatment for HLRCC-associated kidney cancer will be developed that will offer an improved prognosis for individuals affected with HLRCC-associated kidney cancer.","URL":"https://www.ncbi.nlm.nih.gov/pmc/articles/PMC4074185/","DOI":"10.2147/IJNRD.S42097","ISSN":"1178-7058","note":"PMID: 25018647\nPMCID: PMC4074185","journalAbbreviation":"Int J Nephrol Renovasc Dis","author":[{"family":"Schmidt","given":"Laura S"},{"family":"Linehan","given":"W Marston"}],"issued":{"date-parts":[["2014",6,20]]},"accessed":{"date-parts":[["2019",6,19]]}}}],"schema":"https://github.com/citation-style-language/schema/raw/master/csl-citation.json"} </w:instrText>
      </w:r>
      <w:r w:rsidR="00F95D6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96,97,162</w:t>
      </w:r>
      <w:r w:rsidR="00F95D61">
        <w:rPr>
          <w:rFonts w:ascii="Calibri" w:hAnsi="Calibri" w:cs="Calibri"/>
          <w:color w:val="000000" w:themeColor="text1"/>
          <w:sz w:val="22"/>
          <w:szCs w:val="22"/>
        </w:rPr>
        <w:fldChar w:fldCharType="end"/>
      </w:r>
      <w:r w:rsidR="00720190">
        <w:rPr>
          <w:rFonts w:ascii="Calibri" w:hAnsi="Calibri" w:cs="Calibri"/>
          <w:color w:val="000000" w:themeColor="text1"/>
          <w:sz w:val="22"/>
          <w:szCs w:val="22"/>
        </w:rPr>
        <w:t xml:space="preserve"> with</w:t>
      </w:r>
      <w:r w:rsidR="001F5813" w:rsidRPr="00B946E4">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current therapies</w:t>
      </w:r>
      <w:r w:rsidR="00720190">
        <w:rPr>
          <w:rFonts w:ascii="Calibri" w:hAnsi="Calibri" w:cs="Calibri"/>
          <w:color w:val="000000" w:themeColor="text1"/>
          <w:sz w:val="22"/>
          <w:szCs w:val="22"/>
        </w:rPr>
        <w:t xml:space="preserve"> </w:t>
      </w:r>
      <w:r w:rsidR="001F5813" w:rsidRPr="00B946E4">
        <w:rPr>
          <w:rFonts w:ascii="Calibri" w:hAnsi="Calibri" w:cs="Calibri"/>
          <w:color w:val="000000" w:themeColor="text1"/>
          <w:sz w:val="22"/>
          <w:szCs w:val="22"/>
        </w:rPr>
        <w:t>ineffective</w:t>
      </w:r>
      <w:r w:rsidRPr="00D637BA">
        <w:rPr>
          <w:rFonts w:ascii="Calibri" w:hAnsi="Calibri" w:cs="Calibri"/>
          <w:color w:val="000000" w:themeColor="text1"/>
          <w:sz w:val="22"/>
          <w:szCs w:val="22"/>
        </w:rPr>
        <w:t xml:space="preserve"> in </w:t>
      </w:r>
      <w:r w:rsidR="00720190">
        <w:rPr>
          <w:rFonts w:ascii="Calibri" w:hAnsi="Calibri" w:cs="Calibri"/>
          <w:color w:val="000000" w:themeColor="text1"/>
          <w:sz w:val="22"/>
          <w:szCs w:val="22"/>
        </w:rPr>
        <w:t xml:space="preserve">treating </w:t>
      </w:r>
      <w:r w:rsidRPr="00D637BA">
        <w:rPr>
          <w:rFonts w:ascii="Calibri" w:hAnsi="Calibri" w:cs="Calibri"/>
          <w:color w:val="000000" w:themeColor="text1"/>
          <w:sz w:val="22"/>
          <w:szCs w:val="22"/>
        </w:rPr>
        <w:t xml:space="preserve">advanced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-deficient RCC</w:t>
      </w:r>
      <w:r w:rsidR="00F95D6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{"citationID":"a13chsd789","properties":{"formattedCitation":"\\super 163,164\\nosupersub{}","plainCitation":"163,164","noteIndex":0},"citationItems":[{"id":769,"uris":["http://zotero.org/users/4775618/items/2U79E7R7"],"uri":["http://zotero.org/users/4775618/items/2U79E7R7"],"itemData":{"id":769,"type":"article-journal","title":"An Antioxidant Response Phenotype Shared between Hereditary and Sporadic Type 2 Papillary Renal Cell Carcinoma","container-title":"Cancer Cell","page":"511-523","volume":"20","issue":"4","source":"ScienceDirect","abstract":"Summary\nFumarate hydratase (FH) mutation causes hereditary type 2 papillary renal cell carcinoma (PRCC2). The main effect of FH mutation is fumarate accumulation. The current paradigm posits that the main consequence of fumarate accumulation is HIF-α stabilization. Paradoxically, FH mutation differs from other HIF-α stabilizing mutations, such as VHL and SDH mutations, in its associated tumor types. We identified that fumarate can directly up-regulate antioxidant response element (ARE)–controlled genes. We demonstrated that aldo-keto reductase family 1 member B10 (AKR1B10) is an ARE-controlled gene and is up-regulated upon FH knockdown as well as in FH null cell lines. AKR1B10 overexpression is also a prominent feature in both hereditary and sporadic PRCC2. This phenotype better explains the similarities between hereditary and sporadic PRCC2.","URL":"http://www.sciencedirect.com/science/article/pii/S1535610811003199","DOI":"10.1016/j.ccr.2011.08.024","ISSN":"1535-6108","journalAbbreviation":"Cancer Cell","author":[{"family":"Ooi","given":"Aikseng"},{"family":"Wong","given":"Jing-Chii"},{"family":"Petillo","given":"David"},{"family":"Roossien","given":"Douglas"},{"family":"Perrier-Trudova","given":"Victoria"},{"family":"Whitten","given":"Douglas"},{"family":"Min","given":"Bernice Wong Hui"},{"family":"Tan","given":"Min-Han"},{"family":"Zhang","given":"Zhongfa"},{"family":"Yang","given":"Ximing J."},{"family":"Zhou","given":"Ming"},{"family":"Gardie","given":"Betty"},{"family":"Molinié","given":"Vincent"},{"family":"Richard","given":"Stéphane"},{"family":"Tan","given":"Puay Hoon"},{"family":"Teh","given":"Bin Tean"},{"family":"Furge","given":"Kyle A."}],"issued":{"date-parts":[["2011",10,18]]},"accessed":{"date-parts":[["2018",11,4]]}}},{"id":775,"uris":["http://zotero.org/users/4775618/items/Q9LPKVCF"],"uri":["http://zotero.org/users/4775618/items/Q9LPKVCF"],"itemData":{"id":775,"type":"article-journal","title":"Targeting ABL1-Mediated Oxidative Stress Adaptation in Fumarate Hydratase-Deficient Cancer","container-title":"Cancer Cell","page":"840-850","volume":"26","issue":"6","source":"ScienceDirect","abstract":"Summary\nPatients with germline fumarate hydratase (FH) mutation are predisposed to develop aggressive kidney cancer with few treatment options and poor therapeutic outcomes. Activity of the proto-oncogene ABL1 is upregulated in FH-deficient kidney tumors and drives a metabolic and survival signaling network necessary to cope with impaired mitochondrial function and abnormal accumulation of intracellular fumarate. Excess fumarate indirectly stimulates ABL1 activity, while restoration of wild-type FH abrogates both ABL1 activation and the cytotoxicity caused by ABL1 inhibition or knockdown. ABL1 upregulates aerobic glycolysis via the mTOR/HIF1α pathway and neutralizes fumarate-induced proteotoxic stress by promoting nuclear localization of the antioxidant response transcription factor NRF2. Our findings identify ABL1 as a pharmacologically tractable therapeutic target in glycolytically dependent, oxidatively stressed tumors.","URL":"http://www.sciencedirect.com/science/article/pii/S1535610814004097","DOI":"10.1016/j.ccell.2014.10.005","ISSN":"1535-6108","journalAbbreviation":"Cancer Cell","author":[{"family":"Sourbier","given":"Carole"},{"family":"Ricketts","given":"Christopher J."},{"family":"Matsumoto","given":"Shingo"},{"family":"Crooks","given":"Daniel R."},{"family":"Liao","given":"Pei-Jyun"},{"family":"Mannes","given":"Philip Z."},{"family":"Yang","given":"Youfeng"},{"family":"Wei","given":"Ming-Hui"},{"family":"Srivastava","given":"Gaurav"},{"family":"Ghosh","given":"Sanchari"},{"family":"Chen","given":"Viola"},{"family":"Vocke","given":"Cathy D."},{"family":"Merino","given":"Maria"},{"family":"Srinivasan","given":"Ramaprasad"},{"family":"Krishna","given":"Murali C."},{"family":"Mitchell","given":"James B."},{"family":"Pendergast","given":"Ann Marie"},{"family":"Rouault","given":"Tracey A."},{"family":"Neckers","given":"Len"},{"family":"Linehan","given":"W. Marston"}],"issued":{"date-parts":[["2014",12,8]]},"accessed":{"date-parts":[["2018",11,4]]}}}],"schema":"https://github.com/citation-style-language/schema/raw/master/csl-citation.json"} </w:instrText>
      </w:r>
      <w:r w:rsidR="00F95D6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163,164</w:t>
      </w:r>
      <w:r w:rsidR="00F95D61">
        <w:rPr>
          <w:rFonts w:ascii="Calibri" w:hAnsi="Calibri" w:cs="Calibri"/>
          <w:color w:val="000000" w:themeColor="text1"/>
          <w:sz w:val="22"/>
          <w:szCs w:val="22"/>
        </w:rPr>
        <w:fldChar w:fldCharType="end"/>
      </w:r>
      <w:r w:rsidR="00820A94">
        <w:rPr>
          <w:rFonts w:ascii="Calibri" w:hAnsi="Calibri" w:cs="Calibri"/>
          <w:color w:val="000000" w:themeColor="text1"/>
          <w:sz w:val="22"/>
          <w:szCs w:val="22"/>
        </w:rPr>
        <w:t>,</w:t>
      </w:r>
      <w:r w:rsidR="001F5813" w:rsidRPr="00D637BA">
        <w:rPr>
          <w:rFonts w:ascii="Calibri" w:hAnsi="Calibri" w:cs="Calibri"/>
          <w:color w:val="000000" w:themeColor="text1"/>
          <w:sz w:val="22"/>
          <w:szCs w:val="22"/>
        </w:rPr>
        <w:t xml:space="preserve">further </w:t>
      </w:r>
      <w:r w:rsidRPr="00D637BA">
        <w:rPr>
          <w:rFonts w:ascii="Calibri" w:hAnsi="Calibri" w:cs="Calibri"/>
          <w:color w:val="000000" w:themeColor="text1"/>
          <w:sz w:val="22"/>
          <w:szCs w:val="22"/>
        </w:rPr>
        <w:t xml:space="preserve">understanding </w:t>
      </w:r>
      <w:r w:rsidR="00820A94">
        <w:rPr>
          <w:rFonts w:ascii="Calibri" w:hAnsi="Calibri" w:cs="Calibri"/>
          <w:color w:val="000000" w:themeColor="text1"/>
          <w:sz w:val="22"/>
          <w:szCs w:val="22"/>
        </w:rPr>
        <w:t xml:space="preserve">of </w:t>
      </w:r>
      <w:r w:rsidRPr="00D637BA">
        <w:rPr>
          <w:rFonts w:ascii="Calibri" w:hAnsi="Calibri" w:cs="Calibri"/>
          <w:color w:val="000000" w:themeColor="text1"/>
          <w:sz w:val="22"/>
          <w:szCs w:val="22"/>
        </w:rPr>
        <w:t xml:space="preserve">the </w:t>
      </w:r>
      <w:r w:rsidR="001F5813" w:rsidRPr="00D637BA">
        <w:rPr>
          <w:rFonts w:ascii="Calibri" w:hAnsi="Calibri" w:cs="Calibri"/>
          <w:color w:val="000000" w:themeColor="text1"/>
          <w:sz w:val="22"/>
          <w:szCs w:val="22"/>
        </w:rPr>
        <w:t xml:space="preserve">underlying </w:t>
      </w:r>
      <w:r w:rsidRPr="00D637BA">
        <w:rPr>
          <w:rFonts w:ascii="Calibri" w:hAnsi="Calibri" w:cs="Calibri"/>
          <w:color w:val="000000" w:themeColor="text1"/>
          <w:sz w:val="22"/>
          <w:szCs w:val="22"/>
        </w:rPr>
        <w:t>disease process</w:t>
      </w:r>
      <w:r w:rsidR="00746863">
        <w:rPr>
          <w:rFonts w:ascii="Calibri" w:hAnsi="Calibri" w:cs="Calibri"/>
          <w:color w:val="000000" w:themeColor="text1"/>
          <w:sz w:val="22"/>
          <w:szCs w:val="22"/>
        </w:rPr>
        <w:t xml:space="preserve"> might </w:t>
      </w:r>
      <w:r w:rsidR="001F5813" w:rsidRPr="00D637BA">
        <w:rPr>
          <w:rFonts w:ascii="Calibri" w:hAnsi="Calibri" w:cs="Calibri"/>
          <w:color w:val="000000" w:themeColor="text1"/>
          <w:sz w:val="22"/>
          <w:szCs w:val="22"/>
        </w:rPr>
        <w:t>enable the development of</w:t>
      </w:r>
      <w:r w:rsidR="000167D7">
        <w:rPr>
          <w:rFonts w:ascii="Calibri" w:hAnsi="Calibri" w:cs="Calibri"/>
          <w:color w:val="000000" w:themeColor="text1"/>
          <w:sz w:val="22"/>
          <w:szCs w:val="22"/>
        </w:rPr>
        <w:t xml:space="preserve"> </w:t>
      </w:r>
      <w:r w:rsidR="00746863">
        <w:rPr>
          <w:rFonts w:ascii="Calibri" w:hAnsi="Calibri" w:cs="Calibri"/>
          <w:color w:val="000000" w:themeColor="text1"/>
          <w:sz w:val="22"/>
          <w:szCs w:val="22"/>
        </w:rPr>
        <w:t xml:space="preserve">more </w:t>
      </w:r>
      <w:r w:rsidRPr="00D637BA">
        <w:rPr>
          <w:rFonts w:ascii="Calibri" w:hAnsi="Calibri" w:cs="Calibri"/>
          <w:color w:val="000000" w:themeColor="text1"/>
          <w:sz w:val="22"/>
          <w:szCs w:val="22"/>
        </w:rPr>
        <w:t xml:space="preserve">effective </w:t>
      </w:r>
      <w:r w:rsidR="00820A94">
        <w:rPr>
          <w:rFonts w:ascii="Calibri" w:hAnsi="Calibri" w:cs="Calibri"/>
          <w:color w:val="000000" w:themeColor="text1"/>
          <w:sz w:val="22"/>
          <w:szCs w:val="22"/>
        </w:rPr>
        <w:t>therapies.</w:t>
      </w:r>
      <w:r w:rsidR="001F5813" w:rsidRPr="00D637BA">
        <w:rPr>
          <w:rFonts w:ascii="Calibri" w:hAnsi="Calibri" w:cs="Calibri"/>
          <w:color w:val="000000" w:themeColor="text1"/>
          <w:sz w:val="22"/>
          <w:szCs w:val="22"/>
        </w:rPr>
        <w:t xml:space="preserve"> Such strategies might include the </w:t>
      </w:r>
      <w:r w:rsidRPr="00D637BA">
        <w:rPr>
          <w:rFonts w:ascii="Calibri" w:hAnsi="Calibri" w:cs="Calibri"/>
          <w:color w:val="000000" w:themeColor="text1"/>
          <w:sz w:val="22"/>
          <w:szCs w:val="22"/>
        </w:rPr>
        <w:t xml:space="preserve">use of histone and DNA methylation inhibitors, which </w:t>
      </w:r>
      <w:r w:rsidR="001F5813" w:rsidRPr="00D637BA">
        <w:rPr>
          <w:rFonts w:ascii="Calibri" w:hAnsi="Calibri" w:cs="Calibri"/>
          <w:color w:val="000000" w:themeColor="text1"/>
          <w:sz w:val="22"/>
          <w:szCs w:val="22"/>
        </w:rPr>
        <w:t>are discussed further below</w:t>
      </w:r>
      <w:r w:rsidRPr="00D637BA">
        <w:rPr>
          <w:rFonts w:ascii="Calibri" w:hAnsi="Calibri" w:cs="Calibri"/>
          <w:color w:val="000000" w:themeColor="text1"/>
          <w:sz w:val="22"/>
          <w:szCs w:val="22"/>
        </w:rPr>
        <w:t>.</w:t>
      </w:r>
    </w:p>
    <w:p w14:paraId="21B3F9F8" w14:textId="0256A8E3" w:rsidR="00F131BF" w:rsidRDefault="00720190" w:rsidP="00B946E4">
      <w:pPr>
        <w:spacing w:line="360" w:lineRule="auto"/>
        <w:jc w:val="both"/>
        <w:rPr>
          <w:rFonts w:ascii="Calibri" w:hAnsi="Calibri" w:cs="Calibri"/>
          <w:color w:val="000000" w:themeColor="text1"/>
          <w:sz w:val="22"/>
          <w:szCs w:val="22"/>
        </w:rPr>
      </w:pPr>
      <w:r>
        <w:rPr>
          <w:rFonts w:ascii="Calibri" w:hAnsi="Calibri" w:cs="Calibri"/>
          <w:b/>
          <w:color w:val="000000" w:themeColor="text1"/>
          <w:sz w:val="22"/>
          <w:szCs w:val="22"/>
        </w:rPr>
        <w:tab/>
      </w:r>
      <w:r w:rsidR="00C44E06"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everal studies have demonstrated that oncometabolites have varying </w:t>
      </w:r>
      <w:r w:rsidR="00802F10" w:rsidRPr="00B946E4">
        <w:rPr>
          <w:rFonts w:ascii="Calibri" w:hAnsi="Calibri" w:cs="Calibri"/>
          <w:color w:val="FF0000"/>
          <w:sz w:val="22"/>
          <w:szCs w:val="22"/>
        </w:rPr>
        <w:t>half maximal inhibitory concentration (IC</w:t>
      </w:r>
      <w:r w:rsidR="00802F10" w:rsidRPr="00B946E4">
        <w:rPr>
          <w:rFonts w:ascii="Calibri" w:hAnsi="Calibri" w:cs="Calibri"/>
          <w:color w:val="FF0000"/>
          <w:sz w:val="22"/>
          <w:szCs w:val="22"/>
          <w:vertAlign w:val="subscript"/>
        </w:rPr>
        <w:t>50</w:t>
      </w:r>
      <w:r w:rsidR="00802F10" w:rsidRPr="00B946E4">
        <w:rPr>
          <w:rFonts w:ascii="Calibri" w:hAnsi="Calibri" w:cs="Calibri"/>
          <w:color w:val="FF0000"/>
          <w:sz w:val="22"/>
          <w:szCs w:val="22"/>
        </w:rPr>
        <w:t>)</w:t>
      </w:r>
      <w:r w:rsidR="00802F10" w:rsidRPr="00D637BA">
        <w:rPr>
          <w:rFonts w:ascii="Calibri" w:hAnsi="Calibri" w:cs="Calibri"/>
          <w:sz w:val="22"/>
          <w:szCs w:val="22"/>
        </w:rPr>
        <w:t xml:space="preserve"> </w:t>
      </w:r>
      <w:r w:rsidR="00802F10" w:rsidRPr="00D637BA">
        <w:rPr>
          <w:rFonts w:ascii="Calibri" w:hAnsi="Calibri" w:cs="Calibri"/>
          <w:b/>
          <w:color w:val="0000FF"/>
          <w:sz w:val="22"/>
          <w:szCs w:val="22"/>
        </w:rPr>
        <w:t>[G]</w:t>
      </w:r>
      <w:r w:rsidR="00802F10" w:rsidRPr="00D637BA">
        <w:rPr>
          <w:rFonts w:ascii="Calibri" w:hAnsi="Calibri" w:cs="Calibri"/>
          <w:sz w:val="22"/>
          <w:szCs w:val="22"/>
        </w:rPr>
        <w:t xml:space="preserve"> </w:t>
      </w:r>
      <w:r w:rsidR="00F131BF" w:rsidRPr="00D637BA">
        <w:rPr>
          <w:rFonts w:ascii="Calibri" w:hAnsi="Calibri" w:cs="Calibri"/>
          <w:color w:val="000000" w:themeColor="text1"/>
          <w:sz w:val="22"/>
          <w:szCs w:val="22"/>
        </w:rPr>
        <w:t>values</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for different αKGDDs</w:t>
      </w:r>
      <w:r w:rsidR="00F95D6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{"citationID":"aob68046qh","properties":{"formattedCitation":"\\super 71,140,143,146\\nosupersub{}","plainCitation":"71,140,143,146","noteIndex":0},"citationItems":[{"id":595,"uris":["http://zotero.org/users/4775618/items/6DLESQ5F"],"uri":["http://zotero.org/users/4775618/items/6DLESQ5F"],"itemData":{"id":595,"type":"article-journal","title":"The oncometabolite 2-hydroxyglutarate inhibits histone lysine demethylases","container-title":"EMBO reports","page":"463-469","volume":"12","issue":"5","source":"Wiley Online Library","abstract":"Mutations in isocitrate dehydrogenases (IDHs) have a gain-of-function effect leading to R(−)-2-hydroxyglutarate (R-2HG) accumulation. By using biochemical, structural and cellular assays, we show that either or both R- and S-2HG inhibit 2-oxoglutarate (2OG)-dependent oxygenases with varying potencies. Half-maximal inhibitory concentration (IC50) values for the R-form of 2HG varied from approximately 25 μM for the histone Nε-lysine demethylase JMJD2A to more than 5 mM for the hypoxia-inducible factor (HIF) prolyl hydroxylase. The results indicate that candidate oncogenic pathways in IDH-associated malignancy should include those that are regulated by other 2OG oxygenases than HIF hydroxylases, in particular those involving the regulation of histone methylation.","URL":"https://onlinelibrary.wiley.com/doi/abs/10.1038/embor.2011.43","DOI":"10.1038/embor.2011.43","ISSN":"1469-3178","language":"en","author":[{"family":"Chowdhury","given":"Rasheduzzaman"},{"family":"Yeoh","given":"Kar Kheng"},{"family":"Tian","given":"Ya-Min"},{"family":"Hillringhaus","given":"Lars"},{"family":"Bagg","given":"Eleanor A."},{"family":"Rose","given":"Nathan R."},{"family":"Leung","given":"Ivanhoe K. H."},{"family":"Li","given":"Xuan S."},{"family":"Woon","given":"Esther C. Y."},{"family":"Yang","given":"Ming"},{"family":"McDonough","given":"Michael A."},{"family":"King","given":"Oliver N."},{"family":"Clifton","given":"Ian J."},{"family":"Klose","given":"Robert J."},{"family":"Claridge","given":"Timothy D. W."},{"family":"Ratcliffe","given":"Peter J."},{"family":"Schofield","given":"Christopher J."},{"family":"Kawamura","given":"Akane"}],"issued":{"date-parts":[["2011",5,1]]},"accessed":{"date-parts":[["2018",8,20]]}}},{"id":1439,"uris":["http://zotero.org/users/4775618/items/JZLIJDMI"],"uri":["http://zotero.org/users/4775618/items/JZLIJDMI"],"itemData":{"id":1439,"type":"article-journal","title":"Fumarate and Succinate Regulate Expression of Hypoxia-inducible Genes via TET Enzymes","container-title":"Journal of Biological Chemistry","page":"4256-4265","volume":"291","issue":"8","source":"www.jbc.org.ezp.lib.cam.ac.uk","abstract":"The TET enzymes are members of the 2-oxoglutarate-dependent dioxygenase family and comprise three isoenzymes in humans: TETs 1–3. These TETs convert 5-methylcytosine to 5-hydroxymethylcytosine (5-hmC) in DNA, and high 5-hmC levels are associated with active transcription. The importance of the balance in these modified cytosines is emphasized by the fact that TET2 is mutated in several human cancers, including myeloid malignancies such as acute myeloid leukemia (AML). We characterize here the kinetic and inhibitory properties of Tets and show that the Km value of Tets 1 and 2 for O2 is 30 μm, indicating that they retain high activity even under hypoxic conditions. The AML-associated mutations in the Fe2+ and 2-oxoglutarate-binding residues increased the Km values for these factors 30–80-fold and reduced the Vmax values. Fumarate and succinate, which can accumulate to millimolar levels in succinate dehydrogenase and fumarate hydratase-mutant tumors, were identified as potent Tet inhibitors in vitro, with IC50 values </w:instrText>
      </w:r>
      <w:r w:rsidR="00B67BF3">
        <w:rPr>
          <w:rFonts w:ascii="Cambria Math" w:hAnsi="Cambria Math" w:cs="Cambria Math"/>
          <w:color w:val="000000" w:themeColor="text1"/>
          <w:sz w:val="22"/>
          <w:szCs w:val="22"/>
        </w:rPr>
        <w:instrText>∼</w:instrText>
      </w:r>
      <w:r w:rsidR="00B67BF3">
        <w:rPr>
          <w:rFonts w:ascii="Calibri" w:hAnsi="Calibri" w:cs="Calibri"/>
          <w:color w:val="000000" w:themeColor="text1"/>
          <w:sz w:val="22"/>
          <w:szCs w:val="22"/>
        </w:rPr>
        <w:instrText xml:space="preserve">400–500 μm. Fumarate and succinate also down-regulated global 5-hmC levels in neuroblastoma cells and the expression levels of some hypoxia-inducible factor (HIF) target genes via TET inhibition, despite simultaneous HIFα stabilization. The combination of fumarate or succinate treatment with TET1 or TET3 silencing caused differential effects on the expression of specific HIF target genes. Altogether these data show that hypoxia-inducible genes are regulated in a multilayered manner that includes epigenetic regulation via TETs and 5-hmC levels in addition to HIF stabilization.","URL":"http://www.jbc.org.ezp.lib.cam.ac.uk/content/291/8/4256","DOI":"10.1074/jbc.M115.688762","ISSN":"0021-9258, 1083-351X","note":"PMID: 26703470","journalAbbreviation":"J. Biol. Chem.","language":"en","author":[{"family":"Laukka","given":"Tuomas"},{"family":"Mariani","given":"Christopher J."},{"family":"Ihantola","given":"Tuukka"},{"family":"Cao","given":"John Z."},{"family":"Hokkanen","given":"Juho"},{"family":"Kaelin","given":"William G."},{"family":"Godley","given":"Lucy A."},{"family":"Koivunen","given":"Peppi"}],"issued":{"date-parts":[["2016",2,19]]},"accessed":{"date-parts":[["2019",2,24]]}}},{"id":700,"uris":["http://zotero.org/users/4775618/items/UXVXGHY3"],"uri":["http://zotero.org/users/4775618/items/UXVXGHY3"],"itemData":{"id":700,"type":"article-journal","title":"Inhibition of α-KG-dependent histone and DNA demethylases by fumarate and succinate that are accumulated in mutations of FH and SDH tumor suppressors","container-title":"Genes &amp; Development","page":"1326-1338","volume":"26","issue":"12","source":"PubMed","abstract":"Two Krebs cycle genes, fumarate hydratase (FH) and succinate dehydrogenase (SDH), are mutated in a subset of human cancers, leading to accumulation of their substrates, fumarate and succinate, respectively. Here we demonstrate that fumarate and succinate are competitive inhibitors of multiple α-ketoglutarate (α-KG)-dependent dioxygenases, including histone demethylases, prolyl hydroxylases, collagen prolyl-4-hydroxylases, and the TET (ten-eleven translocation) family of 5-methlycytosine (5mC) hydroxylases. Knockdown of FH and SDH results in elevated intracellular levels of fumarate and succinate, respectively, which act as competitors of α-KG to broadly inhibit the activity of α-KG-dependent dioxygenases. In addition, ectopic expression of tumor-derived FH and SDH mutants inhibits histone demethylation and hydroxylation of 5mC. Our study suggests that tumor-derived FH and SDH mutations accumulate fumarate and succinate, leading to enzymatic inhibition of multiple α-KG-dependent dioxygenases and consequent alterations of genome-wide histone and DNA methylation. These epigenetic alterations associated with mutations of FH and SDH likely contribute to tumorigenesis.","DOI":"10.1101/gad.191056.112","ISSN":"1549-5477","note":"PMID: 22677546\nPMCID: PMC3387660","journalAbbreviation":"Genes Dev.","language":"eng","author":[{"family":"Xiao","given":"Mengtao"},{"family":"Yang","given":"Hui"},{"family":"Xu","given":"Wei"},{"family":"Ma","given":"Shenghong"},{"family":"Lin","given":"Huaipeng"},{"family":"Zhu","given":"Honguang"},{"family":"Liu","given":"Lixia"},{"family":"Liu","given":"Ying"},{"family":"Yang","given":"Chen"},{"family":"Xu","given":"Yanhui"},{"family":"Zhao","given":"Shimin"},{"family":"Ye","given":"Dan"},{"family":"Xiong","given":"Yue"},{"family":"Guan","given":"Kun-Liang"}],"issued":{"date-parts":[["2012",6,15]]}}},{"id":331,"uris":["http://zotero.org/users/4775618/items/CH9YES7I"],"uri":["http://zotero.org/users/4775618/items/CH9YES7I"],"itemData":{"id":331,"type":"article-journal","title":"Oncometabolite 2-Hydroxyglutarate Is a Competitive Inhibitor of α-Ketoglutarate-Dependent Dioxygenases","container-title":"Cancer cell","page":"17-30","volume":"19","issue":"1","source":"PubMed Central","abstract":"IDH1 and IDH2 mutations occur frequently in gliomas and acute myeloid leukemia, leading to simultaneous loss and gain of activities in the production of α-ketoglutarate (α-KG) and 2-hydroxyglutarate (2-HG), respectively. Here we demonstrate that 2-HG is a competitive inhibitor of multiple α-KG-dependent dioxygenases, including histone demethylases and the TET family of 5-methlycytosine (5mC) hydroxylases. 2-HG occupies the same space as α-KG does in the active site of histone demethylases. Ectopic expression of tumor-derived IDH1 and IDH2 mutants inhibits histone demethylation and 5mC hydroxylation. In glioma, IDH1 mutations are associated with increased histone methylation and decreased 5-hydroxylmethylcytosine (5hmC). Hence, tumor-derived IDH1 and IDH2 mutations reduce α-KG and accumulate an α-KG antagonist, 2-HG, leading to genome-wide histone and DNA methylation alterations.","URL":"https://www.ncbi.nlm.nih.gov/pmc/articles/PMC3229304/","DOI":"10.1016/j.ccr.2010.12.014","ISSN":"1535-6108","note":"PMID: 21251613\nPMCID: PMC3229304","journalAbbreviation":"Cancer Cell","author":[{"family":"Xu","given":"Wei"},{"family":"Yang","given":"Hui"},{"family":"Liu","given":"Ying"},{"family":"Yang","given":"Ying"},{"family":"Wang","given":"Ping"},{"family":"Kim","given":"Se-Hee"},{"family":"Ito","given":"Shinsuke"},{"family":"Yang","given":"Chen"},{"family":"Wang","given":"Pu"},{"family":"Xiao","given":"Meng-Tao"},{"family":"Liu","given":"Li-xia"},{"family":"Jiang","given":"Wen-qing"},{"family":"Liu","given":"Jing"},{"family":"Zhang","given":"Jin-ye"},{"family":"Wang","given":"Bin"},{"family":"Frye","given":"Stephen"},{"family":"Zhang","given":"Yi"},{"family":"Xu","given":"Yan-hui"},{"family":"Lei","given":"Qun-ying"},{"family":"Guan","given":"Kun-Liang"},{"family":"Zhao","given":"Shi-min"},{"family":"Xiong","given":"Yue"}],"issued":{"date-parts":[["2011",1,18]]},"accessed":{"date-parts":[["2018",3,29]]}}}],"schema":"https://github.com/citation-style-language/schema/raw/master/csl-citation.json"} </w:instrText>
      </w:r>
      <w:r w:rsidR="00F95D6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71,140,143,146</w:t>
      </w:r>
      <w:r w:rsidR="00F95D61">
        <w:rPr>
          <w:rFonts w:ascii="Calibri" w:hAnsi="Calibri" w:cs="Calibri"/>
          <w:color w:val="000000" w:themeColor="text1"/>
          <w:sz w:val="22"/>
          <w:szCs w:val="22"/>
        </w:rPr>
        <w:fldChar w:fldCharType="end"/>
      </w:r>
      <w:r w:rsidR="00802F10"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suggesting that oncometabolite type and accumulation levels may determine the precise nature of downstream oncogenic processes in </w:t>
      </w:r>
      <w:r w:rsidR="00B94391" w:rsidRPr="00D637BA">
        <w:rPr>
          <w:rFonts w:ascii="Calibri" w:hAnsi="Calibri" w:cs="Calibri"/>
          <w:color w:val="000000" w:themeColor="text1"/>
          <w:sz w:val="22"/>
          <w:szCs w:val="22"/>
        </w:rPr>
        <w:t>individual</w:t>
      </w:r>
      <w:r w:rsidR="00F131BF" w:rsidRPr="00D637BA">
        <w:rPr>
          <w:rFonts w:ascii="Calibri" w:hAnsi="Calibri" w:cs="Calibri"/>
          <w:color w:val="000000" w:themeColor="text1"/>
          <w:sz w:val="22"/>
          <w:szCs w:val="22"/>
        </w:rPr>
        <w:t xml:space="preserve"> cell</w:t>
      </w:r>
      <w:r>
        <w:rPr>
          <w:rFonts w:ascii="Calibri" w:hAnsi="Calibri" w:cs="Calibri"/>
          <w:color w:val="000000" w:themeColor="text1"/>
          <w:sz w:val="22"/>
          <w:szCs w:val="22"/>
        </w:rPr>
        <w:t xml:space="preserve"> types</w:t>
      </w:r>
      <w:r w:rsidR="00E37025">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Beyond the common inhibition of αKGDDs, the distinct biological functions of individual metabolites</w:t>
      </w:r>
      <w:r w:rsidR="00F85844" w:rsidRPr="00D637BA">
        <w:rPr>
          <w:rFonts w:ascii="Calibri" w:hAnsi="Calibri" w:cs="Calibri"/>
          <w:color w:val="000000" w:themeColor="text1"/>
          <w:sz w:val="22"/>
          <w:szCs w:val="22"/>
        </w:rPr>
        <w:t xml:space="preserve"> are</w:t>
      </w:r>
      <w:r w:rsidR="00C44E06" w:rsidRPr="00D637BA">
        <w:rPr>
          <w:rFonts w:ascii="Calibri" w:hAnsi="Calibri" w:cs="Calibri"/>
          <w:color w:val="000000" w:themeColor="text1"/>
          <w:sz w:val="22"/>
          <w:szCs w:val="22"/>
        </w:rPr>
        <w:t xml:space="preserve"> now</w:t>
      </w:r>
      <w:r w:rsidR="00F85844" w:rsidRPr="00D637BA">
        <w:rPr>
          <w:rFonts w:ascii="Calibri" w:hAnsi="Calibri" w:cs="Calibri"/>
          <w:color w:val="000000" w:themeColor="text1"/>
          <w:sz w:val="22"/>
          <w:szCs w:val="22"/>
        </w:rPr>
        <w:t xml:space="preserve"> beginning to be appreciate</w:t>
      </w:r>
      <w:r w:rsidR="009D4E65" w:rsidRPr="00D637BA">
        <w:rPr>
          <w:rFonts w:ascii="Calibri" w:hAnsi="Calibri" w:cs="Calibri"/>
          <w:color w:val="000000" w:themeColor="text1"/>
          <w:sz w:val="22"/>
          <w:szCs w:val="22"/>
        </w:rPr>
        <w:t>d.</w:t>
      </w:r>
    </w:p>
    <w:p w14:paraId="703E784A" w14:textId="41903B6E" w:rsidR="00720190" w:rsidRDefault="00720190" w:rsidP="00B946E4">
      <w:pPr>
        <w:spacing w:line="360" w:lineRule="auto"/>
        <w:jc w:val="both"/>
        <w:rPr>
          <w:rFonts w:ascii="Calibri" w:hAnsi="Calibri" w:cs="Calibri"/>
          <w:color w:val="000000" w:themeColor="text1"/>
          <w:sz w:val="22"/>
          <w:szCs w:val="22"/>
        </w:rPr>
      </w:pPr>
    </w:p>
    <w:p w14:paraId="5544BA62" w14:textId="5199CCD4" w:rsidR="00720190" w:rsidRPr="00D637BA" w:rsidRDefault="00720190" w:rsidP="00B946E4">
      <w:pPr>
        <w:spacing w:line="360" w:lineRule="auto"/>
        <w:jc w:val="both"/>
        <w:rPr>
          <w:rFonts w:ascii="Calibri" w:hAnsi="Calibri" w:cs="Calibri"/>
          <w:color w:val="000000" w:themeColor="text1"/>
          <w:sz w:val="22"/>
          <w:szCs w:val="22"/>
        </w:rPr>
      </w:pPr>
      <w:r w:rsidRPr="00D637BA">
        <w:rPr>
          <w:rFonts w:ascii="Calibri" w:hAnsi="Calibri" w:cs="Calibri"/>
          <w:b/>
          <w:color w:val="000000" w:themeColor="text1"/>
          <w:sz w:val="22"/>
          <w:szCs w:val="22"/>
        </w:rPr>
        <w:t xml:space="preserve">[H2] </w:t>
      </w:r>
      <w:r w:rsidRPr="00B946E4">
        <w:rPr>
          <w:rFonts w:ascii="Calibri" w:hAnsi="Calibri" w:cs="Calibri"/>
          <w:b/>
          <w:color w:val="000000" w:themeColor="text1"/>
          <w:sz w:val="22"/>
          <w:szCs w:val="22"/>
        </w:rPr>
        <w:t xml:space="preserve">Individual oncometabolite functions </w:t>
      </w:r>
    </w:p>
    <w:p w14:paraId="30394BCD" w14:textId="74571B9B" w:rsidR="00310F16" w:rsidRPr="00D637BA" w:rsidRDefault="00310F16" w:rsidP="00F131BF">
      <w:pPr>
        <w:spacing w:line="360" w:lineRule="auto"/>
        <w:jc w:val="both"/>
        <w:rPr>
          <w:rFonts w:ascii="Calibri" w:hAnsi="Calibri" w:cs="Calibri"/>
          <w:color w:val="000000" w:themeColor="text1"/>
          <w:sz w:val="22"/>
          <w:szCs w:val="22"/>
        </w:rPr>
      </w:pPr>
    </w:p>
    <w:p w14:paraId="34A5E7C7" w14:textId="467D9E7B" w:rsidR="0046593B" w:rsidRPr="00D637BA" w:rsidRDefault="00802F10" w:rsidP="000B2EC8">
      <w:pPr>
        <w:spacing w:line="360" w:lineRule="auto"/>
        <w:jc w:val="both"/>
        <w:rPr>
          <w:rFonts w:ascii="Calibri" w:hAnsi="Calibri" w:cs="Calibri"/>
          <w:color w:val="000000" w:themeColor="text1"/>
          <w:sz w:val="22"/>
          <w:szCs w:val="22"/>
        </w:rPr>
      </w:pPr>
      <w:r w:rsidRPr="00D637BA">
        <w:rPr>
          <w:rFonts w:ascii="Calibri" w:hAnsi="Calibri" w:cs="Calibri"/>
          <w:b/>
          <w:color w:val="000000" w:themeColor="text1"/>
          <w:sz w:val="22"/>
          <w:szCs w:val="22"/>
        </w:rPr>
        <w:lastRenderedPageBreak/>
        <w:t xml:space="preserve">[H3] </w:t>
      </w:r>
      <w:r w:rsidR="00F131BF" w:rsidRPr="00D637BA">
        <w:rPr>
          <w:rFonts w:ascii="Calibri" w:hAnsi="Calibri" w:cs="Calibri"/>
          <w:b/>
          <w:color w:val="000000" w:themeColor="text1"/>
          <w:sz w:val="22"/>
          <w:szCs w:val="22"/>
        </w:rPr>
        <w:t>Fumarate</w:t>
      </w:r>
      <w:r w:rsidR="00C44E06" w:rsidRPr="00D637BA">
        <w:rPr>
          <w:rFonts w:ascii="Calibri" w:hAnsi="Calibri" w:cs="Calibri"/>
          <w:b/>
          <w:color w:val="000000" w:themeColor="text1"/>
          <w:sz w:val="22"/>
          <w:szCs w:val="22"/>
        </w:rPr>
        <w:t xml:space="preserve">. </w:t>
      </w:r>
      <w:r w:rsidRPr="00D637BA">
        <w:rPr>
          <w:rFonts w:ascii="Calibri" w:hAnsi="Calibri" w:cs="Calibri"/>
          <w:color w:val="000000" w:themeColor="text1"/>
          <w:sz w:val="22"/>
          <w:szCs w:val="22"/>
        </w:rPr>
        <w:t>To date, f</w:t>
      </w:r>
      <w:r w:rsidR="00F131BF" w:rsidRPr="00D637BA">
        <w:rPr>
          <w:rFonts w:ascii="Calibri" w:hAnsi="Calibri" w:cs="Calibri"/>
          <w:color w:val="000000" w:themeColor="text1"/>
          <w:sz w:val="22"/>
          <w:szCs w:val="22"/>
        </w:rPr>
        <w:t>umarate has</w:t>
      </w:r>
      <w:r w:rsidRPr="00D637BA">
        <w:rPr>
          <w:rFonts w:ascii="Calibri" w:hAnsi="Calibri" w:cs="Calibri"/>
          <w:color w:val="000000" w:themeColor="text1"/>
          <w:sz w:val="22"/>
          <w:szCs w:val="22"/>
        </w:rPr>
        <w:t xml:space="preserve"> been</w:t>
      </w:r>
      <w:r w:rsidR="00F131BF" w:rsidRPr="00D637BA">
        <w:rPr>
          <w:rFonts w:ascii="Calibri" w:hAnsi="Calibri" w:cs="Calibri"/>
          <w:color w:val="000000" w:themeColor="text1"/>
          <w:sz w:val="22"/>
          <w:szCs w:val="22"/>
        </w:rPr>
        <w:t xml:space="preserve"> demonstrated</w:t>
      </w:r>
      <w:r w:rsidRPr="00D637BA">
        <w:rPr>
          <w:rFonts w:ascii="Calibri" w:hAnsi="Calibri" w:cs="Calibri"/>
          <w:color w:val="000000" w:themeColor="text1"/>
          <w:sz w:val="22"/>
          <w:szCs w:val="22"/>
        </w:rPr>
        <w:t xml:space="preserve"> to be</w:t>
      </w:r>
      <w:r w:rsidR="00F131BF" w:rsidRPr="00D637BA">
        <w:rPr>
          <w:rFonts w:ascii="Calibri" w:hAnsi="Calibri" w:cs="Calibri"/>
          <w:color w:val="000000" w:themeColor="text1"/>
          <w:sz w:val="22"/>
          <w:szCs w:val="22"/>
        </w:rPr>
        <w:t xml:space="preserve"> the most versatil</w:t>
      </w:r>
      <w:r w:rsidRPr="00D637BA">
        <w:rPr>
          <w:rFonts w:ascii="Calibri" w:hAnsi="Calibri" w:cs="Calibri"/>
          <w:color w:val="000000" w:themeColor="text1"/>
          <w:sz w:val="22"/>
          <w:szCs w:val="22"/>
        </w:rPr>
        <w:t>e</w:t>
      </w:r>
      <w:r w:rsidR="00F131BF" w:rsidRPr="00D637BA">
        <w:rPr>
          <w:rFonts w:ascii="Calibri" w:hAnsi="Calibri" w:cs="Calibri"/>
          <w:color w:val="000000" w:themeColor="text1"/>
          <w:sz w:val="22"/>
          <w:szCs w:val="22"/>
        </w:rPr>
        <w:t xml:space="preserve"> of the </w:t>
      </w:r>
      <w:r w:rsidR="00F131BF" w:rsidRPr="00D637BA">
        <w:rPr>
          <w:rFonts w:ascii="Calibri" w:hAnsi="Calibri" w:cs="Calibri"/>
          <w:i/>
          <w:color w:val="000000" w:themeColor="text1"/>
          <w:sz w:val="22"/>
          <w:szCs w:val="22"/>
        </w:rPr>
        <w:t>bona fide</w:t>
      </w:r>
      <w:r w:rsidR="00F131BF" w:rsidRPr="00D637BA">
        <w:rPr>
          <w:rFonts w:ascii="Calibri" w:hAnsi="Calibri" w:cs="Calibri"/>
          <w:color w:val="000000" w:themeColor="text1"/>
          <w:sz w:val="22"/>
          <w:szCs w:val="22"/>
        </w:rPr>
        <w:t xml:space="preserve"> oncometabolites, impacting on oncogenic signalling, antioxidant response and phenotype switching (Fig. 2). In addition to the direct inhibition of PHD enzymes that facilitate</w:t>
      </w:r>
      <w:r w:rsidR="00E71E12" w:rsidRPr="00D637BA">
        <w:rPr>
          <w:rFonts w:ascii="Calibri" w:hAnsi="Calibri" w:cs="Calibri"/>
          <w:color w:val="000000" w:themeColor="text1"/>
          <w:sz w:val="22"/>
          <w:szCs w:val="22"/>
        </w:rPr>
        <w:t>s induction of</w:t>
      </w:r>
      <w:r w:rsidR="00F131BF" w:rsidRPr="00D637BA">
        <w:rPr>
          <w:rFonts w:ascii="Calibri" w:hAnsi="Calibri" w:cs="Calibri"/>
          <w:color w:val="000000" w:themeColor="text1"/>
          <w:sz w:val="22"/>
          <w:szCs w:val="22"/>
        </w:rPr>
        <w:t xml:space="preserve"> pseudohypoxia, fumarate has</w:t>
      </w:r>
      <w:r w:rsidR="00F41F5D"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been shown to drive a hypoxic phenotype on a transcriptional level through the non-canonical activation of NFkB</w:t>
      </w:r>
      <w:r w:rsidR="00F40EF3" w:rsidRPr="00B67BF3">
        <w:rPr>
          <w:rFonts w:ascii="Calibri" w:hAnsi="Calibri" w:cs="Calibri"/>
          <w:color w:val="000000"/>
          <w:sz w:val="22"/>
          <w:vertAlign w:val="superscript"/>
          <w:lang w:val="en-US"/>
        </w:rPr>
        <w:t>165</w:t>
      </w:r>
      <w:r w:rsidR="00F40EF3" w:rsidRPr="00D637BA">
        <w:rPr>
          <w:rFonts w:ascii="Calibri" w:hAnsi="Calibri" w:cs="Calibri"/>
          <w:color w:val="000000" w:themeColor="text1"/>
          <w:sz w:val="22"/>
          <w:szCs w:val="22"/>
        </w:rPr>
        <w:t>,</w:t>
      </w:r>
      <w:r w:rsidR="00F40EF3">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a family of transcription factors that can promote HIF1α transcription</w:t>
      </w:r>
      <w:r w:rsidR="00C35418">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{"citationID":"a375gh9fl3","properties":{"formattedCitation":"\\super 165,166\\nosupersub{}","plainCitation":"165,166","noteIndex":0},"citationItems":[{"id":318,"uris":["http://zotero.org/users/4775618/items/3VPFTCIX"],"uri":["http://zotero.org/users/4775618/items/3VPFTCIX"],"itemData":{"id":318,"type":"article-journal","title":"The oncometabolite fumarate promotes pseudohypoxia through noncanonical activation of NF-κB signaling","container-title":"The Journal of Biological Chemistry","page":"24691-24699","volume":"289","issue":"35","source":"PubMed","abstract":"Inactivating mutations of the gene encoding the tricarboxylic acid cycle enzyme fumarate hydratase (FH) have been linked to an aggressive variant of hereditary kidney cancer (hereditary leiomyomatosis and renal cell cancer). These tumors accumulate markedly elevated levels of fumarate. Fumarate is among a growing list of oncometabolites identified in cancers with mutations of genes involved in intermediary metabolism. FH-deficient tumors are notable for their pronounced accumulation of the transcription factor hypoxia inducible factor-1α (HIF-1α) and aggressive behavior. To date, HIF-1α accumulation in hereditary leiomyomatosis and renal cell cancer tumors is thought to result from fumarate-dependent inhibition of prolyl hydroxylases and subsequent evasion from von Hippel-Lindau-dependent degradation. Here, we demonstrate a novel mechanism by which fumarate promotes HIF-1α mRNA and protein accumulation independent of the von Hippel-Lindau pathway. Here we demonstrate that fumarate promotes p65 phosphorylation and p65 accumulation at the HIF-1α promoter through non-canonical signaling via the upstream Tank binding kinase 1 (TBK1). Consistent with these data, inhibition of the TBK1/p65 axis blocks HIF-1α accumulation in cellular models of FH loss and markedly reduces cell invasion of FH-deficient RCC cancer cells. Collectively, our data demonstrate a novel mechanism by which pseudohypoxia is promoted in FH-deficient tumors and identifies TBK1 as a novel putative therapeutic target for the treatment of aggressive fumarate-driven tumors.","DOI":"10.1074/jbc.M114.568162","ISSN":"1083-351X","note":"PMID: 25028521\nPMCID: PMC4148891","journalAbbreviation":"J. Biol. Chem.","language":"eng","author":[{"family":"Shanmugasundaram","given":"Karthigayan"},{"family":"Nayak","given":"Bijaya"},{"family":"Shim","given":"Eun-Hee"},{"family":"Livi","given":"Carolina B."},{"family":"Block","given":"Karen"},{"family":"Sudarshan","given":"Sunil"}],"issued":{"date-parts":[["2014",8,29]]}}},{"id":1557,"uris":["http://zotero.org/users/4775618/items/MFDWCDAT"],"uri":["http://zotero.org/users/4775618/items/MFDWCDAT"],"itemData":{"id":1557,"type":"article-journal","title":"Regulation of hypoxia-inducible factor-1alpha by NF-kappaB","container-title":"The Biochemical Journal","page":"477-484","volume":"412","issue":"3","source":"PubMed","abstract":"HIF (hypoxia-inducible factor) is the main transcription factor activated by low oxygen tensions. HIF-1alpha (and other alpha subunits) is tightly controlled mostly at the protein level, through the concerted action of a class of enzymes called PHDs (prolyl hydroxylases) 1, 2 and 3. Most of the knowledge of HIF derives from studies following hypoxic stress; however, HIF-1alpha stabilization is also found in non-hypoxic conditions through an unknown mechanism. In the present study, we demonstrate that NF-kappaB (nuclear factor kappaB) is a direct modulator of HIF-1alpha expression. The HIF-1alpha promoter is responsive to selective NF-kappaB subunits. siRNA (small interfering RNA) studies for individual NF-kappaB members revealed differential effects on HIF-1alpha mRNA levels, indicating that NF-kappaB can regulate basal HIF-1alpha expression. Finally, when endogenous NF-kappaB is induced by TNFalpha (tumour necrosis factor alpha) treatment, HIF-1alpha levels also change in an NF-kappaB-dependent manner. In conclusion, we find that NF-kappaB can regulate basal TNFalpha and, in certain circumstances, the hypoxia-induced HIF-1alpha.","DOI":"10.1042/BJ20080476","ISSN":"1470-8728","note":"PMID: 18393939\nPMCID: PMC2474706","journalAbbreviation":"Biochem. J.","language":"eng","author":[{"family":"Uden","given":"Patrick","non-dropping-particle":"van"},{"family":"Kenneth","given":"Niall S."},{"family":"Rocha","given":"Sonia"}],"issued":{"date-parts":[["2008",6,15]]}}}],"schema":"https://github.com/citation-style-language/schema/raw/master/csl-citation.json"} </w:instrText>
      </w:r>
      <w:r w:rsidR="00C35418">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166</w:t>
      </w:r>
      <w:r w:rsidR="00C3541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This signalling pathway is dependent on fumarate activation of </w:t>
      </w:r>
      <w:r w:rsidRPr="00D637BA">
        <w:rPr>
          <w:rFonts w:ascii="Calibri" w:hAnsi="Calibri" w:cs="Calibri"/>
          <w:color w:val="000000" w:themeColor="text1"/>
          <w:sz w:val="22"/>
          <w:szCs w:val="22"/>
        </w:rPr>
        <w:t>tank</w:t>
      </w:r>
      <w:r w:rsidR="00F131BF" w:rsidRPr="00D637BA">
        <w:rPr>
          <w:rFonts w:ascii="Calibri" w:hAnsi="Calibri" w:cs="Calibri"/>
          <w:color w:val="000000" w:themeColor="text1"/>
          <w:sz w:val="22"/>
          <w:szCs w:val="22"/>
        </w:rPr>
        <w:t>-binding kinase 1 (TBK1), an enzyme that phosphorylates p65 (a subunit of NFkB) with subsequent NFkB activation</w:t>
      </w:r>
      <w:r w:rsidR="00C35418">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{"citationID":"a831tpsfgh","properties":{"formattedCitation":"\\super 165\\nosupersub{}","plainCitation":"165","noteIndex":0},"citationItems":[{"id":318,"uris":["http://zotero.org/users/4775618/items/3VPFTCIX"],"uri":["http://zotero.org/users/4775618/items/3VPFTCIX"],"itemData":{"id":318,"type":"article-journal","title":"The oncometabolite fumarate promotes pseudohypoxia through noncanonical activation of NF-κB signaling","container-title":"The Journal of Biological Chemistry","page":"24691-24699","volume":"289","issue":"35","source":"PubMed","abstract":"Inactivating mutations of the gene encoding the tricarboxylic acid cycle enzyme fumarate hydratase (FH) have been linked to an aggressive variant of hereditary kidney cancer (hereditary leiomyomatosis and renal cell cancer). These tumors accumulate markedly elevated levels of fumarate. Fumarate is among a growing list of oncometabolites identified in cancers with mutations of genes involved in intermediary metabolism. FH-deficient tumors are notable for their pronounced accumulation of the transcription factor hypoxia inducible factor-1α (HIF-1α) and aggressive behavior. To date, HIF-1α accumulation in hereditary leiomyomatosis and renal cell cancer tumors is thought to result from fumarate-dependent inhibition of prolyl hydroxylases and subsequent evasion from von Hippel-Lindau-dependent degradation. Here, we demonstrate a novel mechanism by which fumarate promotes HIF-1α mRNA and protein accumulation independent of the von Hippel-Lindau pathway. Here we demonstrate that fumarate promotes p65 phosphorylation and p65 accumulation at the HIF-1α promoter through non-canonical signaling via the upstream Tank binding kinase 1 (TBK1). Consistent with these data, inhibition of the TBK1/p65 axis blocks HIF-1α accumulation in cellular models of FH loss and markedly reduces cell invasion of FH-deficient RCC cancer cells. Collectively, our data demonstrate a novel mechanism by which pseudohypoxia is promoted in FH-deficient tumors and identifies TBK1 as a novel putative therapeutic target for the treatment of aggressive fumarate-driven tumors.","DOI":"10.1074/jbc.M114.568162","ISSN":"1083-351X","note":"PMID: 25028521\nPMCID: PMC4148891","journalAbbreviation":"J. Biol. Chem.","language":"eng","author":[{"family":"Shanmugasundaram","given":"Karthigayan"},{"family":"Nayak","given":"Bijaya"},{"family":"Shim","given":"Eun-Hee"},{"family":"Livi","given":"Carolina B."},{"family":"Block","given":"Karen"},{"family":"Sudarshan","given":"Sunil"}],"issued":{"date-parts":[["2014",8,29]]}}}],"schema":"https://github.com/citation-style-language/schema/raw/master/csl-citation.json"} </w:instrText>
      </w:r>
      <w:r w:rsidR="00C35418">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165</w:t>
      </w:r>
      <w:r w:rsidR="00C3541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E71E12" w:rsidRPr="00D637BA">
        <w:rPr>
          <w:rFonts w:ascii="Calibri" w:hAnsi="Calibri" w:cs="Calibri"/>
          <w:color w:val="000000" w:themeColor="text1"/>
          <w:sz w:val="22"/>
          <w:szCs w:val="22"/>
        </w:rPr>
        <w:t>I</w:t>
      </w:r>
      <w:r w:rsidR="00F131BF" w:rsidRPr="00D637BA">
        <w:rPr>
          <w:rFonts w:ascii="Calibri" w:hAnsi="Calibri" w:cs="Calibri"/>
          <w:color w:val="000000" w:themeColor="text1"/>
          <w:sz w:val="22"/>
          <w:szCs w:val="22"/>
        </w:rPr>
        <w:t xml:space="preserve">nhibition of </w:t>
      </w:r>
      <w:r w:rsidRPr="00D637BA">
        <w:rPr>
          <w:rFonts w:ascii="Calibri" w:hAnsi="Calibri" w:cs="Calibri"/>
          <w:color w:val="000000" w:themeColor="text1"/>
          <w:sz w:val="22"/>
          <w:szCs w:val="22"/>
        </w:rPr>
        <w:t xml:space="preserve">the </w:t>
      </w:r>
      <w:r w:rsidR="00F131BF" w:rsidRPr="00D637BA">
        <w:rPr>
          <w:rFonts w:ascii="Calibri" w:hAnsi="Calibri" w:cs="Calibri"/>
          <w:color w:val="000000" w:themeColor="text1"/>
          <w:sz w:val="22"/>
          <w:szCs w:val="22"/>
        </w:rPr>
        <w:t>TBK1</w:t>
      </w:r>
      <w:r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p65 axis in </w:t>
      </w:r>
      <w:r w:rsidR="00F131BF" w:rsidRPr="00B946E4">
        <w:rPr>
          <w:rFonts w:ascii="Calibri" w:hAnsi="Calibri" w:cs="Calibri"/>
          <w:color w:val="000000" w:themeColor="text1"/>
          <w:sz w:val="22"/>
          <w:szCs w:val="22"/>
        </w:rPr>
        <w:t>FH</w:t>
      </w:r>
      <w:r w:rsidR="00F131BF" w:rsidRPr="00D637BA">
        <w:rPr>
          <w:rFonts w:ascii="Calibri" w:hAnsi="Calibri" w:cs="Calibri"/>
          <w:color w:val="000000" w:themeColor="text1"/>
          <w:sz w:val="22"/>
          <w:szCs w:val="22"/>
        </w:rPr>
        <w:t xml:space="preserve">-deficient RCC cells blocked HIF1α expression and reduced cellular invasion </w:t>
      </w:r>
      <w:r w:rsidR="00F131BF" w:rsidRPr="00D637BA">
        <w:rPr>
          <w:rFonts w:ascii="Calibri" w:hAnsi="Calibri" w:cs="Calibri"/>
          <w:i/>
          <w:color w:val="000000" w:themeColor="text1"/>
          <w:sz w:val="22"/>
          <w:szCs w:val="22"/>
        </w:rPr>
        <w:t>in vitro</w:t>
      </w:r>
      <w:r w:rsidR="0046593B" w:rsidRPr="00D637BA">
        <w:rPr>
          <w:rFonts w:ascii="Calibri" w:hAnsi="Calibri" w:cs="Calibri"/>
          <w:color w:val="000000" w:themeColor="text1"/>
          <w:sz w:val="22"/>
          <w:szCs w:val="22"/>
        </w:rPr>
        <w:t>, suggesting</w:t>
      </w:r>
      <w:r w:rsidR="00F131BF" w:rsidRPr="00D637BA">
        <w:rPr>
          <w:rFonts w:ascii="Calibri" w:hAnsi="Calibri" w:cs="Calibri"/>
          <w:color w:val="000000" w:themeColor="text1"/>
          <w:sz w:val="22"/>
          <w:szCs w:val="22"/>
        </w:rPr>
        <w:t xml:space="preserve"> a novel </w:t>
      </w:r>
      <w:r w:rsidR="00E71E12" w:rsidRPr="00D637BA">
        <w:rPr>
          <w:rFonts w:ascii="Calibri" w:hAnsi="Calibri" w:cs="Calibri"/>
          <w:color w:val="000000" w:themeColor="text1"/>
          <w:sz w:val="22"/>
          <w:szCs w:val="22"/>
        </w:rPr>
        <w:t xml:space="preserve">treatment </w:t>
      </w:r>
      <w:r w:rsidR="00F131BF" w:rsidRPr="00D637BA">
        <w:rPr>
          <w:rFonts w:ascii="Calibri" w:hAnsi="Calibri" w:cs="Calibri"/>
          <w:color w:val="000000" w:themeColor="text1"/>
          <w:sz w:val="22"/>
          <w:szCs w:val="22"/>
        </w:rPr>
        <w:t>target</w:t>
      </w:r>
      <w:r w:rsidR="00C35418">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{"citationID":"a1ab7hpeklu","properties":{"formattedCitation":"\\super 165\\nosupersub{}","plainCitation":"165","noteIndex":0},"citationItems":[{"id":318,"uris":["http://zotero.org/users/4775618/items/3VPFTCIX"],"uri":["http://zotero.org/users/4775618/items/3VPFTCIX"],"itemData":{"id":318,"type":"article-journal","title":"The oncometabolite fumarate promotes pseudohypoxia through noncanonical activation of NF-κB signaling","container-title":"The Journal of Biological Chemistry","page":"24691-24699","volume":"289","issue":"35","source":"PubMed","abstract":"Inactivating mutations of the gene encoding the tricarboxylic acid cycle enzyme fumarate hydratase (FH) have been linked to an aggressive variant of hereditary kidney cancer (hereditary leiomyomatosis and renal cell cancer). These tumors accumulate markedly elevated levels of fumarate. Fumarate is among a growing list of oncometabolites identified in cancers with mutations of genes involved in intermediary metabolism. FH-deficient tumors are notable for their pronounced accumulation of the transcription factor hypoxia inducible factor-1α (HIF-1α) and aggressive behavior. To date, HIF-1α accumulation in hereditary leiomyomatosis and renal cell cancer tumors is thought to result from fumarate-dependent inhibition of prolyl hydroxylases and subsequent evasion from von Hippel-Lindau-dependent degradation. Here, we demonstrate a novel mechanism by which fumarate promotes HIF-1α mRNA and protein accumulation independent of the von Hippel-Lindau pathway. Here we demonstrate that fumarate promotes p65 phosphorylation and p65 accumulation at the HIF-1α promoter through non-canonical signaling via the upstream Tank binding kinase 1 (TBK1). Consistent with these data, inhibition of the TBK1/p65 axis blocks HIF-1α accumulation in cellular models of FH loss and markedly reduces cell invasion of FH-deficient RCC cancer cells. Collectively, our data demonstrate a novel mechanism by which pseudohypoxia is promoted in FH-deficient tumors and identifies TBK1 as a novel putative therapeutic target for the treatment of aggressive fumarate-driven tumors.","DOI":"10.1074/jbc.M114.568162","ISSN":"1083-351X","note":"PMID: 25028521\nPMCID: PMC4148891","journalAbbreviation":"J. Biol. Chem.","language":"eng","author":[{"family":"Shanmugasundaram","given":"Karthigayan"},{"family":"Nayak","given":"Bijaya"},{"family":"Shim","given":"Eun-Hee"},{"family":"Livi","given":"Carolina B."},{"family":"Block","given":"Karen"},{"family":"Sudarshan","given":"Sunil"}],"issued":{"date-parts":[["2014",8,29]]}}}],"schema":"https://github.com/citation-style-language/schema/raw/master/csl-citation.json"} </w:instrText>
      </w:r>
      <w:r w:rsidR="00C35418">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165</w:t>
      </w:r>
      <w:r w:rsidR="00C35418">
        <w:rPr>
          <w:rFonts w:ascii="Calibri" w:hAnsi="Calibri" w:cs="Calibri"/>
          <w:color w:val="000000" w:themeColor="text1"/>
          <w:sz w:val="22"/>
          <w:szCs w:val="22"/>
        </w:rPr>
        <w:fldChar w:fldCharType="end"/>
      </w:r>
      <w:r w:rsidR="0046593B" w:rsidRPr="00D637BA">
        <w:rPr>
          <w:rFonts w:ascii="Calibri" w:hAnsi="Calibri" w:cs="Calibri"/>
          <w:color w:val="000000" w:themeColor="text1"/>
          <w:sz w:val="22"/>
          <w:szCs w:val="22"/>
        </w:rPr>
        <w:t xml:space="preserve">. </w:t>
      </w:r>
      <w:r w:rsidR="00436C9F" w:rsidRPr="00D637BA">
        <w:rPr>
          <w:rFonts w:ascii="Calibri" w:hAnsi="Calibri" w:cs="Calibri"/>
          <w:color w:val="000000" w:themeColor="text1"/>
          <w:sz w:val="22"/>
          <w:szCs w:val="22"/>
        </w:rPr>
        <w:t xml:space="preserve">Similarly, silencing of HIF1α in HLRCC-derived, </w:t>
      </w:r>
      <w:r w:rsidR="00436C9F" w:rsidRPr="00A57313">
        <w:rPr>
          <w:rFonts w:ascii="Calibri" w:hAnsi="Calibri" w:cs="Calibri"/>
          <w:color w:val="000000" w:themeColor="text1"/>
          <w:sz w:val="22"/>
          <w:szCs w:val="22"/>
        </w:rPr>
        <w:t>FH</w:t>
      </w:r>
      <w:r w:rsidR="00436C9F" w:rsidRPr="00D637BA">
        <w:rPr>
          <w:rFonts w:ascii="Calibri" w:hAnsi="Calibri" w:cs="Calibri"/>
          <w:color w:val="000000" w:themeColor="text1"/>
          <w:sz w:val="22"/>
          <w:szCs w:val="22"/>
        </w:rPr>
        <w:t>-deficient RCC cell lines diminished the invasive properties of these cells</w:t>
      </w:r>
      <w:r w:rsidR="002320F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{"citationID":"a164srq8s0l","properties":{"formattedCitation":"\\super 167\\nosupersub{}","plainCitation":"167","noteIndex":0},"citationItems":[{"id":1567,"uris":["http://zotero.org/users/4775618/items/EWKJBRTH"],"uri":["http://zotero.org/users/4775618/items/EWKJBRTH"],"itemData":{"id":1567,"type":"article-journal","title":"The glycolytic shift in fumarate-hydratase-deficient kidney cancer lowers AMPK levels, increases anabolic propensities and lowers cellular iron levels","container-title":"Cancer cell","page":"315-327","volume":"20","issue":"3","source":"PubMed Central","abstract":"Inactivation of the TCA cycle enzyme, fumarate hydratase (FH), drives a metabolic shift to aerobic glycolysis in FH-deficient kidney tumors and cell lines from patients with hereditary leiomyomatosis renal cell cancer (HLRCC), resulting in decreased levels of AMP-activated kinase (AMPK) and p53 tumor suppressor, and activation of the anabolic factors, acetyl-CoA carboxylase and ribosomal protein S6. Reduced AMPK levels leads to diminished expression of the DMT1 iron transporter, and the resulting cytosolic iron deficiency activates the iron regulatory proteins, IRP1 and IRP2, and increases expression of the hypoxia inducible factor HIF-1α, but not HIF-2α. Silencing of HIF-1α or activation of AMPK diminishes invasive activities, indicating that alterations of HIF-1α and AMPK contribute to the oncogenic growth of FH-deficient cells.","URL":"https://www.ncbi.nlm.nih.gov/pmc/articles/PMC3174047/","DOI":"10.1016/j.ccr.2011.07.018","ISSN":"1535-6108","note":"PMID: 21907923\nPMCID: PMC3174047","journalAbbreviation":"Cancer Cell","author":[{"family":"Tong","given":"Wing-Hang"},{"family":"Sourbier","given":"Carole"},{"family":"Kovtunovych","given":"Gennady"},{"family":"Jeong","given":"Suh Young"},{"family":"Vira","given":"Manish"},{"family":"Ghosh","given":"Manik"},{"family":"Romero","given":"Vladimir Valera"},{"family":"Sougrat","given":"Rachid"},{"family":"Vaulont","given":"Sophie"},{"family":"Viollet","given":"Benoit"},{"family":"Kim","given":"Yeong-Sang"},{"family":"Lee","given":"Sunmin"},{"family":"Trepel","given":"Jane"},{"family":"Srinivasan","given":"Ramaprasad"},{"family":"Bratslavsky","given":"Gennady"},{"family":"Yang","given":"Youfeng"},{"family":"Linehan","given":"W. Marston"},{"family":"Rouault","given":"Tracey A."}],"issued":{"date-parts":[["2011",9,13]]},"accessed":{"date-parts":[["2019",2,27]]}}}],"schema":"https://github.com/citation-style-language/schema/raw/master/csl-citation.json"} </w:instrText>
      </w:r>
      <w:r w:rsidR="002320F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167</w:t>
      </w:r>
      <w:r w:rsidR="002320F1">
        <w:rPr>
          <w:rFonts w:ascii="Calibri" w:hAnsi="Calibri" w:cs="Calibri"/>
          <w:color w:val="000000" w:themeColor="text1"/>
          <w:sz w:val="22"/>
          <w:szCs w:val="22"/>
        </w:rPr>
        <w:fldChar w:fldCharType="end"/>
      </w:r>
      <w:r w:rsidR="00436C9F" w:rsidRPr="00D637BA">
        <w:rPr>
          <w:rFonts w:ascii="Calibri" w:hAnsi="Calibri" w:cs="Calibri"/>
          <w:color w:val="000000" w:themeColor="text1"/>
          <w:sz w:val="22"/>
          <w:szCs w:val="22"/>
        </w:rPr>
        <w:t xml:space="preserve">. </w:t>
      </w:r>
      <w:r w:rsidR="0046593B" w:rsidRPr="00D637BA">
        <w:rPr>
          <w:rFonts w:ascii="Calibri" w:hAnsi="Calibri" w:cs="Calibri"/>
          <w:color w:val="000000" w:themeColor="text1"/>
          <w:sz w:val="22"/>
          <w:szCs w:val="22"/>
        </w:rPr>
        <w:t>Th</w:t>
      </w:r>
      <w:r w:rsidR="00436C9F" w:rsidRPr="00D637BA">
        <w:rPr>
          <w:rFonts w:ascii="Calibri" w:hAnsi="Calibri" w:cs="Calibri"/>
          <w:color w:val="000000" w:themeColor="text1"/>
          <w:sz w:val="22"/>
          <w:szCs w:val="22"/>
        </w:rPr>
        <w:t>ese</w:t>
      </w:r>
      <w:r w:rsidR="0046593B" w:rsidRPr="00D637BA">
        <w:rPr>
          <w:rFonts w:ascii="Calibri" w:hAnsi="Calibri" w:cs="Calibri"/>
          <w:color w:val="000000" w:themeColor="text1"/>
          <w:sz w:val="22"/>
          <w:szCs w:val="22"/>
        </w:rPr>
        <w:t xml:space="preserve"> f</w:t>
      </w:r>
      <w:r w:rsidR="0090771C" w:rsidRPr="00D637BA">
        <w:rPr>
          <w:rFonts w:ascii="Calibri" w:hAnsi="Calibri" w:cs="Calibri"/>
          <w:color w:val="000000" w:themeColor="text1"/>
          <w:sz w:val="22"/>
          <w:szCs w:val="22"/>
        </w:rPr>
        <w:t>i</w:t>
      </w:r>
      <w:r w:rsidR="0046593B" w:rsidRPr="00D637BA">
        <w:rPr>
          <w:rFonts w:ascii="Calibri" w:hAnsi="Calibri" w:cs="Calibri"/>
          <w:color w:val="000000" w:themeColor="text1"/>
          <w:sz w:val="22"/>
          <w:szCs w:val="22"/>
        </w:rPr>
        <w:t>nding</w:t>
      </w:r>
      <w:r w:rsidR="00436C9F"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 support</w:t>
      </w:r>
      <w:r w:rsidR="00436C9F" w:rsidRPr="00D637BA">
        <w:rPr>
          <w:rFonts w:ascii="Calibri" w:hAnsi="Calibri" w:cs="Calibri"/>
          <w:color w:val="000000" w:themeColor="text1"/>
          <w:sz w:val="22"/>
          <w:szCs w:val="22"/>
        </w:rPr>
        <w:t xml:space="preserve"> a</w:t>
      </w:r>
      <w:r w:rsidR="00F131BF" w:rsidRPr="00D637BA">
        <w:rPr>
          <w:rFonts w:ascii="Calibri" w:hAnsi="Calibri" w:cs="Calibri"/>
          <w:color w:val="000000" w:themeColor="text1"/>
          <w:sz w:val="22"/>
          <w:szCs w:val="22"/>
        </w:rPr>
        <w:t xml:space="preserve"> critical tumorigenic role of HIF1α and pseudohypoxia in aggressive RCC subtypes such as </w:t>
      </w:r>
      <w:r w:rsidR="00F131BF" w:rsidRPr="00B946E4">
        <w:rPr>
          <w:rFonts w:ascii="Calibri" w:hAnsi="Calibri" w:cs="Calibri"/>
          <w:color w:val="000000" w:themeColor="text1"/>
          <w:sz w:val="22"/>
          <w:szCs w:val="22"/>
        </w:rPr>
        <w:t>FH</w:t>
      </w:r>
      <w:r w:rsidR="00F131BF" w:rsidRPr="00D637BA">
        <w:rPr>
          <w:rFonts w:ascii="Calibri" w:hAnsi="Calibri" w:cs="Calibri"/>
          <w:color w:val="000000" w:themeColor="text1"/>
          <w:sz w:val="22"/>
          <w:szCs w:val="22"/>
        </w:rPr>
        <w:t>-deficient RCC (HLRCC)</w:t>
      </w:r>
      <w:r w:rsidR="002320F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{"citationID":"a1aviig8kdr","properties":{"formattedCitation":"\\super 16,56,168\\nosupersub{}","plainCitation":"16,56,168","noteIndex":0},"citationItems":[{"id":1074,"uris":["http://zotero.org/users/4775618/items/JYNME6RA"],"uri":["http://zotero.org/users/4775618/items/JYNME6RA"],"itemData":{"id":1074,"type":"article-journal","title":"Pseudohypoxic Pathways in Renal Cell Carcinoma","container-title":"Clinical Cancer Research","page":"4667-4671","volume":"13","issue":"16","source":"Crossref","URL":"http://clincancerres.aacrjournals.org/cgi/doi/10.1158/1078-0432.CCR-06-2510","DOI":"10.1158/1078-0432.CCR-06-2510","ISSN":"1078-0432, 1557-3265","language":"en","author":[{"family":"Bratslavsky","given":"G."},{"family":"Sudarshan","given":"S."},{"family":"Neckers","given":"L."},{"family":"Linehan","given":"W. M."}],"issued":{"date-parts":[["2007",8,15]]},"accessed":{"date-parts":[["2019",2,13]]}}},{"id":681,"uris":["http://zotero.org/users/4775618/items/CCA6AUTS"],"uri":["http://zotero.org/users/4775618/items/CCA6AUTS"],"itemData":{"id":681,"type":"article-journal","title":"Hypoxia, pseudohypoxia and cellular differentiation","container-title":"Experimental Cell Research","page":"192-196","volume":"356","issue":"2","source":"PubMed","abstract":"Tumor hypoxia correlates to aggressive disease, and while this is explained by a variety of factors, one clue to understand this phenomena was the finding that hypoxia induces a de-differentiated, stem cell-like phenotype in neuroblastoma and breast tumor cells. The hypoxia inducible transcription factors (HIFs) are regulated at the translational level by fluctuating oxygen concentrations, but emerging data reveal that both HIF-1α and HIF-2α expression can be induced by aberrantly activated growth factor signaling independently of oxygen levels. Furthermore, HIF-2α is regulated by hypoxia also at the transcriptional level in neuroblastoma and glioma cells. In cultured tumor cells, HIF-2α is stabilized at physiological oxygen concentrations followed by induced expression of classical hypoxia-driven genes, resulting in a pseudohypoxic phenotype. In addition, in neuroblastoma and glioma specimens, a small subset of HIF-2α positive, HIF-1α negative, tumor cells is found adjacent to blood vessels, i.e. in areas with presumably adequate oxygenation. These tumor niches are thus pseudohypoxic, and the HIF-2α expressing cells present immature features. We have postulated that this niche in neuroblastomas encompass the tumor stem cells. Oncogenes or tumor suppressor genes associated with pseudohypoxia are frequently mutated or deleted in the germline, implicating that the pseudohypoxic phenotype indeed is tumorigenic. In summary, the hypoxic and pseudohypoxic phenotypes of solid tumors are attractive therapeutic targets.","DOI":"10.1016/j.yexcr.2017.03.007","ISSN":"1090-2422","note":"PMID: 28284840","journalAbbreviation":"Exp. Cell Res.","language":"eng","author":[{"family":"Mohlin","given":"Sofie"},{"family":"Wigerup","given":"Caroline"},{"family":"Jögi","given":"Annika"},{"family":"Påhlman","given":"Sven"}],"issued":{"date-parts":[["2017"]],"season":"15"}}},{"id":714,"uris":["http://zotero.org/users/4775618/items/G64B7NRG"],"uri":["http://zotero.org/users/4775618/items/G64B7NRG"],"itemData":{"id":714,"type":"article-journal","title":"Germline mutations in FH predispose to dominantly inherited uterine fibroids, skin leiomyomata and papillary renal cell cancer","container-title":"Nature Genetics","page":"406-410","volume":"30","issue":"4","source":"Crossref","URL":"http://www.nature.com/articles/ng849","DOI":"10.1038/ng849","ISSN":"1061-4036, 1546-1718","language":"en","author":[{"literal":"The Multiple Leiomyoma Consortium"}],"issued":{"date-parts":[["2002",4]]},"accessed":{"date-parts":[["2018",9,2]]}}}],"schema":"https://github.com/citation-style-language/schema/raw/master/csl-citation.json"} </w:instrText>
      </w:r>
      <w:r w:rsidR="002320F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16,56,168</w:t>
      </w:r>
      <w:r w:rsidR="002320F1">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Potentially contradicting this theory, </w:t>
      </w:r>
      <w:r w:rsidR="00F528F4" w:rsidRPr="00D637BA">
        <w:rPr>
          <w:rFonts w:ascii="Calibri" w:hAnsi="Calibri" w:cs="Calibri"/>
          <w:color w:val="000000" w:themeColor="text1"/>
          <w:sz w:val="22"/>
          <w:szCs w:val="22"/>
        </w:rPr>
        <w:t xml:space="preserve">genetic </w:t>
      </w:r>
      <w:r w:rsidR="00F131BF" w:rsidRPr="00D637BA">
        <w:rPr>
          <w:rFonts w:ascii="Calibri" w:hAnsi="Calibri" w:cs="Calibri"/>
          <w:color w:val="000000" w:themeColor="text1"/>
          <w:sz w:val="22"/>
          <w:szCs w:val="22"/>
        </w:rPr>
        <w:t>inactivation of HIF1α</w:t>
      </w:r>
      <w:r w:rsidR="0007137F">
        <w:rPr>
          <w:rFonts w:ascii="Calibri" w:hAnsi="Calibri" w:cs="Calibri"/>
          <w:color w:val="000000" w:themeColor="text1"/>
          <w:sz w:val="22"/>
          <w:szCs w:val="22"/>
        </w:rPr>
        <w:t xml:space="preserve"> </w:t>
      </w:r>
      <w:r w:rsidR="00AD6E7B">
        <w:rPr>
          <w:rFonts w:ascii="Calibri" w:hAnsi="Calibri" w:cs="Calibri"/>
          <w:color w:val="000000" w:themeColor="text1"/>
          <w:sz w:val="22"/>
          <w:szCs w:val="22"/>
        </w:rPr>
        <w:t>or</w:t>
      </w:r>
      <w:r w:rsidR="0007137F">
        <w:rPr>
          <w:rFonts w:ascii="Calibri" w:hAnsi="Calibri" w:cs="Calibri"/>
          <w:color w:val="000000" w:themeColor="text1"/>
          <w:sz w:val="22"/>
          <w:szCs w:val="22"/>
        </w:rPr>
        <w:t xml:space="preserve"> HIF</w:t>
      </w:r>
      <w:r w:rsidR="00F131BF" w:rsidRPr="00D637BA">
        <w:rPr>
          <w:rFonts w:ascii="Calibri" w:hAnsi="Calibri" w:cs="Calibri"/>
          <w:color w:val="000000" w:themeColor="text1"/>
          <w:sz w:val="22"/>
          <w:szCs w:val="22"/>
        </w:rPr>
        <w:t>2α</w:t>
      </w:r>
      <w:r w:rsidR="0041662D"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in </w:t>
      </w:r>
      <w:r w:rsidR="00F131BF" w:rsidRPr="00B946E4">
        <w:rPr>
          <w:rFonts w:ascii="Calibri" w:hAnsi="Calibri" w:cs="Calibri"/>
          <w:color w:val="000000" w:themeColor="text1"/>
          <w:sz w:val="22"/>
          <w:szCs w:val="22"/>
        </w:rPr>
        <w:t>F</w:t>
      </w:r>
      <w:r w:rsidR="00AD6E7B">
        <w:rPr>
          <w:rFonts w:ascii="Calibri" w:hAnsi="Calibri" w:cs="Calibri"/>
          <w:color w:val="000000" w:themeColor="text1"/>
          <w:sz w:val="22"/>
          <w:szCs w:val="22"/>
        </w:rPr>
        <w:t>h</w:t>
      </w:r>
      <w:r w:rsidR="00F131BF" w:rsidRPr="00B946E4">
        <w:rPr>
          <w:rFonts w:ascii="Calibri" w:hAnsi="Calibri" w:cs="Calibri"/>
          <w:color w:val="000000" w:themeColor="text1"/>
          <w:sz w:val="22"/>
          <w:szCs w:val="22"/>
        </w:rPr>
        <w:t>1</w:t>
      </w:r>
      <w:r w:rsidR="00F131BF" w:rsidRPr="00D637BA">
        <w:rPr>
          <w:rFonts w:ascii="Calibri" w:hAnsi="Calibri" w:cs="Calibri"/>
          <w:color w:val="000000" w:themeColor="text1"/>
          <w:sz w:val="22"/>
          <w:szCs w:val="22"/>
        </w:rPr>
        <w:t>-deficient mice exacerbate</w:t>
      </w:r>
      <w:r w:rsidR="0041662D" w:rsidRPr="00D637BA">
        <w:rPr>
          <w:rFonts w:ascii="Calibri" w:hAnsi="Calibri" w:cs="Calibri"/>
          <w:color w:val="000000" w:themeColor="text1"/>
          <w:sz w:val="22"/>
          <w:szCs w:val="22"/>
        </w:rPr>
        <w:t>d</w:t>
      </w:r>
      <w:r w:rsidR="0082180F" w:rsidRPr="00D637BA">
        <w:rPr>
          <w:rFonts w:ascii="Calibri" w:hAnsi="Calibri" w:cs="Calibri"/>
          <w:color w:val="000000" w:themeColor="text1"/>
          <w:sz w:val="22"/>
          <w:szCs w:val="22"/>
        </w:rPr>
        <w:t xml:space="preserve"> or </w:t>
      </w:r>
      <w:r w:rsidR="00F131BF" w:rsidRPr="00D637BA">
        <w:rPr>
          <w:rFonts w:ascii="Calibri" w:hAnsi="Calibri" w:cs="Calibri"/>
          <w:color w:val="000000" w:themeColor="text1"/>
          <w:sz w:val="22"/>
          <w:szCs w:val="22"/>
        </w:rPr>
        <w:t>failed to ameliorate the renal cyst phenotype</w:t>
      </w:r>
      <w:r w:rsidR="0041662D"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respectively, suggesting alternate mechanisms for oncogenesis in </w:t>
      </w:r>
      <w:r w:rsidR="00F131BF" w:rsidRPr="00B946E4">
        <w:rPr>
          <w:rFonts w:ascii="Calibri" w:hAnsi="Calibri" w:cs="Calibri"/>
          <w:color w:val="000000" w:themeColor="text1"/>
          <w:sz w:val="22"/>
          <w:szCs w:val="22"/>
        </w:rPr>
        <w:t>FH</w:t>
      </w:r>
      <w:r w:rsidR="00F131BF" w:rsidRPr="00D637BA">
        <w:rPr>
          <w:rFonts w:ascii="Calibri" w:hAnsi="Calibri" w:cs="Calibri"/>
          <w:color w:val="000000" w:themeColor="text1"/>
          <w:sz w:val="22"/>
          <w:szCs w:val="22"/>
        </w:rPr>
        <w:t>-deficient cells</w:t>
      </w:r>
      <w:r w:rsidR="002320F1">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{"citationID":"apvn49rqlt","properties":{"formattedCitation":"\\super 145\\nosupersub{}","plainCitation":"145","noteIndex":0},"citationItems":[{"id":376,"uris":["http://zotero.org/users/4775618/items/SS7ZDL5R"],"uri":["http://zotero.org/users/4775618/items/SS7ZDL5R"],"itemData":{"id":376,"type":"article-journal","title":"Renal Cyst Formation in Fh1-Deficient Mice Is Independent of the Hif/Phd Pathway: Roles for Fumarate in KEAP1 Succination and Nrf2 Signaling","container-title":"Cancer Cell","page":"524-537","volume":"20","issue":"4","source":"www.cell.com","abstract":"&lt;h2&gt;Summary&lt;/h2&gt;&lt;p&gt;The Krebs cycle enzyme fumarate hydratase (&lt;i&gt;FH&lt;/i&gt;) is a human tumor suppressor whose inactivation is associated with the development of leiomyomata, renal cysts, and tumors. It has been proposed that activation of hypoxia inducible factor (HIF) by fumarate-mediated inhibition of HIF prolyl hydroxylases drives oncogenesis. Using a mouse model, we provide genetic evidence that Fh1-associated cyst formation is Hif independent, as is striking upregulation of antioxidant signaling pathways revealed by gene expression profiling. Mechanistic analysis revealed that fumarate modifies cysteine residues within the Kelch-like ECH-associated protein 1 (KEAP1), abrogating its ability to repress the Nuclear factor (erythroid-derived 2)-like 2 (Nrf2)-mediated antioxidant response pathway, suggesting a role for Nrf2 dysregulation in FH-associated cysts and tumors.&lt;/p&gt;","URL":"http://www.cell.com/cancer-cell/abstract/S1535-6108(11)00354-0","DOI":"10.1016/j.ccr.2011.09.006","ISSN":"1535-6108, 1878-3686","note":"PMID: 22014577, 22014577","title-short":"Renal Cyst Formation in Fh1-Deficient Mice Is Independent of the Hif/Phd Pathway","journalAbbreviation":"Cancer Cell","language":"English","author":[{"family":"Adam","given":"Julie"},{"family":"Hatipoglu","given":"Emine"},{"family":"O'Flaherty","given":"Linda"},{"family":"Ternette","given":"Nicola"},{"family":"Sahgal","given":"Natasha"},{"family":"Lockstone","given":"Helen"},{"family":"Baban","given":"Dilair"},{"family":"Nye","given":"Emma"},{"family":"Stamp","given":"Gordon W."},{"family":"Wolhuter","given":"Kathryn"},{"family":"Stevens","given":"Marcus"},{"family":"Fischer","given":"Roman"},{"family":"Carmeliet","given":"Peter"},{"family":"Maxwell","given":"Patrick H."},{"family":"Pugh","given":"Chris W."},{"family":"Frizzell","given":"Norma"},{"family":"Soga","given":"Tomoyoshi"},{"family":"Kessler","given":"Benedikt M."},{"family":"El-Bahrawy","given":"Mona"},{"family":"Ratcliffe","given":"Peter J."},{"family":"Pollard","given":"Patrick J."}],"issued":{"date-parts":[["2011",10,18]]},"accessed":{"date-parts":[["2018",4,2]]}}}],"schema":"https://github.com/citation-style-language/schema/raw/master/csl-citation.json"} </w:instrText>
      </w:r>
      <w:r w:rsidR="002320F1">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145</w:t>
      </w:r>
      <w:r w:rsidR="002320F1">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p>
    <w:p w14:paraId="4390EA87" w14:textId="62667F01" w:rsidR="0010521A" w:rsidRPr="00D637BA" w:rsidRDefault="00F528F4" w:rsidP="00C508DC">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A</w:t>
      </w:r>
      <w:r w:rsidR="00F131BF" w:rsidRPr="00D637BA">
        <w:rPr>
          <w:rFonts w:ascii="Calibri" w:hAnsi="Calibri" w:cs="Calibri"/>
          <w:color w:val="000000" w:themeColor="text1"/>
          <w:sz w:val="22"/>
          <w:szCs w:val="22"/>
        </w:rPr>
        <w:t xml:space="preserve">n alternative candidate oncogenic pathway in </w:t>
      </w:r>
      <w:r w:rsidR="00F131BF" w:rsidRPr="00E37025">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 xml:space="preserve">-deficient disease via stabilisation of the </w:t>
      </w:r>
      <w:r w:rsidR="00436C9F" w:rsidRPr="00D637BA">
        <w:rPr>
          <w:rFonts w:ascii="Calibri" w:hAnsi="Calibri" w:cs="Calibri"/>
          <w:color w:val="000000" w:themeColor="text1"/>
          <w:sz w:val="22"/>
          <w:szCs w:val="22"/>
        </w:rPr>
        <w:t>nuclear factor erythroid 2-related factor</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(Nrf2) antioxidant pathway has been proposed</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{"citationID":"a1lhiqi15ah","properties":{"formattedCitation":"\\super 145,163\\nosupersub{}","plainCitation":"145,163","noteIndex":0},"citationItems":[{"id":376,"uris":["http://zotero.org/users/4775618/items/SS7ZDL5R"],"uri":["http://zotero.org/users/4775618/items/SS7ZDL5R"],"itemData":{"id":376,"type":"article-journal","title":"Renal Cyst Formation in Fh1-Deficient Mice Is Independent of the Hif/Phd Pathway: Roles for Fumarate in KEAP1 Succination and Nrf2 Signaling","container-title":"Cancer Cell","page":"524-537","volume":"20","issue":"4","source":"www.cell.com","abstract":"&lt;h2&gt;Summary&lt;/h2&gt;&lt;p&gt;The Krebs cycle enzyme fumarate hydratase (&lt;i&gt;FH&lt;/i&gt;) is a human tumor suppressor whose inactivation is associated with the development of leiomyomata, renal cysts, and tumors. It has been proposed that activation of hypoxia inducible factor (HIF) by fumarate-mediated inhibition of HIF prolyl hydroxylases drives oncogenesis. Using a mouse model, we provide genetic evidence that Fh1-associated cyst formation is Hif independent, as is striking upregulation of antioxidant signaling pathways revealed by gene expression profiling. Mechanistic analysis revealed that fumarate modifies cysteine residues within the Kelch-like ECH-associated protein 1 (KEAP1), abrogating its ability to repress the Nuclear factor (erythroid-derived 2)-like 2 (Nrf2)-mediated antioxidant response pathway, suggesting a role for Nrf2 dysregulation in FH-associated cysts and tumors.&lt;/p&gt;","URL":"http://www.cell.com/cancer-cell/abstract/S1535-6108(11)00354-0","DOI":"10.1016/j.ccr.2011.09.006","ISSN":"1535-6108, 1878-3686","note":"PMID: 22014577, 22014577","title-short":"Renal Cyst Formation in Fh1-Deficient Mice Is Independent of the Hif/Phd Pathway","journalAbbreviation":"Cancer Cell","language":"English","author":[{"family":"Adam","given":"Julie"},{"family":"Hatipoglu","given":"Emine"},{"family":"O'Flaherty","given":"Linda"},{"family":"Ternette","given":"Nicola"},{"family":"Sahgal","given":"Natasha"},{"family":"Lockstone","given":"Helen"},{"family":"Baban","given":"Dilair"},{"family":"Nye","given":"Emma"},{"family":"Stamp","given":"Gordon W."},{"family":"Wolhuter","given":"Kathryn"},{"family":"Stevens","given":"Marcus"},{"family":"Fischer","given":"Roman"},{"family":"Carmeliet","given":"Peter"},{"family":"Maxwell","given":"Patrick H."},{"family":"Pugh","given":"Chris W."},{"family":"Frizzell","given":"Norma"},{"family":"Soga","given":"Tomoyoshi"},{"family":"Kessler","given":"Benedikt M."},{"family":"El-Bahrawy","given":"Mona"},{"family":"Ratcliffe","given":"Peter J."},{"family":"Pollard","given":"Patrick J."}],"issued":{"date-parts":[["2011",10,18]]},"accessed":{"date-parts":[["2018",4,2]]}}},{"id":769,"uris":["http://zotero.org/users/4775618/items/2U79E7R7"],"uri":["http://zotero.org/users/4775618/items/2U79E7R7"],"itemData":{"id":769,"type":"article-journal","title":"An Antioxidant Response Phenotype Shared between Hereditary and Sporadic Type 2 Papillary Renal Cell Carcinoma","container-title":"Cancer Cell","page":"511-523","volume":"20","issue":"4","source":"ScienceDirect","abstract":"Summary\nFumarate hydratase (FH) mutation causes hereditary type 2 papillary renal cell carcinoma (PRCC2). The main effect of FH mutation is fumarate accumulation. The current paradigm posits that the main consequence of fumarate accumulation is HIF-α stabilization. Paradoxically, FH mutation differs from other HIF-α stabilizing mutations, such as VHL and SDH mutations, in its associated tumor types. We identified that fumarate can directly up-regulate antioxidant response element (ARE)–controlled genes. We demonstrated that aldo-keto reductase family 1 member B10 (AKR1B10) is an ARE-controlled gene and is up-regulated upon FH knockdown as well as in FH null cell lines. AKR1B10 overexpression is also a prominent feature in both hereditary and sporadic PRCC2. This phenotype better explains the similarities between hereditary and sporadic PRCC2.","URL":"http://www.sciencedirect.com/science/article/pii/S1535610811003199","DOI":"10.1016/j.ccr.2011.08.024","ISSN":"1535-6108","journalAbbreviation":"Cancer Cell","author":[{"family":"Ooi","given":"Aikseng"},{"family":"Wong","given":"Jing-Chii"},{"family":"Petillo","given":"David"},{"family":"Roossien","given":"Douglas"},{"family":"Perrier-Trudova","given":"Victoria"},{"family":"Whitten","given":"Douglas"},{"family":"Min","given":"Bernice Wong Hui"},{"family":"Tan","given":"Min-Han"},{"family":"Zhang","given":"Zhongfa"},{"family":"Yang","given":"Ximing J."},{"family":"Zhou","given":"Ming"},{"family":"Gardie","given":"Betty"},{"family":"Molinié","given":"Vincent"},{"family":"Richard","given":"Stéphane"},{"family":"Tan","given":"Puay Hoon"},{"family":"Teh","given":"Bin Tean"},{"family":"Furge","given":"Kyle A."}],"issued":{"date-parts":[["2011",10,18]]},"accessed":{"date-parts":[["2018",11,4]]}}}],"schema":"https://github.com/citation-style-language/schema/raw/master/csl-citation.json"}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145,163</w:t>
      </w:r>
      <w:r w:rsidR="006468CD">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r w:rsidR="00A12174" w:rsidRPr="00D637BA">
        <w:rPr>
          <w:rFonts w:ascii="Calibri" w:hAnsi="Calibri" w:cs="Calibri"/>
          <w:color w:val="000000" w:themeColor="text1"/>
          <w:sz w:val="22"/>
          <w:szCs w:val="22"/>
        </w:rPr>
        <w:t xml:space="preserve"> A</w:t>
      </w:r>
      <w:r w:rsidR="00436C9F" w:rsidRPr="00D637BA">
        <w:rPr>
          <w:rFonts w:ascii="Calibri" w:hAnsi="Calibri" w:cs="Calibri"/>
          <w:color w:val="000000" w:themeColor="text1"/>
          <w:sz w:val="22"/>
          <w:szCs w:val="22"/>
        </w:rPr>
        <w:t>s mentioned above, a</w:t>
      </w:r>
      <w:r w:rsidR="00A12174" w:rsidRPr="00D637BA">
        <w:rPr>
          <w:rFonts w:ascii="Calibri" w:hAnsi="Calibri" w:cs="Calibri"/>
          <w:color w:val="000000" w:themeColor="text1"/>
          <w:sz w:val="22"/>
          <w:szCs w:val="22"/>
        </w:rPr>
        <w:t xml:space="preserve"> distinct feature of </w:t>
      </w:r>
      <w:r w:rsidR="00A12174" w:rsidRPr="00E37025">
        <w:rPr>
          <w:rFonts w:ascii="Calibri" w:hAnsi="Calibri" w:cs="Calibri"/>
          <w:i/>
          <w:color w:val="000000" w:themeColor="text1"/>
          <w:sz w:val="22"/>
          <w:szCs w:val="22"/>
        </w:rPr>
        <w:t>FH</w:t>
      </w:r>
      <w:r w:rsidR="00A12174" w:rsidRPr="00D637BA">
        <w:rPr>
          <w:rFonts w:ascii="Calibri" w:hAnsi="Calibri" w:cs="Calibri"/>
          <w:i/>
          <w:color w:val="000000" w:themeColor="text1"/>
          <w:sz w:val="22"/>
          <w:szCs w:val="22"/>
        </w:rPr>
        <w:t>-</w:t>
      </w:r>
      <w:r w:rsidR="00A12174" w:rsidRPr="00D637BA">
        <w:rPr>
          <w:rFonts w:ascii="Calibri" w:hAnsi="Calibri" w:cs="Calibri"/>
          <w:color w:val="000000" w:themeColor="text1"/>
          <w:sz w:val="22"/>
          <w:szCs w:val="22"/>
        </w:rPr>
        <w:t xml:space="preserve">deficient tumours is the ability of accumulated fumarate </w:t>
      </w:r>
      <w:r w:rsidR="00F131BF" w:rsidRPr="00D637BA">
        <w:rPr>
          <w:rFonts w:ascii="Calibri" w:hAnsi="Calibri" w:cs="Calibri"/>
          <w:color w:val="000000" w:themeColor="text1"/>
          <w:sz w:val="22"/>
          <w:szCs w:val="22"/>
        </w:rPr>
        <w:t xml:space="preserve">to </w:t>
      </w:r>
      <w:r w:rsidRPr="00D637BA">
        <w:rPr>
          <w:rFonts w:ascii="Calibri" w:hAnsi="Calibri" w:cs="Calibri"/>
          <w:color w:val="000000" w:themeColor="text1"/>
          <w:sz w:val="22"/>
          <w:szCs w:val="22"/>
        </w:rPr>
        <w:t xml:space="preserve">modify </w:t>
      </w:r>
      <w:r w:rsidR="00F131BF" w:rsidRPr="00D637BA">
        <w:rPr>
          <w:rFonts w:ascii="Calibri" w:hAnsi="Calibri" w:cs="Calibri"/>
          <w:color w:val="000000" w:themeColor="text1"/>
          <w:sz w:val="22"/>
          <w:szCs w:val="22"/>
        </w:rPr>
        <w:t>a wide range of proteins</w:t>
      </w:r>
      <w:r w:rsidR="0041662D" w:rsidRPr="00D637BA">
        <w:rPr>
          <w:rFonts w:ascii="Calibri" w:hAnsi="Calibri" w:cs="Calibri"/>
          <w:color w:val="000000" w:themeColor="text1"/>
          <w:sz w:val="22"/>
          <w:szCs w:val="22"/>
        </w:rPr>
        <w:t xml:space="preserve"> via succination</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{"citationID":"a1qpctllqtt","properties":{"formattedCitation":"\\super 78,131\\nosupersub{}","plainCitation":"78,131","noteIndex":0},"citationItems":[{"id":371,"uris":["http://zotero.org/users/4775618/items/TWDZHBU3"],"uri":["http://zotero.org/users/4775618/items/TWDZHBU3"],"itemData":{"id":371,"type":"article-journal","title":"Aberrant succination of proteins in fumarate hydratase‐deficient mice and HLRCC patients is a robust biomarker of mutation status","container-title":"The Journal of Pathology","page":"4-11","volume":"225","issue":"1","source":"onlinelibrary.wiley.com (Atypon)","abstract":"Abstract Germline mutations in the FH gene encoding the Krebs cycle enzyme fumarate hydratase predispose to hereditary leiomyomatosis and renal cell cancer (HLRCC) syndrome. FH?deficient cells and tissues accumulate high levels of fumarate, which may act as an oncometabolite and contribute to tumourigenesis. A recently proposed role for fumarate in the covalent modification of cysteine residues to S?(2?succinyl) cysteine (2SC) (termed protein succination) prompted us to assess 2SC levels in our existing models of HLRCC. Herein, using a previously characterized antibody against 2SC, we show that genetic ablation of FH causes high levels of protein succination. We next hypothesized that immunohistochemistry for 2SC would serve as a metabolic biomarker for the in situ detection of FH?deficient tissues. Robust detection of 2SC was observed in Fh1 (murine FH)?deficient renal cysts and in a retrospective series of HLRCC tumours (n = 16) with established FH mutations. Importantly, 2SC was undetectable in normal tissues (n = 200) and tumour types not associated with HLRCC (n = 1342). In a prospective evaluation of cases referred for genetic testing for HLRCC, the presence of 2SC?modified proteins (2SCP) correctly predicted genetic alterations in FH in every case. In two series of unselected type II papillary renal cancer (PRCC), prospectively analysed by 2SCP staining followed by genetic analysis, the biomarker accurately identified previously unsuspected FH mutations (2/33 and 1/36). The investigation of whether metabolites in other tumour types produce protein modification signature(s) that can be assayed using similar strategies will be of interest in future studies of cancer. Copyright ? 2011 Pathological Society of Great Britain and Ireland. Published by John Wiley &amp; Sons, Ltd.","URL":"https://onlinelibrary.wiley.com/doi/full/10.1002/path.2932","DOI":"10.1002/path.2932","ISSN":"0022-3417","journalAbbreviation":"The Journal of Pathology","author":[{"literal":"Bardella Chiara"},{"literal":"El‐Bahrawy Mona"},{"literal":"Frizzell Norma"},{"literal":"Adam Julie"},{"literal":"Ternette Nicola"},{"literal":"Hatipoglu Emine"},{"literal":"Howarth Kimberley"},{"literal":"O'Flaherty Linda"},{"literal":"Roberts Ian"},{"literal":"Turner Gareth"},{"literal":"Taylor Jennifer"},{"literal":"Giaslakiotis Konstantinos"},{"literal":"Macaulay Valentine M"},{"literal":"Harris Adrian L"},{"literal":"Chandra Ashish"},{"literal":"Lehtonen Heli J"},{"literal":"Launonen Virpi"},{"literal":"Aaltonen Lauri A"},{"literal":"Pugh Christopher W"},{"literal":"Mihai Radu"},{"literal":"Trudgian David"},{"literal":"Kessler Benedikt"},{"literal":"Baynes John W"},{"literal":"Ratcliffe Peter J"},{"literal":"Tomlinson Ian P"},{"literal":"Pollard Patrick J"}],"issued":{"date-parts":[["2011",5,10]]},"accessed":{"date-parts":[["2018",4,2]]}}},{"id":373,"uris":["http://zotero.org/users/4775618/items/LDDMRW2I"],"uri":["http://zotero.org/users/4775618/items/LDDMRW2I"],"itemData":{"id":373,"type":"article-journal","title":"The Succinated Proteome of FH-Mutant Tumours","container-title":"Metabolites","page":"640-654","volume":"4","issue":"3","source":"www.mdpi.com","abstract":"Inherited mutations in the Krebs cycle enzyme fumarate hydratase (FH) predispose to hereditary leiomyomatosis and renal cell cancer (HLRCC). Loss of FH activity in HLRCC tumours causes accumulation of the Krebs cycle intermediate fumarate to high levels, which may act as an oncometabolite through various, but not necessarily mutually exclusive, mechanisms. One such mechanism, succination, is an irreversible  non-enzymatic modification of cysteine residues by fumarate, to form S-(2-succino)cysteine (2SC). Previous studies have demonstrated that succination of proteins including glyceraldehyde 3-phosphate dehydrogenase (GAPDH), kelch-like ECH-associated protein 1 (KEAP1) and mitochondrial aconitase (ACO2) can have profound effects on cellular metabolism. Furthermore, immunostaining for 2SC is a sensitive and specific biomarker for HLRCC tumours. Here, we performed a proteomic screen on an FH-mutant tumour and two HLRCC-derived cancer cell lines and identified 60 proteins where one or more cysteine residues were succinated; 10 of which were succinated at cysteine residues either predicted, or experimentally proven, to be functionally significant. Bioinformatic enrichment analyses identified most succinated targets to be involved in redox signaling. To our knowledge, this is the first proteomic-based succination screen performed in human tumours and cancer-derived cells and has identified novel 2SC targets that may be relevant to the pathogenesis of HLRCC.","URL":"http://www.mdpi.com/2218-1989/4/3/640","DOI":"10.3390/metabo4030640","language":"en","author":[{"family":"Yang","given":"Ming"},{"family":"Ternette","given":"Nicola"},{"family":"Su","given":"Huizhong"},{"family":"Dabiri","given":"Raliat"},{"family":"Kessler","given":"Benedikt M."},{"family":"Adam","given":"Julie"},{"family":"Teh","given":"Bin Tean"},{"family":"Pollard","given":"Patrick J."}],"issued":{"date-parts":[["2014",8,7]]},"accessed":{"date-parts":[["2018",4,2]]}}}],"schema":"https://github.com/citation-style-language/schema/raw/master/csl-citation.json"}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78,131</w:t>
      </w:r>
      <w:r w:rsidR="006468CD">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Th</w:t>
      </w:r>
      <w:r w:rsidR="0041662D" w:rsidRPr="00D637BA">
        <w:rPr>
          <w:rFonts w:ascii="Calibri" w:hAnsi="Calibri" w:cs="Calibri"/>
          <w:color w:val="000000" w:themeColor="text1"/>
          <w:sz w:val="22"/>
          <w:szCs w:val="22"/>
        </w:rPr>
        <w:t>is</w:t>
      </w:r>
      <w:r w:rsidR="00F131BF" w:rsidRPr="00D637BA">
        <w:rPr>
          <w:rFonts w:ascii="Calibri" w:hAnsi="Calibri" w:cs="Calibri"/>
          <w:color w:val="000000" w:themeColor="text1"/>
          <w:sz w:val="22"/>
          <w:szCs w:val="22"/>
        </w:rPr>
        <w:t xml:space="preserve"> post-translational modification</w:t>
      </w:r>
      <w:r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can impair protein function, and is caused by fumarate reacting with specific cysteine residues on proteins, producing S-2-succino-cysteine (2SC)</w:t>
      </w:r>
      <w:r w:rsidR="00F41F5D" w:rsidRPr="00D637BA">
        <w:rPr>
          <w:rFonts w:ascii="Calibri" w:hAnsi="Calibri" w:cs="Calibri"/>
          <w:color w:val="000000" w:themeColor="text1"/>
          <w:sz w:val="22"/>
          <w:szCs w:val="22"/>
        </w:rPr>
        <w:t xml:space="preserve"> residues</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{"citationID":"a2bcgsjc4r8","properties":{"formattedCitation":"\\super 78,131\\nosupersub{}","plainCitation":"78,131","noteIndex":0},"citationItems":[{"id":371,"uris":["http://zotero.org/users/4775618/items/TWDZHBU3"],"uri":["http://zotero.org/users/4775618/items/TWDZHBU3"],"itemData":{"id":371,"type":"article-journal","title":"Aberrant succination of proteins in fumarate hydratase‐deficient mice and HLRCC patients is a robust biomarker of mutation status","container-title":"The Journal of Pathology","page":"4-11","volume":"225","issue":"1","source":"onlinelibrary.wiley.com (Atypon)","abstract":"Abstract Germline mutations in the FH gene encoding the Krebs cycle enzyme fumarate hydratase predispose to hereditary leiomyomatosis and renal cell cancer (HLRCC) syndrome. FH?deficient cells and tissues accumulate high levels of fumarate, which may act as an oncometabolite and contribute to tumourigenesis. A recently proposed role for fumarate in the covalent modification of cysteine residues to S?(2?succinyl) cysteine (2SC) (termed protein succination) prompted us to assess 2SC levels in our existing models of HLRCC. Herein, using a previously characterized antibody against 2SC, we show that genetic ablation of FH causes high levels of protein succination. We next hypothesized that immunohistochemistry for 2SC would serve as a metabolic biomarker for the in situ detection of FH?deficient tissues. Robust detection of 2SC was observed in Fh1 (murine FH)?deficient renal cysts and in a retrospective series of HLRCC tumours (n = 16) with established FH mutations. Importantly, 2SC was undetectable in normal tissues (n = 200) and tumour types not associated with HLRCC (n = 1342). In a prospective evaluation of cases referred for genetic testing for HLRCC, the presence of 2SC?modified proteins (2SCP) correctly predicted genetic alterations in FH in every case. In two series of unselected type II papillary renal cancer (PRCC), prospectively analysed by 2SCP staining followed by genetic analysis, the biomarker accurately identified previously unsuspected FH mutations (2/33 and 1/36). The investigation of whether metabolites in other tumour types produce protein modification signature(s) that can be assayed using similar strategies will be of interest in future studies of cancer. Copyright ? 2011 Pathological Society of Great Britain and Ireland. Published by John Wiley &amp; Sons, Ltd.","URL":"https://onlinelibrary.wiley.com/doi/full/10.1002/path.2932","DOI":"10.1002/path.2932","ISSN":"0022-3417","journalAbbreviation":"The Journal of Pathology","author":[{"literal":"Bardella Chiara"},{"literal":"El‐Bahrawy Mona"},{"literal":"Frizzell Norma"},{"literal":"Adam Julie"},{"literal":"Ternette Nicola"},{"literal":"Hatipoglu Emine"},{"literal":"Howarth Kimberley"},{"literal":"O'Flaherty Linda"},{"literal":"Roberts Ian"},{"literal":"Turner Gareth"},{"literal":"Taylor Jennifer"},{"literal":"Giaslakiotis Konstantinos"},{"literal":"Macaulay Valentine M"},{"literal":"Harris Adrian L"},{"literal":"Chandra Ashish"},{"literal":"Lehtonen Heli J"},{"literal":"Launonen Virpi"},{"literal":"Aaltonen Lauri A"},{"literal":"Pugh Christopher W"},{"literal":"Mihai Radu"},{"literal":"Trudgian David"},{"literal":"Kessler Benedikt"},{"literal":"Baynes John W"},{"literal":"Ratcliffe Peter J"},{"literal":"Tomlinson Ian P"},{"literal":"Pollard Patrick J"}],"issued":{"date-parts":[["2011",5,10]]},"accessed":{"date-parts":[["2018",4,2]]}}},{"id":373,"uris":["http://zotero.org/users/4775618/items/LDDMRW2I"],"uri":["http://zotero.org/users/4775618/items/LDDMRW2I"],"itemData":{"id":373,"type":"article-journal","title":"The Succinated Proteome of FH-Mutant Tumours","container-title":"Metabolites","page":"640-654","volume":"4","issue":"3","source":"www.mdpi.com","abstract":"Inherited mutations in the Krebs cycle enzyme fumarate hydratase (FH) predispose to hereditary leiomyomatosis and renal cell cancer (HLRCC). Loss of FH activity in HLRCC tumours causes accumulation of the Krebs cycle intermediate fumarate to high levels, which may act as an oncometabolite through various, but not necessarily mutually exclusive, mechanisms. One such mechanism, succination, is an irreversible  non-enzymatic modification of cysteine residues by fumarate, to form S-(2-succino)cysteine (2SC). Previous studies have demonstrated that succination of proteins including glyceraldehyde 3-phosphate dehydrogenase (GAPDH), kelch-like ECH-associated protein 1 (KEAP1) and mitochondrial aconitase (ACO2) can have profound effects on cellular metabolism. Furthermore, immunostaining for 2SC is a sensitive and specific biomarker for HLRCC tumours. Here, we performed a proteomic screen on an FH-mutant tumour and two HLRCC-derived cancer cell lines and identified 60 proteins where one or more cysteine residues were succinated; 10 of which were succinated at cysteine residues either predicted, or experimentally proven, to be functionally significant. Bioinformatic enrichment analyses identified most succinated targets to be involved in redox signaling. To our knowledge, this is the first proteomic-based succination screen performed in human tumours and cancer-derived cells and has identified novel 2SC targets that may be relevant to the pathogenesis of HLRCC.","URL":"http://www.mdpi.com/2218-1989/4/3/640","DOI":"10.3390/metabo4030640","language":"en","author":[{"family":"Yang","given":"Ming"},{"family":"Ternette","given":"Nicola"},{"family":"Su","given":"Huizhong"},{"family":"Dabiri","given":"Raliat"},{"family":"Kessler","given":"Benedikt M."},{"family":"Adam","given":"Julie"},{"family":"Teh","given":"Bin Tean"},{"family":"Pollard","given":"Patrick J."}],"issued":{"date-parts":[["2014",8,7]]},"accessed":{"date-parts":[["2018",4,2]]}}}],"schema":"https://github.com/citation-style-language/schema/raw/master/csl-citation.json"}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78,131</w:t>
      </w:r>
      <w:r w:rsidR="006468CD">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 key target of succination is Kelch-like ECH-associated protein-1 (KEAP1). </w:t>
      </w:r>
      <w:r w:rsidR="0012325A" w:rsidRPr="00D637BA">
        <w:rPr>
          <w:rFonts w:ascii="Calibri" w:hAnsi="Calibri" w:cs="Calibri"/>
          <w:color w:val="000000" w:themeColor="text1"/>
          <w:sz w:val="22"/>
          <w:szCs w:val="22"/>
        </w:rPr>
        <w:t xml:space="preserve">Succination of </w:t>
      </w:r>
      <w:r w:rsidR="00F131BF" w:rsidRPr="00D637BA">
        <w:rPr>
          <w:rFonts w:ascii="Calibri" w:hAnsi="Calibri" w:cs="Calibri"/>
          <w:color w:val="000000" w:themeColor="text1"/>
          <w:sz w:val="22"/>
          <w:szCs w:val="22"/>
        </w:rPr>
        <w:t>KEAP1</w:t>
      </w:r>
      <w:r w:rsidR="0012325A" w:rsidRPr="00B946E4">
        <w:rPr>
          <w:rFonts w:ascii="Calibri" w:hAnsi="Calibri" w:cs="Calibri"/>
          <w:color w:val="000000" w:themeColor="text1"/>
          <w:sz w:val="22"/>
          <w:szCs w:val="22"/>
        </w:rPr>
        <w:t xml:space="preserve"> abrogates its </w:t>
      </w:r>
      <w:r w:rsidR="00F131BF" w:rsidRPr="00D637BA">
        <w:rPr>
          <w:rFonts w:ascii="Calibri" w:hAnsi="Calibri" w:cs="Calibri"/>
          <w:color w:val="000000" w:themeColor="text1"/>
          <w:sz w:val="22"/>
          <w:szCs w:val="22"/>
        </w:rPr>
        <w:t>repressive effects on Nrf2</w:t>
      </w:r>
      <w:r w:rsidR="0012325A"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result</w:t>
      </w:r>
      <w:r w:rsidR="0012325A" w:rsidRPr="00D637BA">
        <w:rPr>
          <w:rFonts w:ascii="Calibri" w:hAnsi="Calibri" w:cs="Calibri"/>
          <w:color w:val="000000" w:themeColor="text1"/>
          <w:sz w:val="22"/>
          <w:szCs w:val="22"/>
        </w:rPr>
        <w:t>ing</w:t>
      </w:r>
      <w:r w:rsidR="00F131BF" w:rsidRPr="00D637BA">
        <w:rPr>
          <w:rFonts w:ascii="Calibri" w:hAnsi="Calibri" w:cs="Calibri"/>
          <w:color w:val="000000" w:themeColor="text1"/>
          <w:sz w:val="22"/>
          <w:szCs w:val="22"/>
        </w:rPr>
        <w:t xml:space="preserve"> in </w:t>
      </w:r>
      <w:r w:rsidR="00A37AF9" w:rsidRPr="00D637BA">
        <w:rPr>
          <w:rFonts w:ascii="Calibri" w:hAnsi="Calibri" w:cs="Calibri"/>
          <w:color w:val="000000" w:themeColor="text1"/>
          <w:sz w:val="22"/>
          <w:szCs w:val="22"/>
        </w:rPr>
        <w:t xml:space="preserve">the </w:t>
      </w:r>
      <w:r w:rsidR="00F131BF" w:rsidRPr="00D637BA">
        <w:rPr>
          <w:rFonts w:ascii="Calibri" w:hAnsi="Calibri" w:cs="Calibri"/>
          <w:color w:val="000000" w:themeColor="text1"/>
          <w:sz w:val="22"/>
          <w:szCs w:val="22"/>
        </w:rPr>
        <w:t>upregulation of Nrf2-</w:t>
      </w:r>
      <w:r w:rsidRPr="00D637BA">
        <w:rPr>
          <w:rFonts w:ascii="Calibri" w:hAnsi="Calibri" w:cs="Calibri"/>
          <w:color w:val="000000" w:themeColor="text1"/>
          <w:sz w:val="22"/>
          <w:szCs w:val="22"/>
        </w:rPr>
        <w:t xml:space="preserve">dependent </w:t>
      </w:r>
      <w:r w:rsidR="00F131BF" w:rsidRPr="00D637BA">
        <w:rPr>
          <w:rFonts w:ascii="Calibri" w:hAnsi="Calibri" w:cs="Calibri"/>
          <w:color w:val="000000" w:themeColor="text1"/>
          <w:sz w:val="22"/>
          <w:szCs w:val="22"/>
        </w:rPr>
        <w:t>genes</w:t>
      </w:r>
      <w:r w:rsidR="00A65289">
        <w:rPr>
          <w:rFonts w:ascii="Calibri" w:hAnsi="Calibri" w:cs="Calibri"/>
          <w:color w:val="000000" w:themeColor="text1"/>
          <w:sz w:val="22"/>
          <w:szCs w:val="22"/>
        </w:rPr>
        <w:t>, which</w:t>
      </w:r>
      <w:r w:rsidR="0012325A" w:rsidRPr="00D637BA">
        <w:rPr>
          <w:rFonts w:ascii="Calibri" w:hAnsi="Calibri" w:cs="Calibri"/>
          <w:color w:val="000000" w:themeColor="text1"/>
          <w:sz w:val="22"/>
          <w:szCs w:val="22"/>
        </w:rPr>
        <w:t xml:space="preserve"> are</w:t>
      </w:r>
      <w:r w:rsidR="00F131BF" w:rsidRPr="00D637BA">
        <w:rPr>
          <w:rFonts w:ascii="Calibri" w:hAnsi="Calibri" w:cs="Calibri"/>
          <w:color w:val="000000" w:themeColor="text1"/>
          <w:sz w:val="22"/>
          <w:szCs w:val="22"/>
        </w:rPr>
        <w:t xml:space="preserve"> involved in antioxidant pathways that </w:t>
      </w:r>
      <w:r w:rsidR="00A0636F">
        <w:rPr>
          <w:rFonts w:ascii="Calibri" w:hAnsi="Calibri" w:cs="Calibri"/>
          <w:color w:val="000000" w:themeColor="text1"/>
          <w:sz w:val="22"/>
          <w:szCs w:val="22"/>
        </w:rPr>
        <w:t xml:space="preserve">increase </w:t>
      </w:r>
      <w:r w:rsidR="00F131BF" w:rsidRPr="00D637BA">
        <w:rPr>
          <w:rFonts w:ascii="Calibri" w:hAnsi="Calibri" w:cs="Calibri"/>
          <w:color w:val="000000" w:themeColor="text1"/>
          <w:sz w:val="22"/>
          <w:szCs w:val="22"/>
        </w:rPr>
        <w:t>the ability</w:t>
      </w:r>
      <w:r w:rsidR="000167D7">
        <w:rPr>
          <w:rFonts w:ascii="Calibri" w:hAnsi="Calibri" w:cs="Calibri"/>
          <w:color w:val="000000" w:themeColor="text1"/>
          <w:sz w:val="22"/>
          <w:szCs w:val="22"/>
        </w:rPr>
        <w:t xml:space="preserve"> </w:t>
      </w:r>
      <w:r w:rsidR="0041662D" w:rsidRPr="00D637BA">
        <w:rPr>
          <w:rFonts w:ascii="Calibri" w:hAnsi="Calibri" w:cs="Calibri"/>
          <w:color w:val="000000" w:themeColor="text1"/>
          <w:sz w:val="22"/>
          <w:szCs w:val="22"/>
        </w:rPr>
        <w:t xml:space="preserve">of cells </w:t>
      </w:r>
      <w:r w:rsidR="00F131BF" w:rsidRPr="00D637BA">
        <w:rPr>
          <w:rFonts w:ascii="Calibri" w:hAnsi="Calibri" w:cs="Calibri"/>
          <w:color w:val="000000" w:themeColor="text1"/>
          <w:sz w:val="22"/>
          <w:szCs w:val="22"/>
        </w:rPr>
        <w:t>to adapt to oxidative stress</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{"citationID":"a2du4sb14nb","properties":{"formattedCitation":"\\super 145,163\\nosupersub{}","plainCitation":"145,163","noteIndex":0},"citationItems":[{"id":376,"uris":["http://zotero.org/users/4775618/items/SS7ZDL5R"],"uri":["http://zotero.org/users/4775618/items/SS7ZDL5R"],"itemData":{"id":376,"type":"article-journal","title":"Renal Cyst Formation in Fh1-Deficient Mice Is Independent of the Hif/Phd Pathway: Roles for Fumarate in KEAP1 Succination and Nrf2 Signaling","container-title":"Cancer Cell","page":"524-537","volume":"20","issue":"4","source":"www.cell.com","abstract":"&lt;h2&gt;Summary&lt;/h2&gt;&lt;p&gt;The Krebs cycle enzyme fumarate hydratase (&lt;i&gt;FH&lt;/i&gt;) is a human tumor suppressor whose inactivation is associated with the development of leiomyomata, renal cysts, and tumors. It has been proposed that activation of hypoxia inducible factor (HIF) by fumarate-mediated inhibition of HIF prolyl hydroxylases drives oncogenesis. Using a mouse model, we provide genetic evidence that Fh1-associated cyst formation is Hif independent, as is striking upregulation of antioxidant signaling pathways revealed by gene expression profiling. Mechanistic analysis revealed that fumarate modifies cysteine residues within the Kelch-like ECH-associated protein 1 (KEAP1), abrogating its ability to repress the Nuclear factor (erythroid-derived 2)-like 2 (Nrf2)-mediated antioxidant response pathway, suggesting a role for Nrf2 dysregulation in FH-associated cysts and tumors.&lt;/p&gt;","URL":"http://www.cell.com/cancer-cell/abstract/S1535-6108(11)00354-0","DOI":"10.1016/j.ccr.2011.09.006","ISSN":"1535-6108, 1878-3686","note":"PMID: 22014577, 22014577","title-short":"Renal Cyst Formation in Fh1-Deficient Mice Is Independent of the Hif/Phd Pathway","journalAbbreviation":"Cancer Cell","language":"English","author":[{"family":"Adam","given":"Julie"},{"family":"Hatipoglu","given":"Emine"},{"family":"O'Flaherty","given":"Linda"},{"family":"Ternette","given":"Nicola"},{"family":"Sahgal","given":"Natasha"},{"family":"Lockstone","given":"Helen"},{"family":"Baban","given":"Dilair"},{"family":"Nye","given":"Emma"},{"family":"Stamp","given":"Gordon W."},{"family":"Wolhuter","given":"Kathryn"},{"family":"Stevens","given":"Marcus"},{"family":"Fischer","given":"Roman"},{"family":"Carmeliet","given":"Peter"},{"family":"Maxwell","given":"Patrick H."},{"family":"Pugh","given":"Chris W."},{"family":"Frizzell","given":"Norma"},{"family":"Soga","given":"Tomoyoshi"},{"family":"Kessler","given":"Benedikt M."},{"family":"El-Bahrawy","given":"Mona"},{"family":"Ratcliffe","given":"Peter J."},{"family":"Pollard","given":"Patrick J."}],"issued":{"date-parts":[["2011",10,18]]},"accessed":{"date-parts":[["2018",4,2]]}}},{"id":769,"uris":["http://zotero.org/users/4775618/items/2U79E7R7"],"uri":["http://zotero.org/users/4775618/items/2U79E7R7"],"itemData":{"id":769,"type":"article-journal","title":"An Antioxidant Response Phenotype Shared between Hereditary and Sporadic Type 2 Papillary Renal Cell Carcinoma","container-title":"Cancer Cell","page":"511-523","volume":"20","issue":"4","source":"ScienceDirect","abstract":"Summary\nFumarate hydratase (FH) mutation causes hereditary type 2 papillary renal cell carcinoma (PRCC2). The main effect of FH mutation is fumarate accumulation. The current paradigm posits that the main consequence of fumarate accumulation is HIF-α stabilization. Paradoxically, FH mutation differs from other HIF-α stabilizing mutations, such as VHL and SDH mutations, in its associated tumor types. We identified that fumarate can directly up-regulate antioxidant response element (ARE)–controlled genes. We demonstrated that aldo-keto reductase family 1 member B10 (AKR1B10) is an ARE-controlled gene and is up-regulated upon FH knockdown as well as in FH null cell lines. AKR1B10 overexpression is also a prominent feature in both hereditary and sporadic PRCC2. This phenotype better explains the similarities between hereditary and sporadic PRCC2.","URL":"http://www.sciencedirect.com/science/article/pii/S1535610811003199","DOI":"10.1016/j.ccr.2011.08.024","ISSN":"1535-6108","journalAbbreviation":"Cancer Cell","author":[{"family":"Ooi","given":"Aikseng"},{"family":"Wong","given":"Jing-Chii"},{"family":"Petillo","given":"David"},{"family":"Roossien","given":"Douglas"},{"family":"Perrier-Trudova","given":"Victoria"},{"family":"Whitten","given":"Douglas"},{"family":"Min","given":"Bernice Wong Hui"},{"family":"Tan","given":"Min-Han"},{"family":"Zhang","given":"Zhongfa"},{"family":"Yang","given":"Ximing J."},{"family":"Zhou","given":"Ming"},{"family":"Gardie","given":"Betty"},{"family":"Molinié","given":"Vincent"},{"family":"Richard","given":"Stéphane"},{"family":"Tan","given":"Puay Hoon"},{"family":"Teh","given":"Bin Tean"},{"family":"Furge","given":"Kyle A."}],"issued":{"date-parts":[["2011",10,18]]},"accessed":{"date-parts":[["2018",11,4]]}}}],"schema":"https://github.com/citation-style-language/schema/raw/master/csl-citation.json"}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145,163</w:t>
      </w:r>
      <w:r w:rsidR="006468CD">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In keeping with this</w:t>
      </w:r>
      <w:r w:rsidR="0012325A" w:rsidRPr="00D637BA">
        <w:rPr>
          <w:rFonts w:ascii="Calibri" w:hAnsi="Calibri" w:cs="Calibri"/>
          <w:color w:val="000000" w:themeColor="text1"/>
          <w:sz w:val="22"/>
          <w:szCs w:val="22"/>
        </w:rPr>
        <w:t xml:space="preserve"> finding</w:t>
      </w:r>
      <w:r w:rsidR="00F131BF" w:rsidRPr="00D637BA">
        <w:rPr>
          <w:rFonts w:ascii="Calibri" w:hAnsi="Calibri" w:cs="Calibri"/>
          <w:color w:val="000000" w:themeColor="text1"/>
          <w:sz w:val="22"/>
          <w:szCs w:val="22"/>
        </w:rPr>
        <w:t>, Nrf2 and downstream Nrf2-targeted genes were upregulated in HLRCC-derived type 2 pRCC tumour cells</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{"citationID":"a1anc0mqj47","properties":{"formattedCitation":"\\super 145\\nosupersub{}","plainCitation":"145","noteIndex":0},"citationItems":[{"id":376,"uris":["http://zotero.org/users/4775618/items/SS7ZDL5R"],"uri":["http://zotero.org/users/4775618/items/SS7ZDL5R"],"itemData":{"id":376,"type":"article-journal","title":"Renal Cyst Formation in Fh1-Deficient Mice Is Independent of the Hif/Phd Pathway: Roles for Fumarate in KEAP1 Succination and Nrf2 Signaling","container-title":"Cancer Cell","page":"524-537","volume":"20","issue":"4","source":"www.cell.com","abstract":"&lt;h2&gt;Summary&lt;/h2&gt;&lt;p&gt;The Krebs cycle enzyme fumarate hydratase (&lt;i&gt;FH&lt;/i&gt;) is a human tumor suppressor whose inactivation is associated with the development of leiomyomata, renal cysts, and tumors. It has been proposed that activation of hypoxia inducible factor (HIF) by fumarate-mediated inhibition of HIF prolyl hydroxylases drives oncogenesis. Using a mouse model, we provide genetic evidence that Fh1-associated cyst formation is Hif independent, as is striking upregulation of antioxidant signaling pathways revealed by gene expression profiling. Mechanistic analysis revealed that fumarate modifies cysteine residues within the Kelch-like ECH-associated protein 1 (KEAP1), abrogating its ability to repress the Nuclear factor (erythroid-derived 2)-like 2 (Nrf2)-mediated antioxidant response pathway, suggesting a role for Nrf2 dysregulation in FH-associated cysts and tumors.&lt;/p&gt;","URL":"http://www.cell.com/cancer-cell/abstract/S1535-6108(11)00354-0","DOI":"10.1016/j.ccr.2011.09.006","ISSN":"1535-6108, 1878-3686","note":"PMID: 22014577, 22014577","title-short":"Renal Cyst Formation in Fh1-Deficient Mice Is Independent of the Hif/Phd Pathway","journalAbbreviation":"Cancer Cell","language":"English","author":[{"family":"Adam","given":"Julie"},{"family":"Hatipoglu","given":"Emine"},{"family":"O'Flaherty","given":"Linda"},{"family":"Ternette","given":"Nicola"},{"family":"Sahgal","given":"Natasha"},{"family":"Lockstone","given":"Helen"},{"family":"Baban","given":"Dilair"},{"family":"Nye","given":"Emma"},{"family":"Stamp","given":"Gordon W."},{"family":"Wolhuter","given":"Kathryn"},{"family":"Stevens","given":"Marcus"},{"family":"Fischer","given":"Roman"},{"family":"Carmeliet","given":"Peter"},{"family":"Maxwell","given":"Patrick H."},{"family":"Pugh","given":"Chris W."},{"family":"Frizzell","given":"Norma"},{"family":"Soga","given":"Tomoyoshi"},{"family":"Kessler","given":"Benedikt M."},{"family":"El-Bahrawy","given":"Mona"},{"family":"Ratcliffe","given":"Peter J."},{"family":"Pollard","given":"Patrick J."}],"issued":{"date-parts":[["2011",10,18]]},"accessed":{"date-parts":[["2018",4,2]]}}}],"schema":"https://github.com/citation-style-language/schema/raw/master/csl-citation.json"}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145</w:t>
      </w:r>
      <w:r w:rsidR="006468CD">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62035F" w:rsidRPr="00D637BA">
        <w:rPr>
          <w:rFonts w:ascii="Calibri" w:hAnsi="Calibri" w:cs="Calibri"/>
          <w:color w:val="000000" w:themeColor="text1"/>
          <w:sz w:val="22"/>
          <w:szCs w:val="22"/>
        </w:rPr>
        <w:t>suggesting</w:t>
      </w:r>
      <w:r w:rsidR="00F131BF" w:rsidRPr="00D637BA">
        <w:rPr>
          <w:rFonts w:ascii="Calibri" w:hAnsi="Calibri" w:cs="Calibri"/>
          <w:color w:val="000000" w:themeColor="text1"/>
          <w:sz w:val="22"/>
          <w:szCs w:val="22"/>
        </w:rPr>
        <w:t xml:space="preserve"> potential </w:t>
      </w:r>
      <w:r w:rsidR="0062035F" w:rsidRPr="00B946E4">
        <w:rPr>
          <w:rFonts w:ascii="Calibri" w:hAnsi="Calibri" w:cs="Calibri"/>
          <w:color w:val="000000" w:themeColor="text1"/>
          <w:sz w:val="22"/>
          <w:szCs w:val="22"/>
        </w:rPr>
        <w:t xml:space="preserve">novel therapeutic </w:t>
      </w:r>
      <w:r w:rsidR="00F131BF" w:rsidRPr="00D637BA">
        <w:rPr>
          <w:rFonts w:ascii="Calibri" w:hAnsi="Calibri" w:cs="Calibri"/>
          <w:color w:val="000000" w:themeColor="text1"/>
          <w:sz w:val="22"/>
          <w:szCs w:val="22"/>
        </w:rPr>
        <w:t>targets for this aggressive disease</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{"citationID":"a1v2m8b76jt","properties":{"formattedCitation":"\\super 145,163\\nosupersub{}","plainCitation":"145,163","noteIndex":0},"citationItems":[{"id":376,"uris":["http://zotero.org/users/4775618/items/SS7ZDL5R"],"uri":["http://zotero.org/users/4775618/items/SS7ZDL5R"],"itemData":{"id":376,"type":"article-journal","title":"Renal Cyst Formation in Fh1-Deficient Mice Is Independent of the Hif/Phd Pathway: Roles for Fumarate in KEAP1 Succination and Nrf2 Signaling","container-title":"Cancer Cell","page":"524-537","volume":"20","issue":"4","source":"www.cell.com","abstract":"&lt;h2&gt;Summary&lt;/h2&gt;&lt;p&gt;The Krebs cycle enzyme fumarate hydratase (&lt;i&gt;FH&lt;/i&gt;) is a human tumor suppressor whose inactivation is associated with the development of leiomyomata, renal cysts, and tumors. It has been proposed that activation of hypoxia inducible factor (HIF) by fumarate-mediated inhibition of HIF prolyl hydroxylases drives oncogenesis. Using a mouse model, we provide genetic evidence that Fh1-associated cyst formation is Hif independent, as is striking upregulation of antioxidant signaling pathways revealed by gene expression profiling. Mechanistic analysis revealed that fumarate modifies cysteine residues within the Kelch-like ECH-associated protein 1 (KEAP1), abrogating its ability to repress the Nuclear factor (erythroid-derived 2)-like 2 (Nrf2)-mediated antioxidant response pathway, suggesting a role for Nrf2 dysregulation in FH-associated cysts and tumors.&lt;/p&gt;","URL":"http://www.cell.com/cancer-cell/abstract/S1535-6108(11)00354-0","DOI":"10.1016/j.ccr.2011.09.006","ISSN":"1535-6108, 1878-3686","note":"PMID: 22014577, 22014577","title-short":"Renal Cyst Formation in Fh1-Deficient Mice Is Independent of the Hif/Phd Pathway","journalAbbreviation":"Cancer Cell","language":"English","author":[{"family":"Adam","given":"Julie"},{"family":"Hatipoglu","given":"Emine"},{"family":"O'Flaherty","given":"Linda"},{"family":"Ternette","given":"Nicola"},{"family":"Sahgal","given":"Natasha"},{"family":"Lockstone","given":"Helen"},{"family":"Baban","given":"Dilair"},{"family":"Nye","given":"Emma"},{"family":"Stamp","given":"Gordon W."},{"family":"Wolhuter","given":"Kathryn"},{"family":"Stevens","given":"Marcus"},{"family":"Fischer","given":"Roman"},{"family":"Carmeliet","given":"Peter"},{"family":"Maxwell","given":"Patrick H."},{"family":"Pugh","given":"Chris W."},{"family":"Frizzell","given":"Norma"},{"family":"Soga","given":"Tomoyoshi"},{"family":"Kessler","given":"Benedikt M."},{"family":"El-Bahrawy","given":"Mona"},{"family":"Ratcliffe","given":"Peter J."},{"family":"Pollard","given":"Patrick J."}],"issued":{"date-parts":[["2011",10,18]]},"accessed":{"date-parts":[["2018",4,2]]}}},{"id":769,"uris":["http://zotero.org/users/4775618/items/2U79E7R7"],"uri":["http://zotero.org/users/4775618/items/2U79E7R7"],"itemData":{"id":769,"type":"article-journal","title":"An Antioxidant Response Phenotype Shared between Hereditary and Sporadic Type 2 Papillary Renal Cell Carcinoma","container-title":"Cancer Cell","page":"511-523","volume":"20","issue":"4","source":"ScienceDirect","abstract":"Summary\nFumarate hydratase (FH) mutation causes hereditary type 2 papillary renal cell carcinoma (PRCC2). The main effect of FH mutation is fumarate accumulation. The current paradigm posits that the main consequence of fumarate accumulation is HIF-α stabilization. Paradoxically, FH mutation differs from other HIF-α stabilizing mutations, such as VHL and SDH mutations, in its associated tumor types. We identified that fumarate can directly up-regulate antioxidant response element (ARE)–controlled genes. We demonstrated that aldo-keto reductase family 1 member B10 (AKR1B10) is an ARE-controlled gene and is up-regulated upon FH knockdown as well as in FH null cell lines. AKR1B10 overexpression is also a prominent feature in both hereditary and sporadic PRCC2. This phenotype better explains the similarities between hereditary and sporadic PRCC2.","URL":"http://www.sciencedirect.com/science/article/pii/S1535610811003199","DOI":"10.1016/j.ccr.2011.08.024","ISSN":"1535-6108","journalAbbreviation":"Cancer Cell","author":[{"family":"Ooi","given":"Aikseng"},{"family":"Wong","given":"Jing-Chii"},{"family":"Petillo","given":"David"},{"family":"Roossien","given":"Douglas"},{"family":"Perrier-Trudova","given":"Victoria"},{"family":"Whitten","given":"Douglas"},{"family":"Min","given":"Bernice Wong Hui"},{"family":"Tan","given":"Min-Han"},{"family":"Zhang","given":"Zhongfa"},{"family":"Yang","given":"Ximing J."},{"family":"Zhou","given":"Ming"},{"family":"Gardie","given":"Betty"},{"family":"Molinié","given":"Vincent"},{"family":"Richard","given":"Stéphane"},{"family":"Tan","given":"Puay Hoon"},{"family":"Teh","given":"Bin Tean"},{"family":"Furge","given":"Kyle A."}],"issued":{"date-parts":[["2011",10,18]]},"accessed":{"date-parts":[["2018",11,4]]}}}],"schema":"https://github.com/citation-style-language/schema/raw/master/csl-citation.json"}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145,163</w:t>
      </w:r>
      <w:r w:rsidR="006468CD">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41662D" w:rsidRPr="00D637BA">
        <w:rPr>
          <w:rFonts w:ascii="Calibri" w:hAnsi="Calibri" w:cs="Calibri"/>
          <w:color w:val="000000" w:themeColor="text1"/>
          <w:sz w:val="22"/>
          <w:szCs w:val="22"/>
        </w:rPr>
        <w:t>By contrast</w:t>
      </w:r>
      <w:r w:rsidR="00F131BF" w:rsidRPr="00D637BA">
        <w:rPr>
          <w:rFonts w:ascii="Calibri" w:hAnsi="Calibri" w:cs="Calibri"/>
          <w:color w:val="000000" w:themeColor="text1"/>
          <w:sz w:val="22"/>
          <w:szCs w:val="22"/>
        </w:rPr>
        <w:t>, succination of the antioxidant glutathione</w:t>
      </w:r>
      <w:r w:rsidR="00092C1F">
        <w:rPr>
          <w:rFonts w:ascii="Calibri" w:hAnsi="Calibri" w:cs="Calibri"/>
          <w:color w:val="000000" w:themeColor="text1"/>
          <w:sz w:val="22"/>
          <w:szCs w:val="22"/>
        </w:rPr>
        <w:t xml:space="preserve"> (GSH)</w:t>
      </w:r>
      <w:r w:rsidR="00F131BF" w:rsidRPr="00D637BA">
        <w:rPr>
          <w:rFonts w:ascii="Calibri" w:hAnsi="Calibri" w:cs="Calibri"/>
          <w:color w:val="000000" w:themeColor="text1"/>
          <w:sz w:val="22"/>
          <w:szCs w:val="22"/>
        </w:rPr>
        <w:t xml:space="preserve"> in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-deficient RCC cells depletes the</w:t>
      </w:r>
      <w:r w:rsidR="0041662D" w:rsidRPr="00D637BA">
        <w:rPr>
          <w:rFonts w:ascii="Calibri" w:hAnsi="Calibri" w:cs="Calibri"/>
          <w:color w:val="000000" w:themeColor="text1"/>
          <w:sz w:val="22"/>
          <w:szCs w:val="22"/>
        </w:rPr>
        <w:t>ir</w:t>
      </w:r>
      <w:r w:rsidR="00F131BF" w:rsidRPr="00D637BA">
        <w:rPr>
          <w:rFonts w:ascii="Calibri" w:hAnsi="Calibri" w:cs="Calibri"/>
          <w:color w:val="000000" w:themeColor="text1"/>
          <w:sz w:val="22"/>
          <w:szCs w:val="22"/>
        </w:rPr>
        <w:t xml:space="preserve"> antioxidant capacity, rendering them susceptible to endogenous accumulation of ROS</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{"citationID":"aoqrvpqp4p","properties":{"formattedCitation":"\\super 169\\nosupersub{}","plainCitation":"169","noteIndex":0},"citationItems":[{"id":316,"uris":["http://zotero.org/users/4775618/items/N3UZTWPS"],"uri":["http://zotero.org/users/4775618/items/N3UZTWPS"],"itemData":{"id":316,"type":"article-journal","title":"The Proto-oncometabolite Fumarate Binds Glutathione to Amplify ROS-Dependent Signaling","container-title":"Molecular Cell","page":"236-248","volume":"51","issue":"2","source":"www.cell.com","URL":"http://www.cell.com/molecular-cell/abstract/S1097-2765(13)00366-3","DOI":"10.1016/j.molcel.2013.05.003","ISSN":"1097-2765","journalAbbreviation":"Molecular Cell","language":"English","author":[{"family":"Sullivan","given":"Lucas B."},{"family":"Martinez-Garcia","given":"Eva"},{"family":"Nguyen","given":"Hien"},{"family":"Mullen","given":"Andrew R."},{"family":"Dufour","given":"Eric"},{"family":"Sudarshan","given":"Sunil"},{"family":"Licht","given":"Jonathan D."},{"family":"Deberardinis","given":"Ralph J."},{"family":"Chandel","given":"Navdeep S."}],"issued":{"date-parts":[["2013",7,25]]},"accessed":{"date-parts":[["2018",3,29]]}}}],"schema":"https://github.com/citation-style-language/schema/raw/master/csl-citation.json"}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169</w:t>
      </w:r>
      <w:r w:rsidR="006468CD">
        <w:rPr>
          <w:rFonts w:ascii="Calibri" w:hAnsi="Calibri" w:cs="Calibri"/>
          <w:color w:val="000000" w:themeColor="text1"/>
          <w:sz w:val="22"/>
          <w:szCs w:val="22"/>
        </w:rPr>
        <w:fldChar w:fldCharType="end"/>
      </w:r>
      <w:r w:rsidR="00A65289">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subsequent stabilisation of HIF1α</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{"citationID":"a1ucsj5t59q","properties":{"formattedCitation":"\\super 169\\nosupersub{}","plainCitation":"169","noteIndex":0},"citationItems":[{"id":316,"uris":["http://zotero.org/users/4775618/items/N3UZTWPS"],"uri":["http://zotero.org/users/4775618/items/N3UZTWPS"],"itemData":{"id":316,"type":"article-journal","title":"The Proto-oncometabolite Fumarate Binds Glutathione to Amplify ROS-Dependent Signaling","container-title":"Molecular Cell","page":"236-248","volume":"51","issue":"2","source":"www.cell.com","URL":"http://www.cell.com/molecular-cell/abstract/S1097-2765(13)00366-3","DOI":"10.1016/j.molcel.2013.05.003","ISSN":"1097-2765","journalAbbreviation":"Molecular Cell","language":"English","author":[{"family":"Sullivan","given":"Lucas B."},{"family":"Martinez-Garcia","given":"Eva"},{"family":"Nguyen","given":"Hien"},{"family":"Mullen","given":"Andrew R."},{"family":"Dufour","given":"Eric"},{"family":"Sudarshan","given":"Sunil"},{"family":"Licht","given":"Jonathan D."},{"family":"Deberardinis","given":"Ralph J."},{"family":"Chandel","given":"Navdeep S."}],"issued":{"date-parts":[["2013",7,25]]},"accessed":{"date-parts":[["2018",3,29]]}}}],"schema":"https://github.com/citation-style-language/schema/raw/master/csl-citation.json"}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169</w:t>
      </w:r>
      <w:r w:rsidR="006468CD">
        <w:rPr>
          <w:rFonts w:ascii="Calibri" w:hAnsi="Calibri" w:cs="Calibri"/>
          <w:color w:val="000000" w:themeColor="text1"/>
          <w:sz w:val="22"/>
          <w:szCs w:val="22"/>
        </w:rPr>
        <w:fldChar w:fldCharType="end"/>
      </w:r>
      <w:r w:rsidR="008B0014"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and induction of cellular senescence</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{"citationID":"a2asp95m132","properties":{"formattedCitation":"\\super 170\\nosupersub{}","plainCitation":"170","noteIndex":0},"citationItems":[{"id":621,"uris":["http://zotero.org/users/4775618/items/5HNR3W2E"],"uri":["http://zotero.org/users/4775618/items/5HNR3W2E"],"itemData":{"id":621,"type":"article-journal","title":"Fumarate induces redox-dependent senescence by modifying glutathione metabolism","container-title":"Nature Communications","page":"6001","volume":"6","source":"www.nature.com","abstract":"Mutations in the tricarboxylic acid (TCA) cycle enzyme fumarate hydratase (FH) are associated with a highly malignant form of renal cancer. We combined analytical chemistry and metabolic computational modelling to investigate the metabolic implications of FH loss in immortalized and primary mouse kidney cells. Here, we show that the accumulation of fumarate caused by the inactivation of FH leads to oxidative stress that is mediated by the formation of succinicGSH, a covalent adduct between fumarate and glutathione. Chronic succination of GSH, caused by the loss of FH, or by exogenous fumarate, leads to persistent oxidative stress and cellular senescence in vitro and in vivo. Importantly, the ablation of p21, a key mediator of senescence, in Fh1-deficient mice resulted in the transformation of benign renal cysts into a hyperplastic lesion, suggesting that fumarate-induced senescence needs to be bypassed for the initiation of renal cancers.","URL":"https://www.nature.com/articles/ncomms7001","DOI":"10.1038/ncomms7001","ISSN":"2041-1723","language":"en","author":[{"family":"Zheng","given":"Liang"},{"family":"Cardaci","given":"Simone"},{"family":"Jerby","given":"Livnat"},{"family":"MacKenzie","given":"Elaine D."},{"family":"Sciacovelli","given":"Marco"},{"family":"Johnson","given":"T. Isaac"},{"family":"Gaude","given":"Edoardo"},{"family":"King","given":"Ayala"},{"family":"Leach","given":"Joshua D. G."},{"family":"Edrada-Ebel","given":"RuAngelie"},{"family":"Hedley","given":"Ann"},{"family":"Morrice","given":"Nicholas A."},{"family":"Kalna","given":"Gabriela"},{"family":"Blyth","given":"Karen"},{"family":"Ruppin","given":"Eytan"},{"family":"Frezza","given":"Christian"},{"family":"Gottlieb","given":"Eyal"}],"issued":{"date-parts":[["2015",1,23]]},"accessed":{"date-parts":[["2018",8,25]]}}}],"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170</w:t>
      </w:r>
      <w:r w:rsidR="006468CD">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41662D" w:rsidRPr="00D637BA">
        <w:rPr>
          <w:rFonts w:ascii="Calibri" w:hAnsi="Calibri" w:cs="Calibri"/>
          <w:color w:val="000000" w:themeColor="text1"/>
          <w:sz w:val="22"/>
          <w:szCs w:val="22"/>
        </w:rPr>
        <w:t>This</w:t>
      </w:r>
      <w:r w:rsidR="00F131BF" w:rsidRPr="00D637BA">
        <w:rPr>
          <w:rFonts w:ascii="Calibri" w:hAnsi="Calibri" w:cs="Calibri"/>
          <w:color w:val="000000" w:themeColor="text1"/>
          <w:sz w:val="22"/>
          <w:szCs w:val="22"/>
        </w:rPr>
        <w:t xml:space="preserve"> state of irreversible growth arrest </w:t>
      </w:r>
      <w:r w:rsidR="0041662D" w:rsidRPr="00D637BA">
        <w:rPr>
          <w:rFonts w:ascii="Calibri" w:hAnsi="Calibri" w:cs="Calibri"/>
          <w:color w:val="000000" w:themeColor="text1"/>
          <w:sz w:val="22"/>
          <w:szCs w:val="22"/>
        </w:rPr>
        <w:t xml:space="preserve">is </w:t>
      </w:r>
      <w:r w:rsidR="00F131BF" w:rsidRPr="00D637BA">
        <w:rPr>
          <w:rFonts w:ascii="Calibri" w:hAnsi="Calibri" w:cs="Calibri"/>
          <w:color w:val="000000" w:themeColor="text1"/>
          <w:sz w:val="22"/>
          <w:szCs w:val="22"/>
        </w:rPr>
        <w:t>linked to</w:t>
      </w:r>
      <w:r w:rsidR="008D7543">
        <w:rPr>
          <w:rFonts w:ascii="Calibri" w:hAnsi="Calibri" w:cs="Calibri"/>
          <w:color w:val="000000" w:themeColor="text1"/>
          <w:sz w:val="22"/>
          <w:szCs w:val="22"/>
        </w:rPr>
        <w:t xml:space="preserve"> activation of tumour suppressor</w:t>
      </w:r>
      <w:r w:rsidR="00BE24F0">
        <w:rPr>
          <w:rFonts w:ascii="Calibri" w:hAnsi="Calibri" w:cs="Calibri"/>
          <w:color w:val="000000" w:themeColor="text1"/>
          <w:sz w:val="22"/>
          <w:szCs w:val="22"/>
        </w:rPr>
        <w:t xml:space="preserve"> pathways</w:t>
      </w:r>
      <w:r w:rsidR="008D7543">
        <w:rPr>
          <w:rFonts w:ascii="Calibri" w:hAnsi="Calibri" w:cs="Calibri"/>
          <w:color w:val="000000" w:themeColor="text1"/>
          <w:sz w:val="22"/>
          <w:szCs w:val="22"/>
        </w:rPr>
        <w:t xml:space="preserve"> such as p53</w:t>
      </w:r>
      <w:r w:rsidR="00BE24F0">
        <w:rPr>
          <w:rFonts w:ascii="Calibri" w:hAnsi="Calibri" w:cs="Calibri"/>
          <w:color w:val="000000" w:themeColor="text1"/>
          <w:sz w:val="22"/>
          <w:szCs w:val="22"/>
        </w:rPr>
        <w:t xml:space="preserve"> and retinoblastoma, </w:t>
      </w:r>
      <w:r w:rsidR="00F131BF" w:rsidRPr="00D637BA">
        <w:rPr>
          <w:rFonts w:ascii="Calibri" w:hAnsi="Calibri" w:cs="Calibri"/>
          <w:color w:val="000000" w:themeColor="text1"/>
          <w:sz w:val="22"/>
          <w:szCs w:val="22"/>
        </w:rPr>
        <w:t xml:space="preserve">and </w:t>
      </w:r>
      <w:r w:rsidR="0012325A" w:rsidRPr="00D637BA">
        <w:rPr>
          <w:rFonts w:ascii="Calibri" w:hAnsi="Calibri" w:cs="Calibri"/>
          <w:color w:val="000000" w:themeColor="text1"/>
          <w:sz w:val="22"/>
          <w:szCs w:val="22"/>
        </w:rPr>
        <w:t xml:space="preserve">is </w:t>
      </w:r>
      <w:r w:rsidR="00F131BF" w:rsidRPr="00D637BA">
        <w:rPr>
          <w:rFonts w:ascii="Calibri" w:hAnsi="Calibri" w:cs="Calibri"/>
          <w:color w:val="000000" w:themeColor="text1"/>
          <w:sz w:val="22"/>
          <w:szCs w:val="22"/>
        </w:rPr>
        <w:t>thought to protect against cancer</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{"citationID":"a2973j5ldpi","properties":{"formattedCitation":"\\super 171,172\\nosupersub{}","plainCitation":"171,172","noteIndex":0},"citationItems":[{"id":2812,"uris":["http://zotero.org/users/4775618/items/9HQJIBM2"],"uri":["http://zotero.org/users/4775618/items/9HQJIBM2"],"itemData":{"id":2812,"type":"article-journal","title":"Aging, cellular senescence, and cancer","container-title":"Annual Review of Physiology","page":"685-705","volume":"75","source":"PubMed","abstract":"For most species, aging promotes a host of degenerative pathologies that are characterized by debilitating losses of tissue or cellular function. However, especially among vertebrates, aging also promotes hyperplastic pathologies, the most deadly of which is cancer. In contrast to the loss of function that characterizes degenerating cells and tissues, malignant (cancerous) cells must acquire new (albeit aberrant) functions that allow them to develop into a lethal tumor. This review discusses the idea that, despite seemingly opposite characteristics, the degenerative and hyperplastic pathologies of aging are at least partly linked by a common biological phenomenon: a cellular stress response known as cellular senescence. The senescence response is widely recognized as a potent tumor suppressive mechanism. However, recent evidence strengthens the idea that it also drives both degenerative and hyperplastic pathologies, most likely by promoting chronic inflammation. Thus, the senescence response may be the result of antagonistically pleiotropic gene action.","DOI":"10.1146/annurev-physiol-030212-183653","ISSN":"1545-1585","note":"PMID: 23140366\nPMCID: PMC4166529","journalAbbreviation":"Annu. Rev. Physiol.","language":"eng","author":[{"family":"Campisi","given":"Judith"}],"issued":{"date-parts":[["2013"]]}}},{"id":1586,"uris":["http://zotero.org/users/4775618/items/Q6NSSX9K"],"uri":["http://zotero.org/users/4775618/items/Q6NSSX9K"],"itemData":{"id":1586,"type":"article-journal","title":"The role of senescent cells in ageing","container-title":"Nature","page":"439-446","volume":"509","issue":"7501","source":"PubMed Central","abstract":"Cellular senescence has historically been viewed as an irreversible cell-cycle arrest mechanism that acts to protect against cancer, but recent discoveries have extended its known role to complex biological processes such as development, tissue repair, ageing and age-related disorders. New insights indicate that, unlike a static endpoint, senescence represents a series of progressive and phenotypically diverse cellular states acquired after the initial growth arrest. A deeper understanding of the molecular mechanisms underlying the multi-step progression of senescence and the development and function of acute versus chronic senescent cells may lead to new therapeutic strategies for age-related pathologies and extend healthy lifespan.","URL":"https://www.ncbi.nlm.nih.gov/pmc/articles/PMC4214092/","DOI":"10.1038/nature13193","ISSN":"0028-0836","note":"PMID: 24848057\nPMCID: PMC4214092","journalAbbreviation":"Nature","author":[{"family":"Deursen","given":"Jan M.","non-dropping-particle":"van"}],"issued":{"date-parts":[["2014",5,22]]},"accessed":{"date-parts":[["2019",2,27]]}}}],"schema":"https://github.com/citation-style-language/schema/raw/master/csl-citation.json"}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171,172</w:t>
      </w:r>
      <w:r w:rsidR="006468CD">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Ablation of a key mediator of senescence, p21</w:t>
      </w:r>
      <w:r w:rsidR="00BD4A52"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in </w:t>
      </w:r>
      <w:r w:rsidR="00F131BF" w:rsidRPr="00D637BA">
        <w:rPr>
          <w:rFonts w:ascii="Calibri" w:hAnsi="Calibri" w:cs="Calibri"/>
          <w:i/>
          <w:color w:val="000000" w:themeColor="text1"/>
          <w:sz w:val="22"/>
          <w:szCs w:val="22"/>
        </w:rPr>
        <w:t>Fh1</w:t>
      </w:r>
      <w:r w:rsidR="00F131BF" w:rsidRPr="00D637BA">
        <w:rPr>
          <w:rFonts w:ascii="Calibri" w:hAnsi="Calibri" w:cs="Calibri"/>
          <w:color w:val="000000" w:themeColor="text1"/>
          <w:sz w:val="22"/>
          <w:szCs w:val="22"/>
        </w:rPr>
        <w:t>-deficient mice induced the transformation of benign renal cysts into hyperplastic lesions</w:t>
      </w:r>
      <w:r w:rsidR="00B842E2"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suggesting that this fumarate-induced senescent event needs to be overcome for renal tumorigenesis to proceed</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{"citationID":"ap9c5hr5ho","properties":{"formattedCitation":"\\super 170\\nosupersub{}","plainCitation":"170","noteIndex":0},"citationItems":[{"id":621,"uris":["http://zotero.org/users/4775618/items/5HNR3W2E"],"uri":["http://zotero.org/users/4775618/items/5HNR3W2E"],"itemData":{"id":621,"type":"article-journal","title":"Fumarate induces redox-dependent senescence by modifying glutathione metabolism","container-title":"Nature Communications","page":"6001","volume":"6","source":"www.nature.com","abstract":"Mutations in the tricarboxylic acid (TCA) cycle enzyme fumarate hydratase (FH) are associated with a highly malignant form of renal cancer. We combined analytical chemistry and metabolic computational modelling to investigate the metabolic implications of FH loss in immortalized and primary mouse kidney cells. Here, we show that the accumulation of fumarate caused by the inactivation of FH leads to oxidative stress that is mediated by the formation of succinicGSH, a covalent adduct between fumarate and glutathione. Chronic succination of GSH, caused by the loss of FH, or by exogenous fumarate, leads to persistent oxidative stress and cellular senescence in vitro and in vivo. Importantly, the ablation of p21, a key mediator of senescence, in Fh1-deficient mice resulted in the transformation of benign renal cysts into a hyperplastic lesion, suggesting that fumarate-induced senescence needs to be bypassed for the initiation of renal cancers.","URL":"https://www.nature.com/articles/ncomms7001","DOI":"10.1038/ncomms7001","ISSN":"2041-1723","language":"en","author":[{"family":"Zheng","given":"Liang"},{"family":"Cardaci","given":"Simone"},{"family":"Jerby","given":"Livnat"},{"family":"MacKenzie","given":"Elaine D."},{"family":"Sciacovelli","given":"Marco"},{"family":"Johnson","given":"T. Isaac"},{"family":"Gaude","given":"Edoardo"},{"family":"King","given":"Ayala"},{"family":"Leach","given":"Joshua D. G."},{"family":"Edrada-Ebel","given":"RuAngelie"},{"family":"Hedley","given":"Ann"},{"family":"Morrice","given":"Nicholas A."},{"family":"Kalna","given":"Gabriela"},{"family":"Blyth","given":"Karen"},{"family":"Ruppin","given":"Eytan"},{"family":"Frezza","given":"Christian"},{"family":"Gottlieb","given":"Eyal"}],"issued":{"date-parts":[["2015",1,23]]},"accessed":{"date-parts":[["2018",8,25]]}}}],"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170</w:t>
      </w:r>
      <w:r w:rsidR="006468CD">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Although ROS </w:t>
      </w:r>
      <w:r w:rsidR="00B842E2" w:rsidRPr="00D637BA">
        <w:rPr>
          <w:rFonts w:ascii="Calibri" w:hAnsi="Calibri" w:cs="Calibri"/>
          <w:color w:val="000000" w:themeColor="text1"/>
          <w:sz w:val="22"/>
          <w:szCs w:val="22"/>
        </w:rPr>
        <w:t>alone</w:t>
      </w:r>
      <w:r w:rsidR="00F131BF" w:rsidRPr="00D637BA">
        <w:rPr>
          <w:rFonts w:ascii="Calibri" w:hAnsi="Calibri" w:cs="Calibri"/>
          <w:color w:val="000000" w:themeColor="text1"/>
          <w:sz w:val="22"/>
          <w:szCs w:val="22"/>
        </w:rPr>
        <w:t xml:space="preserve"> can activate the Nrf2 signalling pathway through KEAP1 inhibition</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{"citationID":"a25c35b2fnl","properties":{"formattedCitation":"\\super 173\\nosupersub{}","plainCitation":"173","noteIndex":0},"citationItems":[{"id":1575,"uris":["http://zotero.org/users/4775618/items/QR4KIMZ5"],"uri":["http://zotero.org/users/4775618/items/QR4KIMZ5"],"itemData":{"id":1575,"type":"article-journal","title":"Activation of NRF2 by nitrosative agents and H2O2 involves KEAP1 disulfide formation","container-title":"The Journal of Biological Chemistry","page":"8463-8471","volume":"285","issue":"11","source":"PubMed","abstract":"The NRF2 transcription factor regulates a major environmental and oxidative stress response. NRF2 is itself negatively regulated by KEAP1, the adaptor of a Cul3-ubiquitin ligase complex that marks NRF2 for proteasomal degradation by ubiquitination. Electrophilic compounds activate NRF2 primarily by inhibiting KEAP1-dependent NRF2 degradation, through alkylation of specific cysteines. We have examined the impact on KEAP1 of reactive oxygen and nitrogen species, which are also NRF2 inducers. We found that in untreated cells, a fraction of KEAP1 carried a long range disulfide linking Cys(226) and Cys(613). Exposing cells to hydrogen peroxide, to the nitric oxide donor spermine NONOate, to hypochlorous acid, or to S-nitrosocysteine further increased this disulfide and promoted formation of a disulfide linking two KEAP1 molecules via Cys(151). None of these oxidants, except S-nitrocysteine, caused KEAP1 S-nitrosylation. A cysteine mutant preventing KEAP1 intermolecular disulfide formation also prevented NRF2 stabilization in response to oxidants, whereas those preventing intramolecular disulfide formation were functionally silent. Further, simultaneously inactivating the thioredoxin and glutathione pathways led both to major constitutive KEAP1 oxidation and NRF2 stabilization. We propose that KEAP1 intermolecular disulfide formation via Cys(151) underlies the activation of NRF2 by reactive oxygen and nitrogen species.","DOI":"10.1074/jbc.M109.051714","ISSN":"1083-351X","note":"PMID: 20061377\nPMCID: PMC2832995","journalAbbreviation":"J. Biol. Chem.","language":"eng","author":[{"family":"Fourquet","given":"Simon"},{"family":"Guerois","given":"Raphaël"},{"family":"Biard","given":"Denis"},{"family":"Toledano","given":"Michel B."}],"issued":{"date-parts":[["2010",3,12]]}}}],"schema":"https://github.com/citation-style-language/schema/raw/master/csl-citation.json"}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173</w:t>
      </w:r>
      <w:r w:rsidR="006468CD">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fumarate-dependent succination of KEAP1 </w:t>
      </w:r>
      <w:r w:rsidR="00E105DE" w:rsidRPr="00D637BA">
        <w:rPr>
          <w:rFonts w:ascii="Calibri" w:hAnsi="Calibri" w:cs="Calibri"/>
          <w:color w:val="000000" w:themeColor="text1"/>
          <w:sz w:val="22"/>
          <w:szCs w:val="22"/>
        </w:rPr>
        <w:t xml:space="preserve">seems to be </w:t>
      </w:r>
      <w:r w:rsidR="00F131BF" w:rsidRPr="00D637BA">
        <w:rPr>
          <w:rFonts w:ascii="Calibri" w:hAnsi="Calibri" w:cs="Calibri"/>
          <w:color w:val="000000" w:themeColor="text1"/>
          <w:sz w:val="22"/>
          <w:szCs w:val="22"/>
        </w:rPr>
        <w:t xml:space="preserve">the predominant mechanism for Nrf2 activation in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deficient cells</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{"citationID":"a2m8hisrbco","properties":{"formattedCitation":"\\super 169,170\\nosupersub{}","plainCitation":"169,170","noteIndex":0},"citationItems":[{"id":316,"uris":["http://zotero.org/users/4775618/items/N3UZTWPS"],"uri":["http://zotero.org/users/4775618/items/N3UZTWPS"],"itemData":{"id":316,"type":"article-journal","title":"The Proto-oncometabolite Fumarate Binds Glutathione to Amplify ROS-Dependent Signaling","container-title":"Molecular Cell","page":"236-248","volume":"51","issue":"2","source":"www.cell.com","URL":"http://www.cell.com/molecular-cell/abstract/S1097-2765(13)00366-3","DOI":"10.1016/j.molcel.2013.05.003","ISSN":"1097-2765","journalAbbreviation":"Molecular Cell","language":"English","author":[{"family":"Sullivan","given":"Lucas B."},{"family":"Martinez-Garcia","given":"Eva"},{"family":"Nguyen","given":"Hien"},{"family":"Mullen","given":"Andrew R."},{"family":"Dufour","given":"Eric"},{"family":"Sudarshan","given":"Sunil"},{"family":"Licht","given":"Jonathan D."},{"family":"Deberardinis","given":"Ralph J."},{"family":"Chandel","given":"Navdeep S."}],"issued":{"date-parts":[["2013",7,25]]},"accessed":{"date-parts":[["2018",3,29]]}}},{"id":621,"uris":["http://zotero.org/users/4775618/items/5HNR3W2E"],"uri":["http://zotero.org/users/4775618/items/5HNR3W2E"],"itemData":{"id":621,"type":"article-journal","title":"Fumarate induces redox-dependent senescence by modifying glutathione metabolism","container-title":"Nature Communications","page":"6001","volume":"6","source":"www.nature.com","abstract":"Mutations in the tricarboxylic acid (TCA) cycle enzyme fumarate hydratase (FH) are associated with a highly malignant form of renal cancer. We combined analytical chemistry and metabolic computational modelling to investigate the metabolic implications of FH loss in immortalized and primary mouse kidney cells. Here, we show that the accumulation of fumarate caused by the inactivation of FH leads to oxidative stress that is mediated by the formation of succinicGSH, a covalent adduct between fumarate and glutathione. Chronic succination of GSH, caused by the loss of FH, or by exogenous fumarate, leads to persistent oxidative stress and cellular senescence in vitro and in vivo. Importantly, the ablation of p21, a key mediator of senescence, in Fh1-deficient mice resulted in the transformation of benign renal cysts into a hyperplastic lesion, suggesting that fumarate-induced senescence needs to be bypassed for the initiation of renal cancers.","URL":"https://www.nature.com/articles/ncomms7001","DOI":"10.1038/ncomms7001","ISSN":"2041-1723","language":"en","author":[{"family":"Zheng","given":"Liang"},{"family":"Cardaci","given":"Simone"},{"family":"Jerby","given":"Livnat"},{"family":"MacKenzie","given":"Elaine D."},{"family":"Sciacovelli","given":"Marco"},{"family":"Johnson","given":"T. Isaac"},{"family":"Gaude","given":"Edoardo"},{"family":"King","given":"Ayala"},{"family":"Leach","given":"Joshua D. G."},{"family":"Edrada-Ebel","given":"RuAngelie"},{"family":"Hedley","given":"Ann"},{"family":"Morrice","given":"Nicholas A."},{"family":"Kalna","given":"Gabriela"},{"family":"Blyth","given":"Karen"},{"family":"Ruppin","given":"Eytan"},{"family":"Frezza","given":"Christian"},{"family":"Gottlieb","given":"Eyal"}],"issued":{"date-parts":[["2015",1,23]]},"accessed":{"date-parts":[["2018",8,25]]}}}],"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169,170</w:t>
      </w:r>
      <w:r w:rsidR="006468CD">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p>
    <w:p w14:paraId="72AAF2B6" w14:textId="4408E9A1" w:rsidR="00F2270A" w:rsidRDefault="0012325A" w:rsidP="00F2270A">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A</w:t>
      </w:r>
      <w:r w:rsidR="00F131BF" w:rsidRPr="00D637BA">
        <w:rPr>
          <w:rFonts w:ascii="Calibri" w:hAnsi="Calibri" w:cs="Calibri"/>
          <w:color w:val="000000" w:themeColor="text1"/>
          <w:sz w:val="22"/>
          <w:szCs w:val="22"/>
        </w:rPr>
        <w:t xml:space="preserve">lthough not </w:t>
      </w:r>
      <w:r w:rsidR="00154BAF">
        <w:rPr>
          <w:rFonts w:ascii="Calibri" w:hAnsi="Calibri" w:cs="Calibri"/>
          <w:color w:val="000000" w:themeColor="text1"/>
          <w:sz w:val="22"/>
          <w:szCs w:val="22"/>
        </w:rPr>
        <w:t>demonstrated</w:t>
      </w:r>
      <w:r w:rsidRPr="00B946E4">
        <w:rPr>
          <w:rFonts w:ascii="Calibri" w:hAnsi="Calibri" w:cs="Calibri"/>
          <w:color w:val="000000" w:themeColor="text1"/>
          <w:sz w:val="22"/>
          <w:szCs w:val="22"/>
        </w:rPr>
        <w:t xml:space="preserve"> in the </w:t>
      </w:r>
      <w:r w:rsidR="00F131BF" w:rsidRPr="00D637BA">
        <w:rPr>
          <w:rFonts w:ascii="Calibri" w:hAnsi="Calibri" w:cs="Calibri"/>
          <w:color w:val="000000" w:themeColor="text1"/>
          <w:sz w:val="22"/>
          <w:szCs w:val="22"/>
        </w:rPr>
        <w:t xml:space="preserve">context of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deficiency, fumarate has been found to bind directly to glutathione peroxidase 1 (Gpx1)</w:t>
      </w:r>
      <w:r w:rsidR="001200D5" w:rsidRPr="00D637BA">
        <w:rPr>
          <w:rFonts w:ascii="Calibri" w:hAnsi="Calibri" w:cs="Calibri"/>
          <w:color w:val="000000" w:themeColor="text1"/>
          <w:sz w:val="22"/>
          <w:szCs w:val="22"/>
        </w:rPr>
        <w:t xml:space="preserve"> and </w:t>
      </w:r>
      <w:r w:rsidR="00F131BF" w:rsidRPr="00D637BA">
        <w:rPr>
          <w:rFonts w:ascii="Calibri" w:hAnsi="Calibri" w:cs="Calibri"/>
          <w:color w:val="000000" w:themeColor="text1"/>
          <w:sz w:val="22"/>
          <w:szCs w:val="22"/>
        </w:rPr>
        <w:t>activat</w:t>
      </w:r>
      <w:r w:rsidR="001200D5" w:rsidRPr="00D637BA">
        <w:rPr>
          <w:rFonts w:ascii="Calibri" w:hAnsi="Calibri" w:cs="Calibri"/>
          <w:color w:val="000000" w:themeColor="text1"/>
          <w:sz w:val="22"/>
          <w:szCs w:val="22"/>
        </w:rPr>
        <w:t>e</w:t>
      </w:r>
      <w:r w:rsidR="00F131BF" w:rsidRPr="00D637BA">
        <w:rPr>
          <w:rFonts w:ascii="Calibri" w:hAnsi="Calibri" w:cs="Calibri"/>
          <w:color w:val="000000" w:themeColor="text1"/>
          <w:sz w:val="22"/>
          <w:szCs w:val="22"/>
        </w:rPr>
        <w:t xml:space="preserve"> this ROS scavenging enzyme in</w:t>
      </w:r>
      <w:r w:rsidR="00207746">
        <w:rPr>
          <w:rFonts w:ascii="Calibri" w:hAnsi="Calibri" w:cs="Calibri"/>
          <w:color w:val="000000" w:themeColor="text1"/>
          <w:sz w:val="22"/>
          <w:szCs w:val="22"/>
        </w:rPr>
        <w:t xml:space="preserve"> breast and lung</w:t>
      </w:r>
      <w:r w:rsidR="00F131BF" w:rsidRPr="00D637BA">
        <w:rPr>
          <w:rFonts w:ascii="Calibri" w:hAnsi="Calibri" w:cs="Calibri"/>
          <w:color w:val="000000" w:themeColor="text1"/>
          <w:sz w:val="22"/>
          <w:szCs w:val="22"/>
        </w:rPr>
        <w:t xml:space="preserve"> cancer cells</w:t>
      </w:r>
      <w:r w:rsidR="00565C60">
        <w:rPr>
          <w:rFonts w:ascii="Calibri" w:hAnsi="Calibri" w:cs="Calibri"/>
          <w:color w:val="000000" w:themeColor="text1"/>
          <w:sz w:val="22"/>
          <w:szCs w:val="22"/>
        </w:rPr>
        <w:t>, conferring a proliferative advantage by regulating redox homeostasis</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{"citationID":"a24kmgbrs8o","properties":{"formattedCitation":"\\super 174\\nosupersub{}","plainCitation":"174","noteIndex":0},"citationItems":[{"id":1578,"uris":["http://zotero.org/users/4775618/items/4Q3E5JT9"],"uri":["http://zotero.org/users/4775618/items/4Q3E5JT9"],"itemData":{"id":1578,"type":"article-journal","title":"Glutamate Dehydrogenase 1 Signals through Antioxidant Glutathione Peroxidase 1 to Regulate Redox Homeostasis and Tumor Growth","container-title":"Cancer Cell","page":"257-270","volume":"27","issue":"2","source":"ScienceDirect","abstract":"Summary\nHow mitochondrial glutaminolysis contributes to redox homeostasis in cancer cells remains unclear. Here we report that the mitochondrial enzyme glutamate dehydrogenase 1 (GDH1) is commonly upregulated in human cancers. GDH1 is important for redox homeostasis in cancer cells by controlling the intracellular levels of its product alpha-ketoglutarate and subsequent metabolite fumarate. Mechanistically, fumarate binds to and activates a reactive oxygen species scavenging enzyme glutathione peroxidase 1. Targeting GDH1 by shRNA or a small molecule inhibitor R162 resulted in imbalanced redox homeostasis, leading to attenuated cancer cell proliferation and tumor growth.","URL":"http://www.sciencedirect.com/science/article/pii/S1535610814005157","DOI":"10.1016/j.ccell.2014.12.006","ISSN":"1535-6108","journalAbbreviation":"Cancer Cell","author":[{"family":"Jin","given":"Lingtao"},{"family":"Li","given":"Dan"},{"family":"Alesi","given":"Gina N."},{"family":"Fan","given":"Jun"},{"family":"Kang","given":"Hee-Bum"},{"family":"Lu","given":"Zhou"},{"family":"Boggon","given":"Titus J."},{"family":"Jin","given":"Peng"},{"family":"Yi","given":"Hong"},{"family":"Wright","given":"Elizabeth R."},{"family":"Duong","given":"Duc"},{"family":"Seyfried","given":"Nicholas T."},{"family":"Egnatchik","given":"Robert"},{"family":"DeBerardinis","given":"Ralph J."},{"family":"Magliocca","given":"Kelly R."},{"family":"He","given":"Chuan"},{"family":"Arellano","given":"Martha L."},{"family":"Khoury","given":"Hanna J."},{"family":"Shin","given":"Dong M."},{"family":"Khuri","given":"Fadlo R."},{"family":"Kang","given":"Sumin"}],"issued":{"date-parts":[["2015",2,9]]},"accessed":{"date-parts":[["2019",2,27]]}}}],"schema":"https://github.com/citation-style-language/schema/raw/master/csl-citation.json"}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174</w:t>
      </w:r>
      <w:r w:rsidR="006468CD">
        <w:rPr>
          <w:rFonts w:ascii="Calibri" w:hAnsi="Calibri" w:cs="Calibri"/>
          <w:color w:val="000000" w:themeColor="text1"/>
          <w:sz w:val="22"/>
          <w:szCs w:val="22"/>
        </w:rPr>
        <w:fldChar w:fldCharType="end"/>
      </w:r>
      <w:r w:rsidR="00207746">
        <w:rPr>
          <w:rFonts w:ascii="Calibri" w:hAnsi="Calibri" w:cs="Calibri"/>
          <w:color w:val="000000" w:themeColor="text1"/>
          <w:sz w:val="22"/>
          <w:szCs w:val="22"/>
        </w:rPr>
        <w:t>.</w:t>
      </w:r>
      <w:r w:rsidR="00154BAF">
        <w:rPr>
          <w:rFonts w:ascii="Calibri" w:hAnsi="Calibri" w:cs="Calibri"/>
          <w:color w:val="000000" w:themeColor="text1"/>
          <w:sz w:val="22"/>
          <w:szCs w:val="22"/>
        </w:rPr>
        <w:t xml:space="preserve"> </w:t>
      </w:r>
      <w:r w:rsidR="00565C60">
        <w:rPr>
          <w:rFonts w:ascii="Calibri" w:hAnsi="Calibri" w:cs="Calibri"/>
          <w:color w:val="000000" w:themeColor="text1"/>
          <w:sz w:val="22"/>
          <w:szCs w:val="22"/>
        </w:rPr>
        <w:t>G</w:t>
      </w:r>
      <w:r w:rsidR="00565C60" w:rsidRPr="00D637BA">
        <w:rPr>
          <w:rFonts w:ascii="Calibri" w:hAnsi="Calibri" w:cs="Calibri"/>
          <w:color w:val="000000" w:themeColor="text1"/>
          <w:sz w:val="22"/>
          <w:szCs w:val="22"/>
        </w:rPr>
        <w:t xml:space="preserve">lutamate dehydrogenase 1 (GDH1) </w:t>
      </w:r>
      <w:r w:rsidR="00565C60">
        <w:rPr>
          <w:rFonts w:ascii="Calibri" w:hAnsi="Calibri" w:cs="Calibri"/>
          <w:color w:val="000000" w:themeColor="text1"/>
          <w:sz w:val="22"/>
          <w:szCs w:val="22"/>
        </w:rPr>
        <w:t xml:space="preserve"> was identified to be the predominant source of</w:t>
      </w:r>
      <w:r w:rsidR="00CB4D7E">
        <w:rPr>
          <w:rFonts w:ascii="Calibri" w:hAnsi="Calibri" w:cs="Calibri"/>
          <w:color w:val="000000" w:themeColor="text1"/>
          <w:sz w:val="22"/>
          <w:szCs w:val="22"/>
        </w:rPr>
        <w:t xml:space="preserve"> </w:t>
      </w:r>
      <w:r w:rsidR="00CB4D7E" w:rsidRPr="00D637BA">
        <w:rPr>
          <w:rFonts w:ascii="Calibri" w:hAnsi="Calibri" w:cs="Calibri"/>
          <w:color w:val="000000" w:themeColor="text1"/>
          <w:sz w:val="22"/>
          <w:szCs w:val="22"/>
        </w:rPr>
        <w:t>αKG</w:t>
      </w:r>
      <w:r w:rsidR="007C22D2">
        <w:rPr>
          <w:rFonts w:ascii="Calibri" w:hAnsi="Calibri" w:cs="Calibri"/>
          <w:color w:val="000000" w:themeColor="text1"/>
          <w:sz w:val="22"/>
          <w:szCs w:val="22"/>
        </w:rPr>
        <w:t xml:space="preserve"> (with subsequent conversion to fumarate)</w:t>
      </w:r>
      <w:r w:rsidR="00CB4D7E">
        <w:rPr>
          <w:rFonts w:ascii="Calibri" w:hAnsi="Calibri" w:cs="Calibri"/>
          <w:color w:val="000000" w:themeColor="text1"/>
          <w:sz w:val="22"/>
          <w:szCs w:val="22"/>
        </w:rPr>
        <w:t xml:space="preserve"> from </w:t>
      </w:r>
      <w:r w:rsidR="00CB4D7E">
        <w:rPr>
          <w:rFonts w:ascii="Calibri" w:hAnsi="Calibri" w:cs="Calibri"/>
          <w:color w:val="000000" w:themeColor="text1"/>
          <w:sz w:val="22"/>
          <w:szCs w:val="22"/>
        </w:rPr>
        <w:lastRenderedPageBreak/>
        <w:t>glutamate in these cells</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{"citationID":"a101ohbhi3o","properties":{"formattedCitation":"\\super 174\\nosupersub{}","plainCitation":"174","noteIndex":0},"citationItems":[{"id":1578,"uris":["http://zotero.org/users/4775618/items/4Q3E5JT9"],"uri":["http://zotero.org/users/4775618/items/4Q3E5JT9"],"itemData":{"id":1578,"type":"article-journal","title":"Glutamate Dehydrogenase 1 Signals through Antioxidant Glutathione Peroxidase 1 to Regulate Redox Homeostasis and Tumor Growth","container-title":"Cancer Cell","page":"257-270","volume":"27","issue":"2","source":"ScienceDirect","abstract":"Summary\nHow mitochondrial glutaminolysis contributes to redox homeostasis in cancer cells remains unclear. Here we report that the mitochondrial enzyme glutamate dehydrogenase 1 (GDH1) is commonly upregulated in human cancers. GDH1 is important for redox homeostasis in cancer cells by controlling the intracellular levels of its product alpha-ketoglutarate and subsequent metabolite fumarate. Mechanistically, fumarate binds to and activates a reactive oxygen species scavenging enzyme glutathione peroxidase 1. Targeting GDH1 by shRNA or a small molecule inhibitor R162 resulted in imbalanced redox homeostasis, leading to attenuated cancer cell proliferation and tumor growth.","URL":"http://www.sciencedirect.com/science/article/pii/S1535610814005157","DOI":"10.1016/j.ccell.2014.12.006","ISSN":"1535-6108","journalAbbreviation":"Cancer Cell","author":[{"family":"Jin","given":"Lingtao"},{"family":"Li","given":"Dan"},{"family":"Alesi","given":"Gina N."},{"family":"Fan","given":"Jun"},{"family":"Kang","given":"Hee-Bum"},{"family":"Lu","given":"Zhou"},{"family":"Boggon","given":"Titus J."},{"family":"Jin","given":"Peng"},{"family":"Yi","given":"Hong"},{"family":"Wright","given":"Elizabeth R."},{"family":"Duong","given":"Duc"},{"family":"Seyfried","given":"Nicholas T."},{"family":"Egnatchik","given":"Robert"},{"family":"DeBerardinis","given":"Ralph J."},{"family":"Magliocca","given":"Kelly R."},{"family":"He","given":"Chuan"},{"family":"Arellano","given":"Martha L."},{"family":"Khoury","given":"Hanna J."},{"family":"Shin","given":"Dong M."},{"family":"Khuri","given":"Fadlo R."},{"family":"Kang","given":"Sumin"}],"issued":{"date-parts":[["2015",2,9]]},"accessed":{"date-parts":[["2019",2,27]]}}}],"schema":"https://github.com/citation-style-language/schema/raw/master/csl-citation.json"}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174</w:t>
      </w:r>
      <w:r w:rsidR="006468CD">
        <w:rPr>
          <w:rFonts w:ascii="Calibri" w:hAnsi="Calibri" w:cs="Calibri"/>
          <w:color w:val="000000" w:themeColor="text1"/>
          <w:sz w:val="22"/>
          <w:szCs w:val="22"/>
        </w:rPr>
        <w:fldChar w:fldCharType="end"/>
      </w:r>
      <w:r w:rsidR="007C22D2">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w:t>
      </w:r>
      <w:r w:rsidR="007C22D2">
        <w:rPr>
          <w:rFonts w:ascii="Calibri" w:hAnsi="Calibri" w:cs="Calibri"/>
          <w:color w:val="000000" w:themeColor="text1"/>
          <w:sz w:val="22"/>
          <w:szCs w:val="22"/>
        </w:rPr>
        <w:t xml:space="preserve">Furthermore, </w:t>
      </w:r>
      <w:r w:rsidR="00F131BF" w:rsidRPr="00D637BA">
        <w:rPr>
          <w:rFonts w:ascii="Calibri" w:hAnsi="Calibri" w:cs="Calibri"/>
          <w:color w:val="000000" w:themeColor="text1"/>
          <w:sz w:val="22"/>
          <w:szCs w:val="22"/>
        </w:rPr>
        <w:t>GDH1 inhibition</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attenuated cancer cell proliferation and tumour growth </w:t>
      </w:r>
      <w:r w:rsidR="00F131BF" w:rsidRPr="00D637BA">
        <w:rPr>
          <w:rFonts w:ascii="Calibri" w:hAnsi="Calibri" w:cs="Calibri"/>
          <w:i/>
          <w:color w:val="000000" w:themeColor="text1"/>
          <w:sz w:val="22"/>
          <w:szCs w:val="22"/>
        </w:rPr>
        <w:t>in vivo</w:t>
      </w:r>
      <w:r w:rsidR="006468CD">
        <w:rPr>
          <w:rFonts w:ascii="Calibri" w:hAnsi="Calibri" w:cs="Calibri"/>
          <w:i/>
          <w:color w:val="000000" w:themeColor="text1"/>
          <w:sz w:val="22"/>
          <w:szCs w:val="22"/>
        </w:rPr>
        <w:fldChar w:fldCharType="begin"/>
      </w:r>
      <w:r w:rsidR="00B67BF3">
        <w:rPr>
          <w:rFonts w:ascii="Calibri" w:hAnsi="Calibri" w:cs="Calibri"/>
          <w:i/>
          <w:color w:val="000000" w:themeColor="text1"/>
          <w:sz w:val="22"/>
          <w:szCs w:val="22"/>
        </w:rPr>
        <w:instrText xml:space="preserve"> ADDIN ZOTERO_ITEM CSL_CITATION {"citationID":"aq8a3duprh","properties":{"formattedCitation":"\\super 174\\nosupersub{}","plainCitation":"174","noteIndex":0},"citationItems":[{"id":1578,"uris":["http://zotero.org/users/4775618/items/4Q3E5JT9"],"uri":["http://zotero.org/users/4775618/items/4Q3E5JT9"],"itemData":{"id":1578,"type":"article-journal","title":"Glutamate Dehydrogenase 1 Signals through Antioxidant Glutathione Peroxidase 1 to Regulate Redox Homeostasis and Tumor Growth","container-title":"Cancer Cell","page":"257-270","volume":"27","issue":"2","source":"ScienceDirect","abstract":"Summary\nHow mitochondrial glutaminolysis contributes to redox homeostasis in cancer cells remains unclear. Here we report that the mitochondrial enzyme glutamate dehydrogenase 1 (GDH1) is commonly upregulated in human cancers. GDH1 is important for redox homeostasis in cancer cells by controlling the intracellular levels of its product alpha-ketoglutarate and subsequent metabolite fumarate. Mechanistically, fumarate binds to and activates a reactive oxygen species scavenging enzyme glutathione peroxidase 1. Targeting GDH1 by shRNA or a small molecule inhibitor R162 resulted in imbalanced redox homeostasis, leading to attenuated cancer cell proliferation and tumor growth.","URL":"http://www.sciencedirect.com/science/article/pii/S1535610814005157","DOI":"10.1016/j.ccell.2014.12.006","ISSN":"1535-6108","journalAbbreviation":"Cancer Cell","author":[{"family":"Jin","given":"Lingtao"},{"family":"Li","given":"Dan"},{"family":"Alesi","given":"Gina N."},{"family":"Fan","given":"Jun"},{"family":"Kang","given":"Hee-Bum"},{"family":"Lu","given":"Zhou"},{"family":"Boggon","given":"Titus J."},{"family":"Jin","given":"Peng"},{"family":"Yi","given":"Hong"},{"family":"Wright","given":"Elizabeth R."},{"family":"Duong","given":"Duc"},{"family":"Seyfried","given":"Nicholas T."},{"family":"Egnatchik","given":"Robert"},{"family":"DeBerardinis","given":"Ralph J."},{"family":"Magliocca","given":"Kelly R."},{"family":"He","given":"Chuan"},{"family":"Arellano","given":"Martha L."},{"family":"Khoury","given":"Hanna J."},{"family":"Shin","given":"Dong M."},{"family":"Khuri","given":"Fadlo R."},{"family":"Kang","given":"Sumin"}],"issued":{"date-parts":[["2015",2,9]]},"accessed":{"date-parts":[["2019",2,27]]}}}],"schema":"https://github.com/citation-style-language/schema/raw/master/csl-citation.json"} </w:instrText>
      </w:r>
      <w:r w:rsidR="006468CD">
        <w:rPr>
          <w:rFonts w:ascii="Calibri" w:hAnsi="Calibri" w:cs="Calibri"/>
          <w:i/>
          <w:color w:val="000000" w:themeColor="text1"/>
          <w:sz w:val="22"/>
          <w:szCs w:val="22"/>
        </w:rPr>
        <w:fldChar w:fldCharType="separate"/>
      </w:r>
      <w:r w:rsidR="00B67BF3" w:rsidRPr="00B67BF3">
        <w:rPr>
          <w:rFonts w:ascii="Calibri" w:hAnsi="Calibri" w:cs="Calibri"/>
          <w:color w:val="000000"/>
          <w:sz w:val="22"/>
          <w:vertAlign w:val="superscript"/>
          <w:lang w:val="en-US"/>
        </w:rPr>
        <w:t>174</w:t>
      </w:r>
      <w:r w:rsidR="006468CD">
        <w:rPr>
          <w:rFonts w:ascii="Calibri" w:hAnsi="Calibri" w:cs="Calibri"/>
          <w:i/>
          <w:color w:val="000000" w:themeColor="text1"/>
          <w:sz w:val="22"/>
          <w:szCs w:val="22"/>
        </w:rPr>
        <w:fldChar w:fldCharType="end"/>
      </w:r>
      <w:r w:rsidR="00F131BF" w:rsidRPr="00D637BA">
        <w:rPr>
          <w:rFonts w:ascii="Calibri" w:hAnsi="Calibri" w:cs="Calibri"/>
          <w:color w:val="000000" w:themeColor="text1"/>
          <w:sz w:val="22"/>
          <w:szCs w:val="22"/>
        </w:rPr>
        <w:t>.</w:t>
      </w:r>
      <w:r w:rsidR="007C22D2">
        <w:rPr>
          <w:rFonts w:ascii="Calibri" w:hAnsi="Calibri" w:cs="Calibri"/>
          <w:color w:val="000000" w:themeColor="text1"/>
          <w:sz w:val="22"/>
          <w:szCs w:val="22"/>
        </w:rPr>
        <w:t xml:space="preserve"> Of note, expression of</w:t>
      </w:r>
      <w:r w:rsidR="00755329">
        <w:rPr>
          <w:rFonts w:ascii="Calibri" w:hAnsi="Calibri" w:cs="Calibri"/>
          <w:color w:val="000000" w:themeColor="text1"/>
          <w:sz w:val="22"/>
          <w:szCs w:val="22"/>
        </w:rPr>
        <w:t xml:space="preserve"> GDH1 was </w:t>
      </w:r>
      <w:r w:rsidR="007C22D2">
        <w:rPr>
          <w:rFonts w:ascii="Calibri" w:hAnsi="Calibri" w:cs="Calibri"/>
          <w:color w:val="000000" w:themeColor="text1"/>
          <w:sz w:val="22"/>
          <w:szCs w:val="22"/>
        </w:rPr>
        <w:t xml:space="preserve">found to be upregulated in human breast and lung cancer tissues and </w:t>
      </w:r>
      <w:r w:rsidR="00755329">
        <w:rPr>
          <w:rFonts w:ascii="Calibri" w:hAnsi="Calibri" w:cs="Calibri"/>
          <w:color w:val="000000" w:themeColor="text1"/>
          <w:sz w:val="22"/>
          <w:szCs w:val="22"/>
        </w:rPr>
        <w:t>correlated with progressi</w:t>
      </w:r>
      <w:r w:rsidR="007C22D2">
        <w:rPr>
          <w:rFonts w:ascii="Calibri" w:hAnsi="Calibri" w:cs="Calibri"/>
          <w:color w:val="000000" w:themeColor="text1"/>
          <w:sz w:val="22"/>
          <w:szCs w:val="22"/>
        </w:rPr>
        <w:t>on</w:t>
      </w:r>
      <w:r w:rsidR="006468CD">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{"citationID":"aanubdi351","properties":{"formattedCitation":"\\super 174\\nosupersub{}","plainCitation":"174","noteIndex":0},"citationItems":[{"id":1578,"uris":["http://zotero.org/users/4775618/items/4Q3E5JT9"],"uri":["http://zotero.org/users/4775618/items/4Q3E5JT9"],"itemData":{"id":1578,"type":"article-journal","title":"Glutamate Dehydrogenase 1 Signals through Antioxidant Glutathione Peroxidase 1 to Regulate Redox Homeostasis and Tumor Growth","container-title":"Cancer Cell","page":"257-270","volume":"27","issue":"2","source":"ScienceDirect","abstract":"Summary\nHow mitochondrial glutaminolysis contributes to redox homeostasis in cancer cells remains unclear. Here we report that the mitochondrial enzyme glutamate dehydrogenase 1 (GDH1) is commonly upregulated in human cancers. GDH1 is important for redox homeostasis in cancer cells by controlling the intracellular levels of its product alpha-ketoglutarate and subsequent metabolite fumarate. Mechanistically, fumarate binds to and activates a reactive oxygen species scavenging enzyme glutathione peroxidase 1. Targeting GDH1 by shRNA or a small molecule inhibitor R162 resulted in imbalanced redox homeostasis, leading to attenuated cancer cell proliferation and tumor growth.","URL":"http://www.sciencedirect.com/science/article/pii/S1535610814005157","DOI":"10.1016/j.ccell.2014.12.006","ISSN":"1535-6108","journalAbbreviation":"Cancer Cell","author":[{"family":"Jin","given":"Lingtao"},{"family":"Li","given":"Dan"},{"family":"Alesi","given":"Gina N."},{"family":"Fan","given":"Jun"},{"family":"Kang","given":"Hee-Bum"},{"family":"Lu","given":"Zhou"},{"family":"Boggon","given":"Titus J."},{"family":"Jin","given":"Peng"},{"family":"Yi","given":"Hong"},{"family":"Wright","given":"Elizabeth R."},{"family":"Duong","given":"Duc"},{"family":"Seyfried","given":"Nicholas T."},{"family":"Egnatchik","given":"Robert"},{"family":"DeBerardinis","given":"Ralph J."},{"family":"Magliocca","given":"Kelly R."},{"family":"He","given":"Chuan"},{"family":"Arellano","given":"Martha L."},{"family":"Khoury","given":"Hanna J."},{"family":"Shin","given":"Dong M."},{"family":"Khuri","given":"Fadlo R."},{"family":"Kang","given":"Sumin"}],"issued":{"date-parts":[["2015",2,9]]},"accessed":{"date-parts":[["2019",2,27]]}}}],"schema":"https://github.com/citation-style-language/schema/raw/master/csl-citation.json"} </w:instrText>
      </w:r>
      <w:r w:rsidR="006468CD">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174</w:t>
      </w:r>
      <w:r w:rsidR="006468CD">
        <w:rPr>
          <w:rFonts w:ascii="Calibri" w:hAnsi="Calibri" w:cs="Calibri"/>
          <w:color w:val="000000" w:themeColor="text1"/>
          <w:sz w:val="22"/>
          <w:szCs w:val="22"/>
        </w:rPr>
        <w:fldChar w:fldCharType="end"/>
      </w:r>
      <w:r w:rsidR="00755329">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w:t>
      </w:r>
      <w:r w:rsidR="001200D5" w:rsidRPr="00D637BA">
        <w:rPr>
          <w:rFonts w:ascii="Calibri" w:hAnsi="Calibri" w:cs="Calibri"/>
          <w:color w:val="000000" w:themeColor="text1"/>
          <w:sz w:val="22"/>
          <w:szCs w:val="22"/>
        </w:rPr>
        <w:t>G</w:t>
      </w:r>
      <w:r w:rsidR="00F131BF" w:rsidRPr="00D637BA">
        <w:rPr>
          <w:rFonts w:ascii="Calibri" w:hAnsi="Calibri" w:cs="Calibri"/>
          <w:color w:val="000000" w:themeColor="text1"/>
          <w:sz w:val="22"/>
          <w:szCs w:val="22"/>
        </w:rPr>
        <w:t>iven the fumarate accumulation</w:t>
      </w:r>
      <w:r w:rsidR="00C069D6" w:rsidRPr="00D637BA">
        <w:rPr>
          <w:rFonts w:ascii="Calibri" w:hAnsi="Calibri" w:cs="Calibri"/>
          <w:color w:val="000000" w:themeColor="text1"/>
          <w:sz w:val="22"/>
          <w:szCs w:val="22"/>
        </w:rPr>
        <w:t xml:space="preserve"> that occurs</w:t>
      </w:r>
      <w:r w:rsidR="00F131BF" w:rsidRPr="00D637BA">
        <w:rPr>
          <w:rFonts w:ascii="Calibri" w:hAnsi="Calibri" w:cs="Calibri"/>
          <w:color w:val="000000" w:themeColor="text1"/>
          <w:sz w:val="22"/>
          <w:szCs w:val="22"/>
        </w:rPr>
        <w:t xml:space="preserve"> in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-deficient tumours and th</w:t>
      </w:r>
      <w:r w:rsidR="001200D5" w:rsidRPr="00D637BA">
        <w:rPr>
          <w:rFonts w:ascii="Calibri" w:hAnsi="Calibri" w:cs="Calibri"/>
          <w:color w:val="000000" w:themeColor="text1"/>
          <w:sz w:val="22"/>
          <w:szCs w:val="22"/>
        </w:rPr>
        <w:t>e finding that</w:t>
      </w:r>
      <w:r w:rsidR="00F131BF" w:rsidRPr="00D637BA">
        <w:rPr>
          <w:rFonts w:ascii="Calibri" w:hAnsi="Calibri" w:cs="Calibri"/>
          <w:color w:val="000000" w:themeColor="text1"/>
          <w:sz w:val="22"/>
          <w:szCs w:val="22"/>
        </w:rPr>
        <w:t xml:space="preserve"> glutamine entry into the TCA cycle (via GDH1) is a dominant pathway in this setting</w:t>
      </w:r>
      <w:r w:rsidR="00C67FBF">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{"citationID":"agl6r886u8","properties":{"formattedCitation":"\\super 175,176\\nosupersub{}","plainCitation":"175,176","noteIndex":0},"citationItems":[{"id":897,"uris":["http://zotero.org/users/4775618/items/2QF3M2VA"],"uri":["http://zotero.org/users/4775618/items/2QF3M2VA"],"itemData":{"id":897,"type":"article-journal","title":"Glutamine and cancer: cell biology, physiology, and clinical opportunities","container-title":"The Journal of Clinical Investigation","page":"3678-3684","volume":"123","issue":"9","source":"PubMed Central","abstract":"Glutamine is an abundant and versatile nutrient that participates in energy formation, redox homeostasis, macromolecular synthesis, and signaling in cancer cells. These characteristics make glutamine metabolism an appealing target for new clinical strategies to detect, monitor, and treat cancer. Here we review the metabolic functions of glutamine as a super nutrient and the surprising roles of glutamine in supporting the biological hallmarks of malignancy. We also review recent efforts in imaging and therapeutics to exploit tumor cell glutamine dependence, discuss some of the challenges in this arena, and suggest a disease-focused paradigm to deploy these emerging approaches.","URL":"https://www.ncbi.nlm.nih.gov/pmc/articles/PMC3754270/","DOI":"10.1172/JCI69600","ISSN":"0021-9738","note":"PMID: 23999442\nPMCID: PMC3754270","title-short":"Glutamine and cancer","journalAbbreviation":"J Clin Invest","author":[{"family":"Hensley","given":"Christopher T."},{"family":"Wasti","given":"Ajla T."},{"family":"DeBerardinis","given":"Ralph J."}],"issued":{"date-parts":[["2013",9,3]]},"accessed":{"date-parts":[["2019",1,5]]}}},{"id":1752,"uris":["http://zotero.org/users/4775618/items/899A8F79"],"uri":["http://zotero.org/users/4775618/items/899A8F79"],"itemData":{"id":1752,"type":"article-journal","title":"Reductive carboxylation supports growth in tumour cells with defective mitochondria","container-title":"Nature","page":"385-388","volume":"481","issue":"7381","source":"www-nature-com.ezp.lib.cam.ac.uk","abstract":"Mitochondrial metabolism provides precursors to build macromolecules in growing cancer cells1,2. In normally functioning tumour cell mitochondria, oxidative metabolism of glucose- and glutamine-derived carbon produces citrate and acetyl-coenzyme A for lipid synthesis, which is required for tumorigenesis3. Yet some tumours harbour mutations in the citric acid cycle (CAC) or electron transport chain (ETC) that disable normal oxidative mitochondrial function4,5,6,7, and it is unknown how cells from such tumours generate precursors for macromolecular synthesis. Here we show that tumour cells with defective mitochondria use glutamine-dependent reductive carboxylation rather than oxidative metabolism as the major pathway of citrate formation. This pathway uses mitochondrial and cytosolic isoforms of NADP+/NADPH-dependent isocitrate dehydrogenase, and subsequent metabolism of glutamine-derived citrate provides both the acetyl-coenzyme A for lipid synthesis and the four-carbon intermediates needed to produce the remaining CAC metabolites and related macromolecular precursors. This reductive, glutamine-dependent pathway is the dominant mode of metabolism in rapidly growing malignant cells containing mutations in complex I or complex III of the ETC, in patient-derived renal carcinoma cells with mutations in fumarate hydratase, and in cells with normal mitochondria subjected to acute pharmacological ETC inhibition. Our findings reveal the novel induction of a versatile glutamine-dependent pathway that reverses many of the reactions of the canonical CAC, supports tumour cell growth, and explains how cells generate pools of CAC intermediates in the face of impaired mitochondrial metabolism.","URL":"http://www.nature.com/articles/nature10642","DOI":"10.1038/nature10642","ISSN":"1476-4687","language":"en","author":[{"family":"Mullen","given":"Andrew R."},{"family":"Wheaton","given":"William W."},{"family":"Jin","given":"Eunsook S."},{"family":"Chen","given":"Pei-Hsuan"},{"family":"Sullivan","given":"Lucas B."},{"family":"Cheng","given":"Tzuling"},{"family":"Yang","given":"Youfeng"},{"family":"Linehan","given":"W. Marston"},{"family":"Chandel","given":"Navdeep S."},{"family":"DeBerardinis","given":"Ralph J."}],"issued":{"date-parts":[["2012",1]]},"accessed":{"date-parts":[["2019",3,5]]}}}],"schema":"https://github.com/citation-style-language/schema/raw/master/csl-citation.json"} </w:instrText>
      </w:r>
      <w:r w:rsidR="00C67FBF">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175,176</w:t>
      </w:r>
      <w:r w:rsidR="00C67FBF">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1200D5" w:rsidRPr="00D637BA">
        <w:rPr>
          <w:rFonts w:ascii="Calibri" w:hAnsi="Calibri" w:cs="Calibri"/>
          <w:color w:val="000000" w:themeColor="text1"/>
          <w:sz w:val="22"/>
          <w:szCs w:val="22"/>
        </w:rPr>
        <w:t xml:space="preserve">it is plausible that </w:t>
      </w:r>
      <w:r w:rsidR="00F131BF" w:rsidRPr="00D637BA">
        <w:rPr>
          <w:rFonts w:ascii="Calibri" w:hAnsi="Calibri" w:cs="Calibri"/>
          <w:color w:val="000000" w:themeColor="text1"/>
          <w:sz w:val="22"/>
          <w:szCs w:val="22"/>
        </w:rPr>
        <w:t xml:space="preserve">GDH1 inhibition </w:t>
      </w:r>
      <w:r w:rsidR="00C069D6" w:rsidRPr="00D637BA">
        <w:rPr>
          <w:rFonts w:ascii="Calibri" w:hAnsi="Calibri" w:cs="Calibri"/>
          <w:color w:val="000000" w:themeColor="text1"/>
          <w:sz w:val="22"/>
          <w:szCs w:val="22"/>
        </w:rPr>
        <w:t>might</w:t>
      </w:r>
      <w:r w:rsidR="0062035F" w:rsidRPr="00B946E4">
        <w:rPr>
          <w:rFonts w:ascii="Calibri" w:hAnsi="Calibri" w:cs="Calibri"/>
          <w:color w:val="000000" w:themeColor="text1"/>
          <w:sz w:val="22"/>
          <w:szCs w:val="22"/>
        </w:rPr>
        <w:t xml:space="preserve"> </w:t>
      </w:r>
      <w:r w:rsidR="00E167B8" w:rsidRPr="00B946E4">
        <w:rPr>
          <w:rFonts w:ascii="Calibri" w:hAnsi="Calibri" w:cs="Calibri"/>
          <w:color w:val="000000" w:themeColor="text1"/>
          <w:sz w:val="22"/>
          <w:szCs w:val="22"/>
        </w:rPr>
        <w:t>also have</w:t>
      </w:r>
      <w:r w:rsidR="0062035F" w:rsidRPr="00B946E4">
        <w:rPr>
          <w:rFonts w:ascii="Calibri" w:hAnsi="Calibri" w:cs="Calibri"/>
          <w:color w:val="000000" w:themeColor="text1"/>
          <w:sz w:val="22"/>
          <w:szCs w:val="22"/>
        </w:rPr>
        <w:t xml:space="preserve"> anti-tumoural effects</w:t>
      </w:r>
      <w:r w:rsidR="00E167B8" w:rsidRPr="00B946E4">
        <w:rPr>
          <w:rFonts w:ascii="Calibri" w:hAnsi="Calibri" w:cs="Calibri"/>
          <w:color w:val="000000" w:themeColor="text1"/>
          <w:sz w:val="22"/>
          <w:szCs w:val="22"/>
        </w:rPr>
        <w:t xml:space="preserve"> in the setting of FH</w:t>
      </w:r>
      <w:r w:rsidR="00A066DE">
        <w:rPr>
          <w:rFonts w:ascii="Calibri" w:hAnsi="Calibri" w:cs="Calibri"/>
          <w:color w:val="000000" w:themeColor="text1"/>
          <w:sz w:val="22"/>
          <w:szCs w:val="22"/>
        </w:rPr>
        <w:t>-</w:t>
      </w:r>
      <w:r w:rsidR="00E167B8" w:rsidRPr="00B946E4">
        <w:rPr>
          <w:rFonts w:ascii="Calibri" w:hAnsi="Calibri" w:cs="Calibri"/>
          <w:color w:val="000000" w:themeColor="text1"/>
          <w:sz w:val="22"/>
          <w:szCs w:val="22"/>
        </w:rPr>
        <w:t>deficiency</w:t>
      </w:r>
      <w:r w:rsidR="0062035F" w:rsidRPr="00B946E4">
        <w:rPr>
          <w:rFonts w:ascii="Calibri" w:hAnsi="Calibri" w:cs="Calibri"/>
          <w:color w:val="000000" w:themeColor="text1"/>
          <w:sz w:val="22"/>
          <w:szCs w:val="22"/>
        </w:rPr>
        <w:t>.</w:t>
      </w:r>
      <w:r w:rsidR="00E37025" w:rsidRPr="00D637BA">
        <w:rPr>
          <w:rFonts w:ascii="Calibri" w:hAnsi="Calibri" w:cs="Calibri"/>
          <w:color w:val="000000" w:themeColor="text1"/>
          <w:sz w:val="22"/>
          <w:szCs w:val="22"/>
        </w:rPr>
        <w:t xml:space="preserve"> </w:t>
      </w:r>
      <w:r w:rsidR="00B83161" w:rsidRPr="00D637BA">
        <w:rPr>
          <w:rFonts w:ascii="Calibri" w:hAnsi="Calibri" w:cs="Calibri"/>
          <w:color w:val="000000" w:themeColor="text1"/>
          <w:sz w:val="22"/>
          <w:szCs w:val="22"/>
        </w:rPr>
        <w:t xml:space="preserve">Overall, the available data in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 xml:space="preserve">deficient cells </w:t>
      </w:r>
      <w:r w:rsidR="00B83161" w:rsidRPr="00D637BA">
        <w:rPr>
          <w:rFonts w:ascii="Calibri" w:hAnsi="Calibri" w:cs="Calibri"/>
          <w:color w:val="000000" w:themeColor="text1"/>
          <w:sz w:val="22"/>
          <w:szCs w:val="22"/>
        </w:rPr>
        <w:t>indicate</w:t>
      </w:r>
      <w:r w:rsidR="00F131BF" w:rsidRPr="00D637BA">
        <w:rPr>
          <w:rFonts w:ascii="Calibri" w:hAnsi="Calibri" w:cs="Calibri"/>
          <w:color w:val="000000" w:themeColor="text1"/>
          <w:sz w:val="22"/>
          <w:szCs w:val="22"/>
        </w:rPr>
        <w:t xml:space="preserve"> that they have highly adapted and intrinsic mechanisms t</w:t>
      </w:r>
      <w:r w:rsidR="00B83161" w:rsidRPr="00D637BA">
        <w:rPr>
          <w:rFonts w:ascii="Calibri" w:hAnsi="Calibri" w:cs="Calibri"/>
          <w:color w:val="000000" w:themeColor="text1"/>
          <w:sz w:val="22"/>
          <w:szCs w:val="22"/>
        </w:rPr>
        <w:t>hat</w:t>
      </w:r>
      <w:r w:rsidR="00F131BF" w:rsidRPr="00D637BA">
        <w:rPr>
          <w:rFonts w:ascii="Calibri" w:hAnsi="Calibri" w:cs="Calibri"/>
          <w:color w:val="000000" w:themeColor="text1"/>
          <w:sz w:val="22"/>
          <w:szCs w:val="22"/>
        </w:rPr>
        <w:t xml:space="preserve"> combat redox stress in a multi-layered approach that </w:t>
      </w:r>
      <w:r w:rsidR="00A65289">
        <w:rPr>
          <w:rFonts w:ascii="Calibri" w:hAnsi="Calibri" w:cs="Calibri"/>
          <w:color w:val="000000" w:themeColor="text1"/>
          <w:sz w:val="22"/>
          <w:szCs w:val="22"/>
        </w:rPr>
        <w:t>promotes</w:t>
      </w:r>
      <w:r w:rsidR="00F131BF" w:rsidRPr="00D637BA">
        <w:rPr>
          <w:rFonts w:ascii="Calibri" w:hAnsi="Calibri" w:cs="Calibri"/>
          <w:color w:val="000000" w:themeColor="text1"/>
          <w:sz w:val="22"/>
          <w:szCs w:val="22"/>
        </w:rPr>
        <w:t xml:space="preserve"> tumour survival. </w:t>
      </w:r>
    </w:p>
    <w:p w14:paraId="7799DAE3" w14:textId="1FB9FB78" w:rsidR="000B2EC8" w:rsidRPr="00D637BA" w:rsidRDefault="001200D5" w:rsidP="00F2270A">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Identification </w:t>
      </w:r>
      <w:r w:rsidR="00F131BF" w:rsidRPr="00D637BA">
        <w:rPr>
          <w:rFonts w:ascii="Calibri" w:hAnsi="Calibri" w:cs="Calibri"/>
          <w:color w:val="000000" w:themeColor="text1"/>
          <w:sz w:val="22"/>
          <w:szCs w:val="22"/>
        </w:rPr>
        <w:t xml:space="preserve">of </w:t>
      </w:r>
      <w:r w:rsidR="00F40EF3">
        <w:rPr>
          <w:rFonts w:ascii="Calibri" w:hAnsi="Calibri" w:cs="Calibri"/>
          <w:color w:val="000000" w:themeColor="text1"/>
          <w:sz w:val="22"/>
          <w:szCs w:val="22"/>
        </w:rPr>
        <w:t>A</w:t>
      </w:r>
      <w:r w:rsidR="00F40EF3" w:rsidRPr="002046FA">
        <w:rPr>
          <w:rFonts w:ascii="Calibri" w:hAnsi="Calibri" w:cs="Calibri"/>
          <w:color w:val="000000" w:themeColor="text1"/>
          <w:sz w:val="22"/>
          <w:szCs w:val="22"/>
        </w:rPr>
        <w:t>BL proto-oncogene 1, non-receptor tyrosine kinase</w:t>
      </w:r>
      <w:r w:rsidR="00F40EF3">
        <w:rPr>
          <w:rFonts w:ascii="Calibri" w:hAnsi="Calibri" w:cs="Calibri"/>
          <w:color w:val="000000" w:themeColor="text1"/>
          <w:sz w:val="22"/>
          <w:szCs w:val="22"/>
        </w:rPr>
        <w:t xml:space="preserve">, </w:t>
      </w:r>
      <w:r w:rsidR="00B83161" w:rsidRPr="00B946E4">
        <w:rPr>
          <w:rFonts w:ascii="Calibri" w:hAnsi="Calibri" w:cs="Calibri"/>
          <w:i/>
          <w:color w:val="000000" w:themeColor="text1"/>
          <w:sz w:val="22"/>
          <w:szCs w:val="22"/>
        </w:rPr>
        <w:t>ABL1</w:t>
      </w:r>
      <w:r w:rsidR="00B83161" w:rsidRPr="00D637BA">
        <w:rPr>
          <w:rFonts w:ascii="Calibri" w:hAnsi="Calibri" w:cs="Calibri"/>
          <w:color w:val="000000" w:themeColor="text1"/>
          <w:sz w:val="22"/>
          <w:szCs w:val="22"/>
        </w:rPr>
        <w:t>, which encodes the tyrosine-protein kinase ABL1</w:t>
      </w:r>
      <w:r w:rsidR="00E37025">
        <w:rPr>
          <w:rFonts w:ascii="Calibri" w:hAnsi="Calibri" w:cs="Calibri"/>
          <w:b/>
          <w:color w:val="0000FF"/>
          <w:sz w:val="22"/>
          <w:szCs w:val="22"/>
        </w:rPr>
        <w:t xml:space="preserve"> </w:t>
      </w:r>
      <w:r w:rsidR="00B83161" w:rsidRPr="00D637BA">
        <w:rPr>
          <w:rFonts w:ascii="Calibri" w:hAnsi="Calibri" w:cs="Calibri"/>
          <w:color w:val="000000" w:themeColor="text1"/>
          <w:sz w:val="22"/>
          <w:szCs w:val="22"/>
        </w:rPr>
        <w:t xml:space="preserve">and is </w:t>
      </w:r>
      <w:r w:rsidR="00F131BF" w:rsidRPr="00D637BA">
        <w:rPr>
          <w:rFonts w:ascii="Calibri" w:hAnsi="Calibri" w:cs="Calibri"/>
          <w:color w:val="000000" w:themeColor="text1"/>
          <w:sz w:val="22"/>
          <w:szCs w:val="22"/>
        </w:rPr>
        <w:t xml:space="preserve">upregulated in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deficient tumours</w:t>
      </w:r>
      <w:r w:rsidR="00C67FBF">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{"citationID":"a6pjnort97","properties":{"formattedCitation":"\\super 164\\nosupersub{}","plainCitation":"164","noteIndex":0},"citationItems":[{"id":775,"uris":["http://zotero.org/users/4775618/items/Q9LPKVCF"],"uri":["http://zotero.org/users/4775618/items/Q9LPKVCF"],"itemData":{"id":775,"type":"article-journal","title":"Targeting ABL1-Mediated Oxidative Stress Adaptation in Fumarate Hydratase-Deficient Cancer","container-title":"Cancer Cell","page":"840-850","volume":"26","issue":"6","source":"ScienceDirect","abstract":"Summary\nPatients with germline fumarate hydratase (FH) mutation are predisposed to develop aggressive kidney cancer with few treatment options and poor therapeutic outcomes. Activity of the proto-oncogene ABL1 is upregulated in FH-deficient kidney tumors and drives a metabolic and survival signaling network necessary to cope with impaired mitochondrial function and abnormal accumulation of intracellular fumarate. Excess fumarate indirectly stimulates ABL1 activity, while restoration of wild-type FH abrogates both ABL1 activation and the cytotoxicity caused by ABL1 inhibition or knockdown. ABL1 upregulates aerobic glycolysis via the mTOR/HIF1α pathway and neutralizes fumarate-induced proteotoxic stress by promoting nuclear localization of the antioxidant response transcription factor NRF2. Our findings identify ABL1 as a pharmacologically tractable therapeutic target in glycolytically dependent, oxidatively stressed tumors.","URL":"http://www.sciencedirect.com/science/article/pii/S1535610814004097","DOI":"10.1016/j.ccell.2014.10.005","ISSN":"1535-6108","journalAbbreviation":"Cancer Cell","author":[{"family":"Sourbier","given":"Carole"},{"family":"Ricketts","given":"Christopher J."},{"family":"Matsumoto","given":"Shingo"},{"family":"Crooks","given":"Daniel R."},{"family":"Liao","given":"Pei-Jyun"},{"family":"Mannes","given":"Philip Z."},{"family":"Yang","given":"Youfeng"},{"family":"Wei","given":"Ming-Hui"},{"family":"Srivastava","given":"Gaurav"},{"family":"Ghosh","given":"Sanchari"},{"family":"Chen","given":"Viola"},{"family":"Vocke","given":"Cathy D."},{"family":"Merino","given":"Maria"},{"family":"Srinivasan","given":"Ramaprasad"},{"family":"Krishna","given":"Murali C."},{"family":"Mitchell","given":"James B."},{"family":"Pendergast","given":"Ann Marie"},{"family":"Rouault","given":"Tracey A."},{"family":"Neckers","given":"Len"},{"family":"Linehan","given":"W. Marston"}],"issued":{"date-parts":[["2014",12,8]]},"accessed":{"date-parts":[["2018",11,4]]}}}],"schema":"https://github.com/citation-style-language/schema/raw/master/csl-citation.json"} </w:instrText>
      </w:r>
      <w:r w:rsidR="00C67FBF">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164</w:t>
      </w:r>
      <w:r w:rsidR="00C67FBF">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9347BF">
        <w:rPr>
          <w:rFonts w:ascii="Calibri" w:hAnsi="Calibri" w:cs="Calibri"/>
          <w:color w:val="000000" w:themeColor="text1"/>
          <w:sz w:val="22"/>
          <w:szCs w:val="22"/>
        </w:rPr>
        <w:t>connected</w:t>
      </w:r>
      <w:r w:rsidRPr="00D637BA">
        <w:rPr>
          <w:rFonts w:ascii="Calibri" w:hAnsi="Calibri" w:cs="Calibri"/>
          <w:color w:val="000000" w:themeColor="text1"/>
          <w:sz w:val="22"/>
          <w:szCs w:val="22"/>
        </w:rPr>
        <w:t xml:space="preserve"> the HIF and Nrf2 pathways</w:t>
      </w:r>
      <w:r w:rsidR="00F131BF" w:rsidRPr="00D637BA">
        <w:rPr>
          <w:rFonts w:ascii="Calibri" w:hAnsi="Calibri" w:cs="Calibri"/>
          <w:color w:val="000000" w:themeColor="text1"/>
          <w:sz w:val="22"/>
          <w:szCs w:val="22"/>
        </w:rPr>
        <w:t>. Fumarate-mediated activation of ABL1 occurs via</w:t>
      </w:r>
      <w:r w:rsidR="00B83161" w:rsidRPr="00D637BA">
        <w:rPr>
          <w:rFonts w:ascii="Calibri" w:hAnsi="Calibri" w:cs="Calibri"/>
          <w:color w:val="000000" w:themeColor="text1"/>
          <w:sz w:val="22"/>
          <w:szCs w:val="22"/>
        </w:rPr>
        <w:t xml:space="preserve"> oxidative-stress-induced</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suppression of </w:t>
      </w:r>
      <w:r w:rsidR="00B83161" w:rsidRPr="00D637BA">
        <w:rPr>
          <w:rFonts w:ascii="Calibri" w:hAnsi="Calibri" w:cs="Calibri"/>
          <w:color w:val="000000" w:themeColor="text1"/>
          <w:sz w:val="22"/>
          <w:szCs w:val="22"/>
        </w:rPr>
        <w:t>tyrosine-</w:t>
      </w:r>
      <w:r w:rsidR="00F131BF" w:rsidRPr="00D637BA">
        <w:rPr>
          <w:rFonts w:ascii="Calibri" w:hAnsi="Calibri" w:cs="Calibri"/>
          <w:color w:val="000000" w:themeColor="text1"/>
          <w:sz w:val="22"/>
          <w:szCs w:val="22"/>
        </w:rPr>
        <w:t xml:space="preserve">protein phosphatase </w:t>
      </w:r>
      <w:r w:rsidR="00B83161" w:rsidRPr="00D637BA">
        <w:rPr>
          <w:rFonts w:ascii="Calibri" w:hAnsi="Calibri" w:cs="Calibri"/>
          <w:color w:val="000000" w:themeColor="text1"/>
          <w:sz w:val="22"/>
          <w:szCs w:val="22"/>
        </w:rPr>
        <w:t>non-receptor type 12 (</w:t>
      </w:r>
      <w:r w:rsidR="00F131BF" w:rsidRPr="00D637BA">
        <w:rPr>
          <w:rFonts w:ascii="Calibri" w:hAnsi="Calibri" w:cs="Calibri"/>
          <w:color w:val="000000" w:themeColor="text1"/>
          <w:sz w:val="22"/>
          <w:szCs w:val="22"/>
        </w:rPr>
        <w:t>PTPN12</w:t>
      </w:r>
      <w:r w:rsidR="00B83161" w:rsidRPr="00D637BA">
        <w:rPr>
          <w:rFonts w:ascii="Calibri" w:hAnsi="Calibri" w:cs="Calibri"/>
          <w:color w:val="000000" w:themeColor="text1"/>
          <w:sz w:val="22"/>
          <w:szCs w:val="22"/>
        </w:rPr>
        <w:t>)</w:t>
      </w:r>
      <w:r w:rsidR="00C67FBF">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{"citationID":"a20m8oji6rm","properties":{"formattedCitation":"\\super 177\\nosupersub{}","plainCitation":"177","noteIndex":0},"citationItems":[{"id":1882,"uris":["http://zotero.org/users/4775618/items/EPB5MKB2"],"uri":["http://zotero.org/users/4775618/items/EPB5MKB2"],"itemData":{"id":1882,"type":"article-journal","title":"Pathologic Oxidation of PTPN12 Underlies ABL1 Phosphorylation in Hereditary Leiomyomatosis and Renal Cell Carcinoma","container-title":"Cancer Research","page":"6539-6548","volume":"78","issue":"23","source":"PubMed","abstract":": Hereditary leiomyomatosis and renal cell carcinoma (HLRCC) is an inherited cancer syndrome associated with a highly aggressive form of type 2 papillary renal cell carcinoma (PRCC). Germline inactivating alterations in fumarate hydratase (FH) cause HLRCC and result in elevated levels of reactive oxygen species (ROS). Recent work indicates that FH-/- PRCC cells have increased activation of ABL1, which promotes tumor growth, but how ABL1 is activated remains unclear. Given that oxidation can regulate protein-tyrosine phosphatase (PTP) catalytic activity, inactivation of an ABL-directed PTP by ROS might account for ABL1 activation in this malignancy. Our group previously developed \"q-oxPTPome,\" a method that globally monitors the oxidation of classical PTPs. In this study, we present a refined q-oxPTPome, increasing its sensitivity by &gt;10×. Applying q-oxPTPome to FH-deficient cell models showed that multiple PTPs were either highly oxidized (including PTPN12) or overexpressed. Highly oxidized PTPs were those with relatively high sensitivity to exogenous H2O2. Most PTP oxidation in FH-deficient cells was reversible, although nearly 40% of PTPN13 was irreversibly oxidized to the sulfonic acid state. Using substrate-trapping mutants, we mapped PTPs to their putative substrates and found that only PTPN12 could target ABL1. Furthermore, knockdown experiments identified PTPN12 as the major ABL1 phosphatase, and overexpression of PTPN12 inhibited ABL1 phosphorylation and HLRCC cell growth. These results show that ROS-induced oxidation of PTPN12 accounts for ABL1 phosphorylation in HLRCC-associated PRCC, revealing a novel mechanism for inactivating a tumor suppressor gene product and establishing a direct link between pathologic PTP oxidation and neoplastic disease. SIGNIFICANCE: This work identifies a novel mechanism of activation of the oncogenic kinase ABL1 via ROS-induced, oxidation-mediated inactivation of cognate protein tyrosine phosphatases.","DOI":"10.1158/0008-5472.CAN-18-0901","ISSN":"1538-7445","note":"PMID: 30297534\nPMCID: PMC6279512","journalAbbreviation":"Cancer Res.","language":"eng","author":[{"family":"Xu","given":"Yang"},{"family":"Taylor","given":"Paul"},{"family":"Andrade","given":"Joshua"},{"family":"Ueberheide","given":"Beatrix"},{"family":"Shuch","given":"Brian"},{"family":"Glazer","given":"Peter M."},{"family":"Bindra","given":"Ranjit S."},{"family":"Moran","given":"Michael F."},{"family":"Linehan","given":"W. Marston"},{"family":"Neel","given":"Benjamin G."}],"issued":{"date-parts":[["2018",12,1]]}}}],"schema":"https://github.com/citation-style-language/schema/raw/master/csl-citation.json"} </w:instrText>
      </w:r>
      <w:r w:rsidR="00C67FBF">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177</w:t>
      </w:r>
      <w:r w:rsidR="00C67FBF">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which leads to activation of the Nrf2 antioxidant pathway and the mTOR</w:t>
      </w:r>
      <w:r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HIF1α signalling pathway in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deficient RCC cells</w:t>
      </w:r>
      <w:r w:rsidR="00C67FBF">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{"citationID":"a205mvpab4m","properties":{"formattedCitation":"\\super 164\\nosupersub{}","plainCitation":"164","noteIndex":0},"citationItems":[{"id":775,"uris":["http://zotero.org/users/4775618/items/Q9LPKVCF"],"uri":["http://zotero.org/users/4775618/items/Q9LPKVCF"],"itemData":{"id":775,"type":"article-journal","title":"Targeting ABL1-Mediated Oxidative Stress Adaptation in Fumarate Hydratase-Deficient Cancer","container-title":"Cancer Cell","page":"840-850","volume":"26","issue":"6","source":"ScienceDirect","abstract":"Summary\nPatients with germline fumarate hydratase (FH) mutation are predisposed to develop aggressive kidney cancer with few treatment options and poor therapeutic outcomes. Activity of the proto-oncogene ABL1 is upregulated in FH-deficient kidney tumors and drives a metabolic and survival signaling network necessary to cope with impaired mitochondrial function and abnormal accumulation of intracellular fumarate. Excess fumarate indirectly stimulates ABL1 activity, while restoration of wild-type FH abrogates both ABL1 activation and the cytotoxicity caused by ABL1 inhibition or knockdown. ABL1 upregulates aerobic glycolysis via the mTOR/HIF1α pathway and neutralizes fumarate-induced proteotoxic stress by promoting nuclear localization of the antioxidant response transcription factor NRF2. Our findings identify ABL1 as a pharmacologically tractable therapeutic target in glycolytically dependent, oxidatively stressed tumors.","URL":"http://www.sciencedirect.com/science/article/pii/S1535610814004097","DOI":"10.1016/j.ccell.2014.10.005","ISSN":"1535-6108","journalAbbreviation":"Cancer Cell","author":[{"family":"Sourbier","given":"Carole"},{"family":"Ricketts","given":"Christopher J."},{"family":"Matsumoto","given":"Shingo"},{"family":"Crooks","given":"Daniel R."},{"family":"Liao","given":"Pei-Jyun"},{"family":"Mannes","given":"Philip Z."},{"family":"Yang","given":"Youfeng"},{"family":"Wei","given":"Ming-Hui"},{"family":"Srivastava","given":"Gaurav"},{"family":"Ghosh","given":"Sanchari"},{"family":"Chen","given":"Viola"},{"family":"Vocke","given":"Cathy D."},{"family":"Merino","given":"Maria"},{"family":"Srinivasan","given":"Ramaprasad"},{"family":"Krishna","given":"Murali C."},{"family":"Mitchell","given":"James B."},{"family":"Pendergast","given":"Ann Marie"},{"family":"Rouault","given":"Tracey A."},{"family":"Neckers","given":"Len"},{"family":"Linehan","given":"W. Marston"}],"issued":{"date-parts":[["2014",12,8]]},"accessed":{"date-parts":[["2018",11,4]]}}}],"schema":"https://github.com/citation-style-language/schema/raw/master/csl-citation.json"} </w:instrText>
      </w:r>
      <w:r w:rsidR="00C67FBF">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164</w:t>
      </w:r>
      <w:r w:rsidR="00C67FBF">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Furthermore, ABL1 inhibition suppressed the invasion capacity and growth of these cells </w:t>
      </w:r>
      <w:r w:rsidR="00F131BF" w:rsidRPr="00D637BA">
        <w:rPr>
          <w:rFonts w:ascii="Calibri" w:hAnsi="Calibri" w:cs="Calibri"/>
          <w:i/>
          <w:color w:val="000000" w:themeColor="text1"/>
          <w:sz w:val="22"/>
          <w:szCs w:val="22"/>
        </w:rPr>
        <w:t>in vitro</w:t>
      </w:r>
      <w:r w:rsidR="00F131BF" w:rsidRPr="00D637BA">
        <w:rPr>
          <w:rFonts w:ascii="Calibri" w:hAnsi="Calibri" w:cs="Calibri"/>
          <w:color w:val="000000" w:themeColor="text1"/>
          <w:sz w:val="22"/>
          <w:szCs w:val="22"/>
        </w:rPr>
        <w:t xml:space="preserve"> and</w:t>
      </w:r>
      <w:r w:rsidR="00F131BF" w:rsidRPr="00D637BA">
        <w:rPr>
          <w:rFonts w:ascii="Calibri" w:hAnsi="Calibri" w:cs="Calibri"/>
          <w:i/>
          <w:color w:val="000000" w:themeColor="text1"/>
          <w:sz w:val="22"/>
          <w:szCs w:val="22"/>
        </w:rPr>
        <w:t xml:space="preserve"> in vivo</w:t>
      </w:r>
      <w:r w:rsidR="00C67FBF">
        <w:rPr>
          <w:rFonts w:ascii="Calibri" w:hAnsi="Calibri" w:cs="Calibri"/>
          <w:i/>
          <w:color w:val="000000" w:themeColor="text1"/>
          <w:sz w:val="22"/>
          <w:szCs w:val="22"/>
        </w:rPr>
        <w:fldChar w:fldCharType="begin"/>
      </w:r>
      <w:r w:rsidR="00B67BF3">
        <w:rPr>
          <w:rFonts w:ascii="Calibri" w:hAnsi="Calibri" w:cs="Calibri"/>
          <w:i/>
          <w:color w:val="000000" w:themeColor="text1"/>
          <w:sz w:val="22"/>
          <w:szCs w:val="22"/>
        </w:rPr>
        <w:instrText xml:space="preserve"> ADDIN ZOTERO_ITEM CSL_CITATION {"citationID":"a10ogekckei","properties":{"formattedCitation":"\\super 164,177\\nosupersub{}","plainCitation":"164,177","noteIndex":0},"citationItems":[{"id":775,"uris":["http://zotero.org/users/4775618/items/Q9LPKVCF"],"uri":["http://zotero.org/users/4775618/items/Q9LPKVCF"],"itemData":{"id":775,"type":"article-journal","title":"Targeting ABL1-Mediated Oxidative Stress Adaptation in Fumarate Hydratase-Deficient Cancer","container-title":"Cancer Cell","page":"840-850","volume":"26","issue":"6","source":"ScienceDirect","abstract":"Summary\nPatients with germline fumarate hydratase (FH) mutation are predisposed to develop aggressive kidney cancer with few treatment options and poor therapeutic outcomes. Activity of the proto-oncogene ABL1 is upregulated in FH-deficient kidney tumors and drives a metabolic and survival signaling network necessary to cope with impaired mitochondrial function and abnormal accumulation of intracellular fumarate. Excess fumarate indirectly stimulates ABL1 activity, while restoration of wild-type FH abrogates both ABL1 activation and the cytotoxicity caused by ABL1 inhibition or knockdown. ABL1 upregulates aerobic glycolysis via the mTOR/HIF1α pathway and neutralizes fumarate-induced proteotoxic stress by promoting nuclear localization of the antioxidant response transcription factor NRF2. Our findings identify ABL1 as a pharmacologically tractable therapeutic target in glycolytically dependent, oxidatively stressed tumors.","URL":"http://www.sciencedirect.com/science/article/pii/S1535610814004097","DOI":"10.1016/j.ccell.2014.10.005","ISSN":"1535-6108","journalAbbreviation":"Cancer Cell","author":[{"family":"Sourbier","given":"Carole"},{"family":"Ricketts","given":"Christopher J."},{"family":"Matsumoto","given":"Shingo"},{"family":"Crooks","given":"Daniel R."},{"family":"Liao","given":"Pei-Jyun"},{"family":"Mannes","given":"Philip Z."},{"family":"Yang","given":"Youfeng"},{"family":"Wei","given":"Ming-Hui"},{"family":"Srivastava","given":"Gaurav"},{"family":"Ghosh","given":"Sanchari"},{"family":"Chen","given":"Viola"},{"family":"Vocke","given":"Cathy D."},{"family":"Merino","given":"Maria"},{"family":"Srinivasan","given":"Ramaprasad"},{"family":"Krishna","given":"Murali C."},{"family":"Mitchell","given":"James B."},{"family":"Pendergast","given":"Ann Marie"},{"family":"Rouault","given":"Tracey A."},{"family":"Neckers","given":"Len"},{"family":"Linehan","given":"W. Marston"}],"issued":{"date-parts":[["2014",12,8]]},"accessed":{"date-parts":[["2018",11,4]]}}},{"id":1882,"uris":["http://zotero.org/users/4775618/items/EPB5MKB2"],"uri":["http://zotero.org/users/4775618/items/EPB5MKB2"],"itemData":{"id":1882,"type":"article-journal","title":"Pathologic Oxidation of PTPN12 Underlies ABL1 Phosphorylation in Hereditary Leiomyomatosis and Renal Cell Carcinoma","container-title":"Cancer Research","page":"6539-6548","volume":"78","issue":"23","source":"PubMed","abstract":": Hereditary leiomyomatosis and renal cell carcinoma (HLRCC) is an inherited cancer syndrome associated with a highly aggressive form of type 2 papillary renal cell carcinoma (PRCC). Germline inactivating alterations in fumarate hydratase (FH) cause HLRCC and result in elevated levels of reactive oxygen species (ROS). Recent work indicates that FH-/- PRCC cells have increased activation of ABL1, which promotes tumor growth, but how ABL1 is activated remains unclear. Given that oxidation can regulate protein-tyrosine phosphatase (PTP) catalytic activity, inactivation of an ABL-directed PTP by ROS might account for ABL1 activation in this malignancy. Our group previously developed \"q-oxPTPome,\" a method that globally monitors the oxidation of classical PTPs. In this study, we present a refined q-oxPTPome, increasing its sensitivity by &gt;10×. Applying q-oxPTPome to FH-deficient cell models showed that multiple PTPs were either highly oxidized (including PTPN12) or overexpressed. Highly oxidized PTPs were those with relatively high sensitivity to exogenous H2O2. Most PTP oxidation in FH-deficient cells was reversible, although nearly 40% of PTPN13 was irreversibly oxidized to the sulfonic acid state. Using substrate-trapping mutants, we mapped PTPs to their putative substrates and found that only PTPN12 could target ABL1. Furthermore, knockdown experiments identified PTPN12 as the major ABL1 phosphatase, and overexpression of PTPN12 inhibited ABL1 phosphorylation and HLRCC cell growth. These results show that ROS-induced oxidation of PTPN12 accounts for ABL1 phosphorylation in HLRCC-associated PRCC, revealing a novel mechanism for inactivating a tumor suppressor gene product and establishing a direct link between pathologic PTP oxidation and neoplastic disease. SIGNIFICANCE: This work identifies a novel mechanism of activation of the oncogenic kinase ABL1 via ROS-induced, oxidation-mediated inactivation of cognate protein tyrosine phosphatases.","DOI":"10.1158/0008-5472.CAN-18-0901","ISSN":"1538-7445","note":"PMID: 30297534\nPMCID: PMC6279512","journalAbbreviation":"Cancer Res.","language":"eng","author":[{"family":"Xu","given":"Yang"},{"family":"Taylor","given":"Paul"},{"family":"Andrade","given":"Joshua"},{"family":"Ueberheide","given":"Beatrix"},{"family":"Shuch","given":"Brian"},{"family":"Glazer","given":"Peter M."},{"family":"Bindra","given":"Ranjit S."},{"family":"Moran","given":"Michael F."},{"family":"Linehan","given":"W. Marston"},{"family":"Neel","given":"Benjamin G."}],"issued":{"date-parts":[["2018",12,1]]}}}],"schema":"https://github.com/citation-style-language/schema/raw/master/csl-citation.json"} </w:instrText>
      </w:r>
      <w:r w:rsidR="00C67FBF">
        <w:rPr>
          <w:rFonts w:ascii="Calibri" w:hAnsi="Calibri" w:cs="Calibri"/>
          <w:i/>
          <w:color w:val="000000" w:themeColor="text1"/>
          <w:sz w:val="22"/>
          <w:szCs w:val="22"/>
        </w:rPr>
        <w:fldChar w:fldCharType="separate"/>
      </w:r>
      <w:r w:rsidR="00B67BF3" w:rsidRPr="00B67BF3">
        <w:rPr>
          <w:rFonts w:ascii="Calibri" w:hAnsi="Calibri" w:cs="Calibri"/>
          <w:color w:val="000000"/>
          <w:sz w:val="22"/>
          <w:vertAlign w:val="superscript"/>
          <w:lang w:val="en-US"/>
        </w:rPr>
        <w:t>164,177</w:t>
      </w:r>
      <w:r w:rsidR="00C67FBF">
        <w:rPr>
          <w:rFonts w:ascii="Calibri" w:hAnsi="Calibri" w:cs="Calibri"/>
          <w:i/>
          <w:color w:val="000000" w:themeColor="text1"/>
          <w:sz w:val="22"/>
          <w:szCs w:val="22"/>
        </w:rPr>
        <w:fldChar w:fldCharType="end"/>
      </w:r>
      <w:r w:rsidR="00F131BF" w:rsidRPr="00D637BA">
        <w:rPr>
          <w:rFonts w:ascii="Calibri" w:hAnsi="Calibri" w:cs="Calibri"/>
          <w:color w:val="000000" w:themeColor="text1"/>
          <w:sz w:val="22"/>
          <w:szCs w:val="22"/>
        </w:rPr>
        <w:t xml:space="preserve">. As ABL1 </w:t>
      </w:r>
      <w:r w:rsidR="004E6514" w:rsidRPr="00D637BA">
        <w:rPr>
          <w:rFonts w:ascii="Calibri" w:hAnsi="Calibri" w:cs="Calibri"/>
          <w:color w:val="000000" w:themeColor="text1"/>
          <w:sz w:val="22"/>
          <w:szCs w:val="22"/>
        </w:rPr>
        <w:t>acts</w:t>
      </w:r>
      <w:r w:rsidR="00F131BF" w:rsidRPr="00D637BA">
        <w:rPr>
          <w:rFonts w:ascii="Calibri" w:hAnsi="Calibri" w:cs="Calibri"/>
          <w:color w:val="000000" w:themeColor="text1"/>
          <w:sz w:val="22"/>
          <w:szCs w:val="22"/>
        </w:rPr>
        <w:t xml:space="preserve"> upstream of two major pathways </w:t>
      </w:r>
      <w:r w:rsidRPr="00D637BA">
        <w:rPr>
          <w:rFonts w:ascii="Calibri" w:hAnsi="Calibri" w:cs="Calibri"/>
          <w:color w:val="000000" w:themeColor="text1"/>
          <w:sz w:val="22"/>
          <w:szCs w:val="22"/>
        </w:rPr>
        <w:t>(HIF and Nrf2</w:t>
      </w:r>
      <w:r w:rsidR="00E37025">
        <w:rPr>
          <w:rFonts w:ascii="Calibri" w:hAnsi="Calibri" w:cs="Calibri"/>
          <w:color w:val="000000" w:themeColor="text1"/>
          <w:sz w:val="22"/>
          <w:szCs w:val="22"/>
        </w:rPr>
        <w:t xml:space="preserve">) </w:t>
      </w:r>
      <w:r w:rsidR="004E6514" w:rsidRPr="00D637BA">
        <w:rPr>
          <w:rFonts w:ascii="Calibri" w:hAnsi="Calibri" w:cs="Calibri"/>
          <w:color w:val="000000" w:themeColor="text1"/>
          <w:sz w:val="22"/>
          <w:szCs w:val="22"/>
        </w:rPr>
        <w:t>that have been</w:t>
      </w:r>
      <w:r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implicated in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 xml:space="preserve">-deficient tumours, this </w:t>
      </w:r>
      <w:r w:rsidRPr="00D637BA">
        <w:rPr>
          <w:rFonts w:ascii="Calibri" w:hAnsi="Calibri" w:cs="Calibri"/>
          <w:color w:val="000000" w:themeColor="text1"/>
          <w:sz w:val="22"/>
          <w:szCs w:val="22"/>
        </w:rPr>
        <w:t xml:space="preserve">finding </w:t>
      </w:r>
      <w:r w:rsidR="00F131BF" w:rsidRPr="00D637BA">
        <w:rPr>
          <w:rFonts w:ascii="Calibri" w:hAnsi="Calibri" w:cs="Calibri"/>
          <w:color w:val="000000" w:themeColor="text1"/>
          <w:sz w:val="22"/>
          <w:szCs w:val="22"/>
        </w:rPr>
        <w:t>suggest</w:t>
      </w:r>
      <w:r w:rsidR="004E6514"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 that </w:t>
      </w:r>
      <w:r w:rsidR="00F40EF3">
        <w:rPr>
          <w:rFonts w:ascii="Calibri" w:hAnsi="Calibri" w:cs="Calibri"/>
          <w:color w:val="000000" w:themeColor="text1"/>
          <w:sz w:val="22"/>
          <w:szCs w:val="22"/>
        </w:rPr>
        <w:t xml:space="preserve">its targeting might affect </w:t>
      </w:r>
      <w:r w:rsidR="00F131BF" w:rsidRPr="00D637BA">
        <w:rPr>
          <w:rFonts w:ascii="Calibri" w:hAnsi="Calibri" w:cs="Calibri"/>
          <w:color w:val="000000" w:themeColor="text1"/>
          <w:sz w:val="22"/>
          <w:szCs w:val="22"/>
        </w:rPr>
        <w:t xml:space="preserve">multiple </w:t>
      </w:r>
      <w:r w:rsidR="00F40EF3" w:rsidRPr="00D637BA">
        <w:rPr>
          <w:rFonts w:ascii="Calibri" w:hAnsi="Calibri" w:cs="Calibri"/>
          <w:color w:val="000000" w:themeColor="text1"/>
          <w:sz w:val="22"/>
          <w:szCs w:val="22"/>
        </w:rPr>
        <w:t>pathways</w:t>
      </w:r>
      <w:r w:rsidR="00F40EF3">
        <w:rPr>
          <w:rFonts w:ascii="Calibri" w:hAnsi="Calibri" w:cs="Calibri"/>
          <w:color w:val="000000" w:themeColor="text1"/>
          <w:sz w:val="22"/>
          <w:szCs w:val="22"/>
        </w:rPr>
        <w:t xml:space="preserve"> essential for these cells</w:t>
      </w:r>
      <w:r w:rsidR="000B2EC8" w:rsidRPr="00D637BA">
        <w:rPr>
          <w:rFonts w:ascii="Calibri" w:hAnsi="Calibri" w:cs="Calibri"/>
          <w:color w:val="000000" w:themeColor="text1"/>
          <w:sz w:val="22"/>
          <w:szCs w:val="22"/>
        </w:rPr>
        <w:t xml:space="preserve">. </w:t>
      </w:r>
    </w:p>
    <w:p w14:paraId="6885486E" w14:textId="17278268" w:rsidR="008A11CE" w:rsidRPr="00D637BA" w:rsidRDefault="00822732" w:rsidP="000B2EC8">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A</w:t>
      </w:r>
      <w:r w:rsidR="004F3E17" w:rsidRPr="00D637BA">
        <w:rPr>
          <w:rFonts w:ascii="Calibri" w:hAnsi="Calibri" w:cs="Calibri"/>
          <w:color w:val="000000" w:themeColor="text1"/>
          <w:sz w:val="22"/>
          <w:szCs w:val="22"/>
        </w:rPr>
        <w:t xml:space="preserve">nother unique oncometabolic </w:t>
      </w:r>
      <w:r w:rsidR="00C6528A" w:rsidRPr="00D637BA">
        <w:rPr>
          <w:rFonts w:ascii="Calibri" w:hAnsi="Calibri" w:cs="Calibri"/>
          <w:color w:val="000000" w:themeColor="text1"/>
          <w:sz w:val="22"/>
          <w:szCs w:val="22"/>
        </w:rPr>
        <w:t>feature of fumarate</w:t>
      </w:r>
      <w:r w:rsidR="005D22D8" w:rsidRPr="00D637BA">
        <w:rPr>
          <w:rFonts w:ascii="Calibri" w:hAnsi="Calibri" w:cs="Calibri"/>
          <w:color w:val="000000" w:themeColor="text1"/>
          <w:sz w:val="22"/>
          <w:szCs w:val="22"/>
        </w:rPr>
        <w:t xml:space="preserve"> </w:t>
      </w:r>
      <w:r w:rsidR="00C6528A" w:rsidRPr="00D637BA">
        <w:rPr>
          <w:rFonts w:ascii="Calibri" w:hAnsi="Calibri" w:cs="Calibri"/>
          <w:color w:val="000000" w:themeColor="text1"/>
          <w:sz w:val="22"/>
          <w:szCs w:val="22"/>
        </w:rPr>
        <w:t xml:space="preserve">is its </w:t>
      </w:r>
      <w:r w:rsidR="004F3E17" w:rsidRPr="00D637BA">
        <w:rPr>
          <w:rFonts w:ascii="Calibri" w:hAnsi="Calibri" w:cs="Calibri"/>
          <w:color w:val="000000" w:themeColor="text1"/>
          <w:sz w:val="22"/>
          <w:szCs w:val="22"/>
        </w:rPr>
        <w:t>ability</w:t>
      </w:r>
      <w:r w:rsidR="00C6528A" w:rsidRPr="00D637BA">
        <w:rPr>
          <w:rFonts w:ascii="Calibri" w:hAnsi="Calibri" w:cs="Calibri"/>
          <w:color w:val="000000" w:themeColor="text1"/>
          <w:sz w:val="22"/>
          <w:szCs w:val="22"/>
        </w:rPr>
        <w:t xml:space="preserve"> </w:t>
      </w:r>
      <w:r w:rsidR="004F3E17" w:rsidRPr="00D637BA">
        <w:rPr>
          <w:rFonts w:ascii="Calibri" w:hAnsi="Calibri" w:cs="Calibri"/>
          <w:color w:val="000000" w:themeColor="text1"/>
          <w:sz w:val="22"/>
          <w:szCs w:val="22"/>
        </w:rPr>
        <w:t>to directly</w:t>
      </w:r>
      <w:r w:rsidR="00C6528A" w:rsidRPr="00D637BA">
        <w:rPr>
          <w:rFonts w:ascii="Calibri" w:hAnsi="Calibri" w:cs="Calibri"/>
          <w:color w:val="000000" w:themeColor="text1"/>
          <w:sz w:val="22"/>
          <w:szCs w:val="22"/>
        </w:rPr>
        <w:t xml:space="preserve"> modulat</w:t>
      </w:r>
      <w:r w:rsidR="004F3E17" w:rsidRPr="00D637BA">
        <w:rPr>
          <w:rFonts w:ascii="Calibri" w:hAnsi="Calibri" w:cs="Calibri"/>
          <w:color w:val="000000" w:themeColor="text1"/>
          <w:sz w:val="22"/>
          <w:szCs w:val="22"/>
        </w:rPr>
        <w:t>e</w:t>
      </w:r>
      <w:r w:rsidR="00C6528A" w:rsidRPr="00D637BA">
        <w:rPr>
          <w:rFonts w:ascii="Calibri" w:hAnsi="Calibri" w:cs="Calibri"/>
          <w:color w:val="000000" w:themeColor="text1"/>
          <w:sz w:val="22"/>
          <w:szCs w:val="22"/>
        </w:rPr>
        <w:t xml:space="preserve"> cellular metabolism.</w:t>
      </w:r>
      <w:r w:rsidR="00EE2DE1" w:rsidRPr="00D637BA">
        <w:rPr>
          <w:rFonts w:ascii="Calibri" w:hAnsi="Calibri" w:cs="Calibri"/>
          <w:color w:val="000000" w:themeColor="text1"/>
          <w:sz w:val="22"/>
          <w:szCs w:val="22"/>
        </w:rPr>
        <w:t xml:space="preserve"> </w:t>
      </w:r>
      <w:r w:rsidR="008A11CE" w:rsidRPr="00D637BA">
        <w:rPr>
          <w:rFonts w:ascii="Calibri" w:hAnsi="Calibri" w:cs="Calibri"/>
          <w:color w:val="000000" w:themeColor="text1"/>
          <w:sz w:val="22"/>
          <w:szCs w:val="22"/>
        </w:rPr>
        <w:t xml:space="preserve">In normal cells, </w:t>
      </w:r>
      <w:r w:rsidR="00EE2DE1" w:rsidRPr="00D637BA">
        <w:rPr>
          <w:rFonts w:ascii="Calibri" w:hAnsi="Calibri" w:cs="Calibri"/>
          <w:color w:val="000000" w:themeColor="text1"/>
          <w:sz w:val="22"/>
          <w:szCs w:val="22"/>
        </w:rPr>
        <w:t>fum</w:t>
      </w:r>
      <w:r w:rsidR="005D22D8" w:rsidRPr="00D637BA">
        <w:rPr>
          <w:rFonts w:ascii="Calibri" w:hAnsi="Calibri" w:cs="Calibri"/>
          <w:color w:val="000000" w:themeColor="text1"/>
          <w:sz w:val="22"/>
          <w:szCs w:val="22"/>
        </w:rPr>
        <w:t>arate</w:t>
      </w:r>
      <w:r w:rsidR="00EE2DE1" w:rsidRPr="00D637BA">
        <w:rPr>
          <w:rFonts w:ascii="Calibri" w:hAnsi="Calibri" w:cs="Calibri"/>
          <w:color w:val="000000" w:themeColor="text1"/>
          <w:sz w:val="22"/>
          <w:szCs w:val="22"/>
        </w:rPr>
        <w:t xml:space="preserve"> </w:t>
      </w:r>
      <w:r w:rsidR="005D22D8" w:rsidRPr="00D637BA">
        <w:rPr>
          <w:rFonts w:ascii="Calibri" w:hAnsi="Calibri" w:cs="Calibri"/>
          <w:color w:val="000000" w:themeColor="text1"/>
          <w:sz w:val="22"/>
          <w:szCs w:val="22"/>
        </w:rPr>
        <w:t>participates in several major interlinked pathways such as the TCA cycle and the urea cycle</w:t>
      </w:r>
      <w:r w:rsidR="008E357A">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{"citationID":"a1tdfrnfh86","properties":{"formattedCitation":"\\super 102,178\\nosupersub{}","plainCitation":"102,178","noteIndex":0},"citationItems":[{"id":1589,"uris":["http://zotero.org/users/4775618/items/8KL8CJ7H"],"uri":["http://zotero.org/users/4775618/items/8KL8CJ7H"],"itemData":{"id":1589,"type":"article-journal","title":"Urea biosynthesis I. The urea cycle and relationships to the citric acid cycle","container-title":"The American Journal of Clinical Nutrition","page":"2083-2087","volume":"30","issue":"12","source":"PubMed","abstract":"The urea cycle consist of five enzymatically controlled steps that are catalyzed by carbamyl phosphate synthetase, ornithine transcarbamylase, argininosuccinate synthetase, argininosuccinase, and arginase, respectively. The complete cycle is present in physiological meaningful levels in the liver of terrestrial vertebrates, and in man represents the sole mechanism for ammonia disposal. The formation of carbamyl phosphate and the synthesis of argininosuccinate are potential limiting steps in urea biosynthesis but substrate and not enzymes levels are rate-limiting under physiological conditions. In the adult, urea cycle enzymes change as a unit, and are largely influenced by dietary protein content. The urea cycle is closely linked to the citric acid cycle deriving one of its nitrogens through transamination of oxalacetate to form asparate and returns fumarate to that cycle. The biosynthesis of urea demands the expenditure of energy but less than 20% of the energy derived from metabolism of gluconeogenic amino acids is required for ureogenesis. Embryological development of the urea cycle in the tadpole and in mammalian fetal liver therefore permits use of amino acids as new sources of energy to meet oxidative demands for continuing growth.","DOI":"10.1093/ajcn/30.12.2083","ISSN":"0002-9165","note":"PMID: 337792","journalAbbreviation":"Am. J. Clin. Nutr.","language":"eng","author":[{"family":"Shambaugh","given":"G. E."}],"issued":{"date-parts":[["1977",12]]}}},{"id":763,"uris":["http://zotero.org/users/4775618/items/NM59HM97"],"uri":["http://zotero.org/users/4775618/items/NM59HM97"],"itemData":{"id":763,"type":"article-journal","title":"Reversed argininosuccinate lyase activity in fumarate hydratase-deficient cancer cells","container-title":"Cancer &amp; Metabolism","page":"12","volume":"1","source":"PubMed Central","abstract":"Background\nLoss of function of fumarate hydratase (FH), the mitochondrial tumor suppressor and tricarboxylic acid (TCA) cycle enzyme, is associated with a highly malignant form of papillary and collecting duct renal cell cancer. The accumulation of fumarate in these cells has been linked to the tumorigenic process. However, little is known about the overall effects of the loss of FH on cellular metabolism.\n\nMethods\nWe performed comprehensive metabolomic analyses of urine from Fh1-deficient mice and stable isotopologue tracing from human and mouse FH-deficient cell lines to investigate the biochemical signature of the loss of FH.\n\nResults\nThe metabolomics analysis revealed that the urea cycle metabolite argininosuccinate is a common metabolic biomarker of FH deficiency. Argininosuccinate was found to be produced from arginine and fumarate by the reverse activity of the urea cycle enzyme argininosuccinate lyase (ASL), making these cells auxotrophic for arginine. Depleting arginine from the growth media by the addition of pegylated arginine deiminase (ADI-PEG 20) decreased the production of argininosuccinate in FH-deficient cells and reduced cell survival and proliferation.\n\nConclusions\nThese results unravel a previously unidentified correlation between fumarate accumulation and the urea cycle enzyme ASL in FH-deficient cells. The finding that FH-deficient cells become auxotrophic for arginine opens a new therapeutic perspective for the cure of hereditary leiomyomatosis and renal cell cancer (HLRCC).","URL":"https://www.ncbi.nlm.nih.gov/pmc/articles/PMC4108060/","DOI":"10.1186/2049-3002-1-12","ISSN":"2049-3002","note":"PMID: 24280230\nPMCID: PMC4108060","journalAbbreviation":"Cancer Metab","author":[{"family":"Zheng","given":"Liang"},{"family":"MacKenzie","given":"Elaine D"},{"family":"Karim","given":"Saadia A"},{"family":"Hedley","given":"Ann"},{"family":"Blyth","given":"Karen"},{"family":"Kalna","given":"Gabriela"},{"family":"Watson","given":"David G"},{"family":"Szlosarek","given":"Peter"},{"family":"Frezza","given":"Christian"},{"family":"Gottlieb","given":"Eyal"}],"issued":{"date-parts":[["2013",3,21]]},"accessed":{"date-parts":[["2018",10,30]]}}}],"schema":"https://github.com/citation-style-language/schema/raw/master/csl-citation.json"} </w:instrText>
      </w:r>
      <w:r w:rsidR="008E357A">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102,178</w:t>
      </w:r>
      <w:r w:rsidR="008E357A">
        <w:rPr>
          <w:rFonts w:ascii="Calibri" w:hAnsi="Calibri" w:cs="Calibri"/>
          <w:color w:val="000000" w:themeColor="text1"/>
          <w:sz w:val="22"/>
          <w:szCs w:val="22"/>
        </w:rPr>
        <w:fldChar w:fldCharType="end"/>
      </w:r>
      <w:r w:rsidR="005D22D8" w:rsidRPr="00D637BA">
        <w:rPr>
          <w:rFonts w:ascii="Calibri" w:hAnsi="Calibri" w:cs="Calibri"/>
          <w:color w:val="000000" w:themeColor="text1"/>
          <w:sz w:val="22"/>
          <w:szCs w:val="22"/>
        </w:rPr>
        <w:t xml:space="preserve">. </w:t>
      </w:r>
      <w:r w:rsidR="00EE2DE1" w:rsidRPr="00D637BA">
        <w:rPr>
          <w:rFonts w:ascii="Calibri" w:hAnsi="Calibri" w:cs="Calibri"/>
          <w:color w:val="000000" w:themeColor="text1"/>
          <w:sz w:val="22"/>
          <w:szCs w:val="22"/>
        </w:rPr>
        <w:t>Accumulation of fumarate</w:t>
      </w:r>
      <w:r w:rsidR="005D22D8" w:rsidRPr="00D637BA">
        <w:rPr>
          <w:rFonts w:ascii="Calibri" w:hAnsi="Calibri" w:cs="Calibri"/>
          <w:color w:val="000000" w:themeColor="text1"/>
          <w:sz w:val="22"/>
          <w:szCs w:val="22"/>
        </w:rPr>
        <w:t xml:space="preserve"> in </w:t>
      </w:r>
      <w:r w:rsidR="005D22D8" w:rsidRPr="00D637BA">
        <w:rPr>
          <w:rFonts w:ascii="Calibri" w:hAnsi="Calibri" w:cs="Calibri"/>
          <w:i/>
          <w:color w:val="000000" w:themeColor="text1"/>
          <w:sz w:val="22"/>
          <w:szCs w:val="22"/>
        </w:rPr>
        <w:t>FH</w:t>
      </w:r>
      <w:r w:rsidR="005D22D8" w:rsidRPr="00D637BA">
        <w:rPr>
          <w:rFonts w:ascii="Calibri" w:hAnsi="Calibri" w:cs="Calibri"/>
          <w:color w:val="000000" w:themeColor="text1"/>
          <w:sz w:val="22"/>
          <w:szCs w:val="22"/>
        </w:rPr>
        <w:t>-deficient cells has been shown to reverse the activity of the urea cycle enzyme ASL</w:t>
      </w:r>
      <w:r w:rsidR="008E357A">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{"citationID":"a2c7mu0s2jr","properties":{"formattedCitation":"\\super 102\\nosupersub{}","plainCitation":"102","noteIndex":0},"citationItems":[{"id":763,"uris":["http://zotero.org/users/4775618/items/NM59HM97"],"uri":["http://zotero.org/users/4775618/items/NM59HM97"],"itemData":{"id":763,"type":"article-journal","title":"Reversed argininosuccinate lyase activity in fumarate hydratase-deficient cancer cells","container-title":"Cancer &amp; Metabolism","page":"12","volume":"1","source":"PubMed Central","abstract":"Background\nLoss of function of fumarate hydratase (FH), the mitochondrial tumor suppressor and tricarboxylic acid (TCA) cycle enzyme, is associated with a highly malignant form of papillary and collecting duct renal cell cancer. The accumulation of fumarate in these cells has been linked to the tumorigenic process. However, little is known about the overall effects of the loss of FH on cellular metabolism.\n\nMethods\nWe performed comprehensive metabolomic analyses of urine from Fh1-deficient mice and stable isotopologue tracing from human and mouse FH-deficient cell lines to investigate the biochemical signature of the loss of FH.\n\nResults\nThe metabolomics analysis revealed that the urea cycle metabolite argininosuccinate is a common metabolic biomarker of FH deficiency. Argininosuccinate was found to be produced from arginine and fumarate by the reverse activity of the urea cycle enzyme argininosuccinate lyase (ASL), making these cells auxotrophic for arginine. Depleting arginine from the growth media by the addition of pegylated arginine deiminase (ADI-PEG 20) decreased the production of argininosuccinate in FH-deficient cells and reduced cell survival and proliferation.\n\nConclusions\nThese results unravel a previously unidentified correlation between fumarate accumulation and the urea cycle enzyme ASL in FH-deficient cells. The finding that FH-deficient cells become auxotrophic for arginine opens a new therapeutic perspective for the cure of hereditary leiomyomatosis and renal cell cancer (HLRCC).","URL":"https://www.ncbi.nlm.nih.gov/pmc/articles/PMC4108060/","DOI":"10.1186/2049-3002-1-12","ISSN":"2049-3002","note":"PMID: 24280230\nPMCID: PMC4108060","journalAbbreviation":"Cancer Metab","author":[{"family":"Zheng","given":"Liang"},{"family":"MacKenzie","given":"Elaine D"},{"family":"Karim","given":"Saadia A"},{"family":"Hedley","given":"Ann"},{"family":"Blyth","given":"Karen"},{"family":"Kalna","given":"Gabriela"},{"family":"Watson","given":"David G"},{"family":"Szlosarek","given":"Peter"},{"family":"Frezza","given":"Christian"},{"family":"Gottlieb","given":"Eyal"}],"issued":{"date-parts":[["2013",3,21]]},"accessed":{"date-parts":[["2018",10,30]]}}}],"schema":"https://github.com/citation-style-language/schema/raw/master/csl-citation.json"} </w:instrText>
      </w:r>
      <w:r w:rsidR="008E357A">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102</w:t>
      </w:r>
      <w:r w:rsidR="008E357A">
        <w:rPr>
          <w:rFonts w:ascii="Calibri" w:hAnsi="Calibri" w:cs="Calibri"/>
          <w:color w:val="000000" w:themeColor="text1"/>
          <w:sz w:val="22"/>
          <w:szCs w:val="22"/>
        </w:rPr>
        <w:fldChar w:fldCharType="end"/>
      </w:r>
      <w:r w:rsidR="005D22D8" w:rsidRPr="00D637BA">
        <w:rPr>
          <w:rFonts w:ascii="Calibri" w:hAnsi="Calibri" w:cs="Calibri"/>
          <w:color w:val="000000" w:themeColor="text1"/>
          <w:sz w:val="22"/>
          <w:szCs w:val="22"/>
        </w:rPr>
        <w:t>. Normally, argininosuccinate is produced from citrulline and aspartate via argininosuccinate synthetase (ASS) in the urea cycle</w:t>
      </w:r>
      <w:r w:rsidR="001200D5" w:rsidRPr="00D637BA">
        <w:rPr>
          <w:rFonts w:ascii="Calibri" w:hAnsi="Calibri" w:cs="Calibri"/>
          <w:color w:val="000000" w:themeColor="text1"/>
          <w:sz w:val="22"/>
          <w:szCs w:val="22"/>
        </w:rPr>
        <w:t xml:space="preserve"> and is </w:t>
      </w:r>
      <w:r w:rsidR="005D22D8" w:rsidRPr="00D637BA">
        <w:rPr>
          <w:rFonts w:ascii="Calibri" w:hAnsi="Calibri" w:cs="Calibri"/>
          <w:color w:val="000000" w:themeColor="text1"/>
          <w:sz w:val="22"/>
          <w:szCs w:val="22"/>
        </w:rPr>
        <w:t xml:space="preserve">converted into fumarate and arginine via ASL. Reversal of ASL activity results in an accumulation of argininosuccinate and renders </w:t>
      </w:r>
      <w:r w:rsidR="005D22D8" w:rsidRPr="00D637BA">
        <w:rPr>
          <w:rFonts w:ascii="Calibri" w:hAnsi="Calibri" w:cs="Calibri"/>
          <w:i/>
          <w:color w:val="000000" w:themeColor="text1"/>
          <w:sz w:val="22"/>
          <w:szCs w:val="22"/>
        </w:rPr>
        <w:t>FH</w:t>
      </w:r>
      <w:r w:rsidR="005D22D8" w:rsidRPr="00D637BA">
        <w:rPr>
          <w:rFonts w:ascii="Calibri" w:hAnsi="Calibri" w:cs="Calibri"/>
          <w:color w:val="000000" w:themeColor="text1"/>
          <w:sz w:val="22"/>
          <w:szCs w:val="22"/>
        </w:rPr>
        <w:t>-deficient cells auxotrophic for arginine</w:t>
      </w:r>
      <w:r w:rsidR="00F94C2F">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{"citationID":"abks6i3vur","properties":{"formattedCitation":"\\super 102\\nosupersub{}","plainCitation":"102","noteIndex":0},"citationItems":[{"id":763,"uris":["http://zotero.org/users/4775618/items/NM59HM97"],"uri":["http://zotero.org/users/4775618/items/NM59HM97"],"itemData":{"id":763,"type":"article-journal","title":"Reversed argininosuccinate lyase activity in fumarate hydratase-deficient cancer cells","container-title":"Cancer &amp; Metabolism","page":"12","volume":"1","source":"PubMed Central","abstract":"Background\nLoss of function of fumarate hydratase (FH), the mitochondrial tumor suppressor and tricarboxylic acid (TCA) cycle enzyme, is associated with a highly malignant form of papillary and collecting duct renal cell cancer. The accumulation of fumarate in these cells has been linked to the tumorigenic process. However, little is known about the overall effects of the loss of FH on cellular metabolism.\n\nMethods\nWe performed comprehensive metabolomic analyses of urine from Fh1-deficient mice and stable isotopologue tracing from human and mouse FH-deficient cell lines to investigate the biochemical signature of the loss of FH.\n\nResults\nThe metabolomics analysis revealed that the urea cycle metabolite argininosuccinate is a common metabolic biomarker of FH deficiency. Argininosuccinate was found to be produced from arginine and fumarate by the reverse activity of the urea cycle enzyme argininosuccinate lyase (ASL), making these cells auxotrophic for arginine. Depleting arginine from the growth media by the addition of pegylated arginine deiminase (ADI-PEG 20) decreased the production of argininosuccinate in FH-deficient cells and reduced cell survival and proliferation.\n\nConclusions\nThese results unravel a previously unidentified correlation between fumarate accumulation and the urea cycle enzyme ASL in FH-deficient cells. The finding that FH-deficient cells become auxotrophic for arginine opens a new therapeutic perspective for the cure of hereditary leiomyomatosis and renal cell cancer (HLRCC).","URL":"https://www.ncbi.nlm.nih.gov/pmc/articles/PMC4108060/","DOI":"10.1186/2049-3002-1-12","ISSN":"2049-3002","note":"PMID: 24280230\nPMCID: PMC4108060","journalAbbreviation":"Cancer Metab","author":[{"family":"Zheng","given":"Liang"},{"family":"MacKenzie","given":"Elaine D"},{"family":"Karim","given":"Saadia A"},{"family":"Hedley","given":"Ann"},{"family":"Blyth","given":"Karen"},{"family":"Kalna","given":"Gabriela"},{"family":"Watson","given":"David G"},{"family":"Szlosarek","given":"Peter"},{"family":"Frezza","given":"Christian"},{"family":"Gottlieb","given":"Eyal"}],"issued":{"date-parts":[["2013",3,21]]},"accessed":{"date-parts":[["2018",10,30]]}}}],"schema":"https://github.com/citation-style-language/schema/raw/master/csl-citation.json"} </w:instrText>
      </w:r>
      <w:r w:rsidR="00F94C2F">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102</w:t>
      </w:r>
      <w:r w:rsidR="00F94C2F">
        <w:rPr>
          <w:rFonts w:ascii="Calibri" w:hAnsi="Calibri" w:cs="Calibri"/>
          <w:color w:val="000000" w:themeColor="text1"/>
          <w:sz w:val="22"/>
          <w:szCs w:val="22"/>
        </w:rPr>
        <w:fldChar w:fldCharType="end"/>
      </w:r>
      <w:r w:rsidR="005D22D8" w:rsidRPr="00D637BA">
        <w:rPr>
          <w:rFonts w:ascii="Calibri" w:hAnsi="Calibri" w:cs="Calibri"/>
          <w:color w:val="000000" w:themeColor="text1"/>
          <w:sz w:val="22"/>
          <w:szCs w:val="22"/>
        </w:rPr>
        <w:t xml:space="preserve">. </w:t>
      </w:r>
      <w:r w:rsidR="001200D5" w:rsidRPr="00D637BA">
        <w:rPr>
          <w:rFonts w:ascii="Calibri" w:hAnsi="Calibri" w:cs="Calibri"/>
          <w:color w:val="000000" w:themeColor="text1"/>
          <w:sz w:val="22"/>
          <w:szCs w:val="22"/>
        </w:rPr>
        <w:t>As e</w:t>
      </w:r>
      <w:r w:rsidR="005D22D8" w:rsidRPr="00D637BA">
        <w:rPr>
          <w:rFonts w:ascii="Calibri" w:hAnsi="Calibri" w:cs="Calibri"/>
          <w:color w:val="000000" w:themeColor="text1"/>
          <w:sz w:val="22"/>
          <w:szCs w:val="22"/>
        </w:rPr>
        <w:t>xpected, arginine depletion</w:t>
      </w:r>
      <w:r w:rsidR="00121CE6">
        <w:rPr>
          <w:rFonts w:ascii="Calibri" w:hAnsi="Calibri" w:cs="Calibri"/>
          <w:color w:val="000000" w:themeColor="text1"/>
          <w:sz w:val="22"/>
          <w:szCs w:val="22"/>
        </w:rPr>
        <w:t xml:space="preserve"> in these cells</w:t>
      </w:r>
      <w:r w:rsidR="001200D5" w:rsidRPr="00D637BA">
        <w:rPr>
          <w:rFonts w:ascii="Calibri" w:hAnsi="Calibri" w:cs="Calibri"/>
          <w:color w:val="000000" w:themeColor="text1"/>
          <w:sz w:val="22"/>
          <w:szCs w:val="22"/>
        </w:rPr>
        <w:t xml:space="preserve"> </w:t>
      </w:r>
      <w:r w:rsidR="005D22D8" w:rsidRPr="00D637BA">
        <w:rPr>
          <w:rFonts w:ascii="Calibri" w:hAnsi="Calibri" w:cs="Calibri"/>
          <w:color w:val="000000" w:themeColor="text1"/>
          <w:sz w:val="22"/>
          <w:szCs w:val="22"/>
        </w:rPr>
        <w:t xml:space="preserve">led to reduced cellular survival and proliferation </w:t>
      </w:r>
      <w:r w:rsidR="005D22D8" w:rsidRPr="00D637BA">
        <w:rPr>
          <w:rFonts w:ascii="Calibri" w:hAnsi="Calibri" w:cs="Calibri"/>
          <w:i/>
          <w:color w:val="000000" w:themeColor="text1"/>
          <w:sz w:val="22"/>
          <w:szCs w:val="22"/>
        </w:rPr>
        <w:t>in vitro</w:t>
      </w:r>
      <w:r w:rsidR="00F94C2F">
        <w:rPr>
          <w:rFonts w:ascii="Calibri" w:hAnsi="Calibri" w:cs="Calibri"/>
          <w:i/>
          <w:color w:val="000000" w:themeColor="text1"/>
          <w:sz w:val="22"/>
          <w:szCs w:val="22"/>
        </w:rPr>
        <w:fldChar w:fldCharType="begin"/>
      </w:r>
      <w:r w:rsidR="00B67BF3">
        <w:rPr>
          <w:rFonts w:ascii="Calibri" w:hAnsi="Calibri" w:cs="Calibri"/>
          <w:i/>
          <w:color w:val="000000" w:themeColor="text1"/>
          <w:sz w:val="22"/>
          <w:szCs w:val="22"/>
        </w:rPr>
        <w:instrText xml:space="preserve"> ADDIN ZOTERO_ITEM CSL_CITATION {"citationID":"aji8tpub5g","properties":{"formattedCitation":"\\super 102\\nosupersub{}","plainCitation":"102","noteIndex":0},"citationItems":[{"id":763,"uris":["http://zotero.org/users/4775618/items/NM59HM97"],"uri":["http://zotero.org/users/4775618/items/NM59HM97"],"itemData":{"id":763,"type":"article-journal","title":"Reversed argininosuccinate lyase activity in fumarate hydratase-deficient cancer cells","container-title":"Cancer &amp; Metabolism","page":"12","volume":"1","source":"PubMed Central","abstract":"Background\nLoss of function of fumarate hydratase (FH), the mitochondrial tumor suppressor and tricarboxylic acid (TCA) cycle enzyme, is associated with a highly malignant form of papillary and collecting duct renal cell cancer. The accumulation of fumarate in these cells has been linked to the tumorigenic process. However, little is known about the overall effects of the loss of FH on cellular metabolism.\n\nMethods\nWe performed comprehensive metabolomic analyses of urine from Fh1-deficient mice and stable isotopologue tracing from human and mouse FH-deficient cell lines to investigate the biochemical signature of the loss of FH.\n\nResults\nThe metabolomics analysis revealed that the urea cycle metabolite argininosuccinate is a common metabolic biomarker of FH deficiency. Argininosuccinate was found to be produced from arginine and fumarate by the reverse activity of the urea cycle enzyme argininosuccinate lyase (ASL), making these cells auxotrophic for arginine. Depleting arginine from the growth media by the addition of pegylated arginine deiminase (ADI-PEG 20) decreased the production of argininosuccinate in FH-deficient cells and reduced cell survival and proliferation.\n\nConclusions\nThese results unravel a previously unidentified correlation between fumarate accumulation and the urea cycle enzyme ASL in FH-deficient cells. The finding that FH-deficient cells become auxotrophic for arginine opens a new therapeutic perspective for the cure of hereditary leiomyomatosis and renal cell cancer (HLRCC).","URL":"https://www.ncbi.nlm.nih.gov/pmc/articles/PMC4108060/","DOI":"10.1186/2049-3002-1-12","ISSN":"2049-3002","note":"PMID: 24280230\nPMCID: PMC4108060","journalAbbreviation":"Cancer Metab","author":[{"family":"Zheng","given":"Liang"},{"family":"MacKenzie","given":"Elaine D"},{"family":"Karim","given":"Saadia A"},{"family":"Hedley","given":"Ann"},{"family":"Blyth","given":"Karen"},{"family":"Kalna","given":"Gabriela"},{"family":"Watson","given":"David G"},{"family":"Szlosarek","given":"Peter"},{"family":"Frezza","given":"Christian"},{"family":"Gottlieb","given":"Eyal"}],"issued":{"date-parts":[["2013",3,21]]},"accessed":{"date-parts":[["2018",10,30]]}}}],"schema":"https://github.com/citation-style-language/schema/raw/master/csl-citation.json"} </w:instrText>
      </w:r>
      <w:r w:rsidR="00F94C2F">
        <w:rPr>
          <w:rFonts w:ascii="Calibri" w:hAnsi="Calibri" w:cs="Calibri"/>
          <w:i/>
          <w:color w:val="000000" w:themeColor="text1"/>
          <w:sz w:val="22"/>
          <w:szCs w:val="22"/>
        </w:rPr>
        <w:fldChar w:fldCharType="separate"/>
      </w:r>
      <w:r w:rsidR="00B67BF3" w:rsidRPr="00B67BF3">
        <w:rPr>
          <w:rFonts w:ascii="Calibri" w:hAnsi="Calibri" w:cs="Calibri"/>
          <w:color w:val="000000"/>
          <w:sz w:val="22"/>
          <w:vertAlign w:val="superscript"/>
          <w:lang w:val="en-US"/>
        </w:rPr>
        <w:t>102</w:t>
      </w:r>
      <w:r w:rsidR="00F94C2F">
        <w:rPr>
          <w:rFonts w:ascii="Calibri" w:hAnsi="Calibri" w:cs="Calibri"/>
          <w:i/>
          <w:color w:val="000000" w:themeColor="text1"/>
          <w:sz w:val="22"/>
          <w:szCs w:val="22"/>
        </w:rPr>
        <w:fldChar w:fldCharType="end"/>
      </w:r>
      <w:r w:rsidR="005D22D8" w:rsidRPr="00D637BA">
        <w:rPr>
          <w:rFonts w:ascii="Calibri" w:hAnsi="Calibri" w:cs="Calibri"/>
          <w:i/>
          <w:color w:val="000000" w:themeColor="text1"/>
          <w:sz w:val="22"/>
          <w:szCs w:val="22"/>
        </w:rPr>
        <w:t xml:space="preserve">. </w:t>
      </w:r>
      <w:r w:rsidR="008A11CE" w:rsidRPr="00D637BA">
        <w:rPr>
          <w:rFonts w:ascii="Calibri" w:hAnsi="Calibri" w:cs="Calibri"/>
          <w:color w:val="000000" w:themeColor="text1"/>
          <w:sz w:val="22"/>
          <w:szCs w:val="22"/>
        </w:rPr>
        <w:t>T</w:t>
      </w:r>
      <w:r w:rsidR="005D22D8" w:rsidRPr="00D637BA">
        <w:rPr>
          <w:rFonts w:ascii="Calibri" w:hAnsi="Calibri" w:cs="Calibri"/>
          <w:color w:val="000000" w:themeColor="text1"/>
          <w:sz w:val="22"/>
          <w:szCs w:val="22"/>
        </w:rPr>
        <w:t xml:space="preserve">he loss of FH </w:t>
      </w:r>
      <w:r w:rsidR="001A651A" w:rsidRPr="00D637BA">
        <w:rPr>
          <w:rFonts w:ascii="Calibri" w:hAnsi="Calibri" w:cs="Calibri"/>
          <w:color w:val="000000" w:themeColor="text1"/>
          <w:sz w:val="22"/>
          <w:szCs w:val="22"/>
        </w:rPr>
        <w:t xml:space="preserve">also </w:t>
      </w:r>
      <w:r w:rsidR="005D22D8" w:rsidRPr="00D637BA">
        <w:rPr>
          <w:rFonts w:ascii="Calibri" w:hAnsi="Calibri" w:cs="Calibri"/>
          <w:color w:val="000000" w:themeColor="text1"/>
          <w:sz w:val="22"/>
          <w:szCs w:val="22"/>
        </w:rPr>
        <w:t>leads to a complex metabolic rewiring pattern involving the diversion of increased glutamine uptake into the haem synthesis</w:t>
      </w:r>
      <w:r w:rsidR="005F0DCB" w:rsidRPr="00D637BA">
        <w:rPr>
          <w:rFonts w:ascii="Calibri" w:hAnsi="Calibri" w:cs="Calibri"/>
          <w:color w:val="000000" w:themeColor="text1"/>
          <w:sz w:val="22"/>
          <w:szCs w:val="22"/>
        </w:rPr>
        <w:t xml:space="preserve"> and </w:t>
      </w:r>
      <w:r w:rsidR="005D22D8" w:rsidRPr="00D637BA">
        <w:rPr>
          <w:rFonts w:ascii="Calibri" w:hAnsi="Calibri" w:cs="Calibri"/>
          <w:color w:val="000000" w:themeColor="text1"/>
          <w:sz w:val="22"/>
          <w:szCs w:val="22"/>
        </w:rPr>
        <w:t>degradation pathway, which critically sustains mitochondrial NADH levels and mitochondrial membrane potential</w:t>
      </w:r>
      <w:r w:rsidR="001037F9">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{"citationID":"aecv9b2bgq","properties":{"formattedCitation":"\\super 179\\nosupersub{}","plainCitation":"179","noteIndex":0},"citationItems":[{"id":384,"uris":["http://zotero.org/users/4775618/items/UXIM3S3T"],"uri":["http://zotero.org/users/4775618/items/UXIM3S3T"],"itemData":{"id":384,"type":"article-journal","title":"Haem oxygenase is synthetically lethal with the tumour suppressor fumarate hydratase","container-title":"Nature","page":"225-228","volume":"477","issue":"7363","source":"www.nature.com","abstract":"Fumarate hydratase (FH) is an enzyme of the tricarboxylic acid cycle (TCA cycle) that catalyses the hydration of fumarate into malate. Germline mutations of FH are responsible for hereditary leiomyomatosis and renal-cell cancer (HLRCC)1. It has previously been demonstrated that the absence of FH leads to the accumulation of fumarate, which activates hypoxia-inducible factors (HIFs) at normal oxygen tensions2,3,4. However, so far no mechanism that explains the ability of cells to survive without a functional TCA cycle has been provided. Here we use newly characterized genetically modified kidney mouse cells in which Fh1 has been deleted, and apply a newly developed computer model of the metabolism of these cells to predict and experimentally validate a linear metabolic pathway beginning with glutamine uptake and ending with bilirubin excretion from Fh1-deficient cells. This pathway, which involves the biosynthesis and degradation of haem, enables Fh1-deficient cells to use the accumulated TCA cycle metabolites and permits partial mitochondrial NADH production. We predicted and confirmed that targeting this pathway would render Fh1-deficient cells non-viable, while sparing wild-type Fh1-containing cells. This work goes beyond identifying a metabolic pathway that is induced in Fh1-deficient cells to demonstrate that inhibition of haem oxygenation is synthetically lethal when combined with Fh1 deficiency, providing a new potential target for treating HLRCC patients.","URL":"https://www.nature.com/articles/nature10363","DOI":"10.1038/nature10363","ISSN":"1476-4687","language":"en","author":[{"family":"Frezza","given":"Christian"},{"family":"Zheng","given":"Liang"},{"family":"Folger","given":"Ori"},{"family":"Rajagopalan","given":"Kartik N."},{"family":"MacKenzie","given":"Elaine D."},{"family":"Jerby","given":"Livnat"},{"family":"Micaroni","given":"Massimo"},{"family":"Chaneton","given":"Barbara"},{"family":"Adam","given":"Julie"},{"family":"Hedley","given":"Ann"},{"family":"Kalna","given":"Gabriela"},{"family":"Tomlinson","given":"Ian P. M."},{"family":"Pollard","given":"Patrick J."},{"family":"Watson","given":"Dave G."},{"family":"Deberardinis","given":"Ralph J."},{"family":"Shlomi","given":"Tomer"},{"family":"Ruppin","given":"Eytan"},{"family":"Gottlieb","given":"Eyal"}],"issued":{"date-parts":[["2011",9]]},"accessed":{"date-parts":[["2018",4,2]]}}}],"schema":"https://github.com/citation-style-language/schema/raw/master/csl-citation.json"} </w:instrText>
      </w:r>
      <w:r w:rsidR="001037F9">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179</w:t>
      </w:r>
      <w:r w:rsidR="001037F9">
        <w:rPr>
          <w:rFonts w:ascii="Calibri" w:hAnsi="Calibri" w:cs="Calibri"/>
          <w:color w:val="000000" w:themeColor="text1"/>
          <w:sz w:val="22"/>
          <w:szCs w:val="22"/>
        </w:rPr>
        <w:fldChar w:fldCharType="end"/>
      </w:r>
      <w:r w:rsidR="001037F9">
        <w:rPr>
          <w:rFonts w:ascii="Calibri" w:hAnsi="Calibri" w:cs="Calibri"/>
          <w:color w:val="000000"/>
          <w:sz w:val="22"/>
          <w:lang w:val="en-US"/>
        </w:rPr>
        <w:t xml:space="preserve">. </w:t>
      </w:r>
      <w:r w:rsidR="005D22D8" w:rsidRPr="00D637BA">
        <w:rPr>
          <w:rFonts w:ascii="Calibri" w:hAnsi="Calibri" w:cs="Calibri"/>
          <w:color w:val="000000" w:themeColor="text1"/>
          <w:sz w:val="22"/>
          <w:szCs w:val="22"/>
        </w:rPr>
        <w:t xml:space="preserve">Targeting this unique </w:t>
      </w:r>
      <w:r w:rsidR="005D22D8" w:rsidRPr="00D637BA">
        <w:rPr>
          <w:rFonts w:ascii="Calibri" w:hAnsi="Calibri" w:cs="Calibri"/>
          <w:i/>
          <w:color w:val="000000" w:themeColor="text1"/>
          <w:sz w:val="22"/>
          <w:szCs w:val="22"/>
        </w:rPr>
        <w:t>FH</w:t>
      </w:r>
      <w:r w:rsidR="005D22D8" w:rsidRPr="00D637BA">
        <w:rPr>
          <w:rFonts w:ascii="Calibri" w:hAnsi="Calibri" w:cs="Calibri"/>
          <w:color w:val="000000" w:themeColor="text1"/>
          <w:sz w:val="22"/>
          <w:szCs w:val="22"/>
        </w:rPr>
        <w:t>-deficient haem pathway, in particular</w:t>
      </w:r>
      <w:r w:rsidR="00121CE6">
        <w:rPr>
          <w:rFonts w:ascii="Calibri" w:hAnsi="Calibri" w:cs="Calibri"/>
          <w:color w:val="000000" w:themeColor="text1"/>
          <w:sz w:val="22"/>
          <w:szCs w:val="22"/>
        </w:rPr>
        <w:t xml:space="preserve"> via the inhibition of</w:t>
      </w:r>
      <w:r w:rsidR="000167D7">
        <w:rPr>
          <w:rFonts w:ascii="Calibri" w:hAnsi="Calibri" w:cs="Calibri"/>
          <w:color w:val="000000" w:themeColor="text1"/>
          <w:sz w:val="22"/>
          <w:szCs w:val="22"/>
        </w:rPr>
        <w:t xml:space="preserve"> </w:t>
      </w:r>
      <w:r w:rsidR="005D22D8" w:rsidRPr="00D637BA">
        <w:rPr>
          <w:rFonts w:ascii="Calibri" w:hAnsi="Calibri" w:cs="Calibri"/>
          <w:color w:val="000000" w:themeColor="text1"/>
          <w:sz w:val="22"/>
          <w:szCs w:val="22"/>
        </w:rPr>
        <w:t xml:space="preserve">haem oxygenase 1, which catalyses the degradation of haem, rendered a selective synthetic lethality to </w:t>
      </w:r>
      <w:r w:rsidR="005D22D8" w:rsidRPr="00D637BA">
        <w:rPr>
          <w:rFonts w:ascii="Calibri" w:hAnsi="Calibri" w:cs="Calibri"/>
          <w:i/>
          <w:color w:val="000000" w:themeColor="text1"/>
          <w:sz w:val="22"/>
          <w:szCs w:val="22"/>
        </w:rPr>
        <w:t>FH</w:t>
      </w:r>
      <w:r w:rsidR="005D22D8" w:rsidRPr="00D637BA">
        <w:rPr>
          <w:rFonts w:ascii="Calibri" w:hAnsi="Calibri" w:cs="Calibri"/>
          <w:color w:val="000000" w:themeColor="text1"/>
          <w:sz w:val="22"/>
          <w:szCs w:val="22"/>
        </w:rPr>
        <w:t xml:space="preserve">-deficient cells, </w:t>
      </w:r>
      <w:r w:rsidR="0062035F" w:rsidRPr="00B946E4">
        <w:rPr>
          <w:rFonts w:ascii="Calibri" w:hAnsi="Calibri" w:cs="Calibri"/>
          <w:color w:val="000000" w:themeColor="text1"/>
          <w:sz w:val="22"/>
          <w:szCs w:val="22"/>
        </w:rPr>
        <w:t xml:space="preserve">which </w:t>
      </w:r>
      <w:r w:rsidR="005D22D8" w:rsidRPr="00D637BA">
        <w:rPr>
          <w:rFonts w:ascii="Calibri" w:hAnsi="Calibri" w:cs="Calibri"/>
          <w:color w:val="000000" w:themeColor="text1"/>
          <w:sz w:val="22"/>
          <w:szCs w:val="22"/>
        </w:rPr>
        <w:t>spar</w:t>
      </w:r>
      <w:r w:rsidR="0062035F" w:rsidRPr="00B946E4">
        <w:rPr>
          <w:rFonts w:ascii="Calibri" w:hAnsi="Calibri" w:cs="Calibri"/>
          <w:color w:val="000000" w:themeColor="text1"/>
          <w:sz w:val="22"/>
          <w:szCs w:val="22"/>
        </w:rPr>
        <w:t>ed</w:t>
      </w:r>
      <w:r w:rsidR="005D22D8" w:rsidRPr="00D637BA">
        <w:rPr>
          <w:rFonts w:ascii="Calibri" w:hAnsi="Calibri" w:cs="Calibri"/>
          <w:color w:val="000000" w:themeColor="text1"/>
          <w:sz w:val="22"/>
          <w:szCs w:val="22"/>
        </w:rPr>
        <w:t xml:space="preserve"> normal tissues</w:t>
      </w:r>
      <w:r w:rsidR="001A651A" w:rsidRPr="00B946E4">
        <w:rPr>
          <w:rFonts w:ascii="Calibri" w:hAnsi="Calibri" w:cs="Calibri"/>
          <w:color w:val="000000" w:themeColor="text1"/>
          <w:sz w:val="22"/>
          <w:szCs w:val="22"/>
        </w:rPr>
        <w:t xml:space="preserve"> with wild type FH</w:t>
      </w:r>
      <w:r w:rsidR="001037F9">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{"citationID":"a1lofi6j48v","properties":{"formattedCitation":"\\super 179\\nosupersub{}","plainCitation":"179","noteIndex":0},"citationItems":[{"id":384,"uris":["http://zotero.org/users/4775618/items/UXIM3S3T"],"uri":["http://zotero.org/users/4775618/items/UXIM3S3T"],"itemData":{"id":384,"type":"article-journal","title":"Haem oxygenase is synthetically lethal with the tumour suppressor fumarate hydratase","container-title":"Nature","page":"225-228","volume":"477","issue":"7363","source":"www.nature.com","abstract":"Fumarate hydratase (FH) is an enzyme of the tricarboxylic acid cycle (TCA cycle) that catalyses the hydration of fumarate into malate. Germline mutations of FH are responsible for hereditary leiomyomatosis and renal-cell cancer (HLRCC)1. It has previously been demonstrated that the absence of FH leads to the accumulation of fumarate, which activates hypoxia-inducible factors (HIFs) at normal oxygen tensions2,3,4. However, so far no mechanism that explains the ability of cells to survive without a functional TCA cycle has been provided. Here we use newly characterized genetically modified kidney mouse cells in which Fh1 has been deleted, and apply a newly developed computer model of the metabolism of these cells to predict and experimentally validate a linear metabolic pathway beginning with glutamine uptake and ending with bilirubin excretion from Fh1-deficient cells. This pathway, which involves the biosynthesis and degradation of haem, enables Fh1-deficient cells to use the accumulated TCA cycle metabolites and permits partial mitochondrial NADH production. We predicted and confirmed that targeting this pathway would render Fh1-deficient cells non-viable, while sparing wild-type Fh1-containing cells. This work goes beyond identifying a metabolic pathway that is induced in Fh1-deficient cells to demonstrate that inhibition of haem oxygenation is synthetically lethal when combined with Fh1 deficiency, providing a new potential target for treating HLRCC patients.","URL":"https://www.nature.com/articles/nature10363","DOI":"10.1038/nature10363","ISSN":"1476-4687","language":"en","author":[{"family":"Frezza","given":"Christian"},{"family":"Zheng","given":"Liang"},{"family":"Folger","given":"Ori"},{"family":"Rajagopalan","given":"Kartik N."},{"family":"MacKenzie","given":"Elaine D."},{"family":"Jerby","given":"Livnat"},{"family":"Micaroni","given":"Massimo"},{"family":"Chaneton","given":"Barbara"},{"family":"Adam","given":"Julie"},{"family":"Hedley","given":"Ann"},{"family":"Kalna","given":"Gabriela"},{"family":"Tomlinson","given":"Ian P. M."},{"family":"Pollard","given":"Patrick J."},{"family":"Watson","given":"Dave G."},{"family":"Deberardinis","given":"Ralph J."},{"family":"Shlomi","given":"Tomer"},{"family":"Ruppin","given":"Eytan"},{"family":"Gottlieb","given":"Eyal"}],"issued":{"date-parts":[["2011",9]]},"accessed":{"date-parts":[["2018",4,2]]}}}],"schema":"https://github.com/citation-style-language/schema/raw/master/csl-citation.json"} </w:instrText>
      </w:r>
      <w:r w:rsidR="001037F9">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179</w:t>
      </w:r>
      <w:r w:rsidR="001037F9">
        <w:rPr>
          <w:rFonts w:ascii="Calibri" w:hAnsi="Calibri" w:cs="Calibri"/>
          <w:color w:val="000000" w:themeColor="text1"/>
          <w:sz w:val="22"/>
          <w:szCs w:val="22"/>
        </w:rPr>
        <w:fldChar w:fldCharType="end"/>
      </w:r>
      <w:r w:rsidR="005D22D8" w:rsidRPr="00D637BA">
        <w:rPr>
          <w:rFonts w:ascii="Calibri" w:hAnsi="Calibri" w:cs="Calibri"/>
          <w:color w:val="000000" w:themeColor="text1"/>
          <w:sz w:val="22"/>
          <w:szCs w:val="22"/>
        </w:rPr>
        <w:t>. These two studies</w:t>
      </w:r>
      <w:r w:rsidR="00832184">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{"citationID":"a18rkb88vvv","properties":{"formattedCitation":"\\super 102,179\\nosupersub{}","plainCitation":"102,179","noteIndex":0},"citationItems":[{"id":384,"uris":["http://zotero.org/users/4775618/items/UXIM3S3T"],"uri":["http://zotero.org/users/4775618/items/UXIM3S3T"],"itemData":{"id":384,"type":"article-journal","title":"Haem oxygenase is synthetically lethal with the tumour suppressor fumarate hydratase","container-title":"Nature","page":"225-228","volume":"477","issue":"7363","source":"www.nature.com","abstract":"Fumarate hydratase (FH) is an enzyme of the tricarboxylic acid cycle (TCA cycle) that catalyses the hydration of fumarate into malate. Germline mutations of FH are responsible for hereditary leiomyomatosis and renal-cell cancer (HLRCC)1. It has previously been demonstrated that the absence of FH leads to the accumulation of fumarate, which activates hypoxia-inducible factors (HIFs) at normal oxygen tensions2,3,4. However, so far no mechanism that explains the ability of cells to survive without a functional TCA cycle has been provided. Here we use newly characterized genetically modified kidney mouse cells in which Fh1 has been deleted, and apply a newly developed computer model of the metabolism of these cells to predict and experimentally validate a linear metabolic pathway beginning with glutamine uptake and ending with bilirubin excretion from Fh1-deficient cells. This pathway, which involves the biosynthesis and degradation of haem, enables Fh1-deficient cells to use the accumulated TCA cycle metabolites and permits partial mitochondrial NADH production. We predicted and confirmed that targeting this pathway would render Fh1-deficient cells non-viable, while sparing wild-type Fh1-containing cells. This work goes beyond identifying a metabolic pathway that is induced in Fh1-deficient cells to demonstrate that inhibition of haem oxygenation is synthetically lethal when combined with Fh1 deficiency, providing a new potential target for treating HLRCC patients.","URL":"https://www.nature.com/articles/nature10363","DOI":"10.1038/nature10363","ISSN":"1476-4687","language":"en","author":[{"family":"Frezza","given":"Christian"},{"family":"Zheng","given":"Liang"},{"family":"Folger","given":"Ori"},{"family":"Rajagopalan","given":"Kartik N."},{"family":"MacKenzie","given":"Elaine D."},{"family":"Jerby","given":"Livnat"},{"family":"Micaroni","given":"Massimo"},{"family":"Chaneton","given":"Barbara"},{"family":"Adam","given":"Julie"},{"family":"Hedley","given":"Ann"},{"family":"Kalna","given":"Gabriela"},{"family":"Tomlinson","given":"Ian P. M."},{"family":"Pollard","given":"Patrick J."},{"family":"Watson","given":"Dave G."},{"family":"Deberardinis","given":"Ralph J."},{"family":"Shlomi","given":"Tomer"},{"family":"Ruppin","given":"Eytan"},{"family":"Gottlieb","given":"Eyal"}],"issued":{"date-parts":[["2011",9]]},"accessed":{"date-parts":[["2018",4,2]]}}},{"id":763,"uris":["http://zotero.org/users/4775618/items/NM59HM97"],"uri":["http://zotero.org/users/4775618/items/NM59HM97"],"itemData":{"id":763,"type":"article-journal","title":"Reversed argininosuccinate lyase activity in fumarate hydratase-deficient cancer cells","container-title":"Cancer &amp; Metabolism","page":"12","volume":"1","source":"PubMed Central","abstract":"Background\nLoss of function of fumarate hydratase (FH), the mitochondrial tumor suppressor and tricarboxylic acid (TCA) cycle enzyme, is associated with a highly malignant form of papillary and collecting duct renal cell cancer. The accumulation of fumarate in these cells has been linked to the tumorigenic process. However, little is known about the overall effects of the loss of FH on cellular metabolism.\n\nMethods\nWe performed comprehensive metabolomic analyses of urine from Fh1-deficient mice and stable isotopologue tracing from human and mouse FH-deficient cell lines to investigate the biochemical signature of the loss of FH.\n\nResults\nThe metabolomics analysis revealed that the urea cycle metabolite argininosuccinate is a common metabolic biomarker of FH deficiency. Argininosuccinate was found to be produced from arginine and fumarate by the reverse activity of the urea cycle enzyme argininosuccinate lyase (ASL), making these cells auxotrophic for arginine. Depleting arginine from the growth media by the addition of pegylated arginine deiminase (ADI-PEG 20) decreased the production of argininosuccinate in FH-deficient cells and reduced cell survival and proliferation.\n\nConclusions\nThese results unravel a previously unidentified correlation between fumarate accumulation and the urea cycle enzyme ASL in FH-deficient cells. The finding that FH-deficient cells become auxotrophic for arginine opens a new therapeutic perspective for the cure of hereditary leiomyomatosis and renal cell cancer (HLRCC).","URL":"https://www.ncbi.nlm.nih.gov/pmc/articles/PMC4108060/","DOI":"10.1186/2049-3002-1-12","ISSN":"2049-3002","note":"PMID: 24280230\nPMCID: PMC4108060","journalAbbreviation":"Cancer Metab","author":[{"family":"Zheng","given":"Liang"},{"family":"MacKenzie","given":"Elaine D"},{"family":"Karim","given":"Saadia A"},{"family":"Hedley","given":"Ann"},{"family":"Blyth","given":"Karen"},{"family":"Kalna","given":"Gabriela"},{"family":"Watson","given":"David G"},{"family":"Szlosarek","given":"Peter"},{"family":"Frezza","given":"Christian"},{"family":"Gottlieb","given":"Eyal"}],"issued":{"date-parts":[["2013",3,21]]},"accessed":{"date-parts":[["2018",10,30]]}}}],"schema":"https://github.com/citation-style-language/schema/raw/master/csl-citation.json"} </w:instrText>
      </w:r>
      <w:r w:rsidR="00832184">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102,179</w:t>
      </w:r>
      <w:r w:rsidR="00832184">
        <w:rPr>
          <w:rFonts w:ascii="Calibri" w:hAnsi="Calibri" w:cs="Calibri"/>
          <w:color w:val="000000" w:themeColor="text1"/>
          <w:sz w:val="22"/>
          <w:szCs w:val="22"/>
        </w:rPr>
        <w:fldChar w:fldCharType="end"/>
      </w:r>
      <w:r w:rsidR="005D22D8" w:rsidRPr="00D637BA">
        <w:rPr>
          <w:rFonts w:ascii="Calibri" w:hAnsi="Calibri" w:cs="Calibri"/>
          <w:color w:val="000000" w:themeColor="text1"/>
          <w:sz w:val="22"/>
          <w:szCs w:val="22"/>
        </w:rPr>
        <w:t xml:space="preserve"> highlight </w:t>
      </w:r>
      <w:r w:rsidR="000924D0" w:rsidRPr="00D637BA">
        <w:rPr>
          <w:rFonts w:ascii="Calibri" w:hAnsi="Calibri" w:cs="Calibri"/>
          <w:color w:val="000000" w:themeColor="text1"/>
          <w:sz w:val="22"/>
          <w:szCs w:val="22"/>
        </w:rPr>
        <w:t>how</w:t>
      </w:r>
      <w:r w:rsidR="005D22D8" w:rsidRPr="00D637BA">
        <w:rPr>
          <w:rFonts w:ascii="Calibri" w:hAnsi="Calibri" w:cs="Calibri"/>
          <w:color w:val="000000" w:themeColor="text1"/>
          <w:sz w:val="22"/>
          <w:szCs w:val="22"/>
        </w:rPr>
        <w:t xml:space="preserve"> </w:t>
      </w:r>
      <w:r w:rsidR="005D22D8" w:rsidRPr="00D637BA">
        <w:rPr>
          <w:rFonts w:ascii="Calibri" w:hAnsi="Calibri" w:cs="Calibri"/>
          <w:i/>
          <w:color w:val="000000" w:themeColor="text1"/>
          <w:sz w:val="22"/>
          <w:szCs w:val="22"/>
        </w:rPr>
        <w:t>FH</w:t>
      </w:r>
      <w:r w:rsidR="005D22D8" w:rsidRPr="00D637BA">
        <w:rPr>
          <w:rFonts w:ascii="Calibri" w:hAnsi="Calibri" w:cs="Calibri"/>
          <w:color w:val="000000" w:themeColor="text1"/>
          <w:sz w:val="22"/>
          <w:szCs w:val="22"/>
        </w:rPr>
        <w:t xml:space="preserve">-specific liabilities can be manipulated to provide novel strategies to treat </w:t>
      </w:r>
      <w:r w:rsidR="005D22D8" w:rsidRPr="00D637BA">
        <w:rPr>
          <w:rFonts w:ascii="Calibri" w:hAnsi="Calibri" w:cs="Calibri"/>
          <w:i/>
          <w:color w:val="000000" w:themeColor="text1"/>
          <w:sz w:val="22"/>
          <w:szCs w:val="22"/>
        </w:rPr>
        <w:t>FH-</w:t>
      </w:r>
      <w:r w:rsidR="005D22D8" w:rsidRPr="00D637BA">
        <w:rPr>
          <w:rFonts w:ascii="Calibri" w:hAnsi="Calibri" w:cs="Calibri"/>
          <w:color w:val="000000" w:themeColor="text1"/>
          <w:sz w:val="22"/>
          <w:szCs w:val="22"/>
        </w:rPr>
        <w:t xml:space="preserve">deficient tumours such as </w:t>
      </w:r>
      <w:r w:rsidR="000D47A9" w:rsidRPr="00D637BA">
        <w:rPr>
          <w:rFonts w:ascii="Calibri" w:hAnsi="Calibri" w:cs="Calibri"/>
          <w:color w:val="000000" w:themeColor="text1"/>
          <w:sz w:val="22"/>
          <w:szCs w:val="22"/>
        </w:rPr>
        <w:t>those</w:t>
      </w:r>
      <w:r w:rsidR="00882B85" w:rsidRPr="00B946E4">
        <w:rPr>
          <w:rFonts w:ascii="Calibri" w:hAnsi="Calibri" w:cs="Calibri"/>
          <w:color w:val="000000" w:themeColor="text1"/>
          <w:sz w:val="22"/>
          <w:szCs w:val="22"/>
        </w:rPr>
        <w:t xml:space="preserve"> that occur</w:t>
      </w:r>
      <w:r w:rsidR="000D47A9" w:rsidRPr="00D637BA">
        <w:rPr>
          <w:rFonts w:ascii="Calibri" w:hAnsi="Calibri" w:cs="Calibri"/>
          <w:color w:val="000000" w:themeColor="text1"/>
          <w:sz w:val="22"/>
          <w:szCs w:val="22"/>
        </w:rPr>
        <w:t xml:space="preserve"> </w:t>
      </w:r>
      <w:r w:rsidR="005D22D8" w:rsidRPr="00D637BA">
        <w:rPr>
          <w:rFonts w:ascii="Calibri" w:hAnsi="Calibri" w:cs="Calibri"/>
          <w:color w:val="000000" w:themeColor="text1"/>
          <w:sz w:val="22"/>
          <w:szCs w:val="22"/>
        </w:rPr>
        <w:t xml:space="preserve">in patients with HLRCC. </w:t>
      </w:r>
    </w:p>
    <w:p w14:paraId="490AD8F1" w14:textId="0A523C5B" w:rsidR="00F131BF" w:rsidRPr="00B946E4" w:rsidRDefault="005D22D8" w:rsidP="001A651A">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Perhaps unsurprisingly, given the multitude of </w:t>
      </w:r>
      <w:r w:rsidR="001A651A" w:rsidRPr="00D637BA">
        <w:rPr>
          <w:rFonts w:ascii="Calibri" w:hAnsi="Calibri" w:cs="Calibri"/>
          <w:color w:val="000000" w:themeColor="text1"/>
          <w:sz w:val="22"/>
          <w:szCs w:val="22"/>
        </w:rPr>
        <w:t xml:space="preserve">pro-oncogenic pathways involving </w:t>
      </w:r>
      <w:r w:rsidRPr="00D637BA">
        <w:rPr>
          <w:rFonts w:ascii="Calibri" w:hAnsi="Calibri" w:cs="Calibri"/>
          <w:color w:val="000000" w:themeColor="text1"/>
          <w:sz w:val="22"/>
          <w:szCs w:val="22"/>
        </w:rPr>
        <w:t>fumarate,</w:t>
      </w:r>
      <w:r w:rsidRPr="00D637BA">
        <w:rPr>
          <w:rFonts w:ascii="Calibri" w:hAnsi="Calibri" w:cs="Calibri"/>
          <w:i/>
          <w:color w:val="000000" w:themeColor="text1"/>
          <w:sz w:val="22"/>
          <w:szCs w:val="22"/>
        </w:rPr>
        <w:t xml:space="preserve"> </w:t>
      </w:r>
      <w:r w:rsidRPr="00D637BA">
        <w:rPr>
          <w:rFonts w:ascii="Calibri" w:hAnsi="Calibri" w:cs="Calibri"/>
          <w:color w:val="000000" w:themeColor="text1"/>
          <w:sz w:val="22"/>
          <w:szCs w:val="22"/>
        </w:rPr>
        <w:t xml:space="preserve">increased gene expression of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 xml:space="preserve"> correlate</w:t>
      </w:r>
      <w:r w:rsidR="000D47A9" w:rsidRPr="00D637BA">
        <w:rPr>
          <w:rFonts w:ascii="Calibri" w:hAnsi="Calibri" w:cs="Calibri"/>
          <w:color w:val="000000" w:themeColor="text1"/>
          <w:sz w:val="22"/>
          <w:szCs w:val="22"/>
        </w:rPr>
        <w:t>s</w:t>
      </w:r>
      <w:r w:rsidRPr="00D637BA">
        <w:rPr>
          <w:rFonts w:ascii="Calibri" w:hAnsi="Calibri" w:cs="Calibri"/>
          <w:color w:val="000000" w:themeColor="text1"/>
          <w:sz w:val="22"/>
          <w:szCs w:val="22"/>
        </w:rPr>
        <w:t xml:space="preserve"> with better survival outcomes</w:t>
      </w:r>
      <w:r w:rsidR="000D47A9" w:rsidRPr="00D637BA">
        <w:rPr>
          <w:rFonts w:ascii="Calibri" w:hAnsi="Calibri" w:cs="Calibri"/>
          <w:color w:val="000000" w:themeColor="text1"/>
          <w:sz w:val="22"/>
          <w:szCs w:val="22"/>
        </w:rPr>
        <w:t xml:space="preserve"> in RCC</w:t>
      </w:r>
      <w:r w:rsidR="004A1614">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{"citationID":"akn9ida90u","properties":{"formattedCitation":"\\super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4A1614">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10</w:t>
      </w:r>
      <w:r w:rsidR="004A1614">
        <w:rPr>
          <w:rFonts w:ascii="Calibri" w:hAnsi="Calibri" w:cs="Calibri"/>
          <w:color w:val="000000" w:themeColor="text1"/>
          <w:sz w:val="22"/>
          <w:szCs w:val="22"/>
        </w:rPr>
        <w:fldChar w:fldCharType="end"/>
      </w:r>
      <w:r w:rsidRPr="00D637BA">
        <w:rPr>
          <w:rFonts w:ascii="Calibri" w:hAnsi="Calibri" w:cs="Calibri"/>
          <w:i/>
          <w:color w:val="000000" w:themeColor="text1"/>
          <w:sz w:val="22"/>
          <w:szCs w:val="22"/>
        </w:rPr>
        <w:t>,</w:t>
      </w:r>
      <w:r w:rsidR="00EE2DE1" w:rsidRPr="00D637BA">
        <w:rPr>
          <w:rFonts w:ascii="Calibri" w:hAnsi="Calibri" w:cs="Calibri"/>
          <w:i/>
          <w:color w:val="000000" w:themeColor="text1"/>
          <w:sz w:val="22"/>
          <w:szCs w:val="22"/>
        </w:rPr>
        <w:t xml:space="preserve"> </w:t>
      </w:r>
      <w:r w:rsidR="000D47A9" w:rsidRPr="00D637BA">
        <w:rPr>
          <w:rFonts w:ascii="Calibri" w:hAnsi="Calibri" w:cs="Calibri"/>
          <w:color w:val="000000" w:themeColor="text1"/>
          <w:sz w:val="22"/>
          <w:szCs w:val="22"/>
        </w:rPr>
        <w:t>whereas</w:t>
      </w:r>
      <w:r w:rsidRPr="00D637BA">
        <w:rPr>
          <w:rFonts w:ascii="Calibri" w:hAnsi="Calibri" w:cs="Calibri"/>
          <w:i/>
          <w:color w:val="000000" w:themeColor="text1"/>
          <w:sz w:val="22"/>
          <w:szCs w:val="22"/>
        </w:rPr>
        <w:t xml:space="preserve"> FH</w:t>
      </w:r>
      <w:r w:rsidRPr="00D637BA">
        <w:rPr>
          <w:rFonts w:ascii="Calibri" w:hAnsi="Calibri" w:cs="Calibri"/>
          <w:color w:val="000000" w:themeColor="text1"/>
          <w:sz w:val="22"/>
          <w:szCs w:val="22"/>
        </w:rPr>
        <w:t xml:space="preserve"> gene suppression correlates with very poor prognosis</w:t>
      </w:r>
      <w:r w:rsidR="004A1614">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{"citationID":"an5l9dppk7","properties":{"formattedCitation":"\\super 5,77,161\\nosupersub{}","plainCitation":"5,77,161","noteIndex":0},"citationItems":[{"id":435,"uris":["http://zotero.org/users/4775618/items/BJSHNDRW"],"uri":["http://zotero.org/users/4775618/items/BJSHNDRW"],"itemData":{"id":435,"type":"article-journal","title":"Comprehensive Molecular Characterization of Papillary Renal Cell Carcinoma","container-title":"The New England journal of medicine","page":"135-145","volume":"374","issue":"2","source":"PubMed Central","abstract":"Background\nPapillary renal cell carcinoma, accounting for 15% of renal cell carcinoma, is a heterogeneous disease consisting of different types of renal cancer, including tumors with indolent, multifocal presentation and solitary tumors with an aggressive, highly lethal phenotype. Little is known about the genetic basis of sporadic papillary renal cell carcinoma; no effective forms of therapy for advanced disease exist.\n\nMethods\nWe performed comprehensive molecular characterization utilizing whole-exome sequencing, copy number, mRNA, microRNA, methylation and proteomic analyses of 161 primary papillary renal cell carcinomas.\n\nResults\nType 1 and Type 2 papillary renal cell carcinomas were found to be different types of renal cancer characterized by specific genetic alterations, with Type 2 further classified into three individual subgroups based on molecular differences that influenced patient survival. MET alterations were associated with Type 1 tumors, whereas Type 2 tumors were characterized by CDKN2A silencing, SETD2 mutations, TFE3 fusions, and increased expression of the NRF2-ARE pathway. A CpG island methylator phenotype (CIMP) was found in a distinct subset of Type 2 papillary renal cell carcinoma characterized by poor survival and mutation of the fumarate hydratase (FH) gene.\n\nConclusions\nType 1 and Type 2 papillary renal cell carcinomas are clinically and biologically distinct. Alterations in the MET pathway are associated with Type 1 and activation of the NRF2-ARE pathway with Type 2; CDKN2A loss and CIMP in Type 2 convey a poor prognosis. Furthermore, Type 2 papillary renal cell carcinoma consists of at least 3 subtypes based upon molecular and phenotypic features.","URL":"https://www.ncbi.nlm.nih.gov/pmc/articles/PMC4775252/","DOI":"10.1056/NEJMoa1505917","ISSN":"0028-4793","note":"PMID: 26536169\nPMCID: PMC4775252","journalAbbreviation":"N Engl J Med","author":[{"family":"Linehan","given":"W. Marston"},{"family":"Spellman","given":"Paul T."},{"family":"Ricketts","given":"Christopher J."},{"family":"Creighton","given":"Chad J."},{"family":"Fei","given":"Suzanne S."},{"family":"Davis","given":"Caleb"},{"family":"Wheeler","given":"David A."},{"family":"Murray","given":"Bradley A."},{"family":"Schmidt","given":"Laura"},{"family":"Vocke","given":"Cathy D."},{"family":"Peto","given":"Myron"},{"family":"Al Mamun","given":"Abu Amar M."},{"family":"Shinbrot","given":"Eve"},{"family":"Sethi","given":"Anurag"},{"family":"Brooks","given":"Samira"},{"family":"Rathmell","given":"W. Kimryn"},{"family":"Brooks","given":"Angela N."},{"family":"Hoadley","given":"Katherine A."},{"family":"Robertson","given":"A. Gordon"},{"family":"Brooks","given":"Denise"},{"family":"Bowlby","given":"Reanne"},{"family":"Sadeghi","given":"Sara"},{"family":"Shen","given":"Hui"},{"family":"Weisenberger","given":"Daniel J."},{"family":"Bootwalla","given":"Moiz"},{"family":"Baylin","given":"Stephen B."},{"family":"Laird","given":"Peter W."},{"family":"Cherniack","given":"Andrew D."},{"family":"Saksena","given":"Gordon"},{"family":"Haake","given":"Scott"},{"family":"Li","given":"Jun"},{"family":"Liang","given":"Han"},{"family":"Lu","given":"Yiling"},{"family":"Mills","given":"Gordon B."},{"family":"Akbani","given":"Rehan"},{"family":"Leiserson","given":"Mark D.M."},{"family":"Raphael","given":"Benjamin J."},{"family":"Anur","given":"Pavana"},{"family":"Bottaro","given":"Donald"},{"family":"Albiges","given":"Laurence"},{"family":"Barnabas","given":"Nandita"},{"family":"Choueiri","given":"Toni K."},{"family":"Czerniak","given":"Bogdan"},{"family":"Godwin","given":"Andrew K."},{"family":"Hakimi","given":"A. Ari"},{"family":"Ho","given":"Thai"},{"family":"Hsieh","given":"James"},{"family":"Ittmann","given":"Michael"},{"family":"Kim","given":"William Y."},{"family":"Krishnan","given":"Bhavani"},{"family":"Merino","given":"Maria J."},{"family":"Mills Shaw","given":"Kenna R."},{"family":"Reuter","given":"Victor E."},{"family":"Reznik","given":"Ed"},{"family":"Shelley","given":"Carl Simon"},{"family":"Shuch","given":"Brian"},{"family":"Signoretti","given":"Sabina"},{"family":"Srinivasan","given":"Ramaprasad"},{"family":"Tamboli","given":"Pheroze"},{"family":"Thomas","given":"George"},{"family":"Tickoo","given":"Satish"},{"family":"Burnett","given":"Kenneth"},{"family":"Crain","given":"Daniel"},{"family":"Gardner","given":"Johanna"},{"family":"Lau","given":"Kevin"},{"family":"Mallery","given":"David"},{"family":"Morris","given":"Scott"},{"family":"Paulauskis","given":"Joseph D."},{"family":"Penny","given":"Robert J."},{"family":"Shelton","given":"Candace"},{"family":"Shelton","given":"W. Troy"},{"family":"Sherman","given":"Mark"},{"family":"Thompson","given":"Eric"},{"family":"Yena","given":"Peggy"},{"family":"Avedon","given":"Melissa T."},{"family":"Bowen","given":"Jay"},{"family":"Gastier-Foster","given":"Julie M."},{"family":"Gerken","given":"Mark"},{"family":"Leraas","given":"Kristen M."},{"family":"Lichtenberg","given":"Tara M."},{"family":"Ramirez","given":"Nilsa C."},{"family":"Santos","given":"Tracie"},{"family":"Wise","given":"Lisa"},{"family":"Zmuda","given":"Erik"},{"family":"Demchok","given":"John A."},{"family":"Felau","given":"Ina"},{"family":"Hutter","given":"Carolyn M."},{"family":"Sheth","given":"Margi"},{"family":"Sofia","given":"Heidi J."},{"family":"Tarnuzzer","given":"Roy"},{"family":"Wang","given":"Zhining"},{"family":"Yang","given":"Liming"},{"family":"Zenklusen","given":"Jean C."},{"family":"Zhang","given":"Jiashan (Julia)"},{"family":"Ayala","given":"Brenda"},{"family":"Baboud","given":"Julien"},{"family":"Chudamani","given":"Sudha"},{"family":"Liu","given":"Jia"},{"family":"Lolla","given":"Laxmi"},{"family":"Naresh","given":"Rashi"},{"family":"Pihl","given":"Todd"},{"family":"Sun","given":"Qiang"},{"family":"Wan","given":"Yunhu"},{"family":"Wu","given":"Ye"},{"family":"Ally","given":"Adrian"},{"family":"Balasundaram","given":"Miruna"},{"family":"Balu","given":"Saianand"},{"family":"Beroukhim","given":"Rameen"},{"family":"Bodenheimer","given":"Tom"},{"family":"Buhay","given":"Christian"},{"family":"Butterfield","given":"Yaron S.N."},{"family":"Carlsen","given":"Rebecca"},{"family":"Carter","given":"Scott L."},{"family":"Chao","given":"Hsu"},{"family":"Chuah","given":"Eric"},{"family":"Clarke","given":"Amanda"},{"family":"Covington","given":"Kyle R."},{"family":"Dahdouli","given":"Mahmoud"},{"family":"Dewal","given":"Ninad"},{"family":"Dhalla","given":"Noreen"},{"family":"Doddapaneni","given":"HarshaVardhan"},{"family":"Drummond","given":"Jennifer"},{"family":"Gabriel","given":"Stacey B."},{"family":"Gibbs","given":"Richard A."},{"family":"Guin","given":"Ranabir"},{"family":"Hale","given":"Walker"},{"family":"Hawes","given":"Alicia"},{"family":"Hayes","given":"D. Neil"},{"family":"Holt","given":"Robert A."},{"family":"Hoyle","given":"Alan P."},{"family":"Jefferys","given":"Stuart R."},{"family":"Jones","given":"Steven J.M."},{"family":"Jones","given":"Corbin D."},{"family":"Kalra","given":"Divya"},{"family":"Kovar","given":"Christie"},{"family":"Lewis","given":"Lora"},{"family":"Li","given":"Jie"},{"family":"Ma","given":"Yussanne"},{"family":"Marra","given":"Marco A."},{"family":"Mayo","given":"Michael"},{"family":"Meng","given":"Shaowu"},{"family":"Meyerson","given":"Matthew"},{"family":"Mieczkowski","given":"Piotr A."},{"family":"Moore","given":"Richard A."},{"family":"Morton","given":"Donna"},{"family":"Mose","given":"Lisle E."},{"family":"Mungall","given":"Andrew J."},{"family":"Muzny","given":"Donna"},{"family":"Parker","given":"Joel S."},{"family":"Perou","given":"Charles M."},{"family":"Roach","given":"Jeffrey"},{"family":"Schein","given":"Jacqueline E."},{"family":"Schumacher","given":"Steven E."},{"family":"Shi","given":"Yan"},{"family":"Simons","given":"Janae V."},{"family":"Sipahimalani","given":"Payal"},{"family":"Skelly","given":"Tara"},{"family":"Soloway","given":"Matthew G."},{"family":"Sougnez","given":"Carrie"},{"family":"Tam","given":"Angela"},{"family":"Tan","given":"Donghui"},{"family":"Thiessen","given":"Nina"},{"family":"Veluvolu","given":"Umadevi"},{"family":"Wang","given":"Min"},{"family":"Wilkerson","given":"Matthew D."},{"family":"Wong","given":"Tina"},{"family":"Wu","given":"Junyuan"},{"family":"Xi","given":"Liu"},{"family":"Zhou","given":"Jane"},{"family":"Bedford","given":"Jason"},{"family":"Chen","given":"Fengju"},{"family":"Fu","given":"Yao"},{"family":"Gerstein","given":"Mark"},{"family":"Haussler","given":"David"},{"family":"Kasaian","given":"Katayoon"},{"family":"Lai","given":"Phillip"},{"family":"Ling","given":"Shiyun"},{"family":"Radenbaugh","given":"Amie"},{"family":"Van Den Berg","given":"David"},{"family":"Weinstein","given":"John N."},{"family":"Zhu","given":"Jingchun"},{"family":"Albert","given":"Monique"},{"family":"Alexopoulou","given":"Iakovina"},{"family":"Andersen","given":"Jeremiah J"},{"family":"Auman","given":"J. Todd"},{"family":"Bartlett","given":"John"},{"family":"Bastacky","given":"Sheldon"},{"family":"Bergsten","given":"Julie"},{"family":"Blute","given":"Michael L."},{"family":"Boice","given":"Lori"},{"family":"Bollag","given":"Roni J."},{"family":"Boyd","given":"Jeff"},{"family":"Castle","given":"Erik"},{"family":"Chen","given":"Ying-Bei"},{"family":"Cheville","given":"John C."},{"family":"Curley","given":"Erin"},{"family":"Davies","given":"Benjamin"},{"family":"DeVolk","given":"April"},{"family":"Dhir","given":"Rajiv"},{"family":"Dike","given":"Laura"},{"family":"Eckman","given":"John"},{"family":"Engel","given":"Jay"},{"family":"Harr","given":"Jodi"},{"family":"Hrebinko","given":"Ronald"},{"family":"Huang","given":"Mei"},{"family":"Huelsenbeck-Dill","given":"Lori"},{"family":"Iacocca","given":"Mary"},{"family":"Jacobs","given":"Bruce"},{"family":"Lobis","given":"Michael"},{"family":"Maranchie","given":"Jodi K."},{"family":"McMeekin","given":"Scott"},{"family":"Myers","given":"Jerome"},{"family":"Nelson","given":"Joel"},{"family":"Parfitt","given":"Jeremy"},{"family":"Parwani","given":"Anil"},{"family":"Petrelli","given":"Nicholas"},{"family":"Rabeno","given":"Brenda"},{"family":"Roy","given":"Somak"},{"family":"Salner","given":"Andrew L."},{"family":"Slaton","given":"Joel"},{"family":"Stanton","given":"Melissa"},{"family":"Thompson","given":"R. Houston"},{"family":"Thorne","given":"Leigh"},{"family":"Tucker","given":"Kelinda"},{"family":"Weinberger","given":"Paul M."},{"family":"Winemiller","given":"Cythnia"},{"family":"Zach","given":"Leigh Anne"},{"family":"Zuna","given":"Rosemary"}],"issued":{"date-parts":[["2016",1,14]]},"accessed":{"date-parts":[["2018",4,9]]}}},{"id":427,"uris":["http://zotero.org/users/4775618/items/ZV692HDZ"],"uri":["http://zotero.org/users/4775618/items/ZV692HDZ"],"itemData":{"id":427,"type":"article-journal","title":"The Cancer Genome Atlas Comprehensive Molecular Characterization of Renal Cell Carcinoma","container-title":"Cell Reports","volume":"0","issue":"0","source":"www.cell.com","abstract":"&lt;h2&gt;Summary&lt;/h2&gt;&lt;p&gt;Renal cell carcinoma (RCC) is not a single disease, but several histologically defined cancers with different genetic drivers, clinical courses, and therapeutic responses. The current study evaluated 843 RCC from the three major histologic subtypes, including 488 clear cell RCC, 274 papillary RCC, and 81 chromophobe RCC. Comprehensive genomic and phenotypic analysis of the RCC subtypes reveals distinctive features of each subtype that provide the foundation for the development of subtype-specific therapeutic and management strategies for patients affected with these cancers. Somatic alteration of &lt;i&gt;BAP1&lt;/i&gt;, &lt;i&gt;PBRM1&lt;/i&gt;, and &lt;i&gt;PTEN&lt;/i&gt; and altered metabolic pathways correlated with subtype-specific decreased survival, while &lt;i&gt;CDKN2A&lt;/i&gt; alteration, increased DNA hypermethylation, and increases in the immune-related Th2 gene expression signature correlated with decreased survival within all major histologic subtypes. CIMP-RCC demonstrated an increased immune signature, and a uniform and distinct metabolic expression pattern identified a subset of metabolically divergent (MD) ChRCC that associated with extremely poor survival.&lt;/p&gt;","URL":"http://www.cell.com/cell-reports/abstract/S2211-1247(18)30436-4","DOI":"10.1016/j.celrep.2018.03.075","ISSN":"2211-1247","note":"PMID: 29617669, 29617669","journalAbbreviation":"Cell Reports","language":"English","author":[{"family":"Ricketts","given":"Christopher J."},{"family":"Cubas","given":"Aguirre A. De"},{"family":"Fan","given":"Huihui"},{"family":"Smith","given":"Christof C."},{"family":"Lang","given":"Martin"},{"family":"Reznik","given":"Ed"},{"family":"Bowlby","given":"Reanne"},{"family":"Gibb","given":"Ewan A."},{"family":"Akbani","given":"Rehan"},{"family":"Beroukhim","given":"Rameen"},{"family":"Bottaro","given":"Donald P."},{"family":"Choueiri","given":"Toni K."},{"family":"Gibbs","given":"Richard A."},{"family":"Godwin","given":"Andrew K."},{"family":"Haake","given":"Scott"},{"family":"Hakimi","given":"A. Ari"},{"family":"Henske","given":"Elizabeth P."},{"family":"Hsieh","given":"James J."},{"family":"Ho","given":"Thai H."},{"family":"Kanchi","given":"Rupa S."},{"family":"Krishnan","given":"Bhavani"},{"family":"Kwaitkowski","given":"David J."},{"family":"Lui","given":"Wembin"},{"family":"Merino","given":"Maria J."},{"family":"Mills","given":"Gordon B."},{"family":"Myers","given":"Jerome"},{"family":"Nickerson","given":"Michael L."},{"family":"Reuter","given":"Victor E."},{"family":"Schmidt","given":"Laura S."},{"family":"Shelley","given":"C. Simon"},{"family":"Shen","given":"Hui"},{"family":"Shuch","given":"Brian"},{"family":"Signoretti","given":"Sabina"},{"family":"Srinivasan","given":"Ramaprasad"},{"family":"Tamboli","given":"Pheroze"},{"family":"Thomas","given":"George"},{"family":"Vincent","given":"Benjamin G."},{"family":"Vocke","given":"Cathy D."},{"family":"Wheeler","given":"David A."},{"family":"Yang","given":"Lixing"},{"family":"Kim","given":"William T."},{"family":"Robertson","given":"A. Gordon"},{"family":"Caesar-Johnson","given":"Samantha J."},{"family":"Demchok","given":"John A."},{"family":"Felau","given":"Ina"},{"family":"Kasapi","given":"Melpomeni"},{"family":"Ferguson","given":"Martin L."},{"family":"Hutter","given":"Carolyn M."},{"family":"Sofia","given":"Heidi J."},{"family":"Tarnuzzer","given":"Roy"},{"family":"Wang","given":"Zhining"},{"family":"Yang","given":"Liming"},{"family":"Zenklusen","given":"Jean C."},{"family":"Zhang","given":"Jiashan (Julia)"},{"family":"Chudamani","given":"Sudha"},{"family":"Liu","given":"Jia"},{"family":"Lolla","given":"Laxmi"},{"family":"Naresh","given":"Rashi"},{"family":"Pihl","given":"Todd"},{"family":"Sun","given":"Qiang"},{"family":"Wan","given":"Yunhu"},{"family":"Wu","given":"Ye"},{"family":"Cho","given":"Juok"},{"family":"DeFreitas","given":"Timothy"},{"family":"Frazer","given":"Scott"},{"family":"Gehlenborg","given":"Nils"},{"family":"Getz","given":"Gad"},{"family":"Heiman","given":"David I."},{"family":"Kim","given":"Jaegil"},{"family":"Lawrence","given":"Michael S."},{"family":"Lin","given":"Pei"},{"family":"Meier","given":"Sam"},{"family":"Noble","given":"Michael S."},{"family":"Saksena","given":"Gordon"},{"family":"Voet","given":"Doug"},{"family":"Zhang","given":"Hailei"},{"family":"Bernard","given":"Brady"},{"family":"Chambwe","given":"Nyasha"},{"family":"Dhankani","given":"Varsha"},{"family":"Knijnenburg","given":"Theo"},{"family":"Kramer","given":"Roger"},{"family":"Leinonen","given":"Kalle"},{"family":"Liu","given":"Yuexin"},{"family":"Miller","given":"Michael"},{"family":"Reynolds","given":"Sheila"},{"family":"Shmulevich","given":"Ilya"},{"family":"Thorsson","given":"Vesteinn"},{"family":"Zhang","given":"Wei"},{"family":"Akbani","given":"Rehan"},{"family":"Broom","given":"Bradley M."},{"family":"Hegde","given":"Apurva M."},{"family":"Ju","given":"Zhenlin"},{"family":"Kanchi","given":"Rupa S."},{"family":"Korkut","given":"Anil"},{"family":"Li","given":"Jun"},{"family":"Liang","given":"Han"},{"family":"Ling","given":"Shiyun"},{"family":"Liu","given":"Wenbin"},{"family":"Lu","given":"Yiling"},{"family":"Mills","given":"Gordon B."},{"family":"Ng","given":"Kwok-Shing"},{"family":"Rao","given":"Arvind"},{"family":"Ryan","given":"Michael"},{"family":"Wang","given":"Jing"},{"family":"Weinstein","given":"John N."},{"family":"Zhang","given":"Jiexin"},{"family":"Abeshouse","given":"Adam"},{"family":"Armenia","given":"Joshua"},{"family":"Chakravarty","given":"Debyani"},{"family":"Chatila","given":"Walid K."},{"family":"Bruijn","given":"Ino","dropping-particle":"de"},{"family":"Gao","given":"Jianjiong"},{"family":"Gross","given":"Benjamin E."},{"family":"Heins","given":"Zachary J."},{"family":"Kundra","given":"Ritika"},{"family":"La","given":"Konnor"},{"family":"Ladanyi","given":"Marc"},{"family":"Luna","given":"Augustin"},{"family":"Nissan","given":"Moriah G."},{"family":"Ochoa","given":"Angelica"},{"family":"Phillips","given":"Sarah M."},{"family":"Reznik","given":"Ed"},{"family":"Sanchez-Vega","given":"Francisco"},{"family":"Sander","given":"Chris"},{"family":"Schultz","given":"Nikolaus"},{"family":"Sheridan","given":"Robert"},{"family":"Sumer","given":"S. Onur"},{"family":"Sun","given":"Yichao"},{"family":"Taylor","given":"Barry S."},{"family":"Wang","given":"Jioajiao"},{"family":"Zhang","given":"Hongxin"},{"family":"Anur","given":"Pavana"},{"family":"Peto","given":"Myron"},{"family":"Spellman","given":"Paul"},{"family":"Benz","given":"Christopher"},{"family":"Stuart","given":"Joshua M."},{"family":"Wong","given":"Christopher K."},{"family":"Yau","given":"Christina"},{"family":"Hayes","given":"D. Neil"},{"family":"Parker","given":"Joel S."},{"family":"Wilkerson","given":"Matthew D."},{"family":"Ally","given":"Adrian"},{"family":"Balasundaram","given":"Miruna"},{"family":"Bowlby","given":"Reanne"},{"family":"Brooks","given":"Denise"},{"family":"Carlsen","given":"Rebecca"},{"family":"Chuah","given":"Eric"},{"family":"Dhalla","given":"Noreen"},{"family":"Holt","given":"Robert"},{"family":"Jones","given":"Steven J. M."},{"family":"Kasaian","given":"Katayoon"},{"family":"Lee","given":"Darlene"},{"family":"Ma","given":"Yussanne"},{"family":"Marra","given":"Marco A."},{"family":"Mayo","given":"Michael"},{"family":"Moore","given":"Richard A."},{"family":"Mungall","given":"Andrew J."},{"family":"Mungall","given":"Karen"},{"family":"Robertson","given":"A. Gordon"},{"family":"Sadeghi","given":"Sara"},{"family":"Schein","given":"Jacqueline E."},{"family":"Sipahimalani","given":"Payal"},{"family":"Tam","given":"Angela"},{"family":"Thiessen","given":"Nina"},{"family":"Tse","given":"Kane"},{"family":"Wong","given":"Tina"},{"family":"Berger","given":"Ashton C."},{"family":"Beroukhim","given":"Rameen"},{"family":"Cherniack","given":"Andrew D."},{"family":"Cibulskis","given":"Carrie"},{"family":"Gabriel","given":"Stacey B."},{"family":"Gao","given":"Galen F."},{"family":"Ha","given":"Gavin"},{"family":"Meyerson","given":"Matthew"},{"family":"Schumacher","given":"Steven E."},{"family":"Shih","given":"Juliann"},{"family":"Kucherlapati","given":"Melanie H."},{"family":"Kucherlapati","given":"Raju S."},{"family":"Baylin","given":"Stephen"},{"family":"Cope","given":"Leslie"},{"family":"Danilova","given":"Ludmila"},{"family":"Bootwalla","given":"Moiz S."},{"family":"Lai","given":"Phillip H."},{"family":"Maglinte","given":"Dennis T."},{"family":"Berg","given":"David J. Van Den"},{"family":"Weisenberger","given":"Daniel J."},{"family":"Auman","given":"J. Todd"},{"family":"Balu","given":"Saianand"},{"family":"Bodenheimer","given":"Tom"},{"family":"Fan","given":"Cheng"},{"family":"Hoadley","given":"Katherine A."},{"family":"Hoyle","given":"Alan P."},{"family":"Jefferys","given":"Stuart R."},{"family":"Jones","given":"Corbin D."},{"family":"Meng","given":"Shaowu"},{"family":"Mieczkowski","given":"Piotr A."},{"family":"Mose","given":"Lisle E."},{"family":"Perou","given":"Amy H."},{"family":"Perou","given":"Charles M."},{"family":"Roach","given":"Jeffrey"},{"family":"Shi","given":"Yan"},{"family":"Simons","given":"Janae V."},{"family":"Skelly","given":"Tara"},{"family":"Soloway","given":"Matthew G."},{"family":"Tan","given":"Donghui"},{"family":"Veluvolu","given":"Umadevi"},{"family":"Fan","given":"Huihui"},{"family":"Hinoue","given":"Toshinori"},{"family":"Laird","given":"Peter W."},{"family":"Shen","given":"Hui"},{"family":"Zhou","given":"Wanding"},{"family":"Bellair","given":"Michelle"},{"family":"Chang","given":"Kyle"},{"family":"Covington","given":"Kyle"},{"family":"Creighton","given":"Chad J."},{"family":"Dinh","given":"Huyen"},{"family":"Doddapaneni","given":"HarshaVardhan"},{"family":"Donehower","given":"Lawrence A."},{"family":"Drummond","given":"Jennifer"},{"family":"Gibbs","given":"Richard A."},{"family":"Glenn","given":"Robert"},{"family":"Hale","given":"Walker"},{"family":"Han","given":"Yi"},{"family":"Hu","given":"Jianhong"},{"family":"Korchina","given":"Viktoriya"},{"family":"Lee","given":"Sandra"},{"family":"Lewis","given":"Lora"},{"family":"Li","given":"Wei"},{"family":"Liu","given":"Xiuping"},{"family":"Morgan","given":"Margaret"},{"family":"Morton","given":"Donna"},{"family":"Muzny","given":"Donna"},{"family":"Santibanez","given":"Jireh"},{"family":"Sheth","given":"Margi"},{"family":"Shinbrot","given":"Eve"},{"family":"Wang","given":"Linghua"},{"family":"Wang","given":"Min"},{"family":"Wheeler","given":"David A."},{"family":"Xi","given":"Liu"},{"family":"Zhao","given":"Fengmei"},{"family":"Hess","given":"Julian"},{"family":"Appelbaum","given":"Elizabeth L."},{"family":"Bailey","given":"Matthew"},{"family":"Cordes","given":"Matthew G."},{"family":"Ding","given":"Li"},{"family":"Fronick","given":"Catrina C."},{"family":"Fulton","given":"Lucinda A."},{"family":"Fulton","given":"Robert S."},{"family":"Kandoth","given":"Cyriac"},{"family":"Mardis","given":"Elaine R."},{"family":"McLellan","given":"Michael D."},{"family":"Miller","given":"Christopher A."},{"family":"Schmidt","given":"Heather K."},{"family":"Wilson","given":"Richard K."},{"family":"Crain","given":"Daniel"},{"family":"Curley","given":"Erin"},{"family":"Gardner","given":"Johanna"},{"family":"Lau","given":"Kevin"},{"family":"Mallery","given":"David"},{"family":"Morris","given":"Scott"},{"family":"Paulauskis","given":"Joseph"},{"family":"Penny","given":"Robert"},{"family":"Shelton","given":"Candace"},{"family":"Shelton","given":"Troy"},{"family":"Sherman","given":"Mark"},{"family":"Thompson","given":"Eric"},{"family":"Yena","given":"Peggy"},{"family":"Bowen","given":"Jay"},{"family":"Gastier-Foster","given":"Julie M."},{"family":"Gerken","given":"Mark"},{"family":"Leraas","given":"Kristen M."},{"family":"Lichtenberg","given":"Tara M."},{"family":"Ramirez","given":"Nilsa C."},{"family":"Wise","given":"Lisa"},{"family":"Zmuda","given":"Erik"},{"family":"Corcoran","given":"Niall"},{"family":"Costello","given":"Tony"},{"family":"Hovens","given":"Christopher"},{"family":"Carvalho","given":"Andre L."},{"family":"Carvalho","given":"Ana C.","dropping-particle":"de"},{"family":"Fregnani","given":"José H."},{"family":"Longatto-Filho","given":"Adhemar"},{"family":"Reis","given":"Rui M."},{"family":"Scapulatempo-Neto","given":"Cristovam"},{"family":"Silveira","given":"Henrique C. S."},{"family":"Vidal","given":"Daniel O."},{"family":"Burnette","given":"Andrew"},{"family":"Eschbacher","given":"Jennifer"},{"family":"Hermes","given":"Beth"},{"family":"Noss","given":"Ardene"},{"family":"Singh","given":"Rosy"},{"family":"Anderson","given":"Matthew L."},{"family":"Castro","given":"Patricia D."},{"family":"Ittmann","given":"Michael"},{"family":"Huntsman","given":"David"},{"family":"Kohl","given":"Bernard"},{"family":"Le","given":"Xuan"},{"family":"Thorp","given":"Richard"},{"family":"Andry","given":"Chris"},{"family":"Duffy","given":"Elizabeth R."},{"family":"Lyadov","given":"Vladimir"},{"family":"Paklina","given":"Oxana"},{"family":"Setdikova","given":"Galiya"},{"family":"Shabunin","given":"Alexey"},{"family":"Tavobilov","given":"Mikhail"},{"family":"McPherson","given":"Christopher"},{"family":"Warnick","given":"Ronald"},{"family":"Berkowitz","given":"Ross"},{"family":"Cramer","given":"Daniel"},{"family":"Feltmate","given":"Colleen"},{"family":"Horowitz","given":"Neil"},{"family":"Kibel","given":"Adam"},{"family":"Muto","given":"Michael"},{"family":"Raut","given":"Chandrajit P."},{"family":"Malykh","given":"Andrei"},{"family":"Barnholtz-Sloan","given":"Jill S."},{"family":"Barrett","given":"Wendi"},{"family":"Devine","given":"Karen"},{"family":"Fulop","given":"Jordonna"},{"family":"Ostrom","given":"Quinn T."},{"family":"Shimmel","given":"Kristen"},{"family":"Wolinsky","given":"Yingli"},{"family":"Sloan","given":"Andrew E."},{"family":"Rose","given":"Agostino De"},{"family":"Giuliante","given":"Felice"},{"family":"Goodman","given":"Marc"},{"family":"Karlan","given":"Beth Y."},{"family":"Hagedorn","given":"Curt H."},{"family":"Eckman","given":"John"},{"family":"Harr","given":"Jodi"},{"family":"Myers","given":"Jerome"},{"family":"Tucker","given":"Kelinda"},{"family":"Zach","given":"Leigh Anne"},{"family":"Deyarmin","given":"Brenda"},{"family":"Hu","given":"Hai"},{"family":"Kvecher","given":"Leonid"},{"family":"Larson","given":"Caroline"},{"family":"Mural","given":"Richard J."},{"family":"Somiari","given":"Stella"},{"family":"Vicha","given":"Ales"},{"family":"Zelinka","given":"Tomas"},{"family":"Bennett","given":"Joseph"},{"family":"Iacocca","given":"Mary"},{"family":"Rabeno","given":"Brenda"},{"family":"Swanson","given":"Patricia"},{"family":"Latour","given":"Mathieu"},{"family":"Lacombe","given":"Louis"},{"family":"Têtu","given":"Bernard"},{"family":"Bergeron","given":"Alain"},{"family":"McGraw","given":"Mary"},{"family":"Staugaitis","given":"Susan M."},{"family":"Chabot","given":"John"},{"family":"Hibshoosh","given":"Hanina"},{"family":"Sepulveda","given":"Antonia"},{"family":"Su","given":"Tao"},{"family":"Wang","given":"Timothy"},{"family":"Potapova","given":"Olga"},{"family":"Voronina","given":"Olga"},{"family":"Desjardins","given":"Laurence"},{"family":"Mariani","given":"Odette"},{"family":"Roman-Roman","given":"Sergio"},{"family":"Sastre","given":"Xavier"},{"family":"Stern","given":"Marc-Henri"},{"family":"Cheng","given":"Feixiong"},{"family":"Signoretti","given":"Sabina"},{"family":"Berchuck","given":"Andrew"},{"family":"Bigner","given":"Darell"},{"family":"Lipp","given":"Eric"},{"family":"Marks","given":"Jeffrey"},{"family":"McCall","given":"Shannon"},{"family":"McLendon","given":"Roger"},{"family":"Secord","given":"Angeles"},{"family":"Sharp","given":"Alexis"},{"family":"Behera","given":"Madhusmita"},{"family":"Brat","given":"Daniel J."},{"family":"Chen","given":"Amy"},{"family":"Delman","given":"Keith"},{"family":"Force","given":"Seth"},{"family":"Khuri","given":"Fadlo"},{"family":"Magliocca","given":"Kelly"},{"family":"Maithel","given":"Shishir"},{"family":"Olson","given":"Jeffrey J."},{"family":"Owonikoko","given":"Taofeek"},{"family":"Pickens","given":"Alan"},{"family":"Ramalingam","given":"Suresh"},{"family":"Shin","given":"Dong M."},{"family":"Sica","given":"Gabriel"},{"family":"Meir","given":"Erwin G. Van"},{"family":"Zhang","given":"Hongzheng"},{"family":"Eijckenboom","given":"Wil"},{"family":"Gillis","given":"Ad"},{"family":"Korpershoek","given":"Esther"},{"family":"Looijenga","given":"Leendert"},{"family":"Oosterhuis","given":"Wolter"},{"family":"Stoop","given":"Hans"},{"family":"Kessel","given":"Kim E.","dropping-particle":"van"},{"family":"Zwarthoff","given":"Ellen C."},{"family":"Calatozzolo","given":"Chiara"},{"family":"Cuppini","given":"Lucia"},{"family":"Cuzzubbo","given":"Stefania"},{"family":"DiMeco","given":"Francesco"},{"family":"Finocchiaro","given":"Gaetano"},{"family":"Mattei","given":"Luca"},{"family":"Perin","given":"Alessandro"},{"family":"Pollo","given":"Bianca"},{"family":"Chen","given":"Chu"},{"family":"Houck","given":"John"},{"family":"Lohavanichbutr","given":"Pawadee"},{"family":"Hartmann","given":"Arndt"},{"family":"Stoehr","given":"Christine"},{"family":"Stoehr","given":"Robert"},{"family":"Taubert","given":"Helge"},{"family":"Wach","given":"Sven"},{"family":"Wullich","given":"Bernd"},{"family":"Kycler","given":"Witold"},{"family":"Murawa","given":"Dawid"},{"family":"Wiznerowicz","given":"Maciej"},{"family":"Chung","given":"Ki"},{"family":"Edenfield","given":"W. Jeffrey"},{"family":"Martin","given":"Julie"},{"family":"Baudin","given":"Eric"},{"family":"Bubley","given":"Glenn"},{"family":"Bueno","given":"Raphael"},{"family":"Rienzo","given":"Assunta De"},{"family":"Richards","given":"William G."},{"family":"Kalkanis","given":"Steven"},{"family":"Mikkelsen","given":"Tom"},{"family":"Noushmehr","given":"Houtan"},{"family":"Scarpace","given":"Lisa"},{"family":"Girard","given":"Nicolas"},{"family":"Aymerich","given":"Marta"},{"family":"Campo","given":"Elias"},{"family":"Giné","given":"Eva"},{"family":"Guillermo","given":"Armando López"},{"family":"Bang","given":"Nguyen Van"},{"family":"Hanh","given":"Phan Thi"},{"family":"Phu","given":"Bui Duc"},{"family":"Tang","given":"Yufang"},{"family":"Colman","given":"Howard"},{"family":"Evason","given":"Kimberley"},{"family":"Dottino","given":"Peter R."},{"family":"Martignetti","given":"John A."},{"family":"Gabra","given":"Hani"},{"family":"Juhl","given":"Hartmut"},{"family":"Akeredolu","given":"Teniola"},{"family":"Stepa","given":"Serghei"},{"family":"Hoon","given":"Dave"},{"family":"Ahn","given":"Keunsoo"},{"family":"Kang","given":"Koo Jeong"},{"family":"Beuschlein","given":"Felix"},{"family":"Breggia","given":"Anne"},{"family":"Birrer","given":"Michael"},{"family":"Bell","given":"Debra"},{"family":"Borad","given":"Mitesh"},{"family":"Bryce","given":"Alan H."},{"family":"Castle","given":"Erik"},{"family":"Chandan","given":"Vishal"},{"family":"Cheville","given":"John"},{"family":"Copland","given":"John A."},{"family":"Farnell","given":"Michael"},{"family":"Flotte","given":"Thomas"},{"family":"Giama","given":"Nasra"},{"family":"Ho","given":"Thai"},{"family":"Kendrick","given":"Michael"},{"family":"Kocher","given":"Jean-Pierre"},{"family":"Kopp","given":"Karla"},{"family":"Moser","given":"Catherine"},{"family":"Nagorney","given":"David"},{"family":"O’Brien","given":"Daniel"},{"family":"O’Neill","given":"Brian Patrick"},{"family":"Patel","given":"Tushar"},{"family":"Petersen","given":"Gloria"},{"family":"Que","given":"Florencia"},{"family":"Rivera","given":"Michael"},{"family":"Roberts","given":"Lewis"},{"family":"Smallridge","given":"Robert"},{"family":"Smyrk","given":"Thomas"},{"family":"Stanton","given":"Melissa"},{"family":"Thompson","given":"R. Houston"},{"family":"Torbenson","given":"Michael"},{"family":"Yang","given":"Ju Dong"},{"family":"Zhang","given":"Lizhi"},{"family":"Brimo","given":"Fadi"},{"family":"Ajani","given":"Jaffer A."},{"family":"Gonzalez","given":"Ana Maria Angulo"},{"family":"Behrens","given":"Carmen"},{"family":"Bondaruk","given":"Jolanta"},{"family":"Broaddus","given":"Russell"},{"family":"Czerniak","given":"Bogdan"},{"family":"Esmaeli","given":"Bita"},{"family":"Fujimoto","given":"Junya"},{"family":"Gershenwald","given":"Jeffrey"},{"family":"Guo","given":"Charles"},{"family":"Lazar","given":"Alexander J."},{"family":"Logothetis","given":"Christopher"},{"family":"Meric-Bernstam","given":"Funda"},{"family":"Moran","given":"Cesar"},{"family":"Ramondetta","given":"Lois"},{"family":"Rice","given":"David"},{"family":"Sood","given":"Anil"},{"family":"Tamboli","given":"Pheroze"},{"family":"Thompson","given":"Timothy"},{"family":"Troncoso","given":"Patricia"},{"family":"Tsao","given":"Anne"},{"family":"Wistuba","given":"Ignacio"},{"family":"Carter","given":"Candace"},{"family":"Haydu","given":"Lauren"},{"family":"Hersey","given":"Peter"},{"family":"Jakrot","given":"Valerie"},{"family":"Kakavand","given":"Hojabr"},{"family":"Kefford","given":"Richard"},{"family":"Lee","given":"Kenneth"},{"family":"Long","given":"Georgina"},{"family":"Mann","given":"Graham"},{"family":"Quinn","given":"Michael"},{"family":"Saw","given":"Robyn"},{"family":"Scolyer","given":"Richard"},{"family":"Shannon","given":"Kerwin"},{"family":"Spillane","given":"Andrew"},{"family":"Stretch","given":"Onathan"},{"family":"Synott","given":"Maria"},{"family":"Thompson","given":"John"},{"family":"Wilmott","given":"James"},{"family":"Al-Ahmadie","given":"Hikmat"},{"family":"Chan","given":"Timothy A."},{"family":"Ghossein","given":"Ronald"},{"family":"Gopalan","given":"Anuradha"},{"family":"Levine","given":"Douglas A."},{"family":"Reuter","given":"Victor"},{"family":"Singer","given":"Samuel"},{"family":"Singh","given":"Bhuvanesh"},{"family":"Tien","given":"Nguyen Viet"},{"family":"Broudy","given":"Thomas"},{"family":"Mirsaidi","given":"Cyrus"},{"family":"Nair","given":"Praveen"},{"family":"Drwiega","given":"Paul"},{"family":"Miller","given":"Judy"},{"family":"Smith","given":"Jennifer"},{"family":"Zaren","given":"Howard"},{"family":"Park","given":"Joong-Won"},{"family":"Hung","given":"Nguyen Phi"},{"family":"Kebebew","given":"Electron"},{"family":"Linehan","given":"W. Marston"},{"family":"Metwalli","given":"Adam R."},{"family":"Pacak","given":"Karel"},{"family":"Pinto","given":"Peter A."},{"family":"Schiffman","given":"Mark"},{"family":"Schmidt","given":"Laura S."},{"family":"Vocke","given":"Cathy D."},{"family":"Wentzensen","given":"Nicolas"},{"family":"Worrell","given":"Robert"},{"family":"Yang","given":"Hannah"},{"family":"Moncrieff","given":"Marc"},{"family":"Goparaju","given":"Chandra"},{"family":"Melamed","given":"Jonathan"},{"family":"Pass","given":"Harvey"},{"family":"Botnariuc","given":"Natalia"},{"family":"Caraman","given":"Irina"},{"family":"Cernat","given":"Mircea"},{"family":"Chemencedji","given":"Inga"},{"family":"Clipca","given":"Adrian"},{"family":"Doruc","given":"Serghei"},{"family":"Gorincioi","given":"Ghenadie"},{"family":"Mura","given":"Sergiu"},{"family":"Pirtac","given":"Maria"},{"family":"Stancul","given":"Irina"},{"family":"Tcaciuc","given":"Diana"},{"family":"Albert","given":"Monique"},{"family":"Alexopoulou","given":"Iakovina"},{"family":"Arnaout","given":"Angel"},{"family":"Bartlett","given":"John"},{"family":"Engel","given":"Jay"},{"family":"Gilbert","given":"Sebastien"},{"family":"Parfitt","given":"Jeremy"},{"family":"Sekhon","given":"Harman"},{"family":"Thomas","given":"George"},{"family":"Rassl","given":"Doris M."},{"family":"Rintoul","given":"Robert C."},{"family":"Bifulco","given":"Carlo"},{"family":"Tamakawa","given":"Raina"},{"family":"Urba","given":"Walter"},{"family":"Hayward","given":"Nicholas"},{"family":"Timmers","given":"Henri"},{"family":"Antenucci","given":"Anna"},{"family":"Facciolo","given":"Francesco"},{"family":"Grazi","given":"Gianluca"},{"family":"Marino","given":"Mirella"},{"family":"Merola","given":"Roberta"},{"family":"Krijger","given":"Ronald","dropping-particle":"de"},{"family":"Gimenez-Roqueplo","given":"Anne-Paule"},{"family":"Piché","given":"Alain"},{"family":"Chevalier","given":"Simone"},{"family":"McKercher","given":"Ginette"},{"family":"Birsoy","given":"Kivanc"},{"family":"Barnett","given":"Gene"},{"family":"Brewer","given":"Cathy"},{"family":"Farver","given":"Carol"},{"family":"Naska","given":"Theresa"},{"family":"Pennell","given":"Nathan A."},{"family":"Raymond","given":"Daniel"},{"family":"Schilero","given":"Cathy"},{"family":"Smolenski","given":"Kathy"},{"family":"Williams","given":"Felicia"},{"family":"Morrison","given":"Carl"},{"family":"Borgia","given":"Jeffrey A."},{"family":"Liptay","given":"Michael J."},{"family":"Pool","given":"Mark"},{"family":"Seder","given":"Christopher W."},{"family":"Junker","given":"Kerstin"},{"family":"Omberg","given":"Larsson"},{"family":"Dinkin","given":"Mikhail"},{"family":"Manikhas","given":"George"},{"family":"Alvaro","given":"Domenico"},{"family":"Bragazzi","given":"Maria Consiglia"},{"family":"Cardinale","given":"Vincenzo"},{"family":"Carpino","given":"Guido"},{"family":"Gaudio","given":"Eugenio"},{"family":"Chesla","given":"David"},{"family":"Cottingham","given":"Sandra"},{"family":"Dubina","given":"Michael"},{"family":"Moiseenko","given":"Fedor"},{"family":"Dhanasekaran","given":"Renumathy"},{"family":"Becker","given":"Karl-Friedrich"},{"family":"Janssen","given":"Klaus-Peter"},{"family":"Slotta-Huspenina","given":"Julia"},{"family":"Abdel-Rahman","given":"Mohamed H."},{"family":"Aziz","given":"Dina"},{"family":"Bell","given":"Sue"},{"family":"Cebulla","given":"Colleen M."},{"family":"Davis","given":"Amy"},{"family":"Duell","given":"Rebecca"},{"family":"Elder","given":"J. Bradley"},{"family":"Hilty","given":"Joe"},{"family":"Kumar","given":"Bahavna"},{"family":"Lang","given":"James"},{"family":"Lehman","given":"Norman L."},{"family":"Mandt","given":"Randy"},{"family":"Nguyen","given":"Phuong"},{"family":"Pilarski","given":"Robert"},{"family":"Rai","given":"Karan"},{"family":"Schoenfield","given":"Lynn"},{"family":"Senecal","given":"Kelly"},{"family":"Wakely","given":"Paul"},{"family":"Hansen","given":"Paul"},{"family":"Lechan","given":"Ronald"},{"family":"Powers","given":"James"},{"family":"Tischler","given":"Arthur"},{"family":"Grizzle","given":"William E."},{"family":"Sexton","given":"Katherine C."},{"family":"Kastl","given":"Alison"},{"family":"Henderson","given":"Joel"},{"family":"Porten","given":"Sima"},{"family":"Waldmann","given":"Jens"},{"family":"Fassnacht","given":"Martin"},{"family":"Asa","given":"Sylvia L."},{"family":"Schadendorf","given":"Dirk"},{"family":"Couce","given":"Marta"},{"family":"Graefen","given":"Markus"},{"family":"Huland","given":"Hartwig"},{"family":"Sauter","given":"Guido"},{"family":"Schlomm","given":"Thorsten"},{"family":"Simon","given":"Ronald"},{"family":"Tennstedt","given":"Pierre"},{"family":"Olabode","given":"Oluwole"},{"family":"Nelson","given":"Mark"},{"family":"Bathe","given":"Oliver"},{"family":"Carroll","given":"Peter R."},{"family":"Chan","given":"June M."},{"family":"Disaia","given":"Philip"},{"family":"Glenn","given":"Pat"},{"family":"Kelley","given":"Robin K."},{"family":"Landen","given":"Charles N."},{"family":"Phillips","given":"Joanna"},{"family":"Prados","given":"Michael"},{"family":"Simko","given":"Jeffry"},{"family":"Smith-McCune","given":"Karen"},{"family":"VandenBerg","given":"Scott"},{"family":"Roggin","given":"Kevin"},{"family":"Fehrenbach","given":"Ashley"},{"family":"Kendler","given":"Ady"},{"family":"Sifri","given":"Suzanne"},{"family":"Steele","given":"Ruth"},{"family":"Jimeno","given":"Antonio"},{"family":"Carey","given":"Francis"},{"family":"Forgie","given":"Ian"},{"family":"Mannelli","given":"Massimo"},{"family":"Carney","given":"Michael"},{"family":"Hernandez","given":"Brenda"},{"family":"Campos","given":"Benito"},{"family":"Herold-Mende","given":"Christel"},{"family":"Jungk","given":"Christin"},{"family":"Unterberg","given":"Andreas"},{"family":"Deimling","given":"Andreas","dropping-particle":"von"},{"family":"Bossler","given":"Aaron"},{"family":"Galbraith","given":"Joseph"},{"family":"Jacobus","given":"Laura"},{"family":"Knudson","given":"Michael"},{"family":"Knutson","given":"Tina"},{"family":"Ma","given":"Deqin"},{"family":"Milhem","given":"Mohammed"},{"family":"Sigmund","given":"Rita"},{"family":"Godwin","given":"Andrew K."},{"family":"Madan","given":"Rashna"},{"family":"Rosenthal","given":"Howard G."},{"family":"Adebamowo","given":"Clement"},{"family":"Adebamowo","given":"Sally N."},{"family":"Boussioutas","given":"Alex"},{"family":"Beer","given":"David"},{"family":"Giordano","given":"Thomas"},{"family":"Mes-Masson","given":"Anne-Marie"},{"family":"Saad","given":"Fred"},{"family":"Bocklage","given":"Therese"},{"family":"Landrum","given":"Lisa"},{"family":"Mannel","given":"Robert"},{"family":"Moore","given":"Kathleen"},{"family":"Moxley","given":"Katherine"},{"family":"Postier","given":"Russel"},{"family":"Walker","given":"Joan"},{"family":"Zuna","given":"Rosemary"},{"family":"Feldman","given":"Michael"},{"family":"Valdivieso","given":"Federico"},{"family":"Dhir","given":"Rajiv"},{"family":"Luketich","given":"James"},{"family":"Pinero","given":"Edna M. Mora"},{"family":"Quintero-Aguilo","given":"Mario"},{"family":"Carlotti","given":"Carlos Gilberto"},{"family":"Santos","given":"Jose Sebastião Dos"},{"family":"Kemp","given":"Rafael"},{"family":"Sankarankuty","given":"Ajith"},{"family":"Tirapelli","given":"Daniela"},{"family":"Catto","given":"James"},{"family":"Agnew","given":"Kathy"},{"family":"Swisher","given":"Elizabeth"},{"family":"Creaney","given":"Jenette"},{"family":"Robinson","given":"Bruce"},{"family":"Shelley","given":"Carl Simon"},{"family":"Godwin","given":"Eryn M."},{"family":"Kendall","given":"Sara"},{"family":"Shipman","given":"Cassaundra"},{"family":"Bradford","given":"Carol"},{"family":"Carey","given":"Thomas"},{"family":"Haddad","given":"Andrea"},{"family":"Moyer","given":"Jeffey"},{"family":"Peterson","given":"Lisa"},{"family":"Prince","given":"Mark"},{"family":"Rozek","given":"Laura"},{"family":"Wolf","given":"Gregory"},{"family":"Bowman","given":"Rayleen"},{"family":"Fong","given":"Kwun M."},{"family":"Yang","given":"Ian"},{"family":"Korst","given":"Robert"},{"family":"Rathmell","given":"W. Kimryn"},{"family":"Fantacone-Campbell","given":"J. Leigh"},{"family":"Hooke","given":"Jeffrey A."},{"family":"Kovatich","given":"Albert J."},{"family":"Shriver","given":"Craig D."},{"family":"DiPersio","given":"John"},{"family":"Drake","given":"Bettina"},{"family":"Govindan","given":"Ramaswamy"},{"family":"Heath","given":"Sharon"},{"family":"Ley","given":"Timothy"},{"family":"Tine","given":"Brian Van"},{"family":"Westervelt","given":"Peter"},{"family":"Rubin","given":"Mark A."},{"family":"Lee","given":"Jung Il"},{"family":"Aredes","given":"Natália D."},{"family":"Mariamidze","given":"Armaz"},{"family":"Spellman","given":"Paul T."},{"family":"Rathmell","given":"W. Kimryn"},{"family":"Linehan","given":"W. Marston"}],"issued":{"date-parts":[["2018",4,5]]},"accessed":{"date-parts":[["2018",4,9]]}}},{"id":338,"uris":["http://zotero.org/users/4775618/items/NH6M7PMD"],"uri":["http://zotero.org/users/4775618/items/NH6M7PMD"],"itemData":{"id":338,"type":"article-journal","title":"Fumarate is an epigenetic modifier that elicits epithelial-to-mesenchymal transition","container-title":"Nature","page":"544-547","volume":"537","issue":"7621","source":"www.nature.com","abstract":"Mutations of the tricarboxylic acid cycle enzyme fumarate hydratase cause hereditary leiomyomatosis and renal cell cancer1. Fumarate hydratase-deficient renal cancers are highly aggressive and metastasize even when small, leading to a very poor clinical outcome2. Fumarate, a small molecule metabolite that accumulates in fumarate hydratase-deficient cells, plays a key role in cell transformation, making it a bona fide oncometabolite3. Fumarate has been shown to inhibit α-ketoglutarate-dependent dioxygenases that are involved in DNA and histone demethylation4,5. However, the link between fumarate accumulation, epigenetic changes, and tumorigenesis is unclear. Here we show that loss of fumarate hydratase and the subsequent accumulation of fumarate in mouse and human cells elicits an epithelial-to-mesenchymal-transition (EMT), a phenotypic switch associated with cancer initiation, invasion, and metastasis6. We demonstrate that fumarate inhibits Tet-mediated demethylation of a regulatory region of the antimetastatic miRNA cluster6 mir-200ba429, leading to the expression of EMT-related transcription factors and enhanced migratory properties. These epigenetic and phenotypic changes are recapitulated by the incubation of fumarate hydratase-proficient cells with cell-permeable fumarate. Loss of fumarate hydratase is associated with suppression of miR-200 and the EMT signature in renal cancer and is associated with poor clinical outcome. These results imply that loss of fumarate hydratase and fumarate accumulation contribute to the aggressive features of fumarate hydratase-deficient tumours.","URL":"https://www.nature.com/articles/nature19353","DOI":"10.1038/nature19353","ISSN":"1476-4687","language":"en","author":[{"family":"Sciacovelli","given":"Marco"},{"family":"Gonçalves","given":"Emanuel"},{"family":"Johnson","given":"Timothy Isaac"},{"family":"Zecchini","given":"Vincent Roberto"},{"family":"Costa","given":"Ana Sofia Henriques","non-dropping-particle":"da"},{"family":"Gaude","given":"Edoardo"},{"family":"Drubbel","given":"Alizee Vercauteren"},{"family":"Theobald","given":"Sebastian Julian"},{"family":"Abbo","given":"Sandra Riekje"},{"family":"Tran","given":"Maxine Gia Binh"},{"family":"Rajeeve","given":"Vinothini"},{"family":"Cardaci","given":"Simone"},{"family":"Foster","given":"Sarah"},{"family":"Yun","given":"Haiyang"},{"family":"Cutillas","given":"Pedro"},{"family":"Warren","given":"Anne"},{"family":"Gnanapragasam","given":"Vincent"},{"family":"Gottlieb","given":"Eyal"},{"family":"Franze","given":"Kristian"},{"family":"Huntly","given":"Brian"},{"family":"Maher","given":"Eamonn Richard"},{"family":"Maxwell","given":"Patrick Henry"},{"family":"Saez-Rodriguez","given":"Julio"},{"family":"Frezza","given":"Christian"}],"issued":{"date-parts":[["2016",9]]},"accessed":{"date-parts":[["2018",3,29]]}}}],"schema":"https://github.com/citation-style-language/schema/raw/master/csl-citation.json"} </w:instrText>
      </w:r>
      <w:r w:rsidR="004A1614">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5,77,161</w:t>
      </w:r>
      <w:r w:rsidR="004A1614">
        <w:rPr>
          <w:rFonts w:ascii="Calibri" w:hAnsi="Calibri" w:cs="Calibri"/>
          <w:color w:val="000000" w:themeColor="text1"/>
          <w:sz w:val="22"/>
          <w:szCs w:val="22"/>
        </w:rPr>
        <w:fldChar w:fldCharType="end"/>
      </w:r>
      <w:r w:rsidRPr="00D637BA">
        <w:rPr>
          <w:rFonts w:ascii="Calibri" w:hAnsi="Calibri" w:cs="Calibri"/>
          <w:i/>
          <w:color w:val="000000" w:themeColor="text1"/>
          <w:sz w:val="22"/>
          <w:szCs w:val="22"/>
        </w:rPr>
        <w:t xml:space="preserve">. </w:t>
      </w:r>
      <w:r w:rsidRPr="00D637BA">
        <w:rPr>
          <w:rFonts w:ascii="Calibri" w:hAnsi="Calibri" w:cs="Calibri"/>
          <w:color w:val="000000" w:themeColor="text1"/>
          <w:sz w:val="22"/>
          <w:szCs w:val="22"/>
        </w:rPr>
        <w:t>Furthermore, FH is suppressed in a large subset of</w:t>
      </w:r>
      <w:r w:rsidR="004661AF"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patients with ccRCC</w:t>
      </w:r>
      <w:r w:rsidR="000D47A9" w:rsidRPr="00D637BA">
        <w:rPr>
          <w:rFonts w:ascii="Calibri" w:hAnsi="Calibri" w:cs="Calibri"/>
          <w:color w:val="000000" w:themeColor="text1"/>
          <w:sz w:val="22"/>
          <w:szCs w:val="22"/>
        </w:rPr>
        <w:t xml:space="preserve"> and this suppression</w:t>
      </w:r>
      <w:r w:rsidRPr="00D637BA">
        <w:rPr>
          <w:rFonts w:ascii="Calibri" w:hAnsi="Calibri" w:cs="Calibri"/>
          <w:color w:val="000000" w:themeColor="text1"/>
          <w:sz w:val="22"/>
          <w:szCs w:val="22"/>
        </w:rPr>
        <w:t xml:space="preserve"> correlates with EMT and poor prognosis</w:t>
      </w:r>
      <w:r w:rsidR="004A1614">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{"citationID":"a1od6dop0hs","properties":{"formattedCitation":"\\super 77\\nosupersub{}","plainCitation":"77","noteIndex":0},"citationItems":[{"id":338,"uris":["http://zotero.org/users/4775618/items/NH6M7PMD"],"uri":["http://zotero.org/users/4775618/items/NH6M7PMD"],"itemData":{"id":338,"type":"article-journal","title":"Fumarate is an epigenetic modifier that elicits epithelial-to-mesenchymal transition","container-title":"Nature","page":"544-547","volume":"537","issue":"7621","source":"www.nature.com","abstract":"Mutations of the tricarboxylic acid cycle enzyme fumarate hydratase cause hereditary leiomyomatosis and renal cell cancer1. Fumarate hydratase-deficient renal cancers are highly aggressive and metastasize even when small, leading to a very poor clinical outcome2. Fumarate, a small molecule metabolite that accumulates in fumarate hydratase-deficient cells, plays a key role in cell transformation, making it a bona fide oncometabolite3. Fumarate has been shown to inhibit α-ketoglutarate-dependent dioxygenases that are involved in DNA and histone demethylation4,5. However, the link between fumarate accumulation, epigenetic changes, and tumorigenesis is unclear. Here we show that loss of fumarate hydratase and the subsequent accumulation of fumarate in mouse and human cells elicits an epithelial-to-mesenchymal-transition (EMT), a phenotypic switch associated with cancer initiation, invasion, and metastasis6. We demonstrate that fumarate inhibits Tet-mediated demethylation of a regulatory region of the antimetastatic miRNA cluster6 mir-200ba429, leading to the expression of EMT-related transcription factors and enhanced migratory properties. These epigenetic and phenotypic changes are recapitulated by the incubation of fumarate hydratase-proficient cells with cell-permeable fumarate. Loss of fumarate hydratase is associated with suppression of miR-200 and the EMT signature in renal cancer and is associated with poor clinical outcome. These results imply that loss of fumarate hydratase and fumarate accumulation contribute to the aggressive features of fumarate hydratase-deficient tumours.","URL":"https://www.nature.com/articles/nature19353","DOI":"10.1038/nature19353","ISSN":"1476-4687","language":"en","author":[{"family":"Sciacovelli","given":"Marco"},{"family":"Gonçalves","given":"Emanuel"},{"family":"Johnson","given":"Timothy Isaac"},{"family":"Zecchini","given":"Vincent Roberto"},{"family":"Costa","given":"Ana Sofia Henriques","non-dropping-particle":"da"},{"family":"Gaude","given":"Edoardo"},{"family":"Drubbel","given":"Alizee Vercauteren"},{"family":"Theobald","given":"Sebastian Julian"},{"family":"Abbo","given":"Sandra Riekje"},{"family":"Tran","given":"Maxine Gia Binh"},{"family":"Rajeeve","given":"Vinothini"},{"family":"Cardaci","given":"Simone"},{"family":"Foster","given":"Sarah"},{"family":"Yun","given":"Haiyang"},{"family":"Cutillas","given":"Pedro"},{"family":"Warren","given":"Anne"},{"family":"Gnanapragasam","given":"Vincent"},{"family":"Gottlieb","given":"Eyal"},{"family":"Franze","given":"Kristian"},{"family":"Huntly","given":"Brian"},{"family":"Maher","given":"Eamonn Richard"},{"family":"Maxwell","given":"Patrick Henry"},{"family":"Saez-Rodriguez","given":"Julio"},{"family":"Frezza","given":"Christian"}],"issued":{"date-parts":[["2016",9]]},"accessed":{"date-parts":[["2018",3,29]]}}}],"schema":"https://github.com/citation-style-language/schema/raw/master/csl-citation.json"} </w:instrText>
      </w:r>
      <w:r w:rsidR="004A1614">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77</w:t>
      </w:r>
      <w:r w:rsidR="004A1614">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Pr="00D637BA">
        <w:rPr>
          <w:rFonts w:ascii="Calibri" w:hAnsi="Calibri" w:cs="Calibri"/>
          <w:i/>
          <w:color w:val="000000" w:themeColor="text1"/>
          <w:sz w:val="22"/>
          <w:szCs w:val="22"/>
        </w:rPr>
        <w:t xml:space="preserve"> </w:t>
      </w:r>
      <w:r w:rsidRPr="00D637BA">
        <w:rPr>
          <w:rFonts w:ascii="Calibri" w:hAnsi="Calibri" w:cs="Calibri"/>
          <w:color w:val="000000" w:themeColor="text1"/>
          <w:sz w:val="22"/>
          <w:szCs w:val="22"/>
        </w:rPr>
        <w:t>Therefore, identifying the pervasive sequ</w:t>
      </w:r>
      <w:r w:rsidR="00361B9F">
        <w:rPr>
          <w:rFonts w:ascii="Calibri" w:hAnsi="Calibri" w:cs="Calibri"/>
          <w:color w:val="000000" w:themeColor="text1"/>
          <w:sz w:val="22"/>
          <w:szCs w:val="22"/>
        </w:rPr>
        <w:t>e</w:t>
      </w:r>
      <w:r w:rsidRPr="00D637BA">
        <w:rPr>
          <w:rFonts w:ascii="Calibri" w:hAnsi="Calibri" w:cs="Calibri"/>
          <w:color w:val="000000" w:themeColor="text1"/>
          <w:sz w:val="22"/>
          <w:szCs w:val="22"/>
        </w:rPr>
        <w:t>lae of fumarate accumulation in these tumours</w:t>
      </w:r>
      <w:r w:rsidR="009347BF">
        <w:rPr>
          <w:rFonts w:ascii="Calibri" w:hAnsi="Calibri" w:cs="Calibri"/>
          <w:color w:val="000000" w:themeColor="text1"/>
          <w:sz w:val="22"/>
          <w:szCs w:val="22"/>
        </w:rPr>
        <w:t xml:space="preserve"> could lead to </w:t>
      </w:r>
      <w:r w:rsidRPr="00D637BA">
        <w:rPr>
          <w:rFonts w:ascii="Calibri" w:hAnsi="Calibri" w:cs="Calibri"/>
          <w:color w:val="000000" w:themeColor="text1"/>
          <w:sz w:val="22"/>
          <w:szCs w:val="22"/>
        </w:rPr>
        <w:t xml:space="preserve">the development of more effective and targeted therapies for the management of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deficient RCC.</w:t>
      </w:r>
    </w:p>
    <w:p w14:paraId="403162F4" w14:textId="77777777" w:rsidR="00F131BF" w:rsidRPr="00D637BA" w:rsidRDefault="00F131BF" w:rsidP="00F131BF">
      <w:pPr>
        <w:spacing w:line="360" w:lineRule="auto"/>
        <w:jc w:val="both"/>
        <w:rPr>
          <w:rFonts w:ascii="Calibri" w:hAnsi="Calibri" w:cs="Calibri"/>
          <w:color w:val="000000" w:themeColor="text1"/>
          <w:sz w:val="22"/>
          <w:szCs w:val="22"/>
        </w:rPr>
      </w:pPr>
    </w:p>
    <w:p w14:paraId="121A86E6" w14:textId="4C2CE66B" w:rsidR="00F131BF" w:rsidRPr="00D637BA" w:rsidRDefault="00126323" w:rsidP="00F131BF">
      <w:pPr>
        <w:spacing w:line="360" w:lineRule="auto"/>
        <w:jc w:val="both"/>
        <w:rPr>
          <w:rFonts w:ascii="Calibri" w:hAnsi="Calibri" w:cs="Calibri"/>
          <w:b/>
          <w:color w:val="000000" w:themeColor="text1"/>
          <w:sz w:val="22"/>
          <w:szCs w:val="22"/>
        </w:rPr>
      </w:pPr>
      <w:r w:rsidRPr="00D637BA">
        <w:rPr>
          <w:rFonts w:ascii="Calibri" w:hAnsi="Calibri" w:cs="Calibri"/>
          <w:b/>
          <w:color w:val="000000" w:themeColor="text1"/>
          <w:sz w:val="22"/>
          <w:szCs w:val="22"/>
        </w:rPr>
        <w:lastRenderedPageBreak/>
        <w:t xml:space="preserve">[H3] </w:t>
      </w:r>
      <w:r w:rsidR="00F131BF" w:rsidRPr="00D637BA">
        <w:rPr>
          <w:rFonts w:ascii="Calibri" w:hAnsi="Calibri" w:cs="Calibri"/>
          <w:b/>
          <w:color w:val="000000" w:themeColor="text1"/>
          <w:sz w:val="22"/>
          <w:szCs w:val="22"/>
        </w:rPr>
        <w:t>Succinate</w:t>
      </w:r>
    </w:p>
    <w:p w14:paraId="07675B0C" w14:textId="61C2910B" w:rsidR="0010521A" w:rsidRPr="00D637BA" w:rsidRDefault="0012325A" w:rsidP="00F131BF">
      <w:pPr>
        <w:spacing w:line="360" w:lineRule="auto"/>
        <w:jc w:val="both"/>
        <w:rPr>
          <w:rFonts w:ascii="Calibri" w:hAnsi="Calibri" w:cs="Calibri"/>
          <w:color w:val="000000" w:themeColor="text1"/>
          <w:sz w:val="22"/>
          <w:szCs w:val="22"/>
        </w:rPr>
      </w:pPr>
      <w:r w:rsidRPr="00B946E4">
        <w:rPr>
          <w:rFonts w:ascii="Calibri" w:hAnsi="Calibri" w:cs="Calibri"/>
          <w:color w:val="000000" w:themeColor="text1"/>
          <w:sz w:val="22"/>
          <w:szCs w:val="22"/>
        </w:rPr>
        <w:t xml:space="preserve">In addition to its </w:t>
      </w:r>
      <w:r w:rsidR="00E105DE" w:rsidRPr="00D637BA">
        <w:rPr>
          <w:rFonts w:ascii="Calibri" w:hAnsi="Calibri" w:cs="Calibri"/>
          <w:color w:val="000000" w:themeColor="text1"/>
          <w:sz w:val="22"/>
          <w:szCs w:val="22"/>
        </w:rPr>
        <w:t xml:space="preserve">inhibitory </w:t>
      </w:r>
      <w:r w:rsidRPr="00B946E4">
        <w:rPr>
          <w:rFonts w:ascii="Calibri" w:hAnsi="Calibri" w:cs="Calibri"/>
          <w:color w:val="000000" w:themeColor="text1"/>
          <w:sz w:val="22"/>
          <w:szCs w:val="22"/>
        </w:rPr>
        <w:t xml:space="preserve">effect on </w:t>
      </w:r>
      <w:r w:rsidR="00275832" w:rsidRPr="00D637BA">
        <w:rPr>
          <w:rFonts w:ascii="Calibri" w:hAnsi="Calibri" w:cs="Calibri"/>
          <w:color w:val="000000" w:themeColor="text1"/>
          <w:sz w:val="22"/>
          <w:szCs w:val="22"/>
        </w:rPr>
        <w:t>α</w:t>
      </w:r>
      <w:r w:rsidR="00E105DE" w:rsidRPr="00D637BA">
        <w:rPr>
          <w:rFonts w:ascii="Calibri" w:hAnsi="Calibri" w:cs="Calibri"/>
          <w:color w:val="000000" w:themeColor="text1"/>
          <w:sz w:val="22"/>
          <w:szCs w:val="22"/>
        </w:rPr>
        <w:t>KG</w:t>
      </w:r>
      <w:r w:rsidR="00023208" w:rsidRPr="00D637BA">
        <w:rPr>
          <w:rFonts w:ascii="Calibri" w:hAnsi="Calibri" w:cs="Calibri"/>
          <w:color w:val="000000" w:themeColor="text1"/>
          <w:sz w:val="22"/>
          <w:szCs w:val="22"/>
        </w:rPr>
        <w:t>DDs</w:t>
      </w:r>
      <w:r w:rsidRPr="00B946E4">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023208" w:rsidRPr="00D637BA">
        <w:rPr>
          <w:rFonts w:ascii="Calibri" w:hAnsi="Calibri" w:cs="Calibri"/>
          <w:color w:val="000000" w:themeColor="text1"/>
          <w:sz w:val="22"/>
          <w:szCs w:val="22"/>
        </w:rPr>
        <w:t xml:space="preserve">succinate </w:t>
      </w:r>
      <w:r w:rsidR="00F131BF" w:rsidRPr="00D637BA">
        <w:rPr>
          <w:rFonts w:ascii="Calibri" w:hAnsi="Calibri" w:cs="Calibri"/>
          <w:color w:val="000000" w:themeColor="text1"/>
          <w:sz w:val="22"/>
          <w:szCs w:val="22"/>
        </w:rPr>
        <w:t xml:space="preserve">exhibits distinct oncometabolite features that may impact on the phenotype of </w:t>
      </w:r>
      <w:r w:rsidR="00F131BF" w:rsidRPr="00D637BA">
        <w:rPr>
          <w:rFonts w:ascii="Calibri" w:hAnsi="Calibri" w:cs="Calibri"/>
          <w:i/>
          <w:color w:val="000000" w:themeColor="text1"/>
          <w:sz w:val="22"/>
          <w:szCs w:val="22"/>
        </w:rPr>
        <w:t>SDH-</w:t>
      </w:r>
      <w:r w:rsidR="00F131BF" w:rsidRPr="00D637BA">
        <w:rPr>
          <w:rFonts w:ascii="Calibri" w:hAnsi="Calibri" w:cs="Calibri"/>
          <w:color w:val="000000" w:themeColor="text1"/>
          <w:sz w:val="22"/>
          <w:szCs w:val="22"/>
        </w:rPr>
        <w:t xml:space="preserve">deficient tumours. Activation of </w:t>
      </w:r>
      <w:r w:rsidR="00B133BC" w:rsidRPr="00D637BA">
        <w:rPr>
          <w:rFonts w:ascii="Calibri" w:hAnsi="Calibri" w:cs="Calibri"/>
          <w:color w:val="000000" w:themeColor="text1"/>
          <w:sz w:val="22"/>
          <w:szCs w:val="22"/>
        </w:rPr>
        <w:t>Sucnr1</w:t>
      </w:r>
      <w:r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by high levels of succinate has been shown to upregulate angiogenic proteins</w:t>
      </w:r>
      <w:r w:rsidR="005A2E46"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including VEGF</w:t>
      </w:r>
      <w:r w:rsidR="005A2E46"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in a HIF-independent manner in </w:t>
      </w:r>
      <w:r w:rsidR="005A2E46" w:rsidRPr="00D637BA">
        <w:rPr>
          <w:rFonts w:ascii="Calibri" w:hAnsi="Calibri" w:cs="Calibri"/>
          <w:color w:val="000000" w:themeColor="text1"/>
          <w:sz w:val="22"/>
          <w:szCs w:val="22"/>
        </w:rPr>
        <w:t xml:space="preserve">rodent </w:t>
      </w:r>
      <w:r w:rsidR="00F131BF" w:rsidRPr="00D637BA">
        <w:rPr>
          <w:rFonts w:ascii="Calibri" w:hAnsi="Calibri" w:cs="Calibri"/>
          <w:color w:val="000000" w:themeColor="text1"/>
          <w:sz w:val="22"/>
          <w:szCs w:val="22"/>
        </w:rPr>
        <w:t>hypoxic retinal ganglion cells</w:t>
      </w:r>
      <w:r w:rsidR="00124270">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{"citationID":"a46pdmqion","properties":{"formattedCitation":"\\super 122\\nosupersub{}","plainCitation":"122","noteIndex":0},"citationItems":[{"id":1386,"uris":["http://zotero.org/users/4775618/items/V43IZVBV"],"uri":["http://zotero.org/users/4775618/items/V43IZVBV"],"itemData":{"id":1386,"type":"article-journal","title":"The succinate receptor GPR91 in neurons has a major role in retinal angiogenesis","container-title":"Nature Medicine","page":"1067-1076","volume":"14","issue":"10","source":"www-nature-com.ezp.lib.cam.ac.uk","abstract":"Vascularization is essential for tissue development and in restoration of tissue integrity after an ischemic injury. In studies of vascularization, the focus has largely been placed on vascular endothelial growth factor (VEGF), yet other factors may also orchestrate this process. Here we show that succinate accumulates in the hypoxic retina of rodents and, via its cognate receptor G protein–coupled receptor-91 (GPR91), is a potent mediator of vessel growth in the settings of both normal retinal development and proliferative ischemic retinopathy. The effects of GPR91 are mediated by retinal ganglion neurons (RGCs), which, in response to increased succinate levels, regulate the production of numerous angiogenic factors including VEGF. Accordingly, succinate did not have proangiogenic effects in RGC-deficient rats. Our observations show a pathway of metabolite signaling where succinate, acting through GPR91, governs retinal angiogenesis and show the propensity of RGCs to act as sensors of ischemic stress. These findings provide a new therapeutic target for modulating revascularization.","URL":"http://www.nature.com/articles/nm.1873","DOI":"10.1038/nm.1873","ISSN":"1546-170X","language":"en","author":[{"family":"Sapieha","given":"Przemyslaw"},{"family":"Sirinyan","given":"Mirna"},{"family":"Hamel","given":"David"},{"family":"Zaniolo","given":"Karine"},{"family":"Joyal","given":"Jean-Sébastien"},{"family":"Cho","given":"Jang-Hyeon"},{"family":"Honoré","given":"Jean-Claude"},{"family":"Kermorvant-Duchemin","given":"Elsa"},{"family":"Varma","given":"Daya R."},{"family":"Tremblay","given":"Sophie"},{"family":"Leduc","given":"Martin"},{"family":"Rihakova","given":"Lenka"},{"family":"Hardy","given":"Pierre"},{"family":"Klein","given":"William H."},{"family":"Mu","given":"Xiuqian"},{"family":"Mamer","given":"Orval"},{"family":"Lachapelle","given":"Pierre"},{"family":"Di Polo","given":"Adriana"},{"family":"Beauséjour","given":"Christian"},{"family":"Andelfinger","given":"Gregor"},{"family":"Mitchell","given":"Grant"},{"family":"Sennlaub","given":"Florian"},{"family":"Chemtob","given":"Sylvain"}],"issued":{"date-parts":[["2008",10]]},"accessed":{"date-parts":[["2019",2,24]]}}}],"schema":"https://github.com/citation-style-language/schema/raw/master/csl-citation.json"} </w:instrText>
      </w:r>
      <w:r w:rsidR="00124270">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122</w:t>
      </w:r>
      <w:r w:rsidR="00124270">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and</w:t>
      </w:r>
      <w:r w:rsidR="005A2E46" w:rsidRPr="00D637BA">
        <w:rPr>
          <w:rFonts w:ascii="Calibri" w:hAnsi="Calibri" w:cs="Calibri"/>
          <w:color w:val="000000" w:themeColor="text1"/>
          <w:sz w:val="22"/>
          <w:szCs w:val="22"/>
        </w:rPr>
        <w:t xml:space="preserve"> to</w:t>
      </w:r>
      <w:r w:rsidR="00F131BF" w:rsidRPr="00D637BA">
        <w:rPr>
          <w:rFonts w:ascii="Calibri" w:hAnsi="Calibri" w:cs="Calibri"/>
          <w:color w:val="000000" w:themeColor="text1"/>
          <w:sz w:val="22"/>
          <w:szCs w:val="22"/>
        </w:rPr>
        <w:t xml:space="preserve"> induce an angiogenic phenotype in human endothelial cells </w:t>
      </w:r>
      <w:r w:rsidR="00F131BF" w:rsidRPr="00D637BA">
        <w:rPr>
          <w:rFonts w:ascii="Calibri" w:hAnsi="Calibri" w:cs="Calibri"/>
          <w:i/>
          <w:color w:val="000000" w:themeColor="text1"/>
          <w:sz w:val="22"/>
          <w:szCs w:val="22"/>
        </w:rPr>
        <w:t xml:space="preserve">in vitro </w:t>
      </w:r>
      <w:r w:rsidR="00F131BF" w:rsidRPr="00D637BA">
        <w:rPr>
          <w:rFonts w:ascii="Calibri" w:hAnsi="Calibri" w:cs="Calibri"/>
          <w:color w:val="000000" w:themeColor="text1"/>
          <w:sz w:val="22"/>
          <w:szCs w:val="22"/>
        </w:rPr>
        <w:t xml:space="preserve">and in transgenic zebrafish </w:t>
      </w:r>
      <w:r w:rsidR="00F131BF" w:rsidRPr="00D637BA">
        <w:rPr>
          <w:rFonts w:ascii="Calibri" w:hAnsi="Calibri" w:cs="Calibri"/>
          <w:i/>
          <w:color w:val="000000" w:themeColor="text1"/>
          <w:sz w:val="22"/>
          <w:szCs w:val="22"/>
        </w:rPr>
        <w:t>in vivo</w:t>
      </w:r>
      <w:r w:rsidR="00124270">
        <w:rPr>
          <w:rFonts w:ascii="Calibri" w:hAnsi="Calibri" w:cs="Calibri"/>
          <w:i/>
          <w:color w:val="000000" w:themeColor="text1"/>
          <w:sz w:val="22"/>
          <w:szCs w:val="22"/>
        </w:rPr>
        <w:fldChar w:fldCharType="begin"/>
      </w:r>
      <w:r w:rsidR="00B67BF3">
        <w:rPr>
          <w:rFonts w:ascii="Calibri" w:hAnsi="Calibri" w:cs="Calibri"/>
          <w:i/>
          <w:color w:val="000000" w:themeColor="text1"/>
          <w:sz w:val="22"/>
          <w:szCs w:val="22"/>
        </w:rPr>
        <w:instrText xml:space="preserve"> ADDIN ZOTERO_ITEM CSL_CITATION {"citationID":"ajbjcm8gut","properties":{"formattedCitation":"\\super 122,180\\nosupersub{}","plainCitation":"122,180","noteIndex":0},"citationItems":[{"id":1599,"uris":["http://zotero.org/users/4775618/items/PJBL2MAR"],"uri":["http://zotero.org/users/4775618/items/PJBL2MAR"],"itemData":{"id":1599,"type":"article-journal","title":"Oncometabolite succinate promotes angiogenesis by upregulating VEGF expression through GPR91-mediated STAT3 and ERK activation","container-title":"Oncotarget","page":"13174-13185","volume":"8","issue":"8","source":"PubMed Central","abstract":"Altered cellular metabolism is now generally acknowledged as a hallmark of cancer cells, the resultant abnormal oncometabolites cause both metabolic and nonmetabolic dysregulation and potential transformation to malignancy. A subset of cancers have been found to be associated with mutations in succinate dehydrogenase genes which result in the accumulation of succinate. However, the function of succinate in tumorigenesis remains unclear. In the present study, we aim to investigate the role of oncometabolite succinate in tumor angiogenesis. Our data demonstrated the accumulation of markedly elevated succinate in gastric cancer tissues compared with that in paracancerous tissues. Moreover, succinate was able to increase the chemotactic motility, tube-like structure formation and proliferation of primary human umbilical vascular endothelial cells (pHUVECs) in vitro, as well as promoting the blood vessel formation in transgenic zebrafish. Our mechanistic studies reveal that succinate upregulates vascular endothelial growth factor (VEGF) expression by activation of signal transducer and activator of transcription 3 (STAT3) and extracellular regulated kinase (ERK)1/2 via its receptor GPR91 in a HIF-1α independent mechanism. Taken together, these data indicate an important role of the succinate-GPR91 axis in tumor angiogenesis, which may enable development of a novel therapeutic strategy that targets cancer metabolism.","URL":"https://www.ncbi.nlm.nih.gov/pmc/articles/PMC5355086/","DOI":"10.18632/oncotarget.14485","ISSN":"1949-2553","note":"PMID: 28061458\nPMCID: PMC5355086","journalAbbreviation":"Oncotarget","author":[{"family":"Mu","given":"Xianmin"},{"family":"Zhao","given":"Ting"},{"family":"Xu","given":"Che"},{"family":"Shi","given":"Wei"},{"family":"Geng","given":"Biao"},{"family":"Shen","given":"Jiajia"},{"family":"Zhang","given":"Chen"},{"family":"Pan","given":"Jinshun"},{"family":"Yang","given":"Jing"},{"family":"Hu","given":"Shi"},{"family":"Lv","given":"Yuanfang"},{"family":"Wen","given":"Hao"},{"family":"You","given":"Qiang"}],"issued":{"date-parts":[["2017",1,4]]},"accessed":{"date-parts":[["2019",2,28]]}}},{"id":1386,"uris":["http://zotero.org/users/4775618/items/V43IZVBV"],"uri":["http://zotero.org/users/4775618/items/V43IZVBV"],"itemData":{"id":1386,"type":"article-journal","title":"The succinate receptor GPR91 in neurons has a major role in retinal angiogenesis","container-title":"Nature Medicine","page":"1067-1076","volume":"14","issue":"10","source":"www-nature-com.ezp.lib.cam.ac.uk","abstract":"Vascularization is essential for tissue development and in restoration of tissue integrity after an ischemic injury. In studies of vascularization, the focus has largely been placed on vascular endothelial growth factor (VEGF), yet other factors may also orchestrate this process. Here we show that succinate accumulates in the hypoxic retina of rodents and, via its cognate receptor G protein–coupled receptor-91 (GPR91), is a potent mediator of vessel growth in the settings of both normal retinal development and proliferative ischemic retinopathy. The effects of GPR91 are mediated by retinal ganglion neurons (RGCs), which, in response to increased succinate levels, regulate the production of numerous angiogenic factors including VEGF. Accordingly, succinate did not have proangiogenic effects in RGC-deficient rats. Our observations show a pathway of metabolite signaling where succinate, acting through GPR91, governs retinal angiogenesis and show the propensity of RGCs to act as sensors of ischemic stress. These findings provide a new therapeutic target for modulating revascularization.","URL":"http://www.nature.com/articles/nm.1873","DOI":"10.1038/nm.1873","ISSN":"1546-170X","language":"en","author":[{"family":"Sapieha","given":"Przemyslaw"},{"family":"Sirinyan","given":"Mirna"},{"family":"Hamel","given":"David"},{"family":"Zaniolo","given":"Karine"},{"family":"Joyal","given":"Jean-Sébastien"},{"family":"Cho","given":"Jang-Hyeon"},{"family":"Honoré","given":"Jean-Claude"},{"family":"Kermorvant-Duchemin","given":"Elsa"},{"family":"Varma","given":"Daya R."},{"family":"Tremblay","given":"Sophie"},{"family":"Leduc","given":"Martin"},{"family":"Rihakova","given":"Lenka"},{"family":"Hardy","given":"Pierre"},{"family":"Klein","given":"William H."},{"family":"Mu","given":"Xiuqian"},{"family":"Mamer","given":"Orval"},{"family":"Lachapelle","given":"Pierre"},{"family":"Di Polo","given":"Adriana"},{"family":"Beauséjour","given":"Christian"},{"family":"Andelfinger","given":"Gregor"},{"family":"Mitchell","given":"Grant"},{"family":"Sennlaub","given":"Florian"},{"family":"Chemtob","given":"Sylvain"}],"issued":{"date-parts":[["2008",10]]},"accessed":{"date-parts":[["2019",2,24]]}}}],"schema":"https://github.com/citation-style-language/schema/raw/master/csl-citation.json"} </w:instrText>
      </w:r>
      <w:r w:rsidR="00124270">
        <w:rPr>
          <w:rFonts w:ascii="Calibri" w:hAnsi="Calibri" w:cs="Calibri"/>
          <w:i/>
          <w:color w:val="000000" w:themeColor="text1"/>
          <w:sz w:val="22"/>
          <w:szCs w:val="22"/>
        </w:rPr>
        <w:fldChar w:fldCharType="separate"/>
      </w:r>
      <w:r w:rsidR="00B67BF3" w:rsidRPr="00B67BF3">
        <w:rPr>
          <w:rFonts w:ascii="Calibri" w:hAnsi="Calibri" w:cs="Calibri"/>
          <w:color w:val="000000"/>
          <w:sz w:val="22"/>
          <w:vertAlign w:val="superscript"/>
          <w:lang w:val="en-US"/>
        </w:rPr>
        <w:t>122,180</w:t>
      </w:r>
      <w:r w:rsidR="00124270">
        <w:rPr>
          <w:rFonts w:ascii="Calibri" w:hAnsi="Calibri" w:cs="Calibri"/>
          <w:i/>
          <w:color w:val="000000" w:themeColor="text1"/>
          <w:sz w:val="22"/>
          <w:szCs w:val="22"/>
        </w:rPr>
        <w:fldChar w:fldCharType="end"/>
      </w:r>
      <w:r w:rsidR="00F131BF" w:rsidRPr="00D637BA">
        <w:rPr>
          <w:rFonts w:ascii="Calibri" w:hAnsi="Calibri" w:cs="Calibri"/>
          <w:color w:val="000000" w:themeColor="text1"/>
          <w:sz w:val="22"/>
          <w:szCs w:val="22"/>
        </w:rPr>
        <w:t>. Activation of this succinate</w:t>
      </w:r>
      <w:r w:rsidR="00993BB9" w:rsidRPr="00D637BA">
        <w:rPr>
          <w:rFonts w:ascii="Calibri" w:hAnsi="Calibri" w:cs="Calibri"/>
          <w:color w:val="000000" w:themeColor="text1"/>
          <w:sz w:val="22"/>
          <w:szCs w:val="22"/>
        </w:rPr>
        <w:t>–</w:t>
      </w:r>
      <w:r w:rsidR="00B133BC" w:rsidRPr="00D637BA">
        <w:rPr>
          <w:rFonts w:ascii="Calibri" w:hAnsi="Calibri" w:cs="Calibri"/>
          <w:color w:val="000000" w:themeColor="text1"/>
          <w:sz w:val="22"/>
          <w:szCs w:val="22"/>
        </w:rPr>
        <w:t>SUCNR1</w:t>
      </w:r>
      <w:r w:rsidR="00F131BF" w:rsidRPr="00D637BA">
        <w:rPr>
          <w:rFonts w:ascii="Calibri" w:hAnsi="Calibri" w:cs="Calibri"/>
          <w:color w:val="000000" w:themeColor="text1"/>
          <w:sz w:val="22"/>
          <w:szCs w:val="22"/>
        </w:rPr>
        <w:t xml:space="preserve"> signalling axis may also be an important pathway in tumour angiogenesis</w:t>
      </w:r>
      <w:r w:rsidR="00124270">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{"citationID":"a1a6jqjpe9v","properties":{"formattedCitation":"\\super 122,180\\nosupersub{}","plainCitation":"122,180","noteIndex":0},"citationItems":[{"id":1599,"uris":["http://zotero.org/users/4775618/items/PJBL2MAR"],"uri":["http://zotero.org/users/4775618/items/PJBL2MAR"],"itemData":{"id":1599,"type":"article-journal","title":"Oncometabolite succinate promotes angiogenesis by upregulating VEGF expression through GPR91-mediated STAT3 and ERK activation","container-title":"Oncotarget","page":"13174-13185","volume":"8","issue":"8","source":"PubMed Central","abstract":"Altered cellular metabolism is now generally acknowledged as a hallmark of cancer cells, the resultant abnormal oncometabolites cause both metabolic and nonmetabolic dysregulation and potential transformation to malignancy. A subset of cancers have been found to be associated with mutations in succinate dehydrogenase genes which result in the accumulation of succinate. However, the function of succinate in tumorigenesis remains unclear. In the present study, we aim to investigate the role of oncometabolite succinate in tumor angiogenesis. Our data demonstrated the accumulation of markedly elevated succinate in gastric cancer tissues compared with that in paracancerous tissues. Moreover, succinate was able to increase the chemotactic motility, tube-like structure formation and proliferation of primary human umbilical vascular endothelial cells (pHUVECs) in vitro, as well as promoting the blood vessel formation in transgenic zebrafish. Our mechanistic studies reveal that succinate upregulates vascular endothelial growth factor (VEGF) expression by activation of signal transducer and activator of transcription 3 (STAT3) and extracellular regulated kinase (ERK)1/2 via its receptor GPR91 in a HIF-1α independent mechanism. Taken together, these data indicate an important role of the succinate-GPR91 axis in tumor angiogenesis, which may enable development of a novel therapeutic strategy that targets cancer metabolism.","URL":"https://www.ncbi.nlm.nih.gov/pmc/articles/PMC5355086/","DOI":"10.18632/oncotarget.14485","ISSN":"1949-2553","note":"PMID: 28061458\nPMCID: PMC5355086","journalAbbreviation":"Oncotarget","author":[{"family":"Mu","given":"Xianmin"},{"family":"Zhao","given":"Ting"},{"family":"Xu","given":"Che"},{"family":"Shi","given":"Wei"},{"family":"Geng","given":"Biao"},{"family":"Shen","given":"Jiajia"},{"family":"Zhang","given":"Chen"},{"family":"Pan","given":"Jinshun"},{"family":"Yang","given":"Jing"},{"family":"Hu","given":"Shi"},{"family":"Lv","given":"Yuanfang"},{"family":"Wen","given":"Hao"},{"family":"You","given":"Qiang"}],"issued":{"date-parts":[["2017",1,4]]},"accessed":{"date-parts":[["2019",2,28]]}}},{"id":1386,"uris":["http://zotero.org/users/4775618/items/V43IZVBV"],"uri":["http://zotero.org/users/4775618/items/V43IZVBV"],"itemData":{"id":1386,"type":"article-journal","title":"The succinate receptor GPR91 in neurons has a major role in retinal angiogenesis","container-title":"Nature Medicine","page":"1067-1076","volume":"14","issue":"10","source":"www-nature-com.ezp.lib.cam.ac.uk","abstract":"Vascularization is essential for tissue development and in restoration of tissue integrity after an ischemic injury. In studies of vascularization, the focus has largely been placed on vascular endothelial growth factor (VEGF), yet other factors may also orchestrate this process. Here we show that succinate accumulates in the hypoxic retina of rodents and, via its cognate receptor G protein–coupled receptor-91 (GPR91), is a potent mediator of vessel growth in the settings of both normal retinal development and proliferative ischemic retinopathy. The effects of GPR91 are mediated by retinal ganglion neurons (RGCs), which, in response to increased succinate levels, regulate the production of numerous angiogenic factors including VEGF. Accordingly, succinate did not have proangiogenic effects in RGC-deficient rats. Our observations show a pathway of metabolite signaling where succinate, acting through GPR91, governs retinal angiogenesis and show the propensity of RGCs to act as sensors of ischemic stress. These findings provide a new therapeutic target for modulating revascularization.","URL":"http://www.nature.com/articles/nm.1873","DOI":"10.1038/nm.1873","ISSN":"1546-170X","language":"en","author":[{"family":"Sapieha","given":"Przemyslaw"},{"family":"Sirinyan","given":"Mirna"},{"family":"Hamel","given":"David"},{"family":"Zaniolo","given":"Karine"},{"family":"Joyal","given":"Jean-Sébastien"},{"family":"Cho","given":"Jang-Hyeon"},{"family":"Honoré","given":"Jean-Claude"},{"family":"Kermorvant-Duchemin","given":"Elsa"},{"family":"Varma","given":"Daya R."},{"family":"Tremblay","given":"Sophie"},{"family":"Leduc","given":"Martin"},{"family":"Rihakova","given":"Lenka"},{"family":"Hardy","given":"Pierre"},{"family":"Klein","given":"William H."},{"family":"Mu","given":"Xiuqian"},{"family":"Mamer","given":"Orval"},{"family":"Lachapelle","given":"Pierre"},{"family":"Di Polo","given":"Adriana"},{"family":"Beauséjour","given":"Christian"},{"family":"Andelfinger","given":"Gregor"},{"family":"Mitchell","given":"Grant"},{"family":"Sennlaub","given":"Florian"},{"family":"Chemtob","given":"Sylvain"}],"issued":{"date-parts":[["2008",10]]},"accessed":{"date-parts":[["2019",2,24]]}}}],"schema":"https://github.com/citation-style-language/schema/raw/master/csl-citation.json"} </w:instrText>
      </w:r>
      <w:r w:rsidR="00124270">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122,180</w:t>
      </w:r>
      <w:r w:rsidR="00124270">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and </w:t>
      </w:r>
      <w:r w:rsidR="00BE4CCE" w:rsidRPr="00D637BA">
        <w:rPr>
          <w:rFonts w:ascii="Calibri" w:hAnsi="Calibri" w:cs="Calibri"/>
          <w:color w:val="000000" w:themeColor="text1"/>
          <w:sz w:val="22"/>
          <w:szCs w:val="22"/>
        </w:rPr>
        <w:t xml:space="preserve">demonstrates </w:t>
      </w:r>
      <w:r w:rsidR="00F131BF" w:rsidRPr="00D637BA">
        <w:rPr>
          <w:rFonts w:ascii="Calibri" w:hAnsi="Calibri" w:cs="Calibri"/>
          <w:color w:val="000000" w:themeColor="text1"/>
          <w:sz w:val="22"/>
          <w:szCs w:val="22"/>
        </w:rPr>
        <w:t xml:space="preserve">the ability of succinate to exhibit hormone-like traits. </w:t>
      </w:r>
      <w:r w:rsidR="00C54138" w:rsidRPr="00D637BA">
        <w:rPr>
          <w:rFonts w:ascii="Calibri" w:hAnsi="Calibri" w:cs="Calibri"/>
          <w:color w:val="000000" w:themeColor="text1"/>
          <w:sz w:val="22"/>
          <w:szCs w:val="22"/>
        </w:rPr>
        <w:t>E</w:t>
      </w:r>
      <w:r w:rsidR="00F131BF" w:rsidRPr="00D637BA">
        <w:rPr>
          <w:rFonts w:ascii="Calibri" w:hAnsi="Calibri" w:cs="Calibri"/>
          <w:color w:val="000000" w:themeColor="text1"/>
          <w:sz w:val="22"/>
          <w:szCs w:val="22"/>
        </w:rPr>
        <w:t xml:space="preserve">levated circulating levels of succinate </w:t>
      </w:r>
      <w:r w:rsidR="009347BF">
        <w:rPr>
          <w:rFonts w:ascii="Calibri" w:hAnsi="Calibri" w:cs="Calibri"/>
          <w:color w:val="000000" w:themeColor="text1"/>
          <w:sz w:val="22"/>
          <w:szCs w:val="22"/>
        </w:rPr>
        <w:t>activati</w:t>
      </w:r>
      <w:r w:rsidR="00972BE9">
        <w:rPr>
          <w:rFonts w:ascii="Calibri" w:hAnsi="Calibri" w:cs="Calibri"/>
          <w:color w:val="000000" w:themeColor="text1"/>
          <w:sz w:val="22"/>
          <w:szCs w:val="22"/>
        </w:rPr>
        <w:t>ng</w:t>
      </w:r>
      <w:r w:rsidR="009347BF">
        <w:rPr>
          <w:rFonts w:ascii="Calibri" w:hAnsi="Calibri" w:cs="Calibri"/>
          <w:color w:val="000000" w:themeColor="text1"/>
          <w:sz w:val="22"/>
          <w:szCs w:val="22"/>
        </w:rPr>
        <w:t xml:space="preserve"> the S</w:t>
      </w:r>
      <w:r w:rsidR="00025AA0">
        <w:rPr>
          <w:rFonts w:ascii="Calibri" w:hAnsi="Calibri" w:cs="Calibri"/>
          <w:color w:val="000000" w:themeColor="text1"/>
          <w:sz w:val="22"/>
          <w:szCs w:val="22"/>
        </w:rPr>
        <w:t>ucnr</w:t>
      </w:r>
      <w:r w:rsidR="009347BF">
        <w:rPr>
          <w:rFonts w:ascii="Calibri" w:hAnsi="Calibri" w:cs="Calibri"/>
          <w:color w:val="000000" w:themeColor="text1"/>
          <w:sz w:val="22"/>
          <w:szCs w:val="22"/>
        </w:rPr>
        <w:t>1 pathway</w:t>
      </w:r>
      <w:r w:rsidR="00C54138">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have</w:t>
      </w:r>
      <w:r w:rsidR="00972BE9">
        <w:rPr>
          <w:rFonts w:ascii="Calibri" w:hAnsi="Calibri" w:cs="Calibri"/>
          <w:color w:val="000000" w:themeColor="text1"/>
          <w:sz w:val="22"/>
          <w:szCs w:val="22"/>
        </w:rPr>
        <w:t xml:space="preserve"> also</w:t>
      </w:r>
      <w:r w:rsidR="00F131BF" w:rsidRPr="00D637BA">
        <w:rPr>
          <w:rFonts w:ascii="Calibri" w:hAnsi="Calibri" w:cs="Calibri"/>
          <w:color w:val="000000" w:themeColor="text1"/>
          <w:sz w:val="22"/>
          <w:szCs w:val="22"/>
        </w:rPr>
        <w:t xml:space="preserve"> been implicated in renovascular hypertension via activation of the renin-angiotensin-system (RAS) in kidneys</w:t>
      </w:r>
      <w:r w:rsidR="00124270">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{"citationID":"a15nojnu9de","properties":{"formattedCitation":"\\super 181,182\\nosupersub{}","plainCitation":"181,182","noteIndex":0},"citationItems":[{"id":1638,"uris":["http://zotero.org/users/4775618/items/RBYJYT2E"],"uri":["http://zotero.org/users/4775618/items/RBYJYT2E"],"itemData":{"id":1638,"type":"article-journal","title":"Studies on renin release from isolated superfused glomeruli: effects of temperature, urea, ouabain and ethacrynic acid.","container-title":"The Journal of Physiology","page":"243-256","volume":"258","issue":"1","source":"PubMed Central","abstract":"1. The effects of different energy substrates, of low temperature, of urea, and of ouabain and ethacrynic acid were studied on the rate of renin release from viable juxtaglomerular cells during superfusion of isolated rat glomeruli. 2. Neither lactate nor glutamate altered renin release rate from that observed using glucose as the sole energy substrate. Succinate 10 mM elevated release transiently but did not influence the release caused by reductions in osmolality through lowering sucrose concentration. 3. Peak renin release was more prolonged and returned more slowly to control following reductions in osmolality in phosphate-Ringer than in bicarbonate-Ringer. 4. At 37 degrees C, the peak of renin released induced by hypo-osmolality was smaller and delayed, and returned earlier to control than at 30 degrees C. Reduction in temperature from 30 to 4 degrees C resulted in a 32-fold increase in basal release rate. At 4 degrees C a 20 m-osmole/kg reduction in tonicity caused an additional 2-5-fold increase in release rate. 6. Increasing superfusate osmolality with urea did not affect basal renin release but 100 mM urea suppressed the releasing effect of a 15 mM reduction in NaCl concentration. 7. Ouabain (10(-4) M) caused a small (33 +/- 9%, P less than 0-025) transient increase in renin release. Ethacrynic acid (10(-3) M) provoked a progressive increase in release reaching 100 +/- 15% above control within 50 min. In the presence of both inhibitors the release provoked by hyposmolality was prolonged. 8. It is concluded that renin release in vitro is a function of actively regulated cell volume and it is proposed that a similar mechanism could underline both barorecptor and macula densa controls of renin secretion in vivo.","URL":"https://www.ncbi.nlm.nih.gov/pmc/articles/PMC1308970/","ISSN":"0022-3751","note":"PMID: 940062\nPMCID: PMC1308970","title-short":"Studies on renin release from isolated superfused glomeruli","journalAbbreviation":"J Physiol","author":[{"family":"Baumbach","given":"L"},{"family":"Leyssac","given":"P P"},{"family":"Skinner","given":"S L"}],"issued":{"date-parts":[["1976",6]]},"accessed":{"date-parts":[["2019",3,2]]}}},{"id":1624,"uris":["http://zotero.org/users/4775618/items/JI7SZRKM"],"uri":["http://zotero.org/users/4775618/items/JI7SZRKM"],"itemData":{"id":1624,"type":"article-journal","title":"Citric acid cycle intermediates as ligands for orphan G-protein-coupled receptors","container-title":"Nature","page":"188-193","volume":"429","issue":"6988","source":"PubMed","abstract":"The citric acid cycle is central to the regulation of energy homeostasis and cell metabolism. Mutations in enzymes that catalyse steps in the citric acid cycle result in human diseases with various clinical presentations. The intermediates of the citric acid cycle are present at micromolar concentration in blood and are regulated by respiration, metabolism and renal reabsorption/extrusion. Here we show that GPR91 (ref. 3), a previously orphan G-protein-coupled receptor (GPCR), functions as a receptor for the citric acid cycle intermediate succinate. We also report that GPR99 (ref. 4), a close relative of GPR91, responds to alpha-ketoglutarate, another intermediate in the citric acid cycle. Thus by acting as ligands for GPCRs, succinate and alpha-ketoglutarate are found to have unexpected signalling functions beyond their traditional roles. Furthermore, we show that succinate increases blood pressure in animals. The succinate-induced hypertensive effect involves the renin-angiotensin system and is abolished in GPR91-deficient mice. Our results indicate a possible role for GPR91 in renovascular hypertension, a disease closely linked to atherosclerosis, diabetes and renal failure.","DOI":"10.1038/nature02488","ISSN":"1476-4687","note":"PMID: 15141213","journalAbbreviation":"Nature","language":"eng","author":[{"family":"He","given":"Weihai"},{"family":"Miao","given":"Frederick J.-P."},{"family":"Lin","given":"Daniel C.-H."},{"family":"Schwandner","given":"Ralf T."},{"family":"Wang","given":"Zhulun"},{"family":"Gao","given":"Jinhai"},{"family":"Chen","given":"Jin-Long"},{"family":"Tian","given":"Hui"},{"family":"Ling","given":"Lei"}],"issued":{"date-parts":[["2004",5,13]]}}}],"schema":"https://github.com/citation-style-language/schema/raw/master/csl-citation.json"} </w:instrText>
      </w:r>
      <w:r w:rsidR="00124270">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181,182</w:t>
      </w:r>
      <w:r w:rsidR="00124270">
        <w:rPr>
          <w:rFonts w:ascii="Calibri" w:hAnsi="Calibri" w:cs="Calibri"/>
          <w:color w:val="000000" w:themeColor="text1"/>
          <w:sz w:val="22"/>
          <w:szCs w:val="22"/>
        </w:rPr>
        <w:fldChar w:fldCharType="end"/>
      </w:r>
      <w:r w:rsidR="00124270">
        <w:rPr>
          <w:rFonts w:ascii="Calibri" w:hAnsi="Calibri" w:cs="Calibri"/>
          <w:color w:val="000000"/>
          <w:sz w:val="22"/>
          <w:lang w:val="en-US"/>
        </w:rPr>
        <w:t xml:space="preserve">. </w:t>
      </w:r>
      <w:r w:rsidRPr="00D637BA">
        <w:rPr>
          <w:rFonts w:ascii="Calibri" w:hAnsi="Calibri" w:cs="Calibri"/>
          <w:color w:val="000000" w:themeColor="text1"/>
          <w:sz w:val="22"/>
          <w:szCs w:val="22"/>
        </w:rPr>
        <w:t>H</w:t>
      </w:r>
      <w:r w:rsidR="00F131BF" w:rsidRPr="00D637BA">
        <w:rPr>
          <w:rFonts w:ascii="Calibri" w:hAnsi="Calibri" w:cs="Calibri"/>
          <w:color w:val="000000" w:themeColor="text1"/>
          <w:sz w:val="22"/>
          <w:szCs w:val="22"/>
        </w:rPr>
        <w:t xml:space="preserve">yperglycaemia </w:t>
      </w:r>
      <w:r w:rsidR="009347BF">
        <w:rPr>
          <w:rFonts w:ascii="Calibri" w:hAnsi="Calibri" w:cs="Calibri"/>
          <w:color w:val="000000" w:themeColor="text1"/>
          <w:sz w:val="22"/>
          <w:szCs w:val="22"/>
        </w:rPr>
        <w:t>also</w:t>
      </w:r>
      <w:r w:rsidR="00F131BF" w:rsidRPr="00D637BA">
        <w:rPr>
          <w:rFonts w:ascii="Calibri" w:hAnsi="Calibri" w:cs="Calibri"/>
          <w:color w:val="000000" w:themeColor="text1"/>
          <w:sz w:val="22"/>
          <w:szCs w:val="22"/>
        </w:rPr>
        <w:t xml:space="preserve"> trigger</w:t>
      </w:r>
      <w:r w:rsidR="009347BF">
        <w:rPr>
          <w:rFonts w:ascii="Calibri" w:hAnsi="Calibri" w:cs="Calibri"/>
          <w:color w:val="000000" w:themeColor="text1"/>
          <w:sz w:val="22"/>
          <w:szCs w:val="22"/>
        </w:rPr>
        <w:t>ed</w:t>
      </w:r>
      <w:r w:rsidR="00F131BF" w:rsidRPr="00D637BA">
        <w:rPr>
          <w:rFonts w:ascii="Calibri" w:hAnsi="Calibri" w:cs="Calibri"/>
          <w:color w:val="000000" w:themeColor="text1"/>
          <w:sz w:val="22"/>
          <w:szCs w:val="22"/>
        </w:rPr>
        <w:t xml:space="preserve"> this</w:t>
      </w:r>
      <w:r w:rsidR="00972BE9">
        <w:rPr>
          <w:rFonts w:ascii="Calibri" w:hAnsi="Calibri" w:cs="Calibri"/>
          <w:color w:val="000000" w:themeColor="text1"/>
          <w:sz w:val="22"/>
          <w:szCs w:val="22"/>
        </w:rPr>
        <w:t xml:space="preserve"> succinate-S</w:t>
      </w:r>
      <w:r w:rsidR="00025AA0">
        <w:rPr>
          <w:rFonts w:ascii="Calibri" w:hAnsi="Calibri" w:cs="Calibri"/>
          <w:color w:val="000000" w:themeColor="text1"/>
          <w:sz w:val="22"/>
          <w:szCs w:val="22"/>
        </w:rPr>
        <w:t>ucnr</w:t>
      </w:r>
      <w:r w:rsidR="00972BE9">
        <w:rPr>
          <w:rFonts w:ascii="Calibri" w:hAnsi="Calibri" w:cs="Calibri"/>
          <w:color w:val="000000" w:themeColor="text1"/>
          <w:sz w:val="22"/>
          <w:szCs w:val="22"/>
        </w:rPr>
        <w:t>1</w:t>
      </w:r>
      <w:r w:rsidR="00F131BF" w:rsidRPr="00D637BA">
        <w:rPr>
          <w:rFonts w:ascii="Calibri" w:hAnsi="Calibri" w:cs="Calibri"/>
          <w:color w:val="000000" w:themeColor="text1"/>
          <w:sz w:val="22"/>
          <w:szCs w:val="22"/>
        </w:rPr>
        <w:t xml:space="preserve"> pathway, potentially implicating</w:t>
      </w:r>
      <w:r w:rsidR="00972BE9">
        <w:rPr>
          <w:rFonts w:ascii="Calibri" w:hAnsi="Calibri" w:cs="Calibri"/>
          <w:color w:val="000000" w:themeColor="text1"/>
          <w:sz w:val="22"/>
          <w:szCs w:val="22"/>
        </w:rPr>
        <w:t xml:space="preserve"> it </w:t>
      </w:r>
      <w:r w:rsidR="00F131BF" w:rsidRPr="00D637BA">
        <w:rPr>
          <w:rFonts w:ascii="Calibri" w:hAnsi="Calibri" w:cs="Calibri"/>
          <w:color w:val="000000" w:themeColor="text1"/>
          <w:sz w:val="22"/>
          <w:szCs w:val="22"/>
        </w:rPr>
        <w:t>in the pathophysiology of diabetic nephropathy</w:t>
      </w:r>
      <w:r w:rsidR="00124270">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{"citationID":"a1j9h4301e5","properties":{"formattedCitation":"\\super 183\\nosupersub{}","plainCitation":"183","noteIndex":0},"citationItems":[{"id":1635,"uris":["http://zotero.org/users/4775618/items/H8QM3IPV"],"uri":["http://zotero.org/users/4775618/items/H8QM3IPV"],"itemData":{"id":1635,"type":"article-journal","title":"Succinate receptor GPR91 provides a direct link between high glucose levels and renin release in murine and rabbit kidney","container-title":"The Journal of Clinical Investigation","page":"2526-2534","volume":"118","issue":"7","source":"PubMed","abstract":"Diabetes mellitus is the most common and rapidly growing cause of end-stage renal disease in developed countries. A classic hallmark of early diabetes mellitus includes activation of the renin-angiotensin system (RAS), which may lead to hypertension and renal tissue injury, but the mechanism of RAS activation is elusive. Here we identified a paracrine signaling pathway in the kidney in which high levels of glucose directly triggered the release of the prohypertensive hormone renin. The signaling cascade involved the local accumulation of succinate and activation of the kidney-specific G protein-coupled metabolic receptor, GPR91, in the glomerular endothelium as observed in rat, mouse, and rabbit kidney sections. Elements of signal transduction included endothelial Ca2+, the production of NO and prostaglandin (PGE2), and their paracrine actions on adjacent renin-producing cells. This GPR91 signaling cascade may serve to modulate kidney function and help remove metabolic waste products through renal hyperfiltration, and it could also link metabolic diseases, such as diabetes, or metabolic syndrome with RAS overactivation, systemic hypertension, and organ injury.","DOI":"10.1172/JCI33293","ISSN":"0021-9738","note":"PMID: 18535668\nPMCID: PMC2413183","journalAbbreviation":"J. Clin. Invest.","language":"eng","author":[{"family":"Toma","given":"Ildikó"},{"family":"Kang","given":"Jung Julie"},{"family":"Sipos","given":"Arnold"},{"family":"Vargas","given":"Sarah"},{"family":"Bansal","given":"Eric"},{"family":"Hanner","given":"Fiona"},{"family":"Meer","given":"Elliott"},{"family":"Peti-Peterdi","given":"János"}],"issued":{"date-parts":[["2008",7]]}}}],"schema":"https://github.com/citation-style-language/schema/raw/master/csl-citation.json"} </w:instrText>
      </w:r>
      <w:r w:rsidR="00124270">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183</w:t>
      </w:r>
      <w:r w:rsidR="00124270">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The succinate</w:t>
      </w:r>
      <w:r w:rsidR="008F5381" w:rsidRPr="00D637BA">
        <w:rPr>
          <w:rFonts w:ascii="Calibri" w:hAnsi="Calibri" w:cs="Calibri"/>
          <w:color w:val="000000" w:themeColor="text1"/>
          <w:sz w:val="22"/>
          <w:szCs w:val="22"/>
        </w:rPr>
        <w:t>–</w:t>
      </w:r>
      <w:r w:rsidR="00B133BC" w:rsidRPr="00D637BA">
        <w:rPr>
          <w:rFonts w:ascii="Calibri" w:hAnsi="Calibri" w:cs="Calibri"/>
          <w:color w:val="000000" w:themeColor="text1"/>
          <w:sz w:val="22"/>
          <w:szCs w:val="22"/>
        </w:rPr>
        <w:t>S</w:t>
      </w:r>
      <w:r w:rsidR="00025AA0">
        <w:rPr>
          <w:rFonts w:ascii="Calibri" w:hAnsi="Calibri" w:cs="Calibri"/>
          <w:color w:val="000000" w:themeColor="text1"/>
          <w:sz w:val="22"/>
          <w:szCs w:val="22"/>
        </w:rPr>
        <w:t>ucnr</w:t>
      </w:r>
      <w:r w:rsidR="00B133BC" w:rsidRPr="00D637BA">
        <w:rPr>
          <w:rFonts w:ascii="Calibri" w:hAnsi="Calibri" w:cs="Calibri"/>
          <w:color w:val="000000" w:themeColor="text1"/>
          <w:sz w:val="22"/>
          <w:szCs w:val="22"/>
        </w:rPr>
        <w:t>1</w:t>
      </w:r>
      <w:r w:rsidR="00F131BF" w:rsidRPr="00D637BA">
        <w:rPr>
          <w:rFonts w:ascii="Calibri" w:hAnsi="Calibri" w:cs="Calibri"/>
          <w:color w:val="000000" w:themeColor="text1"/>
          <w:sz w:val="22"/>
          <w:szCs w:val="22"/>
        </w:rPr>
        <w:t xml:space="preserve"> signalling axis has also been implicated in the pathological hypertrophy of ischaemic cardiomyocytes</w:t>
      </w:r>
      <w:r w:rsidR="00124270">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{"citationID":"agkaepepej","properties":{"formattedCitation":"\\super 184\\nosupersub{}","plainCitation":"184","noteIndex":0},"citationItems":[{"id":1646,"uris":["http://zotero.org/users/4775618/items/FTKZVLCJ"],"uri":["http://zotero.org/users/4775618/items/FTKZVLCJ"],"itemData":{"id":1646,"type":"article-journal","title":"Succinate causes pathological cardiomyocyte hypertrophy through GPR91 activation","container-title":"Cell Communication and Signaling","page":"78","volume":"12","issue":"1","source":"biosignaling-biomedcentral-com.ezp.lib.cam.ac.uk","abstract":"Succinate is an intermediate of the citric acid cycle as well as an extracellular circulating molecule, whose receptor, G protein-coupled receptor-91 (GPR91), was recently identified and characterized in several tissues, including heart. Because some pathological conditions such as ischemia increase succinate blood levels, we investigated the role of this metabolite during a heart ischemic event, using human and rodent models. We found that succinate causes cardiac hypertrophy in a GPR91 dependent manner. GPR91 activation triggers the phosphorylation of extracellular signal-regulated kinase 1/2 (ERK1/2), the expression of calcium/calmodulin dependent protein kinase IIδ (CaMKIIδ) and the translocation of histone deacetylase 5 (HDAC5) into the cytoplasm, which are hypertrophic-signaling events. Furthermore, we found that serum levels of succinate are increased in patients with cardiac hypertrophy associated with acute and chronic ischemic diseases. These results show for the first time that succinate plays an important role in cardiomyocyte hypertrophy through GPR91 activation, and extend our understanding of how ischemia can induce hypertrophic cardiomyopathy.","URL":"https://biosignaling-biomedcentral-com.ezp.lib.cam.ac.uk/articles/10.1186/s12964-014-0078-2","DOI":"10.1186/s12964-014-0078-2","ISSN":"1478-811X","language":"En","author":[{"family":"Aguiar","given":"Carla J."},{"family":"Rocha-Franco","given":"João A."},{"family":"Sousa","given":"Pedro A."},{"family":"Santos","given":"Anderson K."},{"family":"Ladeira","given":"Marina"},{"family":"Rocha-Resende","given":"Cibele"},{"family":"Ladeira","given":"Luiz O."},{"family":"Resende","given":"Rodrigo R."},{"family":"Botoni","given":"Fernando A."},{"family":"Melo","given":"Marcos Barrouin"},{"family":"Lima","given":"Cristiano X."},{"family":"Carballido","given":"José M."},{"family":"Cunha","given":"Thiago M."},{"family":"Menezes","given":"Gustavo B."},{"family":"Guatimosim","given":"Silvia"},{"family":"Leite","given":"M. Fatima"}],"issued":{"date-parts":[["2014",12]]},"accessed":{"date-parts":[["2019",3,2]]}}}],"schema":"https://github.com/citation-style-language/schema/raw/master/csl-citation.json"} </w:instrText>
      </w:r>
      <w:r w:rsidR="00124270">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184</w:t>
      </w:r>
      <w:r w:rsidR="00124270">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and </w:t>
      </w:r>
      <w:r w:rsidR="003A1AB8" w:rsidRPr="00D637BA">
        <w:rPr>
          <w:rFonts w:ascii="Calibri" w:hAnsi="Calibri" w:cs="Calibri"/>
          <w:color w:val="000000" w:themeColor="text1"/>
          <w:sz w:val="22"/>
          <w:szCs w:val="22"/>
        </w:rPr>
        <w:t>in</w:t>
      </w:r>
      <w:r w:rsidR="009347BF">
        <w:rPr>
          <w:rFonts w:ascii="Calibri" w:hAnsi="Calibri" w:cs="Calibri"/>
          <w:color w:val="000000" w:themeColor="text1"/>
          <w:sz w:val="22"/>
          <w:szCs w:val="22"/>
        </w:rPr>
        <w:t xml:space="preserve"> the</w:t>
      </w:r>
      <w:r w:rsidR="00356320">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activation of fibrosis in </w:t>
      </w:r>
      <w:r w:rsidR="003A1AB8" w:rsidRPr="00D637BA">
        <w:rPr>
          <w:rFonts w:ascii="Calibri" w:hAnsi="Calibri" w:cs="Calibri"/>
          <w:color w:val="000000" w:themeColor="text1"/>
          <w:sz w:val="22"/>
          <w:szCs w:val="22"/>
        </w:rPr>
        <w:t>ischaemia</w:t>
      </w:r>
      <w:r w:rsidR="00F131BF" w:rsidRPr="00D637BA">
        <w:rPr>
          <w:rFonts w:ascii="Calibri" w:hAnsi="Calibri" w:cs="Calibri"/>
          <w:color w:val="000000" w:themeColor="text1"/>
          <w:sz w:val="22"/>
          <w:szCs w:val="22"/>
        </w:rPr>
        <w:t>-induced liver damage</w:t>
      </w:r>
      <w:r w:rsidR="00124270">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{"citationID":"a1j9lpvk2q0","properties":{"formattedCitation":"\\super 185\\nosupersub{}","plainCitation":"185","noteIndex":0},"citationItems":[{"id":1648,"uris":["http://zotero.org/users/4775618/items/VAHLM2V7"],"uri":["http://zotero.org/users/4775618/items/VAHLM2V7"],"itemData":{"id":1648,"type":"article-journal","title":"Succinate is a paracrine signal for liver damage","container-title":"Journal of Hepatology","page":"262-269","volume":"47","issue":"2","source":"PubMed","abstract":"BACKGROUND/AIMS: A G-protein-coupled succinate receptor has recently been identified in several tissues, including the liver. The objectives of this work were to determine the hepatic cell types that express this receptor and to determine its physiological role.\nMETHODS: Expression and distribution of the succinate receptor was determined by RT-PCR and confocal immunofluorescence. Biochemical assays were used to measure succinate and cAMP. Cytosolic Ca2+ was monitored in single cells by time-lapse imaging. Western blot was used to study the effect of succinate on activation of hepatic stellate cells.\nRESULTS: The succinate receptor was expressed in quiescent hepatic stellate cells, and expression decreased with activation. Ischemia induced release of succinate in isolated perfused livers. In contrast to what is observed in cell expression systems, succinate did not inhibit cAMP production or increase cytosolic Ca2+ in primary hepatic stellate cells. However, succinate accelerated stellate cell activation.\nCONCLUSIONS: Hepatic stellate cells express the succinate receptor. Succinate may behave as a paracrine signal by which ischemic hepatocytes trigger stellate cell activation.","DOI":"10.1016/j.jhep.2007.03.016","ISSN":"0168-8278","note":"PMID: 17451837\nPMCID: PMC1986575","journalAbbreviation":"J. Hepatol.","language":"eng","author":[{"family":"Correa","given":"Paulo Renato A. V."},{"family":"Kruglov","given":"Emma A."},{"family":"Thompson","given":"Mayerson"},{"family":"Leite","given":"M. Fatima"},{"family":"Dranoff","given":"Jonathan A."},{"family":"Nathanson","given":"Michael H."}],"issued":{"date-parts":[["2007",8]]}}}],"schema":"https://github.com/citation-style-language/schema/raw/master/csl-citation.json"} </w:instrText>
      </w:r>
      <w:r w:rsidR="00124270">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185</w:t>
      </w:r>
      <w:r w:rsidR="00124270">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p>
    <w:p w14:paraId="1B0126D3" w14:textId="5BC50133" w:rsidR="000B703B" w:rsidRPr="00D637BA" w:rsidRDefault="009C0780" w:rsidP="004B57CC">
      <w:pPr>
        <w:spacing w:line="360" w:lineRule="auto"/>
        <w:ind w:firstLine="454"/>
        <w:jc w:val="both"/>
        <w:rPr>
          <w:rFonts w:ascii="Calibri" w:hAnsi="Calibri" w:cs="Calibri"/>
          <w:color w:val="000000" w:themeColor="text1"/>
          <w:sz w:val="22"/>
          <w:szCs w:val="22"/>
        </w:rPr>
      </w:pPr>
      <w:r>
        <w:rPr>
          <w:rFonts w:ascii="Calibri" w:hAnsi="Calibri" w:cs="Calibri"/>
          <w:i/>
          <w:color w:val="000000" w:themeColor="text1"/>
          <w:sz w:val="22"/>
          <w:szCs w:val="22"/>
        </w:rPr>
        <w:t>SDH</w:t>
      </w:r>
      <w:r>
        <w:rPr>
          <w:rFonts w:ascii="Calibri" w:hAnsi="Calibri" w:cs="Calibri"/>
          <w:color w:val="000000" w:themeColor="text1"/>
          <w:sz w:val="22"/>
          <w:szCs w:val="22"/>
        </w:rPr>
        <w:t>-deficiency</w:t>
      </w:r>
      <w:r w:rsidR="003A1AB8" w:rsidRPr="00D637BA">
        <w:rPr>
          <w:rFonts w:ascii="Calibri" w:hAnsi="Calibri" w:cs="Calibri"/>
          <w:color w:val="000000" w:themeColor="text1"/>
          <w:sz w:val="22"/>
          <w:szCs w:val="22"/>
        </w:rPr>
        <w:t xml:space="preserve"> </w:t>
      </w:r>
      <w:r w:rsidR="00B125C8">
        <w:rPr>
          <w:rFonts w:ascii="Calibri" w:hAnsi="Calibri" w:cs="Calibri"/>
          <w:color w:val="000000" w:themeColor="text1"/>
          <w:sz w:val="22"/>
          <w:szCs w:val="22"/>
        </w:rPr>
        <w:t>has been associated with</w:t>
      </w:r>
      <w:r w:rsidR="00F131BF" w:rsidRPr="00D637BA">
        <w:rPr>
          <w:rFonts w:ascii="Calibri" w:hAnsi="Calibri" w:cs="Calibri"/>
          <w:color w:val="000000" w:themeColor="text1"/>
          <w:sz w:val="22"/>
          <w:szCs w:val="22"/>
        </w:rPr>
        <w:t xml:space="preserve"> </w:t>
      </w:r>
      <w:r w:rsidR="00B125C8">
        <w:rPr>
          <w:rFonts w:ascii="Calibri" w:hAnsi="Calibri" w:cs="Calibri"/>
          <w:color w:val="000000" w:themeColor="text1"/>
          <w:sz w:val="22"/>
          <w:szCs w:val="22"/>
        </w:rPr>
        <w:t xml:space="preserve">the </w:t>
      </w:r>
      <w:r w:rsidR="00F131BF" w:rsidRPr="00D637BA">
        <w:rPr>
          <w:rFonts w:ascii="Calibri" w:hAnsi="Calibri" w:cs="Calibri"/>
          <w:color w:val="000000" w:themeColor="text1"/>
          <w:sz w:val="22"/>
          <w:szCs w:val="22"/>
        </w:rPr>
        <w:t>post-translational protein modification</w:t>
      </w:r>
      <w:r w:rsidR="00B125C8">
        <w:rPr>
          <w:rFonts w:ascii="Calibri" w:hAnsi="Calibri" w:cs="Calibri"/>
          <w:color w:val="000000" w:themeColor="text1"/>
          <w:sz w:val="22"/>
          <w:szCs w:val="22"/>
        </w:rPr>
        <w:t xml:space="preserve"> known as </w:t>
      </w:r>
      <w:r w:rsidR="00F131BF" w:rsidRPr="00D637BA">
        <w:rPr>
          <w:rFonts w:ascii="Calibri" w:hAnsi="Calibri" w:cs="Calibri"/>
          <w:color w:val="000000" w:themeColor="text1"/>
          <w:sz w:val="22"/>
          <w:szCs w:val="22"/>
        </w:rPr>
        <w:t>succinylation (</w:t>
      </w:r>
      <w:r w:rsidR="003A1AB8" w:rsidRPr="00D637BA">
        <w:rPr>
          <w:rFonts w:ascii="Calibri" w:hAnsi="Calibri" w:cs="Calibri"/>
          <w:color w:val="000000" w:themeColor="text1"/>
          <w:sz w:val="22"/>
          <w:szCs w:val="22"/>
        </w:rPr>
        <w:t xml:space="preserve">which </w:t>
      </w:r>
      <w:r w:rsidR="00F131BF" w:rsidRPr="00D637BA">
        <w:rPr>
          <w:rFonts w:ascii="Calibri" w:hAnsi="Calibri" w:cs="Calibri"/>
          <w:color w:val="000000" w:themeColor="text1"/>
          <w:sz w:val="22"/>
          <w:szCs w:val="22"/>
        </w:rPr>
        <w:t>differ</w:t>
      </w:r>
      <w:r w:rsidR="003A1AB8" w:rsidRPr="00D637BA">
        <w:rPr>
          <w:rFonts w:ascii="Calibri" w:hAnsi="Calibri" w:cs="Calibri"/>
          <w:color w:val="000000" w:themeColor="text1"/>
          <w:sz w:val="22"/>
          <w:szCs w:val="22"/>
        </w:rPr>
        <w:t>s</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from fumarate-induced succination)</w:t>
      </w:r>
      <w:r w:rsidR="004048CA">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{"citationID":"a1coui7tp3u","properties":{"formattedCitation":"\\super 186\\uc0\\u8211{}188\\nosupersub{}","plainCitation":"186–188","noteIndex":0},"citationItems":[{"id":1641,"uris":["http://zotero.org/users/4775618/items/CKU2HPKH"],"uri":["http://zotero.org/users/4775618/items/CKU2HPKH"],"itemData":{"id":1641,"type":"article-journal","title":"Succinate in the cancer-immune cycle","container-title":"Cancer Letters","page":"45-47","volume":"390","source":"PubMed","abstract":"Succinate is an important intermediate of the tricarboxylic acid (TCA) cycle. In mitochondria, it plays a crucial role in generating adenosine triphosphate. Succinate metabolism is also intertwined with the metabolism of other metabolites and with the \"GABA shunt\" of the glutamine pathway. Recently, it has become increasingly apparent that the roles of succinate extend into the realms of immunity and cancer. Succinate is a key modulator of the hypoxic response, an important player in tumorigenesis; succinate is also involved in protein succinylation, a novel posttranslational modification pathway. This expanding repertoire of succinate functions suggests that it has broad roles in cellular contexts. Mutations in enzymes such as succinate dehydrogenase (SDH) that participate in succinate-related pathways lead to various pathologies, including tumor formation and innate inflammatory processes. Succinate can have both pro- or anti-tumor effectiveness. Therefore, investigation of succinate as an inflammatory signal may increase our understanding of the cancer-immunity cycle involved in both inflammatory diseases and cancer. Here, we briefly review the emerging roles of succinate, extending beyond metabolism, into anti-cancer immunity. This expansion of succinate roles suggests that it may represent a novel class of regulators in inflammation, which act as key signals in human cancers.","DOI":"10.1016/j.canlet.2017.01.019","ISSN":"1872-7980","note":"PMID: 28109906","journalAbbreviation":"Cancer Lett.","language":"eng","author":[{"family":"Jiang","given":"Shuai"},{"family":"Yan","given":"Wei"}],"issued":{"date-parts":[["2017"]],"season":"01"}}},{"id":1654,"uris":["http://zotero.org/users/4775618/items/CVBKJA8T"],"uri":["http://zotero.org/users/4775618/items/CVBKJA8T"],"itemData":{"id":1654,"type":"article-journal","title":"Succinate: a metabolic signal in inflammation","container-title":"Trends in Cell Biology","page":"313-320","volume":"24","issue":"5","source":"ScienceDirect","abstract":"Succinate is an intermediate of the tricarboxylic acid (TCA) cycle, and plays a crucial role in adenosine triphosphate (ATP) generation in mitochondria. Recently, new roles for succinate outside metabolism have emerged. Succinate stabilizes the transcription factor hypoxia-inducible factor-1α (HIF-1α) in specific tumors and in activated macrophages, and stimulates dendritic cells via its receptor succinate receptor 1. Furthermore, succinate has been shown to post-translationally modify proteins. This expanding repertoire of functions for succinate suggests a broader role in cellular activation. We review the new roles of succinate and draw parallels to other metabolites such as NAD+ and citrate whose roles have expanded beyond metabolism and into signaling.","URL":"http://www.sciencedirect.com/science/article/pii/S0962892413002213","DOI":"10.1016/j.tcb.2013.11.008","ISSN":"0962-8924","title-short":"Succinate","journalAbbreviation":"Trends in Cell Biology","author":[{"family":"Mills","given":"Evanna"},{"family":"O’Neill","given":"Luke A. J."}],"issued":{"date-parts":[["2014",5,1]]},"accessed":{"date-parts":[["2019",3,2]]}}},{"id":1651,"uris":["http://zotero.org/users/4775618/items/7ZQYE3EE"],"uri":["http://zotero.org/users/4775618/items/7ZQYE3EE"],"itemData":{"id":1651,"type":"article-journal","title":"Identification of lysine succinylation as a new post-translational modification","container-title":"Nature Chemical Biology","page":"58-63","volume":"7","issue":"1","source":"PubMed","abstract":"Of the 20 ribosomally coded amino acid residues, lysine is the most frequently post-translationally modified, which has important functional and regulatory consequences. Here we report the identification and verification of a previously unreported form of protein post-translational modification (PTM): lysine succinylation. The succinyllysine residue was initially identified by mass spectrometry and protein sequence alignment. The identified succinyllysine peptides derived from in vivo proteins were verified by western blot analysis, in vivo labeling with isotopic succinate, MS/MS and HPLC coelution of their synthetic counterparts. We further show that lysine succinylation is evolutionarily conserved and that this PTM responds to different physiological conditions. Our study also implies that succinyl-CoA might be a cofactor for lysine succinylation. Given the apparent high abundance of lysine succinylation and the significant structural changes induced by this PTM, it is expected that lysine succinylation has important cellular functions.","DOI":"10.1038/nchembio.495","ISSN":"1552-4469","note":"PMID: 21151122\nPMCID: PMC3065206","journalAbbreviation":"Nat. Chem. Biol.","language":"eng","author":[{"family":"Zhang","given":"Zhihong"},{"family":"Tan","given":"Minjia"},{"family":"Xie","given":"Zhongyu"},{"family":"Dai","given":"Lunzhi"},{"family":"Chen","given":"Yue"},{"family":"Zhao","given":"Yingming"}],"issued":{"date-parts":[["2011",1]]}}}],"schema":"https://github.com/citation-style-language/schema/raw/master/csl-citation.json"} </w:instrText>
      </w:r>
      <w:r w:rsidR="004048CA">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186–188</w:t>
      </w:r>
      <w:r w:rsidR="004048C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C96DE0">
        <w:rPr>
          <w:rFonts w:ascii="Calibri" w:hAnsi="Calibri" w:cs="Calibri"/>
          <w:color w:val="000000" w:themeColor="text1"/>
          <w:sz w:val="22"/>
          <w:szCs w:val="22"/>
        </w:rPr>
        <w:t>S</w:t>
      </w:r>
      <w:r w:rsidR="00F131BF" w:rsidRPr="00D637BA">
        <w:rPr>
          <w:rFonts w:ascii="Calibri" w:hAnsi="Calibri" w:cs="Calibri"/>
          <w:color w:val="000000" w:themeColor="text1"/>
          <w:sz w:val="22"/>
          <w:szCs w:val="22"/>
        </w:rPr>
        <w:t>uccinylation results from succinyl-CoA reacting with the lysine residues in proteins</w:t>
      </w:r>
      <w:r w:rsidR="004048CA">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{"citationID":"a26mhqdmqf7","properties":{"formattedCitation":"\\super 187,188\\nosupersub{}","plainCitation":"187,188","noteIndex":0},"citationItems":[{"id":1654,"uris":["http://zotero.org/users/4775618/items/CVBKJA8T"],"uri":["http://zotero.org/users/4775618/items/CVBKJA8T"],"itemData":{"id":1654,"type":"article-journal","title":"Succinate: a metabolic signal in inflammation","container-title":"Trends in Cell Biology","page":"313-320","volume":"24","issue":"5","source":"ScienceDirect","abstract":"Succinate is an intermediate of the tricarboxylic acid (TCA) cycle, and plays a crucial role in adenosine triphosphate (ATP) generation in mitochondria. Recently, new roles for succinate outside metabolism have emerged. Succinate stabilizes the transcription factor hypoxia-inducible factor-1α (HIF-1α) in specific tumors and in activated macrophages, and stimulates dendritic cells via its receptor succinate receptor 1. Furthermore, succinate has been shown to post-translationally modify proteins. This expanding repertoire of functions for succinate suggests a broader role in cellular activation. We review the new roles of succinate and draw parallels to other metabolites such as NAD+ and citrate whose roles have expanded beyond metabolism and into signaling.","URL":"http://www.sciencedirect.com/science/article/pii/S0962892413002213","DOI":"10.1016/j.tcb.2013.11.008","ISSN":"0962-8924","title-short":"Succinate","journalAbbreviation":"Trends in Cell Biology","author":[{"family":"Mills","given":"Evanna"},{"family":"O’Neill","given":"Luke A. J."}],"issued":{"date-parts":[["2014",5,1]]},"accessed":{"date-parts":[["2019",3,2]]}}},{"id":1651,"uris":["http://zotero.org/users/4775618/items/7ZQYE3EE"],"uri":["http://zotero.org/users/4775618/items/7ZQYE3EE"],"itemData":{"id":1651,"type":"article-journal","title":"Identification of lysine succinylation as a new post-translational modification","container-title":"Nature Chemical Biology","page":"58-63","volume":"7","issue":"1","source":"PubMed","abstract":"Of the 20 ribosomally coded amino acid residues, lysine is the most frequently post-translationally modified, which has important functional and regulatory consequences. Here we report the identification and verification of a previously unreported form of protein post-translational modification (PTM): lysine succinylation. The succinyllysine residue was initially identified by mass spectrometry and protein sequence alignment. The identified succinyllysine peptides derived from in vivo proteins were verified by western blot analysis, in vivo labeling with isotopic succinate, MS/MS and HPLC coelution of their synthetic counterparts. We further show that lysine succinylation is evolutionarily conserved and that this PTM responds to different physiological conditions. Our study also implies that succinyl-CoA might be a cofactor for lysine succinylation. Given the apparent high abundance of lysine succinylation and the significant structural changes induced by this PTM, it is expected that lysine succinylation has important cellular functions.","DOI":"10.1038/nchembio.495","ISSN":"1552-4469","note":"PMID: 21151122\nPMCID: PMC3065206","journalAbbreviation":"Nat. Chem. Biol.","language":"eng","author":[{"family":"Zhang","given":"Zhihong"},{"family":"Tan","given":"Minjia"},{"family":"Xie","given":"Zhongyu"},{"family":"Dai","given":"Lunzhi"},{"family":"Chen","given":"Yue"},{"family":"Zhao","given":"Yingming"}],"issued":{"date-parts":[["2011",1]]}}}],"schema":"https://github.com/citation-style-language/schema/raw/master/csl-citation.json"} </w:instrText>
      </w:r>
      <w:r w:rsidR="004048CA">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187,188</w:t>
      </w:r>
      <w:r w:rsidR="004048CA">
        <w:rPr>
          <w:rFonts w:ascii="Calibri" w:hAnsi="Calibri" w:cs="Calibri"/>
          <w:color w:val="000000" w:themeColor="text1"/>
          <w:sz w:val="22"/>
          <w:szCs w:val="22"/>
        </w:rPr>
        <w:fldChar w:fldCharType="end"/>
      </w:r>
      <w:r w:rsidR="00C96DE0">
        <w:rPr>
          <w:rFonts w:ascii="Calibri" w:hAnsi="Calibri" w:cs="Calibri"/>
          <w:color w:val="000000" w:themeColor="text1"/>
          <w:sz w:val="22"/>
          <w:szCs w:val="22"/>
        </w:rPr>
        <w:t>. I</w:t>
      </w:r>
      <w:r w:rsidR="00F131BF" w:rsidRPr="00D637BA">
        <w:rPr>
          <w:rFonts w:ascii="Calibri" w:hAnsi="Calibri" w:cs="Calibri"/>
          <w:color w:val="000000" w:themeColor="text1"/>
          <w:sz w:val="22"/>
          <w:szCs w:val="22"/>
        </w:rPr>
        <w:t>t is</w:t>
      </w:r>
      <w:r w:rsidR="00C96DE0">
        <w:rPr>
          <w:rFonts w:ascii="Calibri" w:hAnsi="Calibri" w:cs="Calibri"/>
          <w:color w:val="000000" w:themeColor="text1"/>
          <w:sz w:val="22"/>
          <w:szCs w:val="22"/>
        </w:rPr>
        <w:t xml:space="preserve"> proposed that succinate, which can equilibrate with succinyl-coA</w:t>
      </w:r>
      <w:r>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is the underlying mechanism behind this link</w:t>
      </w:r>
      <w:r w:rsidR="004048CA">
        <w:rPr>
          <w:rFonts w:ascii="Calibri" w:hAnsi="Calibri" w:cs="Calibri"/>
          <w:color w:val="000000" w:themeColor="text1"/>
          <w:sz w:val="22"/>
          <w:szCs w:val="22"/>
        </w:rPr>
        <w:fldChar w:fldCharType="begin"/>
      </w:r>
      <w:r w:rsidR="00B67BF3">
        <w:rPr>
          <w:rFonts w:ascii="Calibri" w:hAnsi="Calibri" w:cs="Calibri"/>
          <w:color w:val="000000" w:themeColor="text1"/>
          <w:sz w:val="22"/>
          <w:szCs w:val="22"/>
        </w:rPr>
        <w:instrText xml:space="preserve"> ADDIN ZOTERO_ITEM CSL_CITATION {"citationID":"ab2da28u8n","properties":{"formattedCitation":"\\super 187\\nosupersub{}","plainCitation":"187","noteIndex":0},"citationItems":[{"id":1654,"uris":["http://zotero.org/users/4775618/items/CVBKJA8T"],"uri":["http://zotero.org/users/4775618/items/CVBKJA8T"],"itemData":{"id":1654,"type":"article-journal","title":"Succinate: a metabolic signal in inflammation","container-title":"Trends in Cell Biology","page":"313-320","volume":"24","issue":"5","source":"ScienceDirect","abstract":"Succinate is an intermediate of the tricarboxylic acid (TCA) cycle, and plays a crucial role in adenosine triphosphate (ATP) generation in mitochondria. Recently, new roles for succinate outside metabolism have emerged. Succinate stabilizes the transcription factor hypoxia-inducible factor-1α (HIF-1α) in specific tumors and in activated macrophages, and stimulates dendritic cells via its receptor succinate receptor 1. Furthermore, succinate has been shown to post-translationally modify proteins. This expanding repertoire of functions for succinate suggests a broader role in cellular activation. We review the new roles of succinate and draw parallels to other metabolites such as NAD+ and citrate whose roles have expanded beyond metabolism and into signaling.","URL":"http://www.sciencedirect.com/science/article/pii/S0962892413002213","DOI":"10.1016/j.tcb.2013.11.008","ISSN":"0962-8924","title-short":"Succinate","journalAbbreviation":"Trends in Cell Biology","author":[{"family":"Mills","given":"Evanna"},{"family":"O’Neill","given":"Luke A. J."}],"issued":{"date-parts":[["2014",5,1]]},"accessed":{"date-parts":[["2019",3,2]]}}}],"schema":"https://github.com/citation-style-language/schema/raw/master/csl-citation.json"} </w:instrText>
      </w:r>
      <w:r w:rsidR="004048CA">
        <w:rPr>
          <w:rFonts w:ascii="Calibri" w:hAnsi="Calibri" w:cs="Calibri"/>
          <w:color w:val="000000" w:themeColor="text1"/>
          <w:sz w:val="22"/>
          <w:szCs w:val="22"/>
        </w:rPr>
        <w:fldChar w:fldCharType="separate"/>
      </w:r>
      <w:r w:rsidR="00B67BF3" w:rsidRPr="00B67BF3">
        <w:rPr>
          <w:rFonts w:ascii="Calibri" w:hAnsi="Calibri" w:cs="Calibri"/>
          <w:color w:val="000000"/>
          <w:sz w:val="22"/>
          <w:vertAlign w:val="superscript"/>
          <w:lang w:val="en-US"/>
        </w:rPr>
        <w:t>187</w:t>
      </w:r>
      <w:r w:rsidR="004048C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785B3E" w:rsidRPr="00D637BA">
        <w:rPr>
          <w:rFonts w:ascii="Calibri" w:hAnsi="Calibri" w:cs="Calibri"/>
          <w:color w:val="000000" w:themeColor="text1"/>
          <w:sz w:val="22"/>
          <w:szCs w:val="22"/>
        </w:rPr>
        <w:t>Interestingly,</w:t>
      </w:r>
      <w:r w:rsidR="00023208"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D2HG</w:t>
      </w:r>
      <w:r w:rsidR="00785B3E" w:rsidRPr="00D637BA">
        <w:rPr>
          <w:rFonts w:ascii="Calibri" w:hAnsi="Calibri" w:cs="Calibri"/>
          <w:color w:val="000000" w:themeColor="text1"/>
          <w:sz w:val="22"/>
          <w:szCs w:val="22"/>
        </w:rPr>
        <w:t xml:space="preserve"> </w:t>
      </w:r>
      <w:r w:rsidR="003A1AB8" w:rsidRPr="00D637BA">
        <w:rPr>
          <w:rFonts w:ascii="Calibri" w:hAnsi="Calibri" w:cs="Calibri"/>
          <w:color w:val="000000" w:themeColor="text1"/>
          <w:sz w:val="22"/>
          <w:szCs w:val="22"/>
        </w:rPr>
        <w:t xml:space="preserve">accumulation </w:t>
      </w:r>
      <w:r w:rsidR="00F131BF" w:rsidRPr="00D637BA">
        <w:rPr>
          <w:rFonts w:ascii="Calibri" w:hAnsi="Calibri" w:cs="Calibri"/>
          <w:color w:val="000000" w:themeColor="text1"/>
          <w:sz w:val="22"/>
          <w:szCs w:val="22"/>
        </w:rPr>
        <w:t>competitively inhibit</w:t>
      </w:r>
      <w:r w:rsidR="00785B3E"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 SDH activity in </w:t>
      </w:r>
      <w:r w:rsidR="00F131BF" w:rsidRPr="00D637BA">
        <w:rPr>
          <w:rFonts w:ascii="Calibri" w:hAnsi="Calibri" w:cs="Calibri"/>
          <w:i/>
          <w:color w:val="000000" w:themeColor="text1"/>
          <w:sz w:val="22"/>
          <w:szCs w:val="22"/>
        </w:rPr>
        <w:t>IDH1</w:t>
      </w:r>
      <w:r w:rsidR="00F131BF" w:rsidRPr="00D637BA">
        <w:rPr>
          <w:rFonts w:ascii="Calibri" w:hAnsi="Calibri" w:cs="Calibri"/>
          <w:color w:val="000000" w:themeColor="text1"/>
          <w:sz w:val="22"/>
          <w:szCs w:val="22"/>
        </w:rPr>
        <w:t>-mutant fibrosarcoma cells</w:t>
      </w:r>
      <w:r w:rsidR="00785B3E" w:rsidRPr="00D637BA">
        <w:rPr>
          <w:rFonts w:ascii="Calibri" w:hAnsi="Calibri" w:cs="Calibri"/>
          <w:color w:val="000000" w:themeColor="text1"/>
          <w:sz w:val="22"/>
          <w:szCs w:val="22"/>
        </w:rPr>
        <w:t>, causing a</w:t>
      </w:r>
      <w:r w:rsidR="00F131BF" w:rsidRPr="00D637BA">
        <w:rPr>
          <w:rFonts w:ascii="Calibri" w:hAnsi="Calibri" w:cs="Calibri"/>
          <w:color w:val="000000" w:themeColor="text1"/>
          <w:sz w:val="22"/>
          <w:szCs w:val="22"/>
        </w:rPr>
        <w:t xml:space="preserve"> hypersuccinylated phenotype and apoptosis resistance</w:t>
      </w:r>
      <w:r w:rsidR="004048C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{"citationID":"a1t8pf9eoou","properties":{"formattedCitation":"\\super 189\\nosupersub{}","plainCitation":"189","noteIndex":0},"citationItems":[{"id":1663,"uris":["http://zotero.org/users/4775618/items/LRB458NE"],"uri":["http://zotero.org/users/4775618/items/LRB458NE"],"itemData":{"id":1663,"type":"article-journal","title":"NADP+-IDH Mutations Promote Hypersuccinylation that Impairs Mitochondria Respiration and Induces Apoptosis Resistance","container-title":"Molecular Cell","page":"661-675","volume":"60","issue":"4","source":"ScienceDirect","abstract":"Summary\nElucidating the tumorigenic mechanism of R-2-hydroxyglutarate (R-2HG) is critical for determining how NADP+-IDH mutations cause cancer. Here we report that R-2HG induces cancerous metabolism and apoptosis resistance through promoting hypersuccinylation. By competitive inhibition of the mitochondrial tricarboxylic acid cycle enzyme succinate dehydrogenase (SDH), R-2HG preferentially induced succinyl-CoA accumulation and hypersuccinylation in the mitochondria. IDH1 mutation-bearing glioma samples and cells were hypersuccinylated in the mitochondria. IDH1 mutation or SDH inactivation resulted in hypersuccinylation, causing respiration inhibition and inducing cancerous metabolism and mitochondrial depolarization. These mitochondrial dysfunctions induced BCL-2 accumulation at the mitochondrial membrane, leading to apoptosis resistance of hypersuccinylated cells. Relief of hypersuccinylation by overexpressing the desuccinylase SIRT5 or supplementing glycine rescued mitochondrial dysfunctions, reversed BCL-2 accumulation, and slowed the oncogenic growth of hypersuccinylated IDH1 R132C-harboring HT1080 cells. Thus, R-2HG-induced hypersuccinylation contributes to the tumorigenicity of NADP+-IDH mutations, suggesting the potential of hypersuccinylation inhibition as an intervention for hypersuccinylation-related tumors.","URL":"http://www.sciencedirect.com/science/article/pii/S1097276515008084","DOI":"10.1016/j.molcel.2015.10.017","ISSN":"1097-2765","journalAbbreviation":"Molecular Cell","author":[{"family":"Li","given":"Feng"},{"family":"He","given":"Xiadi"},{"family":"Ye","given":"Dingwei"},{"family":"Lin","given":"Yan"},{"family":"Yu","given":"Hongxiu"},{"family":"Yao","given":"Cuifang"},{"family":"Huang","given":"Lei"},{"family":"Zhang","given":"Jianong"},{"family":"Wang","given":"Fang"},{"family":"Xu","given":"Sha"},{"family":"Wu","given":"Xiaohui"},{"family":"Liu","given":"Lixia"},{"family":"Yang","given":"Chen"},{"family":"Shi","given":"Jiaqi"},{"family":"He","given":"Xiaoyang"},{"family":"Liu","given":"Jie"},{"family":"Qu","given":"Yuanyuan"},{"family":"Guo","given":"Fushen"},{"family":"Zhao","given":"Jianyuan"},{"family":"Xu","given":"Wei"},{"family":"Zhao","given":"Shimin"}],"issued":{"date-parts":[["2015",11,19]]},"accessed":{"date-parts":[["2019",3,2]]}}}],"schema":"https://github.com/citation-style-language/schema/raw/master/csl-citation.json"} </w:instrText>
      </w:r>
      <w:r w:rsidR="004048C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189</w:t>
      </w:r>
      <w:r w:rsidR="004048C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3A1AB8" w:rsidRPr="00D637BA">
        <w:rPr>
          <w:rFonts w:ascii="Calibri" w:hAnsi="Calibri" w:cs="Calibri"/>
          <w:color w:val="000000" w:themeColor="text1"/>
          <w:sz w:val="22"/>
          <w:szCs w:val="22"/>
        </w:rPr>
        <w:t xml:space="preserve">which are </w:t>
      </w:r>
      <w:r w:rsidR="00F131BF" w:rsidRPr="00D637BA">
        <w:rPr>
          <w:rFonts w:ascii="Calibri" w:hAnsi="Calibri" w:cs="Calibri"/>
          <w:color w:val="000000" w:themeColor="text1"/>
          <w:sz w:val="22"/>
          <w:szCs w:val="22"/>
        </w:rPr>
        <w:t>established hallmarks of cancer</w:t>
      </w:r>
      <w:r w:rsidR="004048C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{"citationID":"a2i7j67jc2t","properties":{"formattedCitation":"\\super 24\\nosupersub{}","plainCitation":"24","noteIndex":0},"citationItems":[{"id":694,"uris":["http://zotero.org/users/4775618/items/7MWJ388H"],"uri":["http://zotero.org/users/4775618/items/7MWJ388H"],"itemData":{"id":694,"type":"article-journal","title":"Hallmarks of Cancer: The Next Generation","container-title":"Cell","page":"646-674","volume":"144","issue":"5","source":"Crossref","URL":"http://linkinghub.elsevier.com/retrieve/pii/S0092867411001279","DOI":"10.1016/j.cell.2011.02.013","ISSN":"00928674","title-short":"Hallmarks of Cancer","language":"en","author":[{"family":"Hanahan","given":"Douglas"},{"family":"Weinberg","given":"Robert A."}],"issued":{"date-parts":[["2011",3]]},"accessed":{"date-parts":[["2018",9,2]]}}}],"schema":"https://github.com/citation-style-language/schema/raw/master/csl-citation.json"} </w:instrText>
      </w:r>
      <w:r w:rsidR="004048C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24</w:t>
      </w:r>
      <w:r w:rsidR="004048C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Re-expression of the desuccinylase SIRT5</w:t>
      </w:r>
      <w:r w:rsidR="00484930">
        <w:rPr>
          <w:rFonts w:ascii="Calibri" w:hAnsi="Calibri" w:cs="Calibri"/>
          <w:color w:val="000000" w:themeColor="text1"/>
          <w:sz w:val="22"/>
          <w:szCs w:val="22"/>
        </w:rPr>
        <w:t xml:space="preserve"> or</w:t>
      </w:r>
      <w:r w:rsidR="00F131BF" w:rsidRPr="00D637BA">
        <w:rPr>
          <w:rFonts w:ascii="Calibri" w:hAnsi="Calibri" w:cs="Calibri"/>
          <w:color w:val="000000" w:themeColor="text1"/>
          <w:sz w:val="22"/>
          <w:szCs w:val="22"/>
        </w:rPr>
        <w:t xml:space="preserve"> glycine supplementation</w:t>
      </w:r>
      <w:r w:rsidR="003A1AB8" w:rsidRPr="00D637BA">
        <w:rPr>
          <w:rFonts w:ascii="Calibri" w:hAnsi="Calibri" w:cs="Calibri"/>
          <w:color w:val="000000" w:themeColor="text1"/>
          <w:sz w:val="22"/>
          <w:szCs w:val="22"/>
        </w:rPr>
        <w:t>,</w:t>
      </w:r>
      <w:r w:rsidR="00C02301"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led to reversal of this hypersuccinylated phenotype and slowed oncogenic growth </w:t>
      </w:r>
      <w:r w:rsidR="00F131BF" w:rsidRPr="00D637BA">
        <w:rPr>
          <w:rFonts w:ascii="Calibri" w:hAnsi="Calibri" w:cs="Calibri"/>
          <w:i/>
          <w:color w:val="000000" w:themeColor="text1"/>
          <w:sz w:val="22"/>
          <w:szCs w:val="22"/>
        </w:rPr>
        <w:t>in vitro</w:t>
      </w:r>
      <w:r w:rsidR="004048CA">
        <w:rPr>
          <w:rFonts w:ascii="Calibri" w:hAnsi="Calibri" w:cs="Calibri"/>
          <w:i/>
          <w:color w:val="000000" w:themeColor="text1"/>
          <w:sz w:val="22"/>
          <w:szCs w:val="22"/>
        </w:rPr>
        <w:fldChar w:fldCharType="begin"/>
      </w:r>
      <w:r w:rsidR="003D6329">
        <w:rPr>
          <w:rFonts w:ascii="Calibri" w:hAnsi="Calibri" w:cs="Calibri"/>
          <w:i/>
          <w:color w:val="000000" w:themeColor="text1"/>
          <w:sz w:val="22"/>
          <w:szCs w:val="22"/>
        </w:rPr>
        <w:instrText xml:space="preserve"> ADDIN ZOTERO_ITEM CSL_CITATION {"citationID":"a1uon341h6c","properties":{"formattedCitation":"\\super 189\\nosupersub{}","plainCitation":"189","noteIndex":0},"citationItems":[{"id":1663,"uris":["http://zotero.org/users/4775618/items/LRB458NE"],"uri":["http://zotero.org/users/4775618/items/LRB458NE"],"itemData":{"id":1663,"type":"article-journal","title":"NADP+-IDH Mutations Promote Hypersuccinylation that Impairs Mitochondria Respiration and Induces Apoptosis Resistance","container-title":"Molecular Cell","page":"661-675","volume":"60","issue":"4","source":"ScienceDirect","abstract":"Summary\nElucidating the tumorigenic mechanism of R-2-hydroxyglutarate (R-2HG) is critical for determining how NADP+-IDH mutations cause cancer. Here we report that R-2HG induces cancerous metabolism and apoptosis resistance through promoting hypersuccinylation. By competitive inhibition of the mitochondrial tricarboxylic acid cycle enzyme succinate dehydrogenase (SDH), R-2HG preferentially induced succinyl-CoA accumulation and hypersuccinylation in the mitochondria. IDH1 mutation-bearing glioma samples and cells were hypersuccinylated in the mitochondria. IDH1 mutation or SDH inactivation resulted in hypersuccinylation, causing respiration inhibition and inducing cancerous metabolism and mitochondrial depolarization. These mitochondrial dysfunctions induced BCL-2 accumulation at the mitochondrial membrane, leading to apoptosis resistance of hypersuccinylated cells. Relief of hypersuccinylation by overexpressing the desuccinylase SIRT5 or supplementing glycine rescued mitochondrial dysfunctions, reversed BCL-2 accumulation, and slowed the oncogenic growth of hypersuccinylated IDH1 R132C-harboring HT1080 cells. Thus, R-2HG-induced hypersuccinylation contributes to the tumorigenicity of NADP+-IDH mutations, suggesting the potential of hypersuccinylation inhibition as an intervention for hypersuccinylation-related tumors.","URL":"http://www.sciencedirect.com/science/article/pii/S1097276515008084","DOI":"10.1016/j.molcel.2015.10.017","ISSN":"1097-2765","journalAbbreviation":"Molecular Cell","author":[{"family":"Li","given":"Feng"},{"family":"He","given":"Xiadi"},{"family":"Ye","given":"Dingwei"},{"family":"Lin","given":"Yan"},{"family":"Yu","given":"Hongxiu"},{"family":"Yao","given":"Cuifang"},{"family":"Huang","given":"Lei"},{"family":"Zhang","given":"Jianong"},{"family":"Wang","given":"Fang"},{"family":"Xu","given":"Sha"},{"family":"Wu","given":"Xiaohui"},{"family":"Liu","given":"Lixia"},{"family":"Yang","given":"Chen"},{"family":"Shi","given":"Jiaqi"},{"family":"He","given":"Xiaoyang"},{"family":"Liu","given":"Jie"},{"family":"Qu","given":"Yuanyuan"},{"family":"Guo","given":"Fushen"},{"family":"Zhao","given":"Jianyuan"},{"family":"Xu","given":"Wei"},{"family":"Zhao","given":"Shimin"}],"issued":{"date-parts":[["2015",11,19]]},"accessed":{"date-parts":[["2019",3,2]]}}}],"schema":"https://github.com/citation-style-language/schema/raw/master/csl-citation.json"} </w:instrText>
      </w:r>
      <w:r w:rsidR="004048CA">
        <w:rPr>
          <w:rFonts w:ascii="Calibri" w:hAnsi="Calibri" w:cs="Calibri"/>
          <w:i/>
          <w:color w:val="000000" w:themeColor="text1"/>
          <w:sz w:val="22"/>
          <w:szCs w:val="22"/>
        </w:rPr>
        <w:fldChar w:fldCharType="separate"/>
      </w:r>
      <w:r w:rsidR="003D6329" w:rsidRPr="003D6329">
        <w:rPr>
          <w:rFonts w:ascii="Calibri" w:hAnsi="Calibri" w:cs="Calibri"/>
          <w:color w:val="000000"/>
          <w:sz w:val="22"/>
          <w:vertAlign w:val="superscript"/>
          <w:lang w:val="en-US"/>
        </w:rPr>
        <w:t>189</w:t>
      </w:r>
      <w:r w:rsidR="004048CA">
        <w:rPr>
          <w:rFonts w:ascii="Calibri" w:hAnsi="Calibri" w:cs="Calibri"/>
          <w:i/>
          <w:color w:val="000000" w:themeColor="text1"/>
          <w:sz w:val="22"/>
          <w:szCs w:val="22"/>
        </w:rPr>
        <w:fldChar w:fldCharType="end"/>
      </w:r>
      <w:r w:rsidR="00F131BF" w:rsidRPr="00D637BA">
        <w:rPr>
          <w:rFonts w:ascii="Calibri" w:hAnsi="Calibri" w:cs="Calibri"/>
          <w:color w:val="000000" w:themeColor="text1"/>
          <w:sz w:val="22"/>
          <w:szCs w:val="22"/>
        </w:rPr>
        <w:t>. Mechanistically, glycine depletes the availability of succinyl-CoA by condensing directly with succinyl-CoA to form 5-aminoevuilinc acid</w:t>
      </w:r>
      <w:r w:rsidR="003A1AB8"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which enters the haem biosynthesis pathway</w:t>
      </w:r>
      <w:r w:rsidR="004048C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{"citationID":"a1p2do9d98l","properties":{"formattedCitation":"\\super 189\\nosupersub{}","plainCitation":"189","noteIndex":0},"citationItems":[{"id":1663,"uris":["http://zotero.org/users/4775618/items/LRB458NE"],"uri":["http://zotero.org/users/4775618/items/LRB458NE"],"itemData":{"id":1663,"type":"article-journal","title":"NADP+-IDH Mutations Promote Hypersuccinylation that Impairs Mitochondria Respiration and Induces Apoptosis Resistance","container-title":"Molecular Cell","page":"661-675","volume":"60","issue":"4","source":"ScienceDirect","abstract":"Summary\nElucidating the tumorigenic mechanism of R-2-hydroxyglutarate (R-2HG) is critical for determining how NADP+-IDH mutations cause cancer. Here we report that R-2HG induces cancerous metabolism and apoptosis resistance through promoting hypersuccinylation. By competitive inhibition of the mitochondrial tricarboxylic acid cycle enzyme succinate dehydrogenase (SDH), R-2HG preferentially induced succinyl-CoA accumulation and hypersuccinylation in the mitochondria. IDH1 mutation-bearing glioma samples and cells were hypersuccinylated in the mitochondria. IDH1 mutation or SDH inactivation resulted in hypersuccinylation, causing respiration inhibition and inducing cancerous metabolism and mitochondrial depolarization. These mitochondrial dysfunctions induced BCL-2 accumulation at the mitochondrial membrane, leading to apoptosis resistance of hypersuccinylated cells. Relief of hypersuccinylation by overexpressing the desuccinylase SIRT5 or supplementing glycine rescued mitochondrial dysfunctions, reversed BCL-2 accumulation, and slowed the oncogenic growth of hypersuccinylated IDH1 R132C-harboring HT1080 cells. Thus, R-2HG-induced hypersuccinylation contributes to the tumorigenicity of NADP+-IDH mutations, suggesting the potential of hypersuccinylation inhibition as an intervention for hypersuccinylation-related tumors.","URL":"http://www.sciencedirect.com/science/article/pii/S1097276515008084","DOI":"10.1016/j.molcel.2015.10.017","ISSN":"1097-2765","journalAbbreviation":"Molecular Cell","author":[{"family":"Li","given":"Feng"},{"family":"He","given":"Xiadi"},{"family":"Ye","given":"Dingwei"},{"family":"Lin","given":"Yan"},{"family":"Yu","given":"Hongxiu"},{"family":"Yao","given":"Cuifang"},{"family":"Huang","given":"Lei"},{"family":"Zhang","given":"Jianong"},{"family":"Wang","given":"Fang"},{"family":"Xu","given":"Sha"},{"family":"Wu","given":"Xiaohui"},{"family":"Liu","given":"Lixia"},{"family":"Yang","given":"Chen"},{"family":"Shi","given":"Jiaqi"},{"family":"He","given":"Xiaoyang"},{"family":"Liu","given":"Jie"},{"family":"Qu","given":"Yuanyuan"},{"family":"Guo","given":"Fushen"},{"family":"Zhao","given":"Jianyuan"},{"family":"Xu","given":"Wei"},{"family":"Zhao","given":"Shimin"}],"issued":{"date-parts":[["2015",11,19]]},"accessed":{"date-parts":[["2019",3,2]]}}}],"schema":"https://github.com/citation-style-language/schema/raw/master/csl-citation.json"} </w:instrText>
      </w:r>
      <w:r w:rsidR="004048C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189</w:t>
      </w:r>
      <w:r w:rsidR="004048C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55319D" w:rsidRPr="00D637BA">
        <w:rPr>
          <w:rFonts w:ascii="Calibri" w:hAnsi="Calibri" w:cs="Calibri"/>
          <w:color w:val="000000" w:themeColor="text1"/>
          <w:sz w:val="22"/>
          <w:szCs w:val="22"/>
        </w:rPr>
        <w:t>Remarkably</w:t>
      </w:r>
      <w:r w:rsidR="00F131BF" w:rsidRPr="00D637BA">
        <w:rPr>
          <w:rFonts w:ascii="Calibri" w:hAnsi="Calibri" w:cs="Calibri"/>
          <w:color w:val="000000" w:themeColor="text1"/>
          <w:sz w:val="22"/>
          <w:szCs w:val="22"/>
        </w:rPr>
        <w:t xml:space="preserve">, type 2 pRCC tumours with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 xml:space="preserve">-mutations were found to be hypersuccinylated compared to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-wildtype RCC</w:t>
      </w:r>
      <w:r w:rsidR="004048C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{"citationID":"ajksar0a31","properties":{"formattedCitation":"\\super 189\\nosupersub{}","plainCitation":"189","noteIndex":0},"citationItems":[{"id":1663,"uris":["http://zotero.org/users/4775618/items/LRB458NE"],"uri":["http://zotero.org/users/4775618/items/LRB458NE"],"itemData":{"id":1663,"type":"article-journal","title":"NADP+-IDH Mutations Promote Hypersuccinylation that Impairs Mitochondria Respiration and Induces Apoptosis Resistance","container-title":"Molecular Cell","page":"661-675","volume":"60","issue":"4","source":"ScienceDirect","abstract":"Summary\nElucidating the tumorigenic mechanism of R-2-hydroxyglutarate (R-2HG) is critical for determining how NADP+-IDH mutations cause cancer. Here we report that R-2HG induces cancerous metabolism and apoptosis resistance through promoting hypersuccinylation. By competitive inhibition of the mitochondrial tricarboxylic acid cycle enzyme succinate dehydrogenase (SDH), R-2HG preferentially induced succinyl-CoA accumulation and hypersuccinylation in the mitochondria. IDH1 mutation-bearing glioma samples and cells were hypersuccinylated in the mitochondria. IDH1 mutation or SDH inactivation resulted in hypersuccinylation, causing respiration inhibition and inducing cancerous metabolism and mitochondrial depolarization. These mitochondrial dysfunctions induced BCL-2 accumulation at the mitochondrial membrane, leading to apoptosis resistance of hypersuccinylated cells. Relief of hypersuccinylation by overexpressing the desuccinylase SIRT5 or supplementing glycine rescued mitochondrial dysfunctions, reversed BCL-2 accumulation, and slowed the oncogenic growth of hypersuccinylated IDH1 R132C-harboring HT1080 cells. Thus, R-2HG-induced hypersuccinylation contributes to the tumorigenicity of NADP+-IDH mutations, suggesting the potential of hypersuccinylation inhibition as an intervention for hypersuccinylation-related tumors.","URL":"http://www.sciencedirect.com/science/article/pii/S1097276515008084","DOI":"10.1016/j.molcel.2015.10.017","ISSN":"1097-2765","journalAbbreviation":"Molecular Cell","author":[{"family":"Li","given":"Feng"},{"family":"He","given":"Xiadi"},{"family":"Ye","given":"Dingwei"},{"family":"Lin","given":"Yan"},{"family":"Yu","given":"Hongxiu"},{"family":"Yao","given":"Cuifang"},{"family":"Huang","given":"Lei"},{"family":"Zhang","given":"Jianong"},{"family":"Wang","given":"Fang"},{"family":"Xu","given":"Sha"},{"family":"Wu","given":"Xiaohui"},{"family":"Liu","given":"Lixia"},{"family":"Yang","given":"Chen"},{"family":"Shi","given":"Jiaqi"},{"family":"He","given":"Xiaoyang"},{"family":"Liu","given":"Jie"},{"family":"Qu","given":"Yuanyuan"},{"family":"Guo","given":"Fushen"},{"family":"Zhao","given":"Jianyuan"},{"family":"Xu","given":"Wei"},{"family":"Zhao","given":"Shimin"}],"issued":{"date-parts":[["2015",11,19]]},"accessed":{"date-parts":[["2019",3,2]]}}}],"schema":"https://github.com/citation-style-language/schema/raw/master/csl-citation.json"} </w:instrText>
      </w:r>
      <w:r w:rsidR="004048C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189</w:t>
      </w:r>
      <w:r w:rsidR="004048C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demonstrating the likely convergence of oncometabolites </w:t>
      </w:r>
      <w:r w:rsidR="003A1AB8" w:rsidRPr="00D637BA">
        <w:rPr>
          <w:rFonts w:ascii="Calibri" w:hAnsi="Calibri" w:cs="Calibri"/>
          <w:color w:val="000000" w:themeColor="text1"/>
          <w:sz w:val="22"/>
          <w:szCs w:val="22"/>
        </w:rPr>
        <w:t xml:space="preserve">in </w:t>
      </w:r>
      <w:r w:rsidR="00F131BF" w:rsidRPr="00D637BA">
        <w:rPr>
          <w:rFonts w:ascii="Calibri" w:hAnsi="Calibri" w:cs="Calibri"/>
          <w:color w:val="000000" w:themeColor="text1"/>
          <w:sz w:val="22"/>
          <w:szCs w:val="22"/>
        </w:rPr>
        <w:t xml:space="preserve">this process. In addition, several key metabolic enzymes such as </w:t>
      </w:r>
      <w:r w:rsidR="0055319D" w:rsidRPr="00D637BA">
        <w:rPr>
          <w:rFonts w:ascii="Calibri" w:hAnsi="Calibri" w:cs="Calibri"/>
          <w:color w:val="000000" w:themeColor="text1"/>
          <w:sz w:val="22"/>
          <w:szCs w:val="22"/>
        </w:rPr>
        <w:t>MDH</w:t>
      </w:r>
      <w:r w:rsidR="00F131BF" w:rsidRPr="00D637BA">
        <w:rPr>
          <w:rFonts w:ascii="Calibri" w:hAnsi="Calibri" w:cs="Calibri"/>
          <w:color w:val="000000" w:themeColor="text1"/>
          <w:sz w:val="22"/>
          <w:szCs w:val="22"/>
        </w:rPr>
        <w:t xml:space="preserve"> and IDH2, as well as histones</w:t>
      </w:r>
      <w:r w:rsidR="004048C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{"citationID":"a15ma3iati1","properties":{"formattedCitation":"\\super 190\\nosupersub{}","plainCitation":"190","noteIndex":0},"citationItems":[{"id":1689,"uris":["http://zotero.org/users/4775618/items/6YVYRBR6"],"uri":["http://zotero.org/users/4775618/items/6YVYRBR6"],"itemData":{"id":1689,"type":"article-journal","title":"Lysine succinylation and lysine malonylation in histones","container-title":"Molecular &amp; cellular proteomics: MCP","page":"100-107","volume":"11","issue":"5","source":"PubMed","abstract":"Histone protein post-translational modifications (PTMs) are significant for gene expression and DNA repair. Here we report the identification and validation of a new type of PTM in histones, lysine succinylation. The identified lysine succinylated histone peptides were verified by MS/MS of synthetic peptides, HPLC co-elution, and isotopic labeling. We identified 13, 7, 10, and 7 histone lysine succinylation sites in HeLa, mouse embryonic fibroblast, Drosophila S2, and Saccharomyces cerevisiae cells, respectively. We demonstrated that this histone PTM is present in all eukaryotic cells we examined. Mutagenesis of succinylation sites followed by functional assays implied that histone lysine succinylation can cause unique functional consequences. We also identified one and two histone lysine malonylation sites in HeLa and S. cerevisiae cells, respectively. Our results therefore increase potential combinatorial diversity of histone PTMs and suggest possible new connections between histone biology and metabolism.","DOI":"10.1074/mcp.M111.015875","ISSN":"1535-9484","note":"PMID: 22389435\nPMCID: PMC3418837","journalAbbreviation":"Mol. Cell Proteomics","language":"eng","author":[{"family":"Xie","given":"Zhongyu"},{"family":"Dai","given":"Junbiao"},{"family":"Dai","given":"Lunzhi"},{"family":"Tan","given":"Minjia"},{"family":"Cheng","given":"Zhongyi"},{"family":"Wu","given":"Yeming"},{"family":"Boeke","given":"Jef D."},{"family":"Zhao","given":"Yingming"}],"issued":{"date-parts":[["2012",5]]}}}],"schema":"https://github.com/citation-style-language/schema/raw/master/csl-citation.json"} </w:instrText>
      </w:r>
      <w:r w:rsidR="004048C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190</w:t>
      </w:r>
      <w:r w:rsidR="004048CA">
        <w:rPr>
          <w:rFonts w:ascii="Calibri" w:hAnsi="Calibri" w:cs="Calibri"/>
          <w:color w:val="000000" w:themeColor="text1"/>
          <w:sz w:val="22"/>
          <w:szCs w:val="22"/>
        </w:rPr>
        <w:fldChar w:fldCharType="end"/>
      </w:r>
      <w:r w:rsidR="003A1AB8" w:rsidRPr="00D637BA">
        <w:rPr>
          <w:rFonts w:ascii="Calibri" w:hAnsi="Calibri" w:cs="Calibri"/>
          <w:color w:val="000000" w:themeColor="text1"/>
          <w:sz w:val="22"/>
          <w:szCs w:val="22"/>
        </w:rPr>
        <w:t>,</w:t>
      </w:r>
      <w:r w:rsidR="0055319D"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are targets of protein succinylation</w:t>
      </w:r>
      <w:r w:rsidR="004048C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{"citationID":"a2hbddjb453","properties":{"formattedCitation":"\\super 187,191\\nosupersub{}","plainCitation":"187,191","noteIndex":0},"citationItems":[{"id":1654,"uris":["http://zotero.org/users/4775618/items/CVBKJA8T"],"uri":["http://zotero.org/users/4775618/items/CVBKJA8T"],"itemData":{"id":1654,"type":"article-journal","title":"Succinate: a metabolic signal in inflammation","container-title":"Trends in Cell Biology","page":"313-320","volume":"24","issue":"5","source":"ScienceDirect","abstract":"Succinate is an intermediate of the tricarboxylic acid (TCA) cycle, and plays a crucial role in adenosine triphosphate (ATP) generation in mitochondria. Recently, new roles for succinate outside metabolism have emerged. Succinate stabilizes the transcription factor hypoxia-inducible factor-1α (HIF-1α) in specific tumors and in activated macrophages, and stimulates dendritic cells via its receptor succinate receptor 1. Furthermore, succinate has been shown to post-translationally modify proteins. This expanding repertoire of functions for succinate suggests a broader role in cellular activation. We review the new roles of succinate and draw parallels to other metabolites such as NAD+ and citrate whose roles have expanded beyond metabolism and into signaling.","URL":"http://www.sciencedirect.com/science/article/pii/S0962892413002213","DOI":"10.1016/j.tcb.2013.11.008","ISSN":"0962-8924","title-short":"Succinate","journalAbbreviation":"Trends in Cell Biology","author":[{"family":"Mills","given":"Evanna"},{"family":"O’Neill","given":"Luke A. J."}],"issued":{"date-parts":[["2014",5,1]]},"accessed":{"date-parts":[["2019",3,2]]}}},{"id":1657,"uris":["http://zotero.org/users/4775618/items/ZED4IEKM"],"uri":["http://zotero.org/users/4775618/items/ZED4IEKM"],"itemData":{"id":1657,"type":"article-journal","title":"SIRT5-Mediated Lysine Desuccinylation Impacts Diverse Metabolic Pathways","container-title":"Molecular Cell","page":"919-930","volume":"50","issue":"6","source":"ScienceDirect","abstract":"Summary\nProtein function is regulated by diverse posttranslational modifications. The mitochondrial sirtuin SIRT5 removes malonyl and succinyl moieties from target lysines. The spectrum of protein substrates subject to these modifications is unknown. We report systematic profiling of the mammalian succinylome, identifying 2,565 succinylation sites on 779 proteins. Most of these do not overlap with acetylation sites, suggesting differential regulation of succinylation and acetylation. Our analysis reveals potential impacts of lysine succinylation on enzymes involved in mitochondrial metabolism; e.g., amino acid degradation, the tricarboxylic acid cycle (TCA) cycle, and fatty acid metabolism. Lysine succinylation is also present on cytosolic and nuclear proteins; indeed, we show that a substantial fraction of SIRT5 is extramitochondrial. SIRT5 represses biochemical activity of, and cellular respiration through, two protein complexes identified in our analysis, pyruvate dehydrogenase complex and succinate dehydrogenase. Our data reveal widespread roles for lysine succinylation in regulating metabolism and potentially other cellular functions.","URL":"http://www.sciencedirect.com/science/article/pii/S1097276513004383","DOI":"10.1016/j.molcel.2013.06.001","ISSN":"1097-2765","journalAbbreviation":"Molecular Cell","author":[{"family":"Park","given":"Jeongsoon"},{"family":"Chen","given":"Yue"},{"family":"Tishkoff","given":"Daniel X."},{"family":"Peng","given":"Chao"},{"family":"Tan","given":"Minjia"},{"family":"Dai","given":"Lunzhai"},{"family":"Xie","given":"Zhongyu"},{"family":"Zhang","given":"Yi"},{"family":"Zwaans","given":"Bernadette M. M."},{"family":"Skinner","given":"Mary E."},{"family":"Lombard","given":"David B."},{"family":"Zhao","given":"Yingming"}],"issued":{"date-parts":[["2013",6,27]]},"accessed":{"date-parts":[["2019",3,2]]}}}],"schema":"https://github.com/citation-style-language/schema/raw/master/csl-citation.json"} </w:instrText>
      </w:r>
      <w:r w:rsidR="004048C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187,191</w:t>
      </w:r>
      <w:r w:rsidR="004048C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possibly suggesting an autoregulatory role in metabolism and perturbation of the cellular epigenome</w:t>
      </w:r>
      <w:r w:rsidR="003A1AB8"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however these functional effects are yet to be fully elucidated</w:t>
      </w:r>
      <w:r w:rsidR="004048C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{"citationID":"a2gec1jksr4","properties":{"formattedCitation":"\\super 138,191,192\\nosupersub{}","plainCitation":"138,191,192","noteIndex":0},"citationItems":[{"id":686,"uris":["http://zotero.org/users/4775618/items/9X2BCL96"],"uri":["http://zotero.org/users/4775618/items/9X2BCL96"],"itemData":{"id":686,"type":"article-journal","title":"Mitochondrial metabolites: undercover signalling molecules","container-title":"Interface Focus","page":"20160100","volume":"7","issue":"2","source":"PubMed","abstract":"Mitochondria are one of most characterized metabolic hubs of the cell. Here, crucial biochemical reactions occur and most of the cellular adenosine triphosphate (ATP) is produced. In addition, mitochondria act as signalling platforms and communicate with the rest of the cell by modulating calcium fluxes, by producing free radicals, and by releasing bioactive proteins. It is emerging that mitochondrial metabolites can also act as second messengers and can elicit profound (epi)genetic changes. This review describes the many signalling functions of mitochondrial metabolites under normal and stress conditions, focusing on metabolites of the tricarboxylic acid cycle. We provide a new framework for understanding the role of mitochondrial metabolism in cellular pathophysiology.","DOI":"10.1098/rsfs.2016.0100","ISSN":"2042-8898","note":"PMID: 28382199\nPMCID: PMC5311903","title-short":"Mitochondrial metabolites","journalAbbreviation":"Interface Focus","language":"eng","author":[{"family":"Frezza","given":"Christian"}],"issued":{"date-parts":[["2017",4,6]]}}},{"id":1657,"uris":["http://zotero.org/users/4775618/items/ZED4IEKM"],"uri":["http://zotero.org/users/4775618/items/ZED4IEKM"],"itemData":{"id":1657,"type":"article-journal","title":"SIRT5-Mediated Lysine Desuccinylation Impacts Diverse Metabolic Pathways","container-title":"Molecular Cell","page":"919-930","volume":"50","issue":"6","source":"ScienceDirect","abstract":"Summary\nProtein function is regulated by diverse posttranslational modifications. The mitochondrial sirtuin SIRT5 removes malonyl and succinyl moieties from target lysines. The spectrum of protein substrates subject to these modifications is unknown. We report systematic profiling of the mammalian succinylome, identifying 2,565 succinylation sites on 779 proteins. Most of these do not overlap with acetylation sites, suggesting differential regulation of succinylation and acetylation. Our analysis reveals potential impacts of lysine succinylation on enzymes involved in mitochondrial metabolism; e.g., amino acid degradation, the tricarboxylic acid cycle (TCA) cycle, and fatty acid metabolism. Lysine succinylation is also present on cytosolic and nuclear proteins; indeed, we show that a substantial fraction of SIRT5 is extramitochondrial. SIRT5 represses biochemical activity of, and cellular respiration through, two protein complexes identified in our analysis, pyruvate dehydrogenase complex and succinate dehydrogenase. Our data reveal widespread roles for lysine succinylation in regulating metabolism and potentially other cellular functions.","URL":"http://www.sciencedirect.com/science/article/pii/S1097276513004383","DOI":"10.1016/j.molcel.2013.06.001","ISSN":"1097-2765","journalAbbreviation":"Molecular Cell","author":[{"family":"Park","given":"Jeongsoon"},{"family":"Chen","given":"Yue"},{"family":"Tishkoff","given":"Daniel X."},{"family":"Peng","given":"Chao"},{"family":"Tan","given":"Minjia"},{"family":"Dai","given":"Lunzhai"},{"family":"Xie","given":"Zhongyu"},{"family":"Zhang","given":"Yi"},{"family":"Zwaans","given":"Bernadette M. M."},{"family":"Skinner","given":"Mary E."},{"family":"Lombard","given":"David B."},{"family":"Zhao","given":"Yingming"}],"issued":{"date-parts":[["2013",6,27]]},"accessed":{"date-parts":[["2019",3,2]]}}},{"id":1632,"uris":["http://zotero.org/users/4775618/items/2V899J2X"],"uri":["http://zotero.org/users/4775618/items/2V899J2X"],"itemData":{"id":1632,"type":"article-journal","title":"Succinate is a danger signal that induces IL-1β via HIF-1α","container-title":"Nature","page":"238-242","volume":"496","issue":"7444","source":"PubMed Central","abstract":"Macrophages activated by the gram negative bacterial product lipopolysaccharide (LPS) switch their core metabolism from oxidative phosphorylation to glycolysis. Inhibition of glycolysis with 2-deoxyglucose (2DG) suppressed LPS-induced Interleukin-1 beta (IL-1β) but not Tumour necrosis factor alpha (TNFα) in macrophages. A comprehensive metabolic map of LPS-activated macrophages revealed up-regulation of glycolytic and down-regulation of mitochondrial genes, which correlated directly with the expression profiles of altered metabolites. LPS strongly increased the TCA cycle intermediate succinate. Glutamine-dependent anerplerosis was the major source of succinate with the ‘Gamma-Aminobutyric Acid (GABA)-shunt’ pathway also playing a role. LPS-induced succinate stabilized Hypoxia-inducible factor 1α (HIF-1α), an effect inhibited by 2DG, with IL-1β as an important target. LPS also increases succinylation of several proteins. Succinate is therefore identified as a metabolite in innate immune signalling which leads to enhanced IL-1β production during inflammation.","URL":"https://www.ncbi.nlm.nih.gov/pmc/articles/PMC4031686/","DOI":"10.1038/nature11986","ISSN":"0028-0836","note":"PMID: 23535595\nPMCID: PMC4031686","journalAbbreviation":"Nature","author":[{"family":"Tannahill","given":"GM"},{"family":"Curtis","given":"AM"},{"family":"Adamik","given":"J"},{"family":"Palsson-McDermott","given":"EM"},{"family":"McGettrick","given":"AF"},{"family":"Goel","given":"G"},{"family":"Frezza","given":"C"},{"family":"Bernard","given":"NJ"},{"family":"Kelly","given":"B"},{"family":"Foley","given":"NH"},{"family":"Zheng","given":"L"},{"family":"Gardet","given":"A"},{"family":"Tong","given":"Z"},{"family":"Jany","given":"SS"},{"family":"Corr","given":"SC"},{"family":"Haneklaus","given":"M"},{"family":"Caffery","given":"BE"},{"family":"Pierce","given":"K"},{"family":"Walmsley","given":"S"},{"family":"Beasley","given":"FC"},{"family":"Cummins","given":"E"},{"family":"Nizet","given":"V"},{"family":"Whyte","given":"M"},{"family":"Taylor","given":"CT"},{"family":"Lin","given":"H"},{"family":"Masters","given":"SL"},{"family":"Gottlieb","given":"E"},{"family":"Kelly","given":"VP"},{"family":"Clish","given":"C"},{"family":"Auron","given":"PE"},{"family":"Xavier","given":"RJ"},{"family":"O’Neill","given":"LAJ"}],"issued":{"date-parts":[["2013",4,11]]},"accessed":{"date-parts":[["2019",3,2]]}}}],"schema":"https://github.com/citation-style-language/schema/raw/master/csl-citation.json"} </w:instrText>
      </w:r>
      <w:r w:rsidR="004048C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138,191,192</w:t>
      </w:r>
      <w:r w:rsidR="004048C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w:t>
      </w:r>
      <w:r w:rsidR="00666FDD" w:rsidRPr="00D637BA">
        <w:rPr>
          <w:rFonts w:ascii="Calibri" w:hAnsi="Calibri" w:cs="Calibri"/>
          <w:color w:val="000000" w:themeColor="text1"/>
          <w:sz w:val="22"/>
          <w:szCs w:val="22"/>
        </w:rPr>
        <w:t xml:space="preserve"> </w:t>
      </w:r>
    </w:p>
    <w:p w14:paraId="1EB5D416" w14:textId="2FCBDFDD" w:rsidR="00F131BF" w:rsidRPr="00D637BA" w:rsidRDefault="003C0CE6" w:rsidP="004B57CC">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Lastly, SDH-deficient cells have been </w:t>
      </w:r>
      <w:r w:rsidR="003A1AB8" w:rsidRPr="00D637BA">
        <w:rPr>
          <w:rFonts w:ascii="Calibri" w:hAnsi="Calibri" w:cs="Calibri"/>
          <w:color w:val="000000" w:themeColor="text1"/>
          <w:sz w:val="22"/>
          <w:szCs w:val="22"/>
        </w:rPr>
        <w:t xml:space="preserve">reported </w:t>
      </w:r>
      <w:r w:rsidRPr="00D637BA">
        <w:rPr>
          <w:rFonts w:ascii="Calibri" w:hAnsi="Calibri" w:cs="Calibri"/>
          <w:color w:val="000000" w:themeColor="text1"/>
          <w:sz w:val="22"/>
          <w:szCs w:val="22"/>
        </w:rPr>
        <w:t>to</w:t>
      </w:r>
      <w:r w:rsidR="009347BF">
        <w:rPr>
          <w:rFonts w:ascii="Calibri" w:hAnsi="Calibri" w:cs="Calibri"/>
          <w:color w:val="000000" w:themeColor="text1"/>
          <w:sz w:val="22"/>
          <w:szCs w:val="22"/>
        </w:rPr>
        <w:t xml:space="preserve"> depend</w:t>
      </w:r>
      <w:r w:rsidRPr="00D637BA">
        <w:rPr>
          <w:rFonts w:ascii="Calibri" w:hAnsi="Calibri" w:cs="Calibri"/>
          <w:color w:val="000000" w:themeColor="text1"/>
          <w:sz w:val="22"/>
          <w:szCs w:val="22"/>
        </w:rPr>
        <w:t xml:space="preserve"> on pyruvate carboxylase (PC) to funnel pyruvate into the truncated TCA cycle for biosynthesis</w:t>
      </w:r>
      <w:r w:rsidR="003A1AB8" w:rsidRPr="00D637BA">
        <w:rPr>
          <w:rFonts w:ascii="Calibri" w:hAnsi="Calibri" w:cs="Calibri"/>
          <w:color w:val="000000" w:themeColor="text1"/>
          <w:sz w:val="22"/>
          <w:szCs w:val="22"/>
        </w:rPr>
        <w:t xml:space="preserve"> of aspartate</w:t>
      </w:r>
      <w:r w:rsidRPr="00D637BA">
        <w:rPr>
          <w:rFonts w:ascii="Calibri" w:hAnsi="Calibri" w:cs="Calibri"/>
          <w:color w:val="000000" w:themeColor="text1"/>
          <w:sz w:val="22"/>
          <w:szCs w:val="22"/>
        </w:rPr>
        <w:t xml:space="preserve">, </w:t>
      </w:r>
      <w:r w:rsidR="003A1AB8" w:rsidRPr="00D637BA">
        <w:rPr>
          <w:rFonts w:ascii="Calibri" w:hAnsi="Calibri" w:cs="Calibri"/>
          <w:color w:val="000000" w:themeColor="text1"/>
          <w:sz w:val="22"/>
          <w:szCs w:val="22"/>
        </w:rPr>
        <w:t xml:space="preserve">which is </w:t>
      </w:r>
      <w:r w:rsidRPr="00D637BA">
        <w:rPr>
          <w:rFonts w:ascii="Calibri" w:hAnsi="Calibri" w:cs="Calibri"/>
          <w:color w:val="000000" w:themeColor="text1"/>
          <w:sz w:val="22"/>
          <w:szCs w:val="22"/>
        </w:rPr>
        <w:t xml:space="preserve">an important precursor </w:t>
      </w:r>
      <w:r w:rsidR="003A1AB8" w:rsidRPr="00D637BA">
        <w:rPr>
          <w:rFonts w:ascii="Calibri" w:hAnsi="Calibri" w:cs="Calibri"/>
          <w:color w:val="000000" w:themeColor="text1"/>
          <w:sz w:val="22"/>
          <w:szCs w:val="22"/>
        </w:rPr>
        <w:t xml:space="preserve">for </w:t>
      </w:r>
      <w:r w:rsidRPr="00D637BA">
        <w:rPr>
          <w:rFonts w:ascii="Calibri" w:hAnsi="Calibri" w:cs="Calibri"/>
          <w:color w:val="000000" w:themeColor="text1"/>
          <w:sz w:val="22"/>
          <w:szCs w:val="22"/>
        </w:rPr>
        <w:t>sustaining cellular growth</w:t>
      </w:r>
      <w:r w:rsidR="004048C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{"citationID":"a1go7pqglse","properties":{"formattedCitation":"\\super 193,194\\nosupersub{}","plainCitation":"193,194","noteIndex":0},"citationItems":[{"id":2703,"uris":["http://zotero.org/users/4775618/items/2W64FVJS"],"uri":["http://zotero.org/users/4775618/items/2W64FVJS"],"itemData":{"id":2703,"type":"article-journal","title":"Pyruvate carboxylation enables growth of SDH-deficient cells by supporting aspartate biosynthesis","container-title":"Nature Cell Biology","page":"1317-1326","volume":"17","issue":"10","source":"PubMed","abstract":"Succinate dehydrogenase (SDH) is a heterotetrameric nuclear-encoded complex responsible for the oxidation of succinate to fumarate in the tricarboxylic acid cycle. Loss-of-function mutations in any of the SDH genes are associated with cancer formation. However, the impact of SDH loss on cell metabolism and the mechanisms enabling growth of SDH-defective cells are largely unknown. Here, we generated Sdhb-ablated kidney mouse cells and used comparative metabolomics and stable-isotope-labelling approaches to identify nutritional requirements and metabolic adaptations to SDH loss. We found that lack of SDH activity commits cells to consume extracellular pyruvate, which sustains Warburg-like bioenergetic features. We further demonstrated that pyruvate carboxylation diverts glucose-derived carbons into aspartate biosynthesis, thus sustaining cell growth. By identifying pyruvate carboxylase as essential for the proliferation and tumorigenic capacity of SDH-deficient cells, this study revealed a metabolic vulnerability for potential future treatment of SDH-associated malignancies.","DOI":"10.1038/ncb3233","ISSN":"1476-4679","note":"PMID: 26302408\nPMCID: PMC4591470","journalAbbreviation":"Nat. Cell Biol.","language":"eng","author":[{"family":"Cardaci","given":"Simone"},{"family":"Zheng","given":"Liang"},{"family":"MacKay","given":"Gillian"},{"family":"Broek","given":"Niels J. F.","non-dropping-particle":"van den"},{"family":"MacKenzie","given":"Elaine D."},{"family":"Nixon","given":"Colin"},{"family":"Stevenson","given":"David"},{"family":"Tumanov","given":"Sergey"},{"family":"Bulusu","given":"Vinay"},{"family":"Kamphorst","given":"Jurre J."},{"family":"Vazquez","given":"Alexei"},{"family":"Fleming","given":"Stewart"},{"family":"Schiavi","given":"Francesca"},{"family":"Kalna","given":"Gabriela"},{"family":"Blyth","given":"Karen"},{"family":"Strathdee","given":"Douglas"},{"family":"Gottlieb","given":"Eyal"}],"issued":{"date-parts":[["2015",10]]}}},{"id":2706,"uris":["http://zotero.org/users/4775618/items/3E89UW4G"],"uri":["http://zotero.org/users/4775618/items/3E89UW4G"],"itemData":{"id":2706,"type":"article-journal","title":"Loss of succinate dehydrogenase activity results in dependency on pyruvate carboxylation for cellular anabolism","container-title":"Nature Communications","page":"8784","volume":"6","source":"PubMed","abstract":"The tricarboxylic acid (TCA) cycle is a central metabolic pathway responsible for supplying reducing potential for oxidative phosphorylation and anabolic substrates for cell growth, repair and proliferation. As such it thought to be essential for cell proliferation and tissue homeostasis. However, since the initial report of an inactivating mutation in the TCA cycle enzyme complex, succinate dehydrogenase (SDH) in paraganglioma (PGL), it has become clear that some cells and tissues are not only able to survive with a truncated TCA cycle, but that they are also able of supporting proliferative phenotype observed in tumours. Here, we show that loss of SDH activity leads to changes in the metabolism of non-essential amino acids. In particular, we demonstrate that pyruvate carboxylase is essential to re-supply the depleted pool of aspartate in SDH-deficient cells. Our results demonstrate that the loss of SDH reduces the metabolic plasticity of cells, suggesting vulnerabilities that can be targeted therapeutically.","DOI":"10.1038/ncomms9784","ISSN":"2041-1723","note":"PMID: 26522426\nPMCID: PMC4632646","journalAbbreviation":"Nat Commun","language":"eng","author":[{"family":"Lussey-Lepoutre","given":"Charlotte"},{"family":"Hollinshead","given":"Kate E. R."},{"family":"Ludwig","given":"Christian"},{"family":"Menara","given":"Mélanie"},{"family":"Morin","given":"Aurélie"},{"family":"Castro-Vega","given":"Luis-Jaime"},{"family":"Parker","given":"Seth J."},{"family":"Janin","given":"Maxime"},{"family":"Martinelli","given":"Cosimo"},{"family":"Ottolenghi","given":"Chris"},{"family":"Metallo","given":"Christian"},{"family":"Gimenez-Roqueplo","given":"Anne-Paule"},{"family":"Favier","given":"Judith"},{"family":"Tennant","given":"Daniel A."}],"issued":{"date-parts":[["2015",11,2]]}}}],"schema":"https://github.com/citation-style-language/schema/raw/master/csl-citation.json"} </w:instrText>
      </w:r>
      <w:r w:rsidR="004048C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193,194</w:t>
      </w:r>
      <w:r w:rsidR="004048C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496DC3" w:rsidRPr="00D637BA">
        <w:rPr>
          <w:rFonts w:ascii="Calibri" w:hAnsi="Calibri" w:cs="Calibri"/>
          <w:color w:val="000000" w:themeColor="text1"/>
          <w:sz w:val="22"/>
          <w:szCs w:val="22"/>
        </w:rPr>
        <w:t>S</w:t>
      </w:r>
      <w:r w:rsidRPr="00D637BA">
        <w:rPr>
          <w:rFonts w:ascii="Calibri" w:hAnsi="Calibri" w:cs="Calibri"/>
          <w:color w:val="000000" w:themeColor="text1"/>
          <w:sz w:val="22"/>
          <w:szCs w:val="22"/>
        </w:rPr>
        <w:t xml:space="preserve">ilencing PC expression attenuated SDH-deficient tumour growth </w:t>
      </w:r>
      <w:r w:rsidRPr="00D637BA">
        <w:rPr>
          <w:rFonts w:ascii="Calibri" w:hAnsi="Calibri" w:cs="Calibri"/>
          <w:i/>
          <w:color w:val="000000" w:themeColor="text1"/>
          <w:sz w:val="22"/>
          <w:szCs w:val="22"/>
        </w:rPr>
        <w:t>in vivo</w:t>
      </w:r>
      <w:r w:rsidRPr="00D637BA">
        <w:rPr>
          <w:rFonts w:ascii="Calibri" w:hAnsi="Calibri" w:cs="Calibri"/>
          <w:color w:val="000000" w:themeColor="text1"/>
          <w:sz w:val="22"/>
          <w:szCs w:val="22"/>
        </w:rPr>
        <w:t xml:space="preserve"> in a mouse model</w:t>
      </w:r>
      <w:r w:rsidR="004048C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{"citationID":"a1dcf1teii2","properties":{"formattedCitation":"\\super 193\\nosupersub{}","plainCitation":"193","noteIndex":0},"citationItems":[{"id":2703,"uris":["http://zotero.org/users/4775618/items/2W64FVJS"],"uri":["http://zotero.org/users/4775618/items/2W64FVJS"],"itemData":{"id":2703,"type":"article-journal","title":"Pyruvate carboxylation enables growth of SDH-deficient cells by supporting aspartate biosynthesis","container-title":"Nature Cell Biology","page":"1317-1326","volume":"17","issue":"10","source":"PubMed","abstract":"Succinate dehydrogenase (SDH) is a heterotetrameric nuclear-encoded complex responsible for the oxidation of succinate to fumarate in the tricarboxylic acid cycle. Loss-of-function mutations in any of the SDH genes are associated with cancer formation. However, the impact of SDH loss on cell metabolism and the mechanisms enabling growth of SDH-defective cells are largely unknown. Here, we generated Sdhb-ablated kidney mouse cells and used comparative metabolomics and stable-isotope-labelling approaches to identify nutritional requirements and metabolic adaptations to SDH loss. We found that lack of SDH activity commits cells to consume extracellular pyruvate, which sustains Warburg-like bioenergetic features. We further demonstrated that pyruvate carboxylation diverts glucose-derived carbons into aspartate biosynthesis, thus sustaining cell growth. By identifying pyruvate carboxylase as essential for the proliferation and tumorigenic capacity of SDH-deficient cells, this study revealed a metabolic vulnerability for potential future treatment of SDH-associated malignancies.","DOI":"10.1038/ncb3233","ISSN":"1476-4679","note":"PMID: 26302408\nPMCID: PMC4591470","journalAbbreviation":"Nat. Cell Biol.","language":"eng","author":[{"family":"Cardaci","given":"Simone"},{"family":"Zheng","given":"Liang"},{"family":"MacKay","given":"Gillian"},{"family":"Broek","given":"Niels J. F.","non-dropping-particle":"van den"},{"family":"MacKenzie","given":"Elaine D."},{"family":"Nixon","given":"Colin"},{"family":"Stevenson","given":"David"},{"family":"Tumanov","given":"Sergey"},{"family":"Bulusu","given":"Vinay"},{"family":"Kamphorst","given":"Jurre J."},{"family":"Vazquez","given":"Alexei"},{"family":"Fleming","given":"Stewart"},{"family":"Schiavi","given":"Francesca"},{"family":"Kalna","given":"Gabriela"},{"family":"Blyth","given":"Karen"},{"family":"Strathdee","given":"Douglas"},{"family":"Gottlieb","given":"Eyal"}],"issued":{"date-parts":[["2015",10]]}}}],"schema":"https://github.com/citation-style-language/schema/raw/master/csl-citation.json"} </w:instrText>
      </w:r>
      <w:r w:rsidR="004048C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193</w:t>
      </w:r>
      <w:r w:rsidR="004048C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This </w:t>
      </w:r>
      <w:r w:rsidR="003A1AB8" w:rsidRPr="00D637BA">
        <w:rPr>
          <w:rFonts w:ascii="Calibri" w:hAnsi="Calibri" w:cs="Calibri"/>
          <w:color w:val="000000" w:themeColor="text1"/>
          <w:sz w:val="22"/>
          <w:szCs w:val="22"/>
        </w:rPr>
        <w:t>finding</w:t>
      </w:r>
      <w:r w:rsidR="007C6570">
        <w:rPr>
          <w:rFonts w:ascii="Calibri" w:hAnsi="Calibri" w:cs="Calibri"/>
          <w:color w:val="000000" w:themeColor="text1"/>
          <w:sz w:val="22"/>
          <w:szCs w:val="22"/>
        </w:rPr>
        <w:t>,</w:t>
      </w:r>
      <w:r w:rsidR="003A1AB8" w:rsidRPr="00D637BA">
        <w:rPr>
          <w:rFonts w:ascii="Calibri" w:hAnsi="Calibri" w:cs="Calibri"/>
          <w:color w:val="000000" w:themeColor="text1"/>
          <w:sz w:val="22"/>
          <w:szCs w:val="22"/>
        </w:rPr>
        <w:t xml:space="preserve"> together with the</w:t>
      </w:r>
      <w:r w:rsidRPr="00D637BA">
        <w:rPr>
          <w:rFonts w:ascii="Calibri" w:hAnsi="Calibri" w:cs="Calibri"/>
          <w:color w:val="000000" w:themeColor="text1"/>
          <w:sz w:val="22"/>
          <w:szCs w:val="22"/>
        </w:rPr>
        <w:t xml:space="preserve"> increased mRNA expression of </w:t>
      </w:r>
      <w:r w:rsidRPr="00D637BA">
        <w:rPr>
          <w:rFonts w:ascii="Calibri" w:hAnsi="Calibri" w:cs="Calibri"/>
          <w:i/>
          <w:color w:val="000000" w:themeColor="text1"/>
          <w:sz w:val="22"/>
          <w:szCs w:val="22"/>
        </w:rPr>
        <w:t>PC</w:t>
      </w:r>
      <w:r w:rsidRPr="00D637BA">
        <w:rPr>
          <w:rFonts w:ascii="Calibri" w:hAnsi="Calibri" w:cs="Calibri"/>
          <w:color w:val="000000" w:themeColor="text1"/>
          <w:sz w:val="22"/>
          <w:szCs w:val="22"/>
        </w:rPr>
        <w:t xml:space="preserve"> in a range of human SDH-deficient tumours</w:t>
      </w:r>
      <w:r w:rsidR="003A1AB8" w:rsidRPr="00D637BA">
        <w:rPr>
          <w:rFonts w:ascii="Calibri" w:hAnsi="Calibri" w:cs="Calibri"/>
          <w:color w:val="000000" w:themeColor="text1"/>
          <w:sz w:val="22"/>
          <w:szCs w:val="22"/>
        </w:rPr>
        <w:t xml:space="preserve"> and</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PC protein expression in SDH-deficient RCC</w:t>
      </w:r>
      <w:r w:rsidR="003A1AB8"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w:t>
      </w:r>
      <w:r w:rsidR="003A1AB8" w:rsidRPr="00D637BA">
        <w:rPr>
          <w:rFonts w:ascii="Calibri" w:hAnsi="Calibri" w:cs="Calibri"/>
          <w:color w:val="000000" w:themeColor="text1"/>
          <w:sz w:val="22"/>
          <w:szCs w:val="22"/>
        </w:rPr>
        <w:t>suggests</w:t>
      </w:r>
      <w:r w:rsidR="005A6907">
        <w:rPr>
          <w:rFonts w:ascii="Calibri" w:hAnsi="Calibri" w:cs="Calibri"/>
          <w:color w:val="000000" w:themeColor="text1"/>
          <w:sz w:val="22"/>
          <w:szCs w:val="22"/>
        </w:rPr>
        <w:t xml:space="preserve"> that PC is</w:t>
      </w:r>
      <w:r w:rsidR="003A1AB8"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a potential target for synthetic lethality in SDH-deficient RCC</w:t>
      </w:r>
      <w:r w:rsidR="004048CA">
        <w:rPr>
          <w:rFonts w:ascii="Calibri" w:hAnsi="Calibri" w:cs="Calibri"/>
          <w:color w:val="000000"/>
          <w:sz w:val="22"/>
          <w:lang w:val="en-US"/>
        </w:rPr>
        <w:fldChar w:fldCharType="begin"/>
      </w:r>
      <w:r w:rsidR="003D6329">
        <w:rPr>
          <w:rFonts w:ascii="Calibri" w:hAnsi="Calibri" w:cs="Calibri"/>
          <w:color w:val="000000"/>
          <w:sz w:val="22"/>
          <w:lang w:val="en-US"/>
        </w:rPr>
        <w:instrText xml:space="preserve"> ADDIN ZOTERO_ITEM CSL_CITATION {"citationID":"a1fgvrjfftu","properties":{"formattedCitation":"\\super 193\\nosupersub{}","plainCitation":"193","noteIndex":0},"citationItems":[{"id":2703,"uris":["http://zotero.org/users/4775618/items/2W64FVJS"],"uri":["http://zotero.org/users/4775618/items/2W64FVJS"],"itemData":{"id":2703,"type":"article-journal","title":"Pyruvate carboxylation enables growth of SDH-deficient cells by supporting aspartate biosynthesis","container-title":"Nature Cell Biology","page":"1317-1326","volume":"17","issue":"10","source":"PubMed","abstract":"Succinate dehydrogenase (SDH) is a heterotetrameric nuclear-encoded complex responsible for the oxidation of succinate to fumarate in the tricarboxylic acid cycle. Loss-of-function mutations in any of the SDH genes are associated with cancer formation. However, the impact of SDH loss on cell metabolism and the mechanisms enabling growth of SDH-defective cells are largely unknown. Here, we generated Sdhb-ablated kidney mouse cells and used comparative metabolomics and stable-isotope-labelling approaches to identify nutritional requirements and metabolic adaptations to SDH loss. We found that lack of SDH activity commits cells to consume extracellular pyruvate, which sustains Warburg-like bioenergetic features. We further demonstrated that pyruvate carboxylation diverts glucose-derived carbons into aspartate biosynthesis, thus sustaining cell growth. By identifying pyruvate carboxylase as essential for the proliferation and tumorigenic capacity of SDH-deficient cells, this study revealed a metabolic vulnerability for potential future treatment of SDH-associated malignancies.","DOI":"10.1038/ncb3233","ISSN":"1476-4679","note":"PMID: 26302408\nPMCID: PMC4591470","journalAbbreviation":"Nat. Cell Biol.","language":"eng","author":[{"family":"Cardaci","given":"Simone"},{"family":"Zheng","given":"Liang"},{"family":"MacKay","given":"Gillian"},{"family":"Broek","given":"Niels J. F.","non-dropping-particle":"van den"},{"family":"MacKenzie","given":"Elaine D."},{"family":"Nixon","given":"Colin"},{"family":"Stevenson","given":"David"},{"family":"Tumanov","given":"Sergey"},{"family":"Bulusu","given":"Vinay"},{"family":"Kamphorst","given":"Jurre J."},{"family":"Vazquez","given":"Alexei"},{"family":"Fleming","given":"Stewart"},{"family":"Schiavi","given":"Francesca"},{"family":"Kalna","given":"Gabriela"},{"family":"Blyth","given":"Karen"},{"family":"Strathdee","given":"Douglas"},{"family":"Gottlieb","given":"Eyal"}],"issued":{"date-parts":[["2015",10]]}}}],"schema":"https://github.com/citation-style-language/schema/raw/master/csl-citation.json"} </w:instrText>
      </w:r>
      <w:r w:rsidR="004048CA">
        <w:rPr>
          <w:rFonts w:ascii="Calibri" w:hAnsi="Calibri" w:cs="Calibri"/>
          <w:color w:val="000000"/>
          <w:sz w:val="22"/>
          <w:lang w:val="en-US"/>
        </w:rPr>
        <w:fldChar w:fldCharType="separate"/>
      </w:r>
      <w:r w:rsidR="003D6329" w:rsidRPr="003D6329">
        <w:rPr>
          <w:rFonts w:ascii="Calibri" w:hAnsi="Calibri" w:cs="Calibri"/>
          <w:color w:val="000000"/>
          <w:sz w:val="22"/>
          <w:vertAlign w:val="superscript"/>
          <w:lang w:val="en-US"/>
        </w:rPr>
        <w:t>193</w:t>
      </w:r>
      <w:r w:rsidR="004048CA">
        <w:rPr>
          <w:rFonts w:ascii="Calibri" w:hAnsi="Calibri" w:cs="Calibri"/>
          <w:color w:val="000000"/>
          <w:sz w:val="22"/>
          <w:lang w:val="en-US"/>
        </w:rPr>
        <w:fldChar w:fldCharType="end"/>
      </w:r>
      <w:r w:rsidRPr="00D637BA">
        <w:rPr>
          <w:rFonts w:ascii="Calibri" w:hAnsi="Calibri" w:cs="Calibri"/>
          <w:color w:val="000000" w:themeColor="text1"/>
          <w:sz w:val="22"/>
          <w:szCs w:val="22"/>
        </w:rPr>
        <w:t>.</w:t>
      </w:r>
    </w:p>
    <w:p w14:paraId="406149BE" w14:textId="09174615" w:rsidR="00EF2AC0" w:rsidRPr="00D637BA" w:rsidRDefault="00EF2AC0" w:rsidP="00EF2AC0">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As </w:t>
      </w:r>
      <w:r w:rsidR="002A46E8" w:rsidRPr="00B946E4">
        <w:rPr>
          <w:rFonts w:ascii="Calibri" w:hAnsi="Calibri" w:cs="Calibri"/>
          <w:color w:val="000000" w:themeColor="text1"/>
          <w:sz w:val="22"/>
          <w:szCs w:val="22"/>
        </w:rPr>
        <w:t xml:space="preserve">mentioned above, </w:t>
      </w:r>
      <w:r w:rsidRPr="00D637BA">
        <w:rPr>
          <w:rFonts w:ascii="Calibri" w:hAnsi="Calibri" w:cs="Calibri"/>
          <w:color w:val="000000" w:themeColor="text1"/>
          <w:sz w:val="22"/>
          <w:szCs w:val="22"/>
        </w:rPr>
        <w:t xml:space="preserve">SDH-deficient </w:t>
      </w:r>
      <w:r w:rsidR="002A46E8" w:rsidRPr="00B946E4">
        <w:rPr>
          <w:rFonts w:ascii="Calibri" w:hAnsi="Calibri" w:cs="Calibri"/>
          <w:color w:val="000000" w:themeColor="text1"/>
          <w:sz w:val="22"/>
          <w:szCs w:val="22"/>
        </w:rPr>
        <w:t>RCC is</w:t>
      </w:r>
      <w:r w:rsidRPr="00D637BA">
        <w:rPr>
          <w:rFonts w:ascii="Calibri" w:hAnsi="Calibri" w:cs="Calibri"/>
          <w:color w:val="000000" w:themeColor="text1"/>
          <w:sz w:val="22"/>
          <w:szCs w:val="22"/>
        </w:rPr>
        <w:t xml:space="preserve"> a rare a</w:t>
      </w:r>
      <w:r w:rsidR="002A46E8" w:rsidRPr="00B946E4">
        <w:rPr>
          <w:rFonts w:ascii="Calibri" w:hAnsi="Calibri" w:cs="Calibri"/>
          <w:color w:val="000000" w:themeColor="text1"/>
          <w:sz w:val="22"/>
          <w:szCs w:val="22"/>
        </w:rPr>
        <w:t>nd</w:t>
      </w:r>
      <w:r w:rsidRPr="00D637BA">
        <w:rPr>
          <w:rFonts w:ascii="Calibri" w:hAnsi="Calibri" w:cs="Calibri"/>
          <w:color w:val="000000" w:themeColor="text1"/>
          <w:sz w:val="22"/>
          <w:szCs w:val="22"/>
        </w:rPr>
        <w:t xml:space="preserve"> highly aggressive tumour</w:t>
      </w:r>
      <w:r w:rsidR="00DD5717" w:rsidRPr="00D637BA">
        <w:rPr>
          <w:rFonts w:ascii="Calibri" w:hAnsi="Calibri" w:cs="Calibri"/>
          <w:color w:val="000000" w:themeColor="text1"/>
          <w:sz w:val="22"/>
          <w:szCs w:val="22"/>
        </w:rPr>
        <w:t xml:space="preserve"> with a</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young</w:t>
      </w:r>
      <w:r w:rsidR="009A192F" w:rsidRPr="00B946E4">
        <w:rPr>
          <w:rFonts w:ascii="Calibri" w:hAnsi="Calibri" w:cs="Calibri"/>
          <w:color w:val="000000" w:themeColor="text1"/>
          <w:sz w:val="22"/>
          <w:szCs w:val="22"/>
        </w:rPr>
        <w:t xml:space="preserve"> age of</w:t>
      </w:r>
      <w:r w:rsidRPr="00D637BA">
        <w:rPr>
          <w:rFonts w:ascii="Calibri" w:hAnsi="Calibri" w:cs="Calibri"/>
          <w:color w:val="000000" w:themeColor="text1"/>
          <w:sz w:val="22"/>
          <w:szCs w:val="22"/>
        </w:rPr>
        <w:t xml:space="preserve"> onset</w:t>
      </w:r>
      <w:r w:rsidR="00B8283C">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{"citationID":"abdgq6t1ns","properties":{"formattedCitation":"\\super 87,91\\nosupersub{}","plainCitation":"87,91","noteIndex":0},"citationItems":[{"id":2648,"uris":["http://zotero.org/users/4775618/items/K3MEE8TW"],"uri":["http://zotero.org/users/4775618/items/K3MEE8TW"],"itemData":{"id":2648,"type":"article-journal","title":"Persistent Severe Hyperlactatemia and Metabolic Derangement in Lethal SDHB-Mutated Metastatic Kidney Cancer: Clinical Challenges and Examples of Extreme Warburg Effect","container-title":"Precision Oncology","source":"ascopubs-org.ezp.lib.cam.ac.uk","archive_location":"world","abstract":"Purpose To describe the unique clinical features, determine the genomics, and investigate the metabolic derangement of an extremely rare form of a hereditary lethal kidney cancer syndrome. Patients and Methods Three patients with lethal kidney cancer (age 19, 20, and 37 years) exhibiting persistent (1 to 3 months) extremely high levels of blood lactate (&gt; 5 mM) despite normal oxygen perfusion, highly avid tumors on [18F]fluorodeoxyglucose positron emission tomography (PET), and pleomorphic histopathologic features were identified and treated in a single institute. Integrated studies including whole-genome sequencing (WGS), targeted sequencing, immunohistochemistry, cell-based assays, and 18F-glutamine PET imaging were performed to investigate this rare kidney cancer syndrome. Results All three patients with kidney cancer were initially given various diagnoses as a result of diverse tumor histopathology and atypical clinical presentations. The correct diagnoses of these SDHB-mutated renal cell carcinomas were first made based on cancer genomics. Genomic studies of the blood and tumors of these patients identified three different kinds of germline loss-of-function mutations in the SDHB gene and the common loss of heterozygosity in the remaining SDHB allele thorough somatic chromosome 1p deletion. In one patient, WGS revealed that a germline mutation of SDHB coupled with loss of heterozygosity was the sole genetic event. Cancer evolution analysis of SDHB tumors based on WGS demonstrated that SDHB in kidney epithelium fulfills the Knudson two-hit criteria as a major tumor suppressor gene. SDHB−/− tumor cells displayed increase in glucose uptake and lactate production, alteration in mitochondrial architecture, and defect in oxidative respiration. 18F-Glutamine PET imaging studies demonstrated increased glutamine metabolism. Conclusion SDHB-deficient metastatic renal cell carcinoma is a rare, aggressive form of kidney cancer that manifests with clinical evidence of a severe Warburg effect, and genomic studies demonstrated two genetic hits at SDHB genes during kidney tumorigenesis.","URL":"https://ascopubs-org.ezp.lib.cam.ac.uk/doi/pdf/10.1200/PO.16.00007","DOI":"10.1200/PO.16.00007","title-short":"Persistent Severe Hyperlactatemia and Metabolic Derangement in Lethal SDHB-Mutated Metastatic Kidney Cancer","language":"en","author":[{"family":"Lee","given":"Chung-Han"},{"family":"Gundem","given":"Gunes"},{"family":"Lee","given":"William"},{"family":"Chen","given":"Ying-Bei"},{"family":"Cross","given":"Justin R."},{"family":"Dong","given":"Yiyu"},{"family":"Redzematovic","given":"Almedina"},{"family":"Mano","given":"Roy"},{"family":"Wei","given":"Elizabeth Y."},{"family":"Cheng","given":"Emily H."},{"family":"Srinivasan","given":"Ramaprasad"},{"family":"Oschwald","given":"Dayna"},{"family":"Hakimi","given":"A. Ari"},{"family":"Dunphy","given":"Mark P."},{"family":"Linehan","given":"W. Marston"},{"family":"Papaemmanuil","given":"Elli"},{"family":"Hsieh","given":"James J."}],"issued":{"date-parts":[["2017",5,4]]},"accessed":{"date-parts":[["2019",6,26]]}}},{"id":341,"uris":["http://zotero.org/users/4775618/items/8RBT7W6A"],"uri":["http://zotero.org/users/4775618/items/8RBT7W6A"],"itemData":{"id":341,"type":"article-journal","title":"Succinate dehydrogenase kidney cancer: an aggressive example of the Warburg effect in cancer","container-title":"The Journal of Urology","page":"2063-2071","volume":"188","issue":"6","source":"PubMed","abstract":"PURPOSE: Recently, a new renal cell cancer syndrome has been linked to germline mutation of multiple subunits (SDHB/C/D) of the Krebs cycle enzyme, succinate dehydrogenase. We report our experience with the diagnosis, evaluation and treatment of this novel form of hereditary kidney cancer.\nMATERIALS AND METHODS: Patients with suspected hereditary kidney cancer were enrolled on a National Cancer Institute institutional review board approved protocol to study inherited forms of kidney cancer. Individuals from families with germline SDHB, SDHC and SDHD mutations, and kidney cancer underwent comprehensive clinical and genetic evaluation.\nRESULTS: A total of 14 patients from 12 SDHB mutation families were evaluated. Patients presented with renal cell cancer at an early age (33 years, range 15 to 62), metastatic kidney cancer developed in 4 and some families had no manifestation other than kidney tumors. An additional family with 6 individuals found to have clear cell renal cell cancer that presented at a young average age (47 years, range 40 to 53) was identified with a germline SDHC mutation (R133X) Metastatic disease developed in 2 of these family members. A patient with a history of carotid body paragangliomas and an aggressive form of kidney cancer was evaluated from a family with a germline SDHD mutation.\nCONCLUSIONS: SDH mutation associated renal cell carcinoma can be an aggressive type of kidney cancer, especially in younger individuals. Although detection and management of early tumors is most often associated with a good outcome, based on our initial experience with these patients and our long-term experience with hereditary leiomyomatosis and renal cell carcinoma, we recommend careful surveillance of patients at risk for SDH mutation associated renal cell carcinoma and wide surgical excision of renal tumors.","DOI":"10.1016/j.juro.2012.08.030","ISSN":"1527-3792","note":"PMID: 23083876\nPMCID: PMC3856891","title-short":"Succinate dehydrogenase kidney cancer","journalAbbreviation":"J. Urol.","language":"eng","author":[{"family":"Ricketts","given":"Christopher J."},{"family":"Shuch","given":"Brian"},{"family":"Vocke","given":"Cathy D."},{"family":"Metwalli","given":"Adam R."},{"family":"Bratslavsky","given":"Gennady"},{"family":"Middelton","given":"Lindsay"},{"family":"Yang","given":"Youfeng"},{"family":"Wei","given":"Ming-Hui"},{"family":"Pautler","given":"Stephen E."},{"family":"Peterson","given":"James"},{"family":"Stolle","given":"Catherine A."},{"family":"Zbar","given":"Berton"},{"family":"Merino","given":"Maria J."},{"family":"Schmidt","given":"Laura S."},{"family":"Pinto","given":"Peter A."},{"family":"Srinivasan","given":"Ramaprasad"},{"family":"Pacak","given":"Karel"},{"family":"Linehan","given":"W. Marston"}],"issued":{"date-parts":[["2012",12]]}},"locator":"201"}],"schema":"https://github.com/citation-style-language/schema/raw/master/csl-citation.json"} </w:instrText>
      </w:r>
      <w:r w:rsidR="00B8283C">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87,91</w:t>
      </w:r>
      <w:r w:rsidR="00B8283C">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94701A" w:rsidRPr="00B946E4">
        <w:rPr>
          <w:rFonts w:ascii="Calibri" w:hAnsi="Calibri" w:cs="Calibri"/>
          <w:color w:val="000000" w:themeColor="text1"/>
          <w:sz w:val="22"/>
          <w:szCs w:val="22"/>
        </w:rPr>
        <w:t>E</w:t>
      </w:r>
      <w:r w:rsidR="0094701A" w:rsidRPr="00D637BA">
        <w:rPr>
          <w:rFonts w:ascii="Calibri" w:hAnsi="Calibri" w:cs="Calibri"/>
          <w:color w:val="000000" w:themeColor="text1"/>
          <w:sz w:val="22"/>
          <w:szCs w:val="22"/>
        </w:rPr>
        <w:t>lucidating</w:t>
      </w:r>
      <w:r w:rsidRPr="00D637BA">
        <w:rPr>
          <w:rFonts w:ascii="Calibri" w:hAnsi="Calibri" w:cs="Calibri"/>
          <w:color w:val="000000" w:themeColor="text1"/>
          <w:sz w:val="22"/>
          <w:szCs w:val="22"/>
        </w:rPr>
        <w:t xml:space="preserve"> the common</w:t>
      </w:r>
      <w:r w:rsidR="009A192F" w:rsidRPr="00D637BA">
        <w:rPr>
          <w:rFonts w:ascii="Calibri" w:hAnsi="Calibri" w:cs="Calibri"/>
          <w:color w:val="000000" w:themeColor="text1"/>
          <w:sz w:val="22"/>
          <w:szCs w:val="22"/>
        </w:rPr>
        <w:t xml:space="preserve"> pathways</w:t>
      </w:r>
      <w:r w:rsidRPr="00D637BA">
        <w:rPr>
          <w:rFonts w:ascii="Calibri" w:hAnsi="Calibri" w:cs="Calibri"/>
          <w:color w:val="000000" w:themeColor="text1"/>
          <w:sz w:val="22"/>
          <w:szCs w:val="22"/>
        </w:rPr>
        <w:t xml:space="preserve"> and individual sequ</w:t>
      </w:r>
      <w:r w:rsidR="007C6570">
        <w:rPr>
          <w:rFonts w:ascii="Calibri" w:hAnsi="Calibri" w:cs="Calibri"/>
          <w:color w:val="000000" w:themeColor="text1"/>
          <w:sz w:val="22"/>
          <w:szCs w:val="22"/>
        </w:rPr>
        <w:t>e</w:t>
      </w:r>
      <w:r w:rsidRPr="00D637BA">
        <w:rPr>
          <w:rFonts w:ascii="Calibri" w:hAnsi="Calibri" w:cs="Calibri"/>
          <w:color w:val="000000" w:themeColor="text1"/>
          <w:sz w:val="22"/>
          <w:szCs w:val="22"/>
        </w:rPr>
        <w:t xml:space="preserve">lae of succinate accumulation in the setting of RCC will form the basis for future strategies </w:t>
      </w:r>
      <w:r w:rsidR="00305EBF" w:rsidRPr="00D637BA">
        <w:rPr>
          <w:rFonts w:ascii="Calibri" w:hAnsi="Calibri" w:cs="Calibri"/>
          <w:color w:val="000000" w:themeColor="text1"/>
          <w:sz w:val="22"/>
          <w:szCs w:val="22"/>
        </w:rPr>
        <w:t xml:space="preserve">for the management of this </w:t>
      </w:r>
      <w:r w:rsidR="000D2DAA" w:rsidRPr="00D637BA">
        <w:rPr>
          <w:rFonts w:ascii="Calibri" w:hAnsi="Calibri" w:cs="Calibri"/>
          <w:color w:val="000000" w:themeColor="text1"/>
          <w:sz w:val="22"/>
          <w:szCs w:val="22"/>
        </w:rPr>
        <w:t>challenging disease</w:t>
      </w:r>
      <w:r w:rsidRPr="00D637BA">
        <w:rPr>
          <w:rFonts w:ascii="Calibri" w:hAnsi="Calibri" w:cs="Calibri"/>
          <w:color w:val="000000" w:themeColor="text1"/>
          <w:sz w:val="22"/>
          <w:szCs w:val="22"/>
        </w:rPr>
        <w:t xml:space="preserve">. </w:t>
      </w:r>
    </w:p>
    <w:p w14:paraId="4096221D" w14:textId="77777777" w:rsidR="00F131BF" w:rsidRPr="00D637BA" w:rsidRDefault="00F131BF" w:rsidP="00F131BF">
      <w:pPr>
        <w:spacing w:line="360" w:lineRule="auto"/>
        <w:jc w:val="both"/>
        <w:rPr>
          <w:rFonts w:ascii="Calibri" w:hAnsi="Calibri" w:cs="Calibri"/>
          <w:color w:val="000000" w:themeColor="text1"/>
          <w:sz w:val="22"/>
          <w:szCs w:val="22"/>
        </w:rPr>
      </w:pPr>
    </w:p>
    <w:p w14:paraId="5AA78F5F" w14:textId="01C134C9" w:rsidR="00F131BF" w:rsidRPr="00D637BA" w:rsidRDefault="00F74AC4" w:rsidP="00F131BF">
      <w:pPr>
        <w:spacing w:line="360" w:lineRule="auto"/>
        <w:jc w:val="both"/>
        <w:rPr>
          <w:rFonts w:ascii="Calibri" w:hAnsi="Calibri" w:cs="Calibri"/>
          <w:color w:val="000000" w:themeColor="text1"/>
          <w:sz w:val="22"/>
          <w:szCs w:val="22"/>
        </w:rPr>
      </w:pPr>
      <w:r w:rsidRPr="00D637BA">
        <w:rPr>
          <w:rFonts w:ascii="Calibri" w:hAnsi="Calibri" w:cs="Calibri"/>
          <w:b/>
          <w:color w:val="000000" w:themeColor="text1"/>
          <w:sz w:val="22"/>
          <w:szCs w:val="22"/>
        </w:rPr>
        <w:t xml:space="preserve">[H3] </w:t>
      </w:r>
      <w:r w:rsidR="00F131BF" w:rsidRPr="00D637BA">
        <w:rPr>
          <w:rFonts w:ascii="Calibri" w:hAnsi="Calibri" w:cs="Calibri"/>
          <w:b/>
          <w:color w:val="000000" w:themeColor="text1"/>
          <w:sz w:val="22"/>
          <w:szCs w:val="22"/>
        </w:rPr>
        <w:t>2-hydroxyglutarate</w:t>
      </w:r>
    </w:p>
    <w:p w14:paraId="78EA7217" w14:textId="0BD5AE95" w:rsidR="00BE4CCE" w:rsidRPr="00D637BA" w:rsidRDefault="002D3312" w:rsidP="00F131BF">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The discovery and elucidation</w:t>
      </w:r>
      <w:r w:rsidR="005A6907">
        <w:rPr>
          <w:rFonts w:ascii="Calibri" w:hAnsi="Calibri" w:cs="Calibri"/>
          <w:color w:val="000000" w:themeColor="text1"/>
          <w:sz w:val="22"/>
          <w:szCs w:val="22"/>
        </w:rPr>
        <w:t xml:space="preserve"> of the mechanisms</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of </w:t>
      </w:r>
      <w:r w:rsidR="003764C7" w:rsidRPr="00D637BA">
        <w:rPr>
          <w:rFonts w:ascii="Calibri" w:hAnsi="Calibri" w:cs="Calibri"/>
          <w:color w:val="000000" w:themeColor="text1"/>
          <w:sz w:val="22"/>
          <w:szCs w:val="22"/>
        </w:rPr>
        <w:t>L2HG</w:t>
      </w:r>
      <w:r w:rsidRPr="00D637BA">
        <w:rPr>
          <w:rFonts w:ascii="Calibri" w:hAnsi="Calibri" w:cs="Calibri"/>
          <w:color w:val="000000" w:themeColor="text1"/>
          <w:sz w:val="22"/>
          <w:szCs w:val="22"/>
        </w:rPr>
        <w:t xml:space="preserve"> accumulation</w:t>
      </w:r>
      <w:r w:rsidR="003764C7" w:rsidRPr="00D637BA">
        <w:rPr>
          <w:rFonts w:ascii="Calibri" w:hAnsi="Calibri" w:cs="Calibri"/>
          <w:color w:val="000000" w:themeColor="text1"/>
          <w:sz w:val="22"/>
          <w:szCs w:val="22"/>
        </w:rPr>
        <w:t xml:space="preserve"> in ccRCC</w:t>
      </w:r>
      <w:r w:rsidR="0094701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{"citationID":"a9v0eub2bd","properties":{"formattedCitation":"\\super 76,110\\nosupersub{}","plainCitation":"76,110","noteIndex":0},"citationItems":[{"id":784,"uris":["http://zotero.org/users/4775618/items/A2JRYGNB"],"uri":["http://zotero.org/users/4775618/items/A2JRYGNB"],"itemData":{"id":784,"type":"article-journal","title":"Biochemical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id":294,"uris":["http://zotero.org/users/4775618/items/KQPSSL3S"],"uri":["http://zotero.org/users/4775618/items/KQPSSL3S"],"itemData":{"id":294,"type":"article-journal","title":"l-2-Hydroxyglutarate: An Epigenetic Modifier and Putative Oncometabolite in Renal Cancer","container-title":"Cancer Discovery","page":"1290-1298","volume":"4","issue":"11","source":"cancerdiscovery.aacrjournals.org","abstract":"Through unbiased metabolomics, we identified elevations of the metabolite 2-hydroxyglutarate (2HG) in renal cell carcinoma (RCC). 2HG can inhibit 2-oxoglutaratre (2-OG)–dependent dioxygenases that mediate epigenetic events, including DNA and histone demethylation. 2HG accumulation, specifically the d enantiomer, can result from gain-of-function mutations of isocitrate dehydrogenase (IDH1, IDH2) found in several different tumors. In contrast, kidney tumors demonstrate elevations of the l enantiomer of 2HG (l-2HG). High-2HG tumors demonstrate reduced DNA levels of 5-hydroxymethylcytosine (5hmC), consistent with 2HG-mediated inhibition of ten-eleven translocation (TET) enzymes, which convert 5-methylcytosine (5mC) to 5hmC. l-2HG elevation is mediated in part by reduced expression of l-2HG dehydrogenase (L2HGDH). L2HGDH reconstitution in RCC cells lowers l-2HG and promotes 5hmC accumulation. In addition, L2HGDH expression in RCC cells reduces histone methylation and suppresses in vitro tumor phenotypes. Our report identifies l-2HG as an epigenetic modifier and putative oncometabolite in kidney cancer.\nSignificance: Here, we report elevations of the putative oncometabolite l-2HG in the most common subtype of kidney cancer and describe a novel mechanism for the regulation of DNA 5hmC levels. Our findings provide new insight into the metabolic basis for the epigenetic landscape of renal cancer. Cancer Discov; 4(11); 1290–8. ©2014 AACR.\nThis article is highlighted in the In This Issue feature, p. 1243","URL":"http://cancerdiscovery.aacrjournals.org/content/4/11/1290","DOI":"10.1158/2159-8290.CD-13-0696","ISSN":"2159-8274, 2159-8290","note":"PMID: 25182153","title-short":"l-2-Hydroxyglutarate","journalAbbreviation":"Cancer Discov","language":"en","author":[{"family":"Shim","given":"Eun-Hee"},{"family":"Livi","given":"Carolina B."},{"family":"Rakheja","given":"Dinesh"},{"family":"Tan","given":"Jubilee"},{"family":"Benson","given":"Daniel"},{"family":"Parekh","given":"Vishwas"},{"family":"Kho","given":"Eun-Young"},{"family":"Ghosh","given":"Arindam P."},{"family":"Kirkman","given":"Richard"},{"family":"Velu","given":"Sadanan"},{"family":"Dutta","given":"Shilpa"},{"family":"Chenna","given":"Balachandra"},{"family":"Rea","given":"Shane L."},{"family":"Mishur","given":"Robert J."},{"family":"Li","given":"Qiuhua"},{"family":"Johnson-Pais","given":"Teresa L."},{"family":"Guo","given":"Lining"},{"family":"Bae","given":"Sejong"},{"family":"Wei","given":"Shi"},{"family":"Block","given":"Karen"},{"family":"Sudarshan","given":"Sunil"}],"issued":{"date-parts":[["2014",11,1]]},"accessed":{"date-parts":[["2018",3,25]]}}}],"schema":"https://github.com/citation-style-language/schema/raw/master/csl-citation.json"} </w:instrText>
      </w:r>
      <w:r w:rsidR="0094701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76,110</w:t>
      </w:r>
      <w:r w:rsidR="0094701A">
        <w:rPr>
          <w:rFonts w:ascii="Calibri" w:hAnsi="Calibri" w:cs="Calibri"/>
          <w:color w:val="000000" w:themeColor="text1"/>
          <w:sz w:val="22"/>
          <w:szCs w:val="22"/>
        </w:rPr>
        <w:fldChar w:fldCharType="end"/>
      </w:r>
      <w:r w:rsidR="00275832" w:rsidRPr="00D637BA">
        <w:rPr>
          <w:rFonts w:ascii="Calibri" w:hAnsi="Calibri" w:cs="Calibri"/>
          <w:color w:val="000000" w:themeColor="text1"/>
          <w:sz w:val="22"/>
          <w:szCs w:val="22"/>
        </w:rPr>
        <w:t xml:space="preserve"> highlights the </w:t>
      </w:r>
      <w:r w:rsidR="005A6907">
        <w:rPr>
          <w:rFonts w:ascii="Calibri" w:hAnsi="Calibri" w:cs="Calibri"/>
          <w:color w:val="000000" w:themeColor="text1"/>
          <w:sz w:val="22"/>
          <w:szCs w:val="22"/>
        </w:rPr>
        <w:t>importance of</w:t>
      </w:r>
      <w:r w:rsidRPr="00D637BA">
        <w:rPr>
          <w:rFonts w:ascii="Calibri" w:hAnsi="Calibri" w:cs="Calibri"/>
          <w:color w:val="000000" w:themeColor="text1"/>
          <w:sz w:val="22"/>
          <w:szCs w:val="22"/>
        </w:rPr>
        <w:t xml:space="preserve"> </w:t>
      </w:r>
      <w:r w:rsidR="00275832" w:rsidRPr="00D637BA">
        <w:rPr>
          <w:rFonts w:ascii="Calibri" w:hAnsi="Calibri" w:cs="Calibri"/>
          <w:color w:val="000000" w:themeColor="text1"/>
          <w:sz w:val="22"/>
          <w:szCs w:val="22"/>
        </w:rPr>
        <w:t xml:space="preserve">the </w:t>
      </w:r>
      <w:r w:rsidRPr="00D637BA">
        <w:rPr>
          <w:rFonts w:ascii="Calibri" w:hAnsi="Calibri" w:cs="Calibri"/>
          <w:color w:val="000000" w:themeColor="text1"/>
          <w:sz w:val="22"/>
          <w:szCs w:val="22"/>
        </w:rPr>
        <w:t>tumorigenic role of</w:t>
      </w:r>
      <w:r w:rsidR="00275832" w:rsidRPr="00D637BA">
        <w:rPr>
          <w:rFonts w:ascii="Calibri" w:hAnsi="Calibri" w:cs="Calibri"/>
          <w:color w:val="000000" w:themeColor="text1"/>
          <w:sz w:val="22"/>
          <w:szCs w:val="22"/>
        </w:rPr>
        <w:t xml:space="preserve"> </w:t>
      </w:r>
      <w:r w:rsidR="005D22D8" w:rsidRPr="00D637BA">
        <w:rPr>
          <w:rFonts w:ascii="Calibri" w:hAnsi="Calibri" w:cs="Calibri"/>
          <w:color w:val="000000" w:themeColor="text1"/>
          <w:sz w:val="22"/>
          <w:szCs w:val="22"/>
        </w:rPr>
        <w:t>this oncometabolite</w:t>
      </w:r>
      <w:r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As </w:t>
      </w:r>
      <w:r w:rsidR="005D22D8" w:rsidRPr="00D637BA">
        <w:rPr>
          <w:rFonts w:ascii="Calibri" w:hAnsi="Calibri" w:cs="Calibri"/>
          <w:color w:val="000000" w:themeColor="text1"/>
          <w:sz w:val="22"/>
          <w:szCs w:val="22"/>
        </w:rPr>
        <w:t>discussed</w:t>
      </w:r>
      <w:r w:rsidR="00AC7E65" w:rsidRPr="00D637BA">
        <w:rPr>
          <w:rFonts w:ascii="Calibri" w:hAnsi="Calibri" w:cs="Calibri"/>
          <w:color w:val="000000" w:themeColor="text1"/>
          <w:sz w:val="22"/>
          <w:szCs w:val="22"/>
        </w:rPr>
        <w:t xml:space="preserve"> above</w:t>
      </w:r>
      <w:r w:rsidR="005D22D8"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2HG exists in two isoforms (L2HG</w:t>
      </w:r>
      <w:r w:rsidR="00AC7E65" w:rsidRPr="00D637BA">
        <w:rPr>
          <w:rFonts w:ascii="Calibri" w:hAnsi="Calibri" w:cs="Calibri"/>
          <w:color w:val="000000" w:themeColor="text1"/>
          <w:sz w:val="22"/>
          <w:szCs w:val="22"/>
        </w:rPr>
        <w:t xml:space="preserve"> and </w:t>
      </w:r>
      <w:r w:rsidR="00F131BF" w:rsidRPr="00D637BA">
        <w:rPr>
          <w:rFonts w:ascii="Calibri" w:hAnsi="Calibri" w:cs="Calibri"/>
          <w:color w:val="000000" w:themeColor="text1"/>
          <w:sz w:val="22"/>
          <w:szCs w:val="22"/>
        </w:rPr>
        <w:t xml:space="preserve">D2HG), </w:t>
      </w:r>
      <w:r w:rsidR="00AC7E65" w:rsidRPr="00D637BA">
        <w:rPr>
          <w:rFonts w:ascii="Calibri" w:hAnsi="Calibri" w:cs="Calibri"/>
          <w:color w:val="000000" w:themeColor="text1"/>
          <w:sz w:val="22"/>
          <w:szCs w:val="22"/>
        </w:rPr>
        <w:t xml:space="preserve">which are </w:t>
      </w:r>
      <w:r w:rsidR="00F131BF" w:rsidRPr="00D637BA">
        <w:rPr>
          <w:rFonts w:ascii="Calibri" w:hAnsi="Calibri" w:cs="Calibri"/>
          <w:color w:val="000000" w:themeColor="text1"/>
          <w:sz w:val="22"/>
          <w:szCs w:val="22"/>
        </w:rPr>
        <w:t>produced by distinct biological mechanisms that are differentially upregulated in cancers and exhibit distinct features beyond αKGDD enzyme inhibition</w:t>
      </w:r>
      <w:r w:rsidR="0094701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{"citationID":"aueuiuehsn","properties":{"formattedCitation":"\\super 60,68\\nosupersub{}","plainCitation":"60,68","noteIndex":0},"citationItems":[{"id":444,"uris":["http://zotero.org/users/4775618/items/U5E9AF2W"],"uri":["http://zotero.org/users/4775618/items/U5E9AF2W"],"itemData":{"id":444,"type":"article-journal","title":"Oncometabolites: A New Paradigm for Oncology, Metabolism, and the Clinical Laboratory","container-title":"Clinical Chemistry","page":"1812-1820","volume":"63","issue":"12","source":"PubMed","abstract":"BACKGROUND: Pediatric clinical laboratories commonly measure tricarboxylic acid cycle intermediates for screening, diagnosis, and monitoring of specific inborn errors of metabolism, such as organic acidurias. In the past decade, the same tricarboxylic acid cycle metabolites have been implicated and studied in cancer. The accumulation of these metabolites in certain cancers not only serves as a biomarker but also directly contributes to cellular transformation, therefore earning them the designation of oncometabolites.\nCONTENT: D\n-2-hydroxyglutarate,L-2-hydroxyglutarate, succinate, and fumarate are the currently recognized oncometabolites. They are structurally similar and share metabolic proximity in the tricarboxylic acid cycle. As a result, they promote tumorigenesis in cancer cells through similar mechanisms. This review summarizes the currently understood common and distinct biological features of these compounds. In addition, we will review the current laboratory methodologies that can be used to quantify these metabolites and their downstream targets.\nSUMMARY: Oncometabolites play an important role in cancer biology. The metabolic pathways that lead to the production of oncometabolites and the downstream signaling pathways that are activated by oncometabolites represent potential therapeutic targets. Clinical laboratories have a critical role to play in the management of oncometabolite-associated cancers through development and validation of sensitive and specific assays that measure oncometabolites and their downstream effectors. These assays can be used as screening tools and for follow-up to measure response to treatment, as well as to detect minimal residual disease and recurrence.","DOI":"10.1373/clinchem.2016.267666","ISSN":"1530-8561","note":"PMID: 29038145","title-short":"Oncometabolites","journalAbbreviation":"Clin. Chem.","language":"eng","author":[{"family":"Collins","given":"Rebecca R. J."},{"family":"Patel","given":"Khushbu"},{"family":"Putnam","given":"William C."},{"family":"Kapur","given":"Payal"},{"family":"Rakheja","given":"Dinesh"}],"issued":{"date-parts":[["2017",12]]}}},{"id":312,"uris":["http://zotero.org/users/4775618/items/E5D5NFC9"],"uri":["http://zotero.org/users/4775618/items/E5D5NFC9"],"itemData":{"id":312,"type":"article-journal","title":"Oncometabolites: Unconventional triggers of oncogenic signalling cascades","container-title":"Free Radical Biology &amp; Medicine","page":"175-181","volume":"100","source":"PubMed Central","abstract":"Cancer is a complex and heterogeneous disease thought to be caused by multiple genetic lesions. The recent finding that enzymes of the tricarboxylic acid (TCA) cycle are mutated in cancer rekindled the hypothesis that altered metabolism might also have a role in cellular transformation. Attempts to link mitochondrial dysfunction to cancer uncovered the unexpected role of small molecule metabolites, now known as oncometabolites, in tumorigenesis. In this review, we describe how oncometabolites can contribute to tumorigenesis. We propose that lesions of oncogenes and tumour suppressors are only one of the possible routes to tumorigenesis, which include accumulation of oncometabolites triggered by environmental cues., \n          \n            \n              •\n              Altered metabolism is an emerging aspect of tumorigenesis.\n            \n            \n              •\n              Damaged mitochondria accumulate metabolites that can activate oncogenic cascades.\n            \n            \n              •\n              Environmental and nutritional cues trigger the accumulation of these metabolites.","URL":"https://www.ncbi.nlm.nih.gov/pmc/articles/PMC5145802/","DOI":"10.1016/j.freeradbiomed.2016.04.025","ISSN":"0891-5849","note":"PMID: 27117029\nPMCID: PMC5145802","title-short":"Oncometabolites","journalAbbreviation":"Free Radic Biol Med","author":[{"family":"Sciacovelli","given":"Marco"},{"family":"Frezza","given":"Christian"}],"issued":{"date-parts":[["2016",11]]},"accessed":{"date-parts":[["2018",3,29]]}}}],"schema":"https://github.com/citation-style-language/schema/raw/master/csl-citation.json"} </w:instrText>
      </w:r>
      <w:r w:rsidR="0094701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60,68</w:t>
      </w:r>
      <w:r w:rsidR="0094701A">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p>
    <w:p w14:paraId="387256C5" w14:textId="28CFA2CD" w:rsidR="0010521A" w:rsidRPr="00D637BA" w:rsidRDefault="00F131BF" w:rsidP="00B946E4">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Interestingly, studies of 2HG in leukaemic cells </w:t>
      </w:r>
      <w:r w:rsidR="00AC7E65" w:rsidRPr="00D637BA">
        <w:rPr>
          <w:rFonts w:ascii="Calibri" w:hAnsi="Calibri" w:cs="Calibri"/>
          <w:color w:val="000000" w:themeColor="text1"/>
          <w:sz w:val="22"/>
          <w:szCs w:val="22"/>
        </w:rPr>
        <w:t xml:space="preserve">have </w:t>
      </w:r>
      <w:r w:rsidRPr="00D637BA">
        <w:rPr>
          <w:rFonts w:ascii="Calibri" w:hAnsi="Calibri" w:cs="Calibri"/>
          <w:color w:val="000000" w:themeColor="text1"/>
          <w:sz w:val="22"/>
          <w:szCs w:val="22"/>
        </w:rPr>
        <w:t>yielded conflicting results</w:t>
      </w:r>
      <w:r w:rsidRPr="00D637BA">
        <w:rPr>
          <w:rFonts w:ascii="Calibri" w:hAnsi="Calibri" w:cs="Calibri"/>
          <w:i/>
          <w:color w:val="000000" w:themeColor="text1"/>
          <w:sz w:val="22"/>
          <w:szCs w:val="22"/>
        </w:rPr>
        <w:t>.</w:t>
      </w:r>
      <w:r w:rsidRPr="00D637BA">
        <w:rPr>
          <w:rFonts w:ascii="Calibri" w:hAnsi="Calibri" w:cs="Calibri"/>
          <w:color w:val="000000" w:themeColor="text1"/>
          <w:sz w:val="22"/>
          <w:szCs w:val="22"/>
        </w:rPr>
        <w:t xml:space="preserve"> In multiple </w:t>
      </w:r>
      <w:r w:rsidRPr="00D637BA">
        <w:rPr>
          <w:rFonts w:ascii="Calibri" w:hAnsi="Calibri" w:cs="Calibri"/>
          <w:i/>
          <w:color w:val="000000" w:themeColor="text1"/>
          <w:sz w:val="22"/>
          <w:szCs w:val="22"/>
        </w:rPr>
        <w:t>IDH-</w:t>
      </w:r>
      <w:r w:rsidRPr="00D637BA">
        <w:rPr>
          <w:rFonts w:ascii="Calibri" w:hAnsi="Calibri" w:cs="Calibri"/>
          <w:color w:val="000000" w:themeColor="text1"/>
          <w:sz w:val="22"/>
          <w:szCs w:val="22"/>
        </w:rPr>
        <w:t>wild</w:t>
      </w:r>
      <w:r w:rsidR="00AC7E65"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type leukaemic cell lines, </w:t>
      </w:r>
      <w:r w:rsidR="00AC7E65" w:rsidRPr="00D637BA">
        <w:rPr>
          <w:rFonts w:ascii="Calibri" w:hAnsi="Calibri" w:cs="Calibri"/>
          <w:color w:val="000000" w:themeColor="text1"/>
          <w:sz w:val="22"/>
          <w:szCs w:val="22"/>
        </w:rPr>
        <w:t>addition of</w:t>
      </w:r>
      <w:r w:rsidR="007E1FD4" w:rsidRPr="00D637BA">
        <w:rPr>
          <w:rFonts w:ascii="Calibri" w:hAnsi="Calibri" w:cs="Calibri"/>
          <w:color w:val="000000" w:themeColor="text1"/>
          <w:sz w:val="22"/>
          <w:szCs w:val="22"/>
        </w:rPr>
        <w:t xml:space="preserve"> </w:t>
      </w:r>
      <w:r w:rsidR="005A6907">
        <w:rPr>
          <w:rFonts w:ascii="Calibri" w:hAnsi="Calibri" w:cs="Calibri"/>
          <w:color w:val="000000" w:themeColor="text1"/>
          <w:sz w:val="22"/>
          <w:szCs w:val="22"/>
        </w:rPr>
        <w:t xml:space="preserve">exogenous </w:t>
      </w:r>
      <w:r w:rsidR="00AC7E65" w:rsidRPr="00D637BA">
        <w:rPr>
          <w:rFonts w:ascii="Calibri" w:hAnsi="Calibri" w:cs="Calibri"/>
          <w:color w:val="000000" w:themeColor="text1"/>
          <w:sz w:val="22"/>
          <w:szCs w:val="22"/>
        </w:rPr>
        <w:t>D2HG</w:t>
      </w:r>
      <w:r w:rsidR="007E1FD4" w:rsidRPr="00D637BA">
        <w:rPr>
          <w:rFonts w:ascii="Calibri" w:hAnsi="Calibri" w:cs="Calibri"/>
          <w:color w:val="000000" w:themeColor="text1"/>
          <w:sz w:val="22"/>
          <w:szCs w:val="22"/>
        </w:rPr>
        <w:t xml:space="preserve"> </w:t>
      </w:r>
      <w:r w:rsidR="00AC7E65" w:rsidRPr="00D637BA">
        <w:rPr>
          <w:rFonts w:ascii="Calibri" w:hAnsi="Calibri" w:cs="Calibri"/>
          <w:color w:val="000000" w:themeColor="text1"/>
          <w:sz w:val="22"/>
          <w:szCs w:val="22"/>
        </w:rPr>
        <w:t xml:space="preserve">resulted </w:t>
      </w:r>
      <w:r w:rsidR="00991916" w:rsidRPr="00D637BA">
        <w:rPr>
          <w:rFonts w:ascii="Calibri" w:hAnsi="Calibri" w:cs="Calibri"/>
          <w:color w:val="000000" w:themeColor="text1"/>
          <w:sz w:val="22"/>
          <w:szCs w:val="22"/>
        </w:rPr>
        <w:t xml:space="preserve">in </w:t>
      </w:r>
      <w:r w:rsidRPr="00D637BA">
        <w:rPr>
          <w:rFonts w:ascii="Calibri" w:hAnsi="Calibri" w:cs="Calibri"/>
          <w:color w:val="000000" w:themeColor="text1"/>
          <w:sz w:val="22"/>
          <w:szCs w:val="22"/>
        </w:rPr>
        <w:t>dose-dependent inhibition of cell proliferation and viability</w:t>
      </w:r>
      <w:r w:rsidR="0094701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{"citationID":"a145jkm85oc","properties":{"formattedCitation":"\\super 195\\nosupersub{}","plainCitation":"195","noteIndex":0},"citationItems":[{"id":1695,"uris":["http://zotero.org/users/4775618/items/H82L7KPF"],"uri":["http://zotero.org/users/4775618/items/H82L7KPF"],"itemData":{"id":1695,"type":"article-journal","title":"R-2HG Exhibits Anti-tumor Activity by Targeting FTO/m6A/MYC/CEBPA Signaling","container-title":"Cell","page":"90-105.e23","volume":"172","issue":"1","source":"ScienceDirect","abstract":"Summary\nR-2-hydroxyglutarate (R-2HG), produced at high levels by mutant isocitrate dehydrogenase 1/2 (IDH1/2) enzymes, was reported as an oncometabolite. We show here that R-2HG also exerts a broad anti-leukemic activity in vitro and in vivo by inhibiting leukemia cell proliferation/viability and by promoting cell-cycle arrest and apoptosis. Mechanistically, R-2HG inhibits fat mass and obesity-associated protein (FTO) activity, thereby increasing global N6-methyladenosine (m6A) RNA modification in R-2HG-sensitive leukemia cells, which in turn decreases the stability of MYC/CEBPA transcripts, leading to the suppression of relevant pathways. Ectopically expressed mutant IDH1 and S-2HG recapitulate the effects of R-2HG. High levels of FTO sensitize leukemic cells to R-2HG, whereas hyperactivation of MYC signaling confers resistance that can be reversed by the inhibition of MYC signaling. R-2HG also displays anti-tumor activity in glioma. Collectively, while R-2HG accumulated in IDH1/2 mutant cancers contributes to cancer initiation, our work demonstrates anti-tumor effects of 2HG in inhibiting proliferation/survival of FTO-high cancer cells via targeting FTO/m6A/MYC/CEBPA signaling.","URL":"http://www.sciencedirect.com/science/article/pii/S009286741731382X","DOI":"10.1016/j.cell.2017.11.031","ISSN":"0092-8674","journalAbbreviation":"Cell","author":[{"family":"Su","given":"Rui"},{"family":"Dong","given":"Lei"},{"family":"Li","given":"Chenying"},{"family":"Nachtergaele","given":"Sigrid"},{"family":"Wunderlich","given":"Mark"},{"family":"Qing","given":"Ying"},{"family":"Deng","given":"Xiaolan"},{"family":"Wang","given":"Yungui"},{"family":"Weng","given":"Xiaocheng"},{"family":"Hu","given":"Chao"},{"family":"Yu","given":"Mengxia"},{"family":"Skibbe","given":"Jennifer"},{"family":"Dai","given":"Qing"},{"family":"Zou","given":"Dongling"},{"family":"Wu","given":"Tong"},{"family":"Yu","given":"Kangkang"},{"family":"Weng","given":"Hengyou"},{"family":"Huang","given":"Huilin"},{"family":"Ferchen","given":"Kyle"},{"family":"Qin","given":"Xi"},{"family":"Zhang","given":"Bin"},{"family":"Qi","given":"Jun"},{"family":"Sasaki","given":"Atsuo T."},{"family":"Plas","given":"David R."},{"family":"Bradner","given":"James E."},{"family":"Wei","given":"Minjie"},{"family":"Marcucci","given":"Guido"},{"family":"Jiang","given":"Xi"},{"family":"Mulloy","given":"James C."},{"family":"Jin","given":"Jie"},{"family":"He","given":"Chuan"},{"family":"Chen","given":"Jianjun"}],"issued":{"date-parts":[["2018",1,11]]},"accessed":{"date-parts":[["2019",3,4]]}}}],"schema":"https://github.com/citation-style-language/schema/raw/master/csl-citation.json"} </w:instrText>
      </w:r>
      <w:r w:rsidR="0094701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195</w:t>
      </w:r>
      <w:r w:rsidR="0094701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FA7015" w:rsidRPr="00D637BA">
        <w:rPr>
          <w:rFonts w:ascii="Calibri" w:hAnsi="Calibri" w:cs="Calibri"/>
          <w:color w:val="000000" w:themeColor="text1"/>
          <w:sz w:val="22"/>
          <w:szCs w:val="22"/>
        </w:rPr>
        <w:t>B</w:t>
      </w:r>
      <w:r w:rsidR="00BA4B45" w:rsidRPr="00D637BA">
        <w:rPr>
          <w:rFonts w:ascii="Calibri" w:hAnsi="Calibri" w:cs="Calibri"/>
          <w:color w:val="000000" w:themeColor="text1"/>
          <w:sz w:val="22"/>
          <w:szCs w:val="22"/>
        </w:rPr>
        <w:t>y contrast</w:t>
      </w:r>
      <w:r w:rsidRPr="00D637BA">
        <w:rPr>
          <w:rFonts w:ascii="Calibri" w:hAnsi="Calibri" w:cs="Calibri"/>
          <w:color w:val="000000" w:themeColor="text1"/>
          <w:sz w:val="22"/>
          <w:szCs w:val="22"/>
        </w:rPr>
        <w:t xml:space="preserve">, </w:t>
      </w:r>
      <w:r w:rsidR="007E1FD4" w:rsidRPr="00D637BA">
        <w:rPr>
          <w:rFonts w:ascii="Calibri" w:hAnsi="Calibri" w:cs="Calibri"/>
          <w:color w:val="000000" w:themeColor="text1"/>
          <w:sz w:val="22"/>
          <w:szCs w:val="22"/>
        </w:rPr>
        <w:t xml:space="preserve">another study reported that the addition of </w:t>
      </w:r>
      <w:r w:rsidRPr="00D637BA">
        <w:rPr>
          <w:rFonts w:ascii="Calibri" w:hAnsi="Calibri" w:cs="Calibri"/>
          <w:color w:val="000000" w:themeColor="text1"/>
          <w:sz w:val="22"/>
          <w:szCs w:val="22"/>
        </w:rPr>
        <w:t>exogenous D2HG</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at a comparable concentration in similar </w:t>
      </w:r>
      <w:r w:rsidRPr="00D637BA">
        <w:rPr>
          <w:rFonts w:ascii="Calibri" w:hAnsi="Calibri" w:cs="Calibri"/>
          <w:i/>
          <w:color w:val="000000" w:themeColor="text1"/>
          <w:sz w:val="22"/>
          <w:szCs w:val="22"/>
        </w:rPr>
        <w:t>IDH-</w:t>
      </w:r>
      <w:r w:rsidRPr="00D637BA">
        <w:rPr>
          <w:rFonts w:ascii="Calibri" w:hAnsi="Calibri" w:cs="Calibri"/>
          <w:color w:val="000000" w:themeColor="text1"/>
          <w:sz w:val="22"/>
          <w:szCs w:val="22"/>
        </w:rPr>
        <w:t>wild</w:t>
      </w:r>
      <w:r w:rsidR="007E1FD4"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type cell</w:t>
      </w:r>
      <w:r w:rsidR="007E1FD4" w:rsidRPr="00D637BA">
        <w:rPr>
          <w:rFonts w:ascii="Calibri" w:hAnsi="Calibri" w:cs="Calibri"/>
          <w:color w:val="000000" w:themeColor="text1"/>
          <w:sz w:val="22"/>
          <w:szCs w:val="22"/>
        </w:rPr>
        <w:t xml:space="preserve"> lines resulted in</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a contrasting phenotype of cell proliferation and leukaemic transformation</w:t>
      </w:r>
      <w:r w:rsidR="0094701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{"citationID":"a3guobmui7","properties":{"formattedCitation":"\\super 115\\nosupersub{}","plainCitation":"115","noteIndex":0},"citationItems":[{"id":1351,"uris":["http://zotero.org/users/4775618/items/S62ERCDM"],"uri":["http://zotero.org/users/4775618/items/S62ERCDM"],"itemData":{"id":1351,"type":"article-journal","title":"(R)-2-Hydroxyglutarate Is Sufficient to Promote Leukemogenesis and Its Effects Are Reversible","container-title":"Science","page":"1621-1625","volume":"339","issue":"6127","source":"science.sciencemag.org","abstract":"Focusing on the Right Metabolite\nA variety of human cancers, including acute leukemias and brain tumors, have mutations in the genes encoding isocitrate dehydrogenase 1 or 2 (IDH1, IDH2), which cause overproduction of a metabolite called 2-hydroxyglutarate (2HG). Losman et al. (p. 1621, published online 7 February) show that the R- but not the S-enantiomer of 2HG can transform cells and that R-2HG mediates transformation at least in part through effects on protein modifying EglN prolyl hydroxylases. Importantly, the transforming activity of R-2HG was reversible, suggesting that therapeutic strategies focusing on inhibition of R-2HG production or inhibition of EglN prolyl hydroxylases merit further investigation.\nMutations in IDH1 and IDH2, the genes coding for isocitrate dehydrogenases 1 and 2, are common in several human cancers, including leukemias, and result in overproduction of the (R)-enantiomer of 2-hydroxyglutarate [(R)-2HG]. Elucidation of the role of IDH mutations and (R)-2HG in leukemogenesis has been hampered by a lack of appropriate cell-based models. Here, we show that a canonical IDH1 mutant, IDH1 R132H, promotes cytokine independence and blocks differentiation in hematopoietic cells. These effects can be recapitulated by (R)-2HG, but not (S)-2HG, despite the fact that (S)-2HG more potently inhibits enzymes, such as the 5′-methylcytosine hydroxylase TET2, that have previously been linked to the pathogenesis of IDH mutant tumors. We provide evidence that this paradox relates to the ability of (S)-2HG, but not (R)-2HG, to inhibit the EglN prolyl hydroxylases. Additionally, we show that transformation by (R)-2HG is reversible.\nA metabolite specific to certain cancers, and of therapeutic interest, exists in two forms, only one of which is oncogenic.\nA metabolite specific to certain cancers, and of therapeutic interest, exists in two forms, only one of which is oncogenic.","URL":"http://science.sciencemag.org/content/339/6127/1621","DOI":"10.1126/science.1231677","ISSN":"0036-8075, 1095-9203","note":"PMID: 23393090","language":"en","author":[{"family":"Losman","given":"Julie-Aurore"},{"family":"Looper","given":"Ryan E."},{"family":"Koivunen","given":"Peppi"},{"family":"Lee","given":"Sungwoo"},{"family":"Schneider","given":"Rebekka K."},{"family":"McMahon","given":"Christine"},{"family":"Cowley","given":"Glenn S."},{"family":"Root","given":"David E."},{"family":"Ebert","given":"Benjamin L."},{"family":"Kaelin","given":"William G."}],"issued":{"date-parts":[["2013",3,29]]},"accessed":{"date-parts":[["2019",2,23]]}}}],"schema":"https://github.com/citation-style-language/schema/raw/master/csl-citation.json"} </w:instrText>
      </w:r>
      <w:r w:rsidR="0094701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115</w:t>
      </w:r>
      <w:r w:rsidR="0094701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This disparity has been partly attributed to the di</w:t>
      </w:r>
      <w:r w:rsidR="00746863">
        <w:rPr>
          <w:rFonts w:ascii="Calibri" w:hAnsi="Calibri" w:cs="Calibri"/>
          <w:color w:val="000000" w:themeColor="text1"/>
          <w:sz w:val="22"/>
          <w:szCs w:val="22"/>
        </w:rPr>
        <w:t xml:space="preserve">ffering </w:t>
      </w:r>
      <w:r w:rsidRPr="00D637BA">
        <w:rPr>
          <w:rFonts w:ascii="Calibri" w:hAnsi="Calibri" w:cs="Calibri"/>
          <w:i/>
          <w:color w:val="000000" w:themeColor="text1"/>
          <w:sz w:val="22"/>
          <w:szCs w:val="22"/>
        </w:rPr>
        <w:t xml:space="preserve">in vitro </w:t>
      </w:r>
      <w:r w:rsidRPr="00D637BA">
        <w:rPr>
          <w:rFonts w:ascii="Calibri" w:hAnsi="Calibri" w:cs="Calibri"/>
          <w:color w:val="000000" w:themeColor="text1"/>
          <w:sz w:val="22"/>
          <w:szCs w:val="22"/>
        </w:rPr>
        <w:t>conditions used in these experiments</w:t>
      </w:r>
      <w:r w:rsidR="0094701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{"citationID":"am5u47spec","properties":{"formattedCitation":"\\super 195\\nosupersub{}","plainCitation":"195","noteIndex":0},"citationItems":[{"id":1695,"uris":["http://zotero.org/users/4775618/items/H82L7KPF"],"uri":["http://zotero.org/users/4775618/items/H82L7KPF"],"itemData":{"id":1695,"type":"article-journal","title":"R-2HG Exhibits Anti-tumor Activity by Targeting FTO/m6A/MYC/CEBPA Signaling","container-title":"Cell","page":"90-105.e23","volume":"172","issue":"1","source":"ScienceDirect","abstract":"Summary\nR-2-hydroxyglutarate (R-2HG), produced at high levels by mutant isocitrate dehydrogenase 1/2 (IDH1/2) enzymes, was reported as an oncometabolite. We show here that R-2HG also exerts a broad anti-leukemic activity in vitro and in vivo by inhibiting leukemia cell proliferation/viability and by promoting cell-cycle arrest and apoptosis. Mechanistically, R-2HG inhibits fat mass and obesity-associated protein (FTO) activity, thereby increasing global N6-methyladenosine (m6A) RNA modification in R-2HG-sensitive leukemia cells, which in turn decreases the stability of MYC/CEBPA transcripts, leading to the suppression of relevant pathways. Ectopically expressed mutant IDH1 and S-2HG recapitulate the effects of R-2HG. High levels of FTO sensitize leukemic cells to R-2HG, whereas hyperactivation of MYC signaling confers resistance that can be reversed by the inhibition of MYC signaling. R-2HG also displays anti-tumor activity in glioma. Collectively, while R-2HG accumulated in IDH1/2 mutant cancers contributes to cancer initiation, our work demonstrates anti-tumor effects of 2HG in inhibiting proliferation/survival of FTO-high cancer cells via targeting FTO/m6A/MYC/CEBPA signaling.","URL":"http://www.sciencedirect.com/science/article/pii/S009286741731382X","DOI":"10.1016/j.cell.2017.11.031","ISSN":"0092-8674","journalAbbreviation":"Cell","author":[{"family":"Su","given":"Rui"},{"family":"Dong","given":"Lei"},{"family":"Li","given":"Chenying"},{"family":"Nachtergaele","given":"Sigrid"},{"family":"Wunderlich","given":"Mark"},{"family":"Qing","given":"Ying"},{"family":"Deng","given":"Xiaolan"},{"family":"Wang","given":"Yungui"},{"family":"Weng","given":"Xiaocheng"},{"family":"Hu","given":"Chao"},{"family":"Yu","given":"Mengxia"},{"family":"Skibbe","given":"Jennifer"},{"family":"Dai","given":"Qing"},{"family":"Zou","given":"Dongling"},{"family":"Wu","given":"Tong"},{"family":"Yu","given":"Kangkang"},{"family":"Weng","given":"Hengyou"},{"family":"Huang","given":"Huilin"},{"family":"Ferchen","given":"Kyle"},{"family":"Qin","given":"Xi"},{"family":"Zhang","given":"Bin"},{"family":"Qi","given":"Jun"},{"family":"Sasaki","given":"Atsuo T."},{"family":"Plas","given":"David R."},{"family":"Bradner","given":"James E."},{"family":"Wei","given":"Minjie"},{"family":"Marcucci","given":"Guido"},{"family":"Jiang","given":"Xi"},{"family":"Mulloy","given":"James C."},{"family":"Jin","given":"Jie"},{"family":"He","given":"Chuan"},{"family":"Chen","given":"Jianjun"}],"issued":{"date-parts":[["2018",1,11]]},"accessed":{"date-parts":[["2019",3,4]]}}}],"schema":"https://github.com/citation-style-language/schema/raw/master/csl-citation.json"} </w:instrText>
      </w:r>
      <w:r w:rsidR="0094701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195</w:t>
      </w:r>
      <w:r w:rsidR="0094701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However, in support of an anti-</w:t>
      </w:r>
      <w:r w:rsidR="008B0014" w:rsidRPr="00D637BA">
        <w:rPr>
          <w:rFonts w:ascii="Calibri" w:hAnsi="Calibri" w:cs="Calibri"/>
          <w:color w:val="000000" w:themeColor="text1"/>
          <w:sz w:val="22"/>
          <w:szCs w:val="22"/>
        </w:rPr>
        <w:t>tumoural</w:t>
      </w:r>
      <w:r w:rsidRPr="00D637BA">
        <w:rPr>
          <w:rFonts w:ascii="Calibri" w:hAnsi="Calibri" w:cs="Calibri"/>
          <w:color w:val="000000" w:themeColor="text1"/>
          <w:sz w:val="22"/>
          <w:szCs w:val="22"/>
        </w:rPr>
        <w:t xml:space="preserve"> effect, </w:t>
      </w:r>
      <w:r w:rsidR="007E1FD4" w:rsidRPr="00D637BA">
        <w:rPr>
          <w:rFonts w:ascii="Calibri" w:hAnsi="Calibri" w:cs="Calibri"/>
          <w:color w:val="000000" w:themeColor="text1"/>
          <w:sz w:val="22"/>
          <w:szCs w:val="22"/>
        </w:rPr>
        <w:t xml:space="preserve">accumulation of </w:t>
      </w:r>
      <w:r w:rsidRPr="00D637BA">
        <w:rPr>
          <w:rFonts w:ascii="Calibri" w:hAnsi="Calibri" w:cs="Calibri"/>
          <w:color w:val="000000" w:themeColor="text1"/>
          <w:sz w:val="22"/>
          <w:szCs w:val="22"/>
        </w:rPr>
        <w:t xml:space="preserve">D2HG (either </w:t>
      </w:r>
      <w:r w:rsidR="007E1FD4" w:rsidRPr="00D637BA">
        <w:rPr>
          <w:rFonts w:ascii="Calibri" w:hAnsi="Calibri" w:cs="Calibri"/>
          <w:color w:val="000000" w:themeColor="text1"/>
          <w:sz w:val="22"/>
          <w:szCs w:val="22"/>
        </w:rPr>
        <w:t xml:space="preserve">owing to </w:t>
      </w:r>
      <w:r w:rsidRPr="00D637BA">
        <w:rPr>
          <w:rFonts w:ascii="Calibri" w:hAnsi="Calibri" w:cs="Calibri"/>
          <w:color w:val="000000" w:themeColor="text1"/>
          <w:sz w:val="22"/>
          <w:szCs w:val="22"/>
        </w:rPr>
        <w:t xml:space="preserve">exogenous addition or </w:t>
      </w:r>
      <w:r w:rsidRPr="00D637BA">
        <w:rPr>
          <w:rFonts w:ascii="Calibri" w:hAnsi="Calibri" w:cs="Calibri"/>
          <w:i/>
          <w:color w:val="000000" w:themeColor="text1"/>
          <w:sz w:val="22"/>
          <w:szCs w:val="22"/>
        </w:rPr>
        <w:t>IDH</w:t>
      </w:r>
      <w:r w:rsidRPr="00D637BA">
        <w:rPr>
          <w:rFonts w:ascii="Calibri" w:hAnsi="Calibri" w:cs="Calibri"/>
          <w:color w:val="000000" w:themeColor="text1"/>
          <w:sz w:val="22"/>
          <w:szCs w:val="22"/>
        </w:rPr>
        <w:t xml:space="preserve"> mutation) attenuated </w:t>
      </w:r>
      <w:r w:rsidR="007E1FD4" w:rsidRPr="00D637BA">
        <w:rPr>
          <w:rFonts w:ascii="Calibri" w:hAnsi="Calibri" w:cs="Calibri"/>
          <w:color w:val="000000" w:themeColor="text1"/>
          <w:sz w:val="22"/>
          <w:szCs w:val="22"/>
        </w:rPr>
        <w:t xml:space="preserve">disease </w:t>
      </w:r>
      <w:r w:rsidRPr="00D637BA">
        <w:rPr>
          <w:rFonts w:ascii="Calibri" w:hAnsi="Calibri" w:cs="Calibri"/>
          <w:color w:val="000000" w:themeColor="text1"/>
          <w:sz w:val="22"/>
          <w:szCs w:val="22"/>
        </w:rPr>
        <w:t>progression and increased survival in a</w:t>
      </w:r>
      <w:r w:rsidR="00913297" w:rsidRPr="00D637BA">
        <w:rPr>
          <w:rFonts w:ascii="Calibri" w:hAnsi="Calibri" w:cs="Calibri"/>
          <w:color w:val="000000" w:themeColor="text1"/>
          <w:sz w:val="22"/>
          <w:szCs w:val="22"/>
        </w:rPr>
        <w:t>n</w:t>
      </w:r>
      <w:r w:rsidRPr="00D637BA">
        <w:rPr>
          <w:rFonts w:ascii="Calibri" w:hAnsi="Calibri" w:cs="Calibri"/>
          <w:color w:val="000000" w:themeColor="text1"/>
          <w:sz w:val="22"/>
          <w:szCs w:val="22"/>
        </w:rPr>
        <w:t xml:space="preserve"> </w:t>
      </w:r>
      <w:r w:rsidRPr="00D637BA">
        <w:rPr>
          <w:rFonts w:ascii="Calibri" w:hAnsi="Calibri" w:cs="Calibri"/>
          <w:i/>
          <w:color w:val="000000" w:themeColor="text1"/>
          <w:sz w:val="22"/>
          <w:szCs w:val="22"/>
        </w:rPr>
        <w:t xml:space="preserve">in vivo </w:t>
      </w:r>
      <w:r w:rsidRPr="00D637BA">
        <w:rPr>
          <w:rFonts w:ascii="Calibri" w:hAnsi="Calibri" w:cs="Calibri"/>
          <w:color w:val="000000" w:themeColor="text1"/>
          <w:sz w:val="22"/>
          <w:szCs w:val="22"/>
        </w:rPr>
        <w:t>xenograft model of leukaemia</w:t>
      </w:r>
      <w:r w:rsidR="0094701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{"citationID":"alpr0vt0cq","properties":{"formattedCitation":"\\super 195\\nosupersub{}","plainCitation":"195","noteIndex":0},"citationItems":[{"id":1695,"uris":["http://zotero.org/users/4775618/items/H82L7KPF"],"uri":["http://zotero.org/users/4775618/items/H82L7KPF"],"itemData":{"id":1695,"type":"article-journal","title":"R-2HG Exhibits Anti-tumor Activity by Targeting FTO/m6A/MYC/CEBPA Signaling","container-title":"Cell","page":"90-105.e23","volume":"172","issue":"1","source":"ScienceDirect","abstract":"Summary\nR-2-hydroxyglutarate (R-2HG), produced at high levels by mutant isocitrate dehydrogenase 1/2 (IDH1/2) enzymes, was reported as an oncometabolite. We show here that R-2HG also exerts a broad anti-leukemic activity in vitro and in vivo by inhibiting leukemia cell proliferation/viability and by promoting cell-cycle arrest and apoptosis. Mechanistically, R-2HG inhibits fat mass and obesity-associated protein (FTO) activity, thereby increasing global N6-methyladenosine (m6A) RNA modification in R-2HG-sensitive leukemia cells, which in turn decreases the stability of MYC/CEBPA transcripts, leading to the suppression of relevant pathways. Ectopically expressed mutant IDH1 and S-2HG recapitulate the effects of R-2HG. High levels of FTO sensitize leukemic cells to R-2HG, whereas hyperactivation of MYC signaling confers resistance that can be reversed by the inhibition of MYC signaling. R-2HG also displays anti-tumor activity in glioma. Collectively, while R-2HG accumulated in IDH1/2 mutant cancers contributes to cancer initiation, our work demonstrates anti-tumor effects of 2HG in inhibiting proliferation/survival of FTO-high cancer cells via targeting FTO/m6A/MYC/CEBPA signaling.","URL":"http://www.sciencedirect.com/science/article/pii/S009286741731382X","DOI":"10.1016/j.cell.2017.11.031","ISSN":"0092-8674","journalAbbreviation":"Cell","author":[{"family":"Su","given":"Rui"},{"family":"Dong","given":"Lei"},{"family":"Li","given":"Chenying"},{"family":"Nachtergaele","given":"Sigrid"},{"family":"Wunderlich","given":"Mark"},{"family":"Qing","given":"Ying"},{"family":"Deng","given":"Xiaolan"},{"family":"Wang","given":"Yungui"},{"family":"Weng","given":"Xiaocheng"},{"family":"Hu","given":"Chao"},{"family":"Yu","given":"Mengxia"},{"family":"Skibbe","given":"Jennifer"},{"family":"Dai","given":"Qing"},{"family":"Zou","given":"Dongling"},{"family":"Wu","given":"Tong"},{"family":"Yu","given":"Kangkang"},{"family":"Weng","given":"Hengyou"},{"family":"Huang","given":"Huilin"},{"family":"Ferchen","given":"Kyle"},{"family":"Qin","given":"Xi"},{"family":"Zhang","given":"Bin"},{"family":"Qi","given":"Jun"},{"family":"Sasaki","given":"Atsuo T."},{"family":"Plas","given":"David R."},{"family":"Bradner","given":"James E."},{"family":"Wei","given":"Minjie"},{"family":"Marcucci","given":"Guido"},{"family":"Jiang","given":"Xi"},{"family":"Mulloy","given":"James C."},{"family":"Jin","given":"Jie"},{"family":"He","given":"Chuan"},{"family":"Chen","given":"Jianjun"}],"issued":{"date-parts":[["2018",1,11]]},"accessed":{"date-parts":[["2019",3,4]]}}}],"schema":"https://github.com/citation-style-language/schema/raw/master/csl-citation.json"} </w:instrText>
      </w:r>
      <w:r w:rsidR="0094701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195</w:t>
      </w:r>
      <w:r w:rsidR="0094701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Mechanistically, D2HG competitively inhibits </w:t>
      </w:r>
      <w:r w:rsidR="00FC5539" w:rsidRPr="00D637BA">
        <w:rPr>
          <w:rFonts w:ascii="Calibri" w:hAnsi="Calibri" w:cs="Calibri"/>
          <w:color w:val="000000" w:themeColor="text1"/>
          <w:sz w:val="22"/>
          <w:szCs w:val="22"/>
        </w:rPr>
        <w:t xml:space="preserve">the mRNA demethylase </w:t>
      </w:r>
      <w:r w:rsidR="007E1FD4" w:rsidRPr="00D637BA">
        <w:rPr>
          <w:rFonts w:ascii="Calibri" w:hAnsi="Calibri" w:cs="Calibri"/>
          <w:color w:val="000000" w:themeColor="text1"/>
          <w:sz w:val="22"/>
          <w:szCs w:val="22"/>
        </w:rPr>
        <w:t xml:space="preserve">α-ketoglutarate-dependent dioxygenase </w:t>
      </w:r>
      <w:r w:rsidR="00E44E95">
        <w:rPr>
          <w:rFonts w:ascii="Calibri" w:hAnsi="Calibri" w:cs="Calibri"/>
          <w:color w:val="000000" w:themeColor="text1"/>
          <w:sz w:val="22"/>
          <w:szCs w:val="22"/>
        </w:rPr>
        <w:t>f</w:t>
      </w:r>
      <w:r w:rsidR="00E44E95" w:rsidRPr="008B1889">
        <w:rPr>
          <w:rFonts w:ascii="Calibri" w:hAnsi="Calibri" w:cs="Calibri"/>
          <w:color w:val="000000" w:themeColor="text1"/>
          <w:sz w:val="22"/>
          <w:szCs w:val="22"/>
        </w:rPr>
        <w:t>at mass- and obesity-associated gene</w:t>
      </w:r>
      <w:r w:rsidR="00E44E95"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(FTO)</w:t>
      </w:r>
      <w:r w:rsidR="0094701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{"citationID":"a1cds6ls0bd","properties":{"formattedCitation":"\\super 195\\nosupersub{}","plainCitation":"195","noteIndex":0},"citationItems":[{"id":1695,"uris":["http://zotero.org/users/4775618/items/H82L7KPF"],"uri":["http://zotero.org/users/4775618/items/H82L7KPF"],"itemData":{"id":1695,"type":"article-journal","title":"R-2HG Exhibits Anti-tumor Activity by Targeting FTO/m6A/MYC/CEBPA Signaling","container-title":"Cell","page":"90-105.e23","volume":"172","issue":"1","source":"ScienceDirect","abstract":"Summary\nR-2-hydroxyglutarate (R-2HG), produced at high levels by mutant isocitrate dehydrogenase 1/2 (IDH1/2) enzymes, was reported as an oncometabolite. We show here that R-2HG also exerts a broad anti-leukemic activity in vitro and in vivo by inhibiting leukemia cell proliferation/viability and by promoting cell-cycle arrest and apoptosis. Mechanistically, R-2HG inhibits fat mass and obesity-associated protein (FTO) activity, thereby increasing global N6-methyladenosine (m6A) RNA modification in R-2HG-sensitive leukemia cells, which in turn decreases the stability of MYC/CEBPA transcripts, leading to the suppression of relevant pathways. Ectopically expressed mutant IDH1 and S-2HG recapitulate the effects of R-2HG. High levels of FTO sensitize leukemic cells to R-2HG, whereas hyperactivation of MYC signaling confers resistance that can be reversed by the inhibition of MYC signaling. R-2HG also displays anti-tumor activity in glioma. Collectively, while R-2HG accumulated in IDH1/2 mutant cancers contributes to cancer initiation, our work demonstrates anti-tumor effects of 2HG in inhibiting proliferation/survival of FTO-high cancer cells via targeting FTO/m6A/MYC/CEBPA signaling.","URL":"http://www.sciencedirect.com/science/article/pii/S009286741731382X","DOI":"10.1016/j.cell.2017.11.031","ISSN":"0092-8674","journalAbbreviation":"Cell","author":[{"family":"Su","given":"Rui"},{"family":"Dong","given":"Lei"},{"family":"Li","given":"Chenying"},{"family":"Nachtergaele","given":"Sigrid"},{"family":"Wunderlich","given":"Mark"},{"family":"Qing","given":"Ying"},{"family":"Deng","given":"Xiaolan"},{"family":"Wang","given":"Yungui"},{"family":"Weng","given":"Xiaocheng"},{"family":"Hu","given":"Chao"},{"family":"Yu","given":"Mengxia"},{"family":"Skibbe","given":"Jennifer"},{"family":"Dai","given":"Qing"},{"family":"Zou","given":"Dongling"},{"family":"Wu","given":"Tong"},{"family":"Yu","given":"Kangkang"},{"family":"Weng","given":"Hengyou"},{"family":"Huang","given":"Huilin"},{"family":"Ferchen","given":"Kyle"},{"family":"Qin","given":"Xi"},{"family":"Zhang","given":"Bin"},{"family":"Qi","given":"Jun"},{"family":"Sasaki","given":"Atsuo T."},{"family":"Plas","given":"David R."},{"family":"Bradner","given":"James E."},{"family":"Wei","given":"Minjie"},{"family":"Marcucci","given":"Guido"},{"family":"Jiang","given":"Xi"},{"family":"Mulloy","given":"James C."},{"family":"Jin","given":"Jie"},{"family":"He","given":"Chuan"},{"family":"Chen","given":"Jianjun"}],"issued":{"date-parts":[["2018",1,11]]},"accessed":{"date-parts":[["2019",3,4]]}}}],"schema":"https://github.com/citation-style-language/schema/raw/master/csl-citation.json"} </w:instrText>
      </w:r>
      <w:r w:rsidR="0094701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195</w:t>
      </w:r>
      <w:r w:rsidR="0094701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FC5539" w:rsidRPr="00D637BA">
        <w:rPr>
          <w:rFonts w:ascii="Calibri" w:hAnsi="Calibri" w:cs="Calibri"/>
          <w:color w:val="000000" w:themeColor="text1"/>
          <w:sz w:val="22"/>
          <w:szCs w:val="22"/>
        </w:rPr>
        <w:t xml:space="preserve">which is a </w:t>
      </w:r>
      <w:r w:rsidRPr="00D637BA">
        <w:rPr>
          <w:rFonts w:ascii="Calibri" w:hAnsi="Calibri" w:cs="Calibri"/>
          <w:color w:val="000000" w:themeColor="text1"/>
          <w:sz w:val="22"/>
          <w:szCs w:val="22"/>
        </w:rPr>
        <w:t>member of the αKGDD family</w:t>
      </w:r>
      <w:r w:rsidR="0094701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{"citationID":"a1iv1m7hg5o","properties":{"formattedCitation":"\\super 195,196\\nosupersub{}","plainCitation":"195,196","noteIndex":0},"citationItems":[{"id":1707,"uris":["http://zotero.org/users/4775618/items/YT5JYITC"],"uri":["http://zotero.org/users/4775618/items/YT5JYITC"],"itemData":{"id":1707,"type":"article-journal","title":"N6-methyladenosine in nuclear RNA is a major substrate of the obesity-associated FTO","container-title":"Nature Chemical Biology","page":"885-887","volume":"7","issue":"12","source":"PubMed","abstract":"We report here that fat mass and obesity-associated protein (FTO) has efficient oxidative demethylation activity targeting the abundant N6-methyladenosine (m(6)A) residues in RNA in vitro. FTO knockdown with siRNA led to increased amounts of m(6)A in mRNA, whereas overexpression of FTO resulted in decreased amounts of m(6)A in human cells. We further show the partial colocalization of FTO with nuclear speckles, which supports the notion that m(6)A in nuclear RNA is a major physiological substrate of FTO.","DOI":"10.1038/nchembio.687","ISSN":"1552-4469","note":"PMID: 22002720\nPMCID: PMC3218240","journalAbbreviation":"Nat. Chem. Biol.","language":"eng","author":[{"family":"Jia","given":"Guifang"},{"family":"Fu","given":"Ye"},{"family":"Zhao","given":"Xu"},{"family":"Dai","given":"Qing"},{"family":"Zheng","given":"Guanqun"},{"family":"Yang","given":"Ying"},{"family":"Yi","given":"Chengqi"},{"family":"Lindahl","given":"Tomas"},{"family":"Pan","given":"Tao"},{"family":"Yang","given":"Yun-Gui"},{"family":"He","given":"Chuan"}],"issued":{"date-parts":[["2011",10,16]]}}},{"id":1695,"uris":["http://zotero.org/users/4775618/items/H82L7KPF"],"uri":["http://zotero.org/users/4775618/items/H82L7KPF"],"itemData":{"id":1695,"type":"article-journal","title":"R-2HG Exhibits Anti-tumor Activity by Targeting FTO/m6A/MYC/CEBPA Signaling","container-title":"Cell","page":"90-105.e23","volume":"172","issue":"1","source":"ScienceDirect","abstract":"Summary\nR-2-hydroxyglutarate (R-2HG), produced at high levels by mutant isocitrate dehydrogenase 1/2 (IDH1/2) enzymes, was reported as an oncometabolite. We show here that R-2HG also exerts a broad anti-leukemic activity in vitro and in vivo by inhibiting leukemia cell proliferation/viability and by promoting cell-cycle arrest and apoptosis. Mechanistically, R-2HG inhibits fat mass and obesity-associated protein (FTO) activity, thereby increasing global N6-methyladenosine (m6A) RNA modification in R-2HG-sensitive leukemia cells, which in turn decreases the stability of MYC/CEBPA transcripts, leading to the suppression of relevant pathways. Ectopically expressed mutant IDH1 and S-2HG recapitulate the effects of R-2HG. High levels of FTO sensitize leukemic cells to R-2HG, whereas hyperactivation of MYC signaling confers resistance that can be reversed by the inhibition of MYC signaling. R-2HG also displays anti-tumor activity in glioma. Collectively, while R-2HG accumulated in IDH1/2 mutant cancers contributes to cancer initiation, our work demonstrates anti-tumor effects of 2HG in inhibiting proliferation/survival of FTO-high cancer cells via targeting FTO/m6A/MYC/CEBPA signaling.","URL":"http://www.sciencedirect.com/science/article/pii/S009286741731382X","DOI":"10.1016/j.cell.2017.11.031","ISSN":"0092-8674","journalAbbreviation":"Cell","author":[{"family":"Su","given":"Rui"},{"family":"Dong","given":"Lei"},{"family":"Li","given":"Chenying"},{"family":"Nachtergaele","given":"Sigrid"},{"family":"Wunderlich","given":"Mark"},{"family":"Qing","given":"Ying"},{"family":"Deng","given":"Xiaolan"},{"family":"Wang","given":"Yungui"},{"family":"Weng","given":"Xiaocheng"},{"family":"Hu","given":"Chao"},{"family":"Yu","given":"Mengxia"},{"family":"Skibbe","given":"Jennifer"},{"family":"Dai","given":"Qing"},{"family":"Zou","given":"Dongling"},{"family":"Wu","given":"Tong"},{"family":"Yu","given":"Kangkang"},{"family":"Weng","given":"Hengyou"},{"family":"Huang","given":"Huilin"},{"family":"Ferchen","given":"Kyle"},{"family":"Qin","given":"Xi"},{"family":"Zhang","given":"Bin"},{"family":"Qi","given":"Jun"},{"family":"Sasaki","given":"Atsuo T."},{"family":"Plas","given":"David R."},{"family":"Bradner","given":"James E."},{"family":"Wei","given":"Minjie"},{"family":"Marcucci","given":"Guido"},{"family":"Jiang","given":"Xi"},{"family":"Mulloy","given":"James C."},{"family":"Jin","given":"Jie"},{"family":"He","given":"Chuan"},{"family":"Chen","given":"Jianjun"}],"issued":{"date-parts":[["2018",1,11]]},"accessed":{"date-parts":[["2019",3,4]]}}}],"schema":"https://github.com/citation-style-language/schema/raw/master/csl-citation.json"} </w:instrText>
      </w:r>
      <w:r w:rsidR="0094701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195,196</w:t>
      </w:r>
      <w:r w:rsidR="0094701A">
        <w:rPr>
          <w:rFonts w:ascii="Calibri" w:hAnsi="Calibri" w:cs="Calibri"/>
          <w:color w:val="000000" w:themeColor="text1"/>
          <w:sz w:val="22"/>
          <w:szCs w:val="22"/>
        </w:rPr>
        <w:fldChar w:fldCharType="end"/>
      </w:r>
      <w:r w:rsidR="000167D7" w:rsidRPr="000167D7">
        <w:rPr>
          <w:rFonts w:ascii="Calibri" w:hAnsi="Calibri" w:cs="Calibri"/>
          <w:sz w:val="22"/>
          <w:szCs w:val="22"/>
        </w:rPr>
        <w:t>.</w:t>
      </w:r>
      <w:r w:rsidR="00FC5539" w:rsidRPr="00D637BA">
        <w:rPr>
          <w:rFonts w:ascii="Calibri" w:hAnsi="Calibri" w:cs="Calibri"/>
          <w:color w:val="000000" w:themeColor="text1"/>
          <w:sz w:val="22"/>
          <w:szCs w:val="22"/>
        </w:rPr>
        <w:t xml:space="preserve"> FTO</w:t>
      </w:r>
      <w:r w:rsidRPr="00D637BA">
        <w:rPr>
          <w:rFonts w:ascii="Calibri" w:hAnsi="Calibri" w:cs="Calibri"/>
          <w:color w:val="000000" w:themeColor="text1"/>
          <w:sz w:val="22"/>
          <w:szCs w:val="22"/>
        </w:rPr>
        <w:t xml:space="preserve"> in turn down</w:t>
      </w:r>
      <w:r w:rsidR="00BA4B45" w:rsidRPr="00D637BA">
        <w:rPr>
          <w:rFonts w:ascii="Calibri" w:hAnsi="Calibri" w:cs="Calibri"/>
          <w:color w:val="000000" w:themeColor="text1"/>
          <w:sz w:val="22"/>
          <w:szCs w:val="22"/>
        </w:rPr>
        <w:t>regulates</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the expression of target genes such as </w:t>
      </w:r>
      <w:r w:rsidRPr="00D637BA">
        <w:rPr>
          <w:rFonts w:ascii="Calibri" w:hAnsi="Calibri" w:cs="Calibri"/>
          <w:i/>
          <w:color w:val="000000" w:themeColor="text1"/>
          <w:sz w:val="22"/>
          <w:szCs w:val="22"/>
        </w:rPr>
        <w:t>MYC, RARA and ASB2</w:t>
      </w:r>
      <w:r w:rsidRPr="00D637BA">
        <w:rPr>
          <w:rFonts w:ascii="Calibri" w:hAnsi="Calibri" w:cs="Calibri"/>
          <w:color w:val="000000" w:themeColor="text1"/>
          <w:sz w:val="22"/>
          <w:szCs w:val="22"/>
        </w:rPr>
        <w:t xml:space="preserve">, </w:t>
      </w:r>
      <w:r w:rsidR="00FC5539" w:rsidRPr="00D637BA">
        <w:rPr>
          <w:rFonts w:ascii="Calibri" w:hAnsi="Calibri" w:cs="Calibri"/>
          <w:color w:val="000000" w:themeColor="text1"/>
          <w:sz w:val="22"/>
          <w:szCs w:val="22"/>
        </w:rPr>
        <w:t xml:space="preserve">which </w:t>
      </w:r>
      <w:r w:rsidR="00BA4B45" w:rsidRPr="00D637BA">
        <w:rPr>
          <w:rFonts w:ascii="Calibri" w:hAnsi="Calibri" w:cs="Calibri"/>
          <w:color w:val="000000" w:themeColor="text1"/>
          <w:sz w:val="22"/>
          <w:szCs w:val="22"/>
        </w:rPr>
        <w:t>have roles in</w:t>
      </w:r>
      <w:r w:rsidRPr="00D637BA">
        <w:rPr>
          <w:rFonts w:ascii="Calibri" w:hAnsi="Calibri" w:cs="Calibri"/>
          <w:color w:val="000000" w:themeColor="text1"/>
          <w:sz w:val="22"/>
          <w:szCs w:val="22"/>
        </w:rPr>
        <w:t xml:space="preserve"> promoting cell growth and transformation</w:t>
      </w:r>
      <w:r w:rsidR="0094701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{"citationID":"a2dbej0r9ur","properties":{"formattedCitation":"\\super 195,197\\nosupersub{}","plainCitation":"195,197","noteIndex":0},"citationItems":[{"id":1710,"uris":["http://zotero.org/users/4775618/items/S6SFE2QR"],"uri":["http://zotero.org/users/4775618/items/S6SFE2QR"],"itemData":{"id":1710,"type":"article-journal","title":"FTO Plays an Oncogenic Role in Acute Myeloid Leukemia as a N6-Methyladenosine RNA Demethylase","container-title":"Cancer Cell","page":"127-141","volume":"31","issue":"1","source":"ScienceDirect","abstract":"Summary\nN6-Methyladenosine (m6A) represents the most prevalent internal modification in mammalian mRNAs. Despite its functional importance in various fundamental bioprocesses, the studies of m6A in cancer have been limited. Here we show that FTO, as an m6A demethylase, plays a critical oncogenic role in acute myeloid leukemia (AML). FTO is highly expressed in AMLs with t(11q23)/MLL rearrangements, t(15;17)/PML-RARA, FLT3-ITD, and/or NPM1 mutations. FTO enhances leukemic oncogene-mediated cell transformation and leukemogenesis, and inhibits all-trans-retinoic acid (ATRA)-induced AML cell differentiation, through regulating expression of targets such as ASB2 and RARA by reducing m6A levels in these mRNA transcripts. Collectively, our study demonstrates the functional importance of the m6A methylation and the corresponding proteins in cancer, and provides profound insights into leukemogenesis and drug response.","URL":"http://www.sciencedirect.com/science/article/pii/S1535610816305608","DOI":"10.1016/j.ccell.2016.11.017","ISSN":"1535-6108","journalAbbreviation":"Cancer Cell","author":[{"family":"Li","given":"Zejuan"},{"family":"Weng","given":"Hengyou"},{"family":"Su","given":"Rui"},{"family":"Weng","given":"Xiaocheng"},{"family":"Zuo","given":"Zhixiang"},{"family":"Li","given":"Chenying"},{"family":"Huang","given":"Huilin"},{"family":"Nachtergaele","given":"Sigrid"},{"family":"Dong","given":"Lei"},{"family":"Hu","given":"Chao"},{"family":"Qin","given":"Xi"},{"family":"Tang","given":"Lichun"},{"family":"Wang","given":"Yungui"},{"family":"Hong","given":"Gia-Ming"},{"family":"Huang","given":"Hao"},{"family":"Wang","given":"Xiao"},{"family":"Chen","given":"Ping"},{"family":"Gurbuxani","given":"Sandeep"},{"family":"Arnovitz","given":"Stephen"},{"family":"Li","given":"Yuanyuan"},{"family":"Li","given":"Shenglai"},{"family":"Strong","given":"Jennifer"},{"family":"Neilly","given":"Mary Beth"},{"family":"Larson","given":"Richard A."},{"family":"Jiang","given":"Xi"},{"family":"Zhang","given":"Pumin"},{"family":"Jin","given":"Jie"},{"family":"He","given":"Chuan"},{"family":"Chen","given":"Jianjun"}],"issued":{"date-parts":[["2017",1,9]]},"accessed":{"date-parts":[["2019",3,4]]}}},{"id":1695,"uris":["http://zotero.org/users/4775618/items/H82L7KPF"],"uri":["http://zotero.org/users/4775618/items/H82L7KPF"],"itemData":{"id":1695,"type":"article-journal","title":"R-2HG Exhibits Anti-tumor Activity by Targeting FTO/m6A/MYC/CEBPA Signaling","container-title":"Cell","page":"90-105.e23","volume":"172","issue":"1","source":"ScienceDirect","abstract":"Summary\nR-2-hydroxyglutarate (R-2HG), produced at high levels by mutant isocitrate dehydrogenase 1/2 (IDH1/2) enzymes, was reported as an oncometabolite. We show here that R-2HG also exerts a broad anti-leukemic activity in vitro and in vivo by inhibiting leukemia cell proliferation/viability and by promoting cell-cycle arrest and apoptosis. Mechanistically, R-2HG inhibits fat mass and obesity-associated protein (FTO) activity, thereby increasing global N6-methyladenosine (m6A) RNA modification in R-2HG-sensitive leukemia cells, which in turn decreases the stability of MYC/CEBPA transcripts, leading to the suppression of relevant pathways. Ectopically expressed mutant IDH1 and S-2HG recapitulate the effects of R-2HG. High levels of FTO sensitize leukemic cells to R-2HG, whereas hyperactivation of MYC signaling confers resistance that can be reversed by the inhibition of MYC signaling. R-2HG also displays anti-tumor activity in glioma. Collectively, while R-2HG accumulated in IDH1/2 mutant cancers contributes to cancer initiation, our work demonstrates anti-tumor effects of 2HG in inhibiting proliferation/survival of FTO-high cancer cells via targeting FTO/m6A/MYC/CEBPA signaling.","URL":"http://www.sciencedirect.com/science/article/pii/S009286741731382X","DOI":"10.1016/j.cell.2017.11.031","ISSN":"0092-8674","journalAbbreviation":"Cell","author":[{"family":"Su","given":"Rui"},{"family":"Dong","given":"Lei"},{"family":"Li","given":"Chenying"},{"family":"Nachtergaele","given":"Sigrid"},{"family":"Wunderlich","given":"Mark"},{"family":"Qing","given":"Ying"},{"family":"Deng","given":"Xiaolan"},{"family":"Wang","given":"Yungui"},{"family":"Weng","given":"Xiaocheng"},{"family":"Hu","given":"Chao"},{"family":"Yu","given":"Mengxia"},{"family":"Skibbe","given":"Jennifer"},{"family":"Dai","given":"Qing"},{"family":"Zou","given":"Dongling"},{"family":"Wu","given":"Tong"},{"family":"Yu","given":"Kangkang"},{"family":"Weng","given":"Hengyou"},{"family":"Huang","given":"Huilin"},{"family":"Ferchen","given":"Kyle"},{"family":"Qin","given":"Xi"},{"family":"Zhang","given":"Bin"},{"family":"Qi","given":"Jun"},{"family":"Sasaki","given":"Atsuo T."},{"family":"Plas","given":"David R."},{"family":"Bradner","given":"James E."},{"family":"Wei","given":"Minjie"},{"family":"Marcucci","given":"Guido"},{"family":"Jiang","given":"Xi"},{"family":"Mulloy","given":"James C."},{"family":"Jin","given":"Jie"},{"family":"He","given":"Chuan"},{"family":"Chen","given":"Jianjun"}],"issued":{"date-parts":[["2018",1,11]]},"accessed":{"date-parts":[["2019",3,4]]}}}],"schema":"https://github.com/citation-style-language/schema/raw/master/csl-citation.json"} </w:instrText>
      </w:r>
      <w:r w:rsidR="0094701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195,197</w:t>
      </w:r>
      <w:r w:rsidR="0094701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Interestingly, these findings</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were recapitulated in </w:t>
      </w:r>
      <w:r w:rsidR="00544520">
        <w:rPr>
          <w:rFonts w:ascii="Calibri" w:hAnsi="Calibri" w:cs="Calibri"/>
          <w:i/>
          <w:color w:val="000000" w:themeColor="text1"/>
          <w:sz w:val="22"/>
          <w:szCs w:val="22"/>
        </w:rPr>
        <w:t>IDH-</w:t>
      </w:r>
      <w:r w:rsidR="00544520">
        <w:rPr>
          <w:rFonts w:ascii="Calibri" w:hAnsi="Calibri" w:cs="Calibri"/>
          <w:color w:val="000000" w:themeColor="text1"/>
          <w:sz w:val="22"/>
          <w:szCs w:val="22"/>
        </w:rPr>
        <w:t xml:space="preserve">wildtype </w:t>
      </w:r>
      <w:r w:rsidRPr="00D637BA">
        <w:rPr>
          <w:rFonts w:ascii="Calibri" w:hAnsi="Calibri" w:cs="Calibri"/>
          <w:color w:val="000000" w:themeColor="text1"/>
          <w:sz w:val="22"/>
          <w:szCs w:val="22"/>
        </w:rPr>
        <w:t>glioma cells</w:t>
      </w:r>
      <w:r w:rsidR="00544520">
        <w:rPr>
          <w:rFonts w:ascii="Calibri" w:hAnsi="Calibri" w:cs="Calibri"/>
          <w:color w:val="000000" w:themeColor="text1"/>
          <w:sz w:val="22"/>
          <w:szCs w:val="22"/>
        </w:rPr>
        <w:t xml:space="preserve"> exposed to D2HG</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as well as </w:t>
      </w:r>
      <w:r w:rsidR="00544520">
        <w:rPr>
          <w:rFonts w:ascii="Calibri" w:hAnsi="Calibri" w:cs="Calibri"/>
          <w:color w:val="000000" w:themeColor="text1"/>
          <w:sz w:val="22"/>
          <w:szCs w:val="22"/>
        </w:rPr>
        <w:t>human leukaemia</w:t>
      </w:r>
      <w:r w:rsidR="00593ED5">
        <w:rPr>
          <w:rFonts w:ascii="Calibri" w:hAnsi="Calibri" w:cs="Calibri"/>
          <w:color w:val="000000" w:themeColor="text1"/>
          <w:sz w:val="22"/>
          <w:szCs w:val="22"/>
        </w:rPr>
        <w:t xml:space="preserve"> cells</w:t>
      </w:r>
      <w:r w:rsidR="00325C1B">
        <w:rPr>
          <w:rFonts w:ascii="Calibri" w:hAnsi="Calibri" w:cs="Calibri"/>
          <w:color w:val="000000" w:themeColor="text1"/>
          <w:sz w:val="22"/>
          <w:szCs w:val="22"/>
        </w:rPr>
        <w:t xml:space="preserve"> exposed to</w:t>
      </w:r>
      <w:r w:rsidR="00325C1B" w:rsidRPr="00D637BA">
        <w:rPr>
          <w:rFonts w:ascii="Calibri" w:hAnsi="Calibri" w:cs="Calibri"/>
          <w:color w:val="000000" w:themeColor="text1"/>
          <w:sz w:val="22"/>
          <w:szCs w:val="22"/>
        </w:rPr>
        <w:t xml:space="preserve"> exogenous </w:t>
      </w:r>
      <w:r w:rsidR="00325C1B" w:rsidRPr="00970F62">
        <w:rPr>
          <w:rFonts w:ascii="Calibri" w:hAnsi="Calibri" w:cs="Calibri"/>
          <w:color w:val="000000" w:themeColor="text1"/>
          <w:sz w:val="22"/>
          <w:szCs w:val="22"/>
        </w:rPr>
        <w:t>L2HG</w:t>
      </w:r>
      <w:r w:rsidR="00FC5539" w:rsidRPr="00970F62">
        <w:rPr>
          <w:rFonts w:ascii="Calibri" w:hAnsi="Calibri" w:cs="Calibri"/>
          <w:color w:val="000000" w:themeColor="text1"/>
          <w:sz w:val="22"/>
          <w:szCs w:val="22"/>
        </w:rPr>
        <w:t xml:space="preserve"> </w:t>
      </w:r>
      <w:r w:rsidR="0094701A" w:rsidRPr="00970F62">
        <w:rPr>
          <w:rFonts w:ascii="Calibri" w:hAnsi="Calibri" w:cs="Calibri"/>
          <w:b/>
          <w:color w:val="000000" w:themeColor="text1"/>
          <w:sz w:val="22"/>
          <w:szCs w:val="22"/>
        </w:rPr>
        <w:fldChar w:fldCharType="begin"/>
      </w:r>
      <w:r w:rsidR="003D6329" w:rsidRPr="00970F62">
        <w:rPr>
          <w:rFonts w:ascii="Calibri" w:hAnsi="Calibri" w:cs="Calibri"/>
          <w:b/>
          <w:color w:val="000000" w:themeColor="text1"/>
          <w:sz w:val="22"/>
          <w:szCs w:val="22"/>
        </w:rPr>
        <w:instrText xml:space="preserve"> ADDIN ZOTERO_ITEM CSL_CITATION {"citationID":"a11fqqqmf7h","properties":{"formattedCitation":"\\super 195\\nosupersub{}","plainCitation":"195","noteIndex":0},"citationItems":[{"id":1695,"uris":["http://zotero.org/users/4775618/items/H82L7KPF"],"uri":["http://zotero.org/users/4775618/items/H82L7KPF"],"itemData":{"id":1695,"type":"article-journal","title":"R-2HG Exhibits Anti-tumor Activity by Targeting FTO/m6A/MYC/CEBPA Signaling","container-title":"Cell","page":"90-105.e23","volume":"172","issue":"1","source":"ScienceDirect","abstract":"Summary\nR-2-hydroxyglutarate (R-2HG), produced at high levels by mutant isocitrate dehydrogenase 1/2 (IDH1/2) enzymes, was reported as an oncometabolite. We show here that R-2HG also exerts a broad anti-leukemic activity in vitro and in vivo by inhibiting leukemia cell proliferation/viability and by promoting cell-cycle arrest and apoptosis. Mechanistically, R-2HG inhibits fat mass and obesity-associated protein (FTO) activity, thereby increasing global N6-methyladenosine (m6A) RNA modification in R-2HG-sensitive leukemia cells, which in turn decreases the stability of MYC/CEBPA transcripts, leading to the suppression of relevant pathways. Ectopically expressed mutant IDH1 and S-2HG recapitulate the effects of R-2HG. High levels of FTO sensitize leukemic cells to R-2HG, whereas hyperactivation of MYC signaling confers resistance that can be reversed by the inhibition of MYC signaling. R-2HG also displays anti-tumor activity in glioma. Collectively, while R-2HG accumulated in IDH1/2 mutant cancers contributes to cancer initiation, our work demonstrates anti-tumor effects of 2HG in inhibiting proliferation/survival of FTO-high cancer cells via targeting FTO/m6A/MYC/CEBPA signaling.","URL":"http://www.sciencedirect.com/science/article/pii/S009286741731382X","DOI":"10.1016/j.cell.2017.11.031","ISSN":"0092-8674","journalAbbreviation":"Cell","author":[{"family":"Su","given":"Rui"},{"family":"Dong","given":"Lei"},{"family":"Li","given":"Chenying"},{"family":"Nachtergaele","given":"Sigrid"},{"family":"Wunderlich","given":"Mark"},{"family":"Qing","given":"Ying"},{"family":"Deng","given":"Xiaolan"},{"family":"Wang","given":"Yungui"},{"family":"Weng","given":"Xiaocheng"},{"family":"Hu","given":"Chao"},{"family":"Yu","given":"Mengxia"},{"family":"Skibbe","given":"Jennifer"},{"family":"Dai","given":"Qing"},{"family":"Zou","given":"Dongling"},{"family":"Wu","given":"Tong"},{"family":"Yu","given":"Kangkang"},{"family":"Weng","given":"Hengyou"},{"family":"Huang","given":"Huilin"},{"family":"Ferchen","given":"Kyle"},{"family":"Qin","given":"Xi"},{"family":"Zhang","given":"Bin"},{"family":"Qi","given":"Jun"},{"family":"Sasaki","given":"Atsuo T."},{"family":"Plas","given":"David R."},{"family":"Bradner","given":"James E."},{"family":"Wei","given":"Minjie"},{"family":"Marcucci","given":"Guido"},{"family":"Jiang","given":"Xi"},{"family":"Mulloy","given":"James C."},{"family":"Jin","given":"Jie"},{"family":"He","given":"Chuan"},{"family":"Chen","given":"Jianjun"}],"issued":{"date-parts":[["2018",1,11]]},"accessed":{"date-parts":[["2019",3,4]]}}}],"schema":"https://github.com/citation-style-language/schema/raw/master/csl-citation.json"} </w:instrText>
      </w:r>
      <w:r w:rsidR="0094701A" w:rsidRPr="00970F62">
        <w:rPr>
          <w:rFonts w:ascii="Calibri" w:hAnsi="Calibri" w:cs="Calibri"/>
          <w:b/>
          <w:color w:val="000000" w:themeColor="text1"/>
          <w:sz w:val="22"/>
          <w:szCs w:val="22"/>
        </w:rPr>
        <w:fldChar w:fldCharType="separate"/>
      </w:r>
      <w:r w:rsidR="003D6329" w:rsidRPr="00970F62">
        <w:rPr>
          <w:rFonts w:ascii="Calibri" w:hAnsi="Calibri" w:cs="Calibri"/>
          <w:color w:val="000000" w:themeColor="text1"/>
          <w:sz w:val="22"/>
          <w:vertAlign w:val="superscript"/>
          <w:lang w:val="en-US"/>
        </w:rPr>
        <w:t>195</w:t>
      </w:r>
      <w:r w:rsidR="0094701A" w:rsidRPr="00970F62">
        <w:rPr>
          <w:rFonts w:ascii="Calibri" w:hAnsi="Calibri" w:cs="Calibri"/>
          <w:b/>
          <w:color w:val="000000" w:themeColor="text1"/>
          <w:sz w:val="22"/>
          <w:szCs w:val="22"/>
        </w:rPr>
        <w:fldChar w:fldCharType="end"/>
      </w:r>
      <w:r w:rsidRPr="00970F62">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suggesting a convergence in </w:t>
      </w:r>
      <w:r w:rsidR="00BA4B45" w:rsidRPr="00D637BA">
        <w:rPr>
          <w:rFonts w:ascii="Calibri" w:hAnsi="Calibri" w:cs="Calibri"/>
          <w:color w:val="000000" w:themeColor="text1"/>
          <w:sz w:val="22"/>
          <w:szCs w:val="22"/>
        </w:rPr>
        <w:t xml:space="preserve">the </w:t>
      </w:r>
      <w:r w:rsidRPr="00D637BA">
        <w:rPr>
          <w:rFonts w:ascii="Calibri" w:hAnsi="Calibri" w:cs="Calibri"/>
          <w:color w:val="000000" w:themeColor="text1"/>
          <w:sz w:val="22"/>
          <w:szCs w:val="22"/>
        </w:rPr>
        <w:t xml:space="preserve">function </w:t>
      </w:r>
      <w:r w:rsidR="00BA4B45" w:rsidRPr="00D637BA">
        <w:rPr>
          <w:rFonts w:ascii="Calibri" w:hAnsi="Calibri" w:cs="Calibri"/>
          <w:color w:val="000000" w:themeColor="text1"/>
          <w:sz w:val="22"/>
          <w:szCs w:val="22"/>
        </w:rPr>
        <w:t xml:space="preserve">and </w:t>
      </w:r>
      <w:r w:rsidR="007B4808" w:rsidRPr="00D637BA">
        <w:rPr>
          <w:rFonts w:ascii="Calibri" w:hAnsi="Calibri" w:cs="Calibri"/>
          <w:color w:val="000000" w:themeColor="text1"/>
          <w:sz w:val="22"/>
          <w:szCs w:val="22"/>
        </w:rPr>
        <w:t>p</w:t>
      </w:r>
      <w:r w:rsidR="00BA4B45" w:rsidRPr="00D637BA">
        <w:rPr>
          <w:rFonts w:ascii="Calibri" w:hAnsi="Calibri" w:cs="Calibri"/>
          <w:color w:val="000000" w:themeColor="text1"/>
          <w:sz w:val="22"/>
          <w:szCs w:val="22"/>
        </w:rPr>
        <w:t xml:space="preserve">henotypic effects </w:t>
      </w:r>
      <w:r w:rsidRPr="00D637BA">
        <w:rPr>
          <w:rFonts w:ascii="Calibri" w:hAnsi="Calibri" w:cs="Calibri"/>
          <w:color w:val="000000" w:themeColor="text1"/>
          <w:sz w:val="22"/>
          <w:szCs w:val="22"/>
        </w:rPr>
        <w:t xml:space="preserve">of these 2HG isoforms across multiple cancers. Furthermore, direct inhibition of ATP synthase and subsequent downregulation of mTOR signalling by D2HG accumulation in </w:t>
      </w:r>
      <w:r w:rsidRPr="00D637BA">
        <w:rPr>
          <w:rFonts w:ascii="Calibri" w:hAnsi="Calibri" w:cs="Calibri"/>
          <w:i/>
          <w:color w:val="000000" w:themeColor="text1"/>
          <w:sz w:val="22"/>
          <w:szCs w:val="22"/>
        </w:rPr>
        <w:t>IDH1</w:t>
      </w:r>
      <w:r w:rsidRPr="00D637BA">
        <w:rPr>
          <w:rFonts w:ascii="Calibri" w:hAnsi="Calibri" w:cs="Calibri"/>
          <w:color w:val="000000" w:themeColor="text1"/>
          <w:sz w:val="22"/>
          <w:szCs w:val="22"/>
        </w:rPr>
        <w:t xml:space="preserve">-mutant glioma cells </w:t>
      </w:r>
      <w:r w:rsidRPr="00D637BA">
        <w:rPr>
          <w:rFonts w:ascii="Calibri" w:hAnsi="Calibri" w:cs="Calibri"/>
          <w:i/>
          <w:color w:val="000000" w:themeColor="text1"/>
          <w:sz w:val="22"/>
          <w:szCs w:val="22"/>
        </w:rPr>
        <w:t xml:space="preserve">in vitro </w:t>
      </w:r>
      <w:r w:rsidRPr="00D637BA">
        <w:rPr>
          <w:rFonts w:ascii="Calibri" w:hAnsi="Calibri" w:cs="Calibri"/>
          <w:color w:val="000000" w:themeColor="text1"/>
          <w:sz w:val="22"/>
          <w:szCs w:val="22"/>
        </w:rPr>
        <w:t>and</w:t>
      </w:r>
      <w:r w:rsidRPr="00D637BA">
        <w:rPr>
          <w:rFonts w:ascii="Calibri" w:hAnsi="Calibri" w:cs="Calibri"/>
          <w:i/>
          <w:color w:val="000000" w:themeColor="text1"/>
          <w:sz w:val="22"/>
          <w:szCs w:val="22"/>
        </w:rPr>
        <w:t xml:space="preserve"> in vivo</w:t>
      </w:r>
      <w:r w:rsidRPr="00D637BA">
        <w:rPr>
          <w:rFonts w:ascii="Calibri" w:hAnsi="Calibri" w:cs="Calibri"/>
          <w:color w:val="000000" w:themeColor="text1"/>
          <w:sz w:val="22"/>
          <w:szCs w:val="22"/>
        </w:rPr>
        <w:t xml:space="preserve"> suggest</w:t>
      </w:r>
      <w:r w:rsidR="00746863">
        <w:rPr>
          <w:rFonts w:ascii="Calibri" w:hAnsi="Calibri" w:cs="Calibri"/>
          <w:color w:val="000000" w:themeColor="text1"/>
          <w:sz w:val="22"/>
          <w:szCs w:val="22"/>
        </w:rPr>
        <w:t>s that D2HG has</w:t>
      </w:r>
      <w:r w:rsidRPr="00D637BA">
        <w:rPr>
          <w:rFonts w:ascii="Calibri" w:hAnsi="Calibri" w:cs="Calibri"/>
          <w:color w:val="000000" w:themeColor="text1"/>
          <w:sz w:val="22"/>
          <w:szCs w:val="22"/>
        </w:rPr>
        <w:t xml:space="preserve"> growth suppressive functions and further corroborates</w:t>
      </w:r>
      <w:r w:rsidR="00746863">
        <w:rPr>
          <w:rFonts w:ascii="Calibri" w:hAnsi="Calibri" w:cs="Calibri"/>
          <w:color w:val="000000" w:themeColor="text1"/>
          <w:sz w:val="22"/>
          <w:szCs w:val="22"/>
        </w:rPr>
        <w:t xml:space="preserve"> its</w:t>
      </w:r>
      <w:r w:rsidRPr="00D637BA">
        <w:rPr>
          <w:rFonts w:ascii="Calibri" w:hAnsi="Calibri" w:cs="Calibri"/>
          <w:color w:val="000000" w:themeColor="text1"/>
          <w:sz w:val="22"/>
          <w:szCs w:val="22"/>
        </w:rPr>
        <w:t xml:space="preserve"> anti-</w:t>
      </w:r>
      <w:r w:rsidR="008B0014" w:rsidRPr="00D637BA">
        <w:rPr>
          <w:rFonts w:ascii="Calibri" w:hAnsi="Calibri" w:cs="Calibri"/>
          <w:color w:val="000000" w:themeColor="text1"/>
          <w:sz w:val="22"/>
          <w:szCs w:val="22"/>
        </w:rPr>
        <w:t>tumoural</w:t>
      </w:r>
      <w:r w:rsidRPr="00D637BA">
        <w:rPr>
          <w:rFonts w:ascii="Calibri" w:hAnsi="Calibri" w:cs="Calibri"/>
          <w:color w:val="000000" w:themeColor="text1"/>
          <w:sz w:val="22"/>
          <w:szCs w:val="22"/>
        </w:rPr>
        <w:t xml:space="preserve"> effects</w:t>
      </w:r>
      <w:r w:rsidR="0094701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{"citationID":"a2jsohq0pk0","properties":{"formattedCitation":"\\super 198\\nosupersub{}","plainCitation":"198","noteIndex":0},"citationItems":[{"id":1698,"uris":["http://zotero.org/users/4775618/items/WVWQ8URS"],"uri":["http://zotero.org/users/4775618/items/WVWQ8URS"],"itemData":{"id":1698,"type":"article-journal","title":"2-Hydroxyglutarate Inhibits ATP Synthase and mTOR Signaling","container-title":"Cell Metabolism","page":"508-515","volume":"22","issue":"3","source":"ScienceDirect","abstract":"Summary\nWe discovered recently that the central metabolite α-ketoglutarate (α-KG) extends the lifespan of C. elegans through inhibition of ATP synthase and TOR signaling. Here we find, unexpectedly, that (R)-2-hydroxyglutarate ((R)-2HG), an oncometabolite that interferes with various α-KG-mediated processes, similarly extends worm lifespan. (R)-2HG accumulates in human cancers carrying neomorphic mutations in the isocitrate dehydrogenase (IDH) 1 and 2 genes. We show that, like α-KG, both (R)-2HG and (S)-2HG bind and inhibit ATP synthase and inhibit mTOR signaling. These effects are mirrored in IDH1 mutant cells, suggesting a growth-suppressive function of (R)-2HG. Consistently, inhibition of ATP synthase by 2-HG or α-KG in glioblastoma cells is sufficient for growth arrest and tumor cell killing under conditions of glucose limitation, e.g., when ketone bodies (instead of glucose) are supplied for energy. These findings inform therapeutic strategies and open avenues for investigating the roles of 2-HG and metabolites in biology and disease.","URL":"http://www.sciencedirect.com/science/article/pii/S1550413115002764","DOI":"10.1016/j.cmet.2015.06.009","ISSN":"1550-4131","journalAbbreviation":"Cell Metabolism","author":[{"family":"Fu","given":"Xudong"},{"family":"Chin","given":"Randall M."},{"family":"Vergnes","given":"Laurent"},{"family":"Hwang","given":"Heejun"},{"family":"Deng","given":"Gang"},{"family":"Xing","given":"Yanpeng"},{"family":"Pai","given":"Melody Y."},{"family":"Li","given":"Sichen"},{"family":"Ta","given":"Lisa"},{"family":"Fazlollahi","given":"Farbod"},{"family":"Chen","given":"Chuo"},{"family":"Prins","given":"Robert M."},{"family":"Teitell","given":"Michael A."},{"family":"Nathanson","given":"David A."},{"family":"Lai","given":"Albert"},{"family":"Faull","given":"Kym F."},{"family":"Jiang","given":"Meisheng"},{"family":"Clarke","given":"Steven G."},{"family":"Cloughesy","given":"Timothy F."},{"family":"Graeber","given":"Thomas G."},{"family":"Braas","given":"Daniel"},{"family":"Christofk","given":"Heather R."},{"family":"Jung","given":"Michael E."},{"family":"Reue","given":"Karen"},{"family":"Huang","given":"Jing"}],"issued":{"date-parts":[["2015",9,1]]},"accessed":{"date-parts":[["2019",3,4]]}}}],"schema":"https://github.com/citation-style-language/schema/raw/master/csl-citation.json"} </w:instrText>
      </w:r>
      <w:r w:rsidR="0094701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198</w:t>
      </w:r>
      <w:r w:rsidR="0094701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This phenomenon may partially </w:t>
      </w:r>
      <w:r w:rsidR="00746863">
        <w:rPr>
          <w:rFonts w:ascii="Calibri" w:hAnsi="Calibri" w:cs="Calibri"/>
          <w:color w:val="000000" w:themeColor="text1"/>
          <w:sz w:val="22"/>
          <w:szCs w:val="22"/>
        </w:rPr>
        <w:t>explain</w:t>
      </w:r>
      <w:r w:rsidRPr="00D637BA">
        <w:rPr>
          <w:rFonts w:ascii="Calibri" w:hAnsi="Calibri" w:cs="Calibri"/>
          <w:color w:val="000000" w:themeColor="text1"/>
          <w:sz w:val="22"/>
          <w:szCs w:val="22"/>
        </w:rPr>
        <w:t xml:space="preserve"> the correlation between </w:t>
      </w:r>
      <w:r w:rsidRPr="00D637BA">
        <w:rPr>
          <w:rFonts w:ascii="Calibri" w:hAnsi="Calibri" w:cs="Calibri"/>
          <w:i/>
          <w:color w:val="000000" w:themeColor="text1"/>
          <w:sz w:val="22"/>
          <w:szCs w:val="22"/>
        </w:rPr>
        <w:t>IDH-</w:t>
      </w:r>
      <w:r w:rsidRPr="00D637BA">
        <w:rPr>
          <w:rFonts w:ascii="Calibri" w:hAnsi="Calibri" w:cs="Calibri"/>
          <w:color w:val="000000" w:themeColor="text1"/>
          <w:sz w:val="22"/>
          <w:szCs w:val="22"/>
        </w:rPr>
        <w:t>mutations in gliomas and improved patient prognosis</w:t>
      </w:r>
      <w:r w:rsidR="0094701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{"citationID":"a1nlirnrfs7","properties":{"formattedCitation":"\\super 198,199\\nosupersub{}","plainCitation":"198,199","noteIndex":0},"citationItems":[{"id":1715,"uris":["http://zotero.org/users/4775618/items/LIC4XFUU"],"uri":["http://zotero.org/users/4775618/items/LIC4XFUU"],"itemData":{"id":1715,"type":"article-journal","title":"Comprehensive, Integrative Genomic Analysis of Diffuse Lower-Grade Gliomas","container-title":"The New England Journal of Medicine","page":"2481-2498","volume":"372","issue":"26","source":"PubMed","abstract":"BACKGROUND: Diffuse low-grade and intermediate-grade gliomas (which together make up the lower-grade gliomas, World Health Organization grades II and III) have highly variable clinical behavior that is not adequately predicted on the basis of histologic class. Some are indolent; others quickly progress to glioblastoma. The uncertainty is compounded by interobserver variability in histologic diagnosis. Mutations in IDH, TP53, and ATRX and codeletion of chromosome arms 1p and 19q (1p/19q codeletion) have been implicated as clinically relevant markers of lower-grade gliomas.\nMETHODS: We performed genomewide analyses of 293 lower-grade gliomas from adults, incorporating exome sequence, DNA copy number, DNA methylation, messenger RNA expression, microRNA expression, and targeted protein expression. These data were integrated and tested for correlation with clinical outcomes.\nRESULTS: Unsupervised clustering of mutations and data from RNA, DNA-copy-number, and DNA-methylation platforms uncovered concordant classification of three robust, nonoverlapping, prognostically significant subtypes of lower-grade glioma that were captured more accurately by IDH, 1p/19q, and TP53 status than by histologic class. Patients who had lower-grade gliomas with an IDH mutation and 1p/19q codeletion had the most favorable clinical outcomes. Their gliomas harbored mutations in CIC, FUBP1, NOTCH1, and the TERT promoter. Nearly all lower-grade gliomas with IDH mutations and no 1p/19q codeletion had mutations in TP53 (94%) and ATRX inactivation (86%). The large majority of lower-grade gliomas without an IDH mutation had genomic aberrations and clinical behavior strikingly similar to those found in primary glioblastoma.\nCONCLUSIONS: The integration of genomewide data from multiple platforms delineated three molecular classes of lower-grade gliomas that were more concordant with IDH, 1p/19q, and TP53 status than with histologic class. Lower-grade gliomas with an IDH mutation either had 1p/19q codeletion or carried a TP53 mutation. Most lower-grade gliomas without an IDH mutation were molecularly and clinically similar to glioblastoma. (Funded by the National Institutes of Health.).","DOI":"10.1056/NEJMoa1402121","ISSN":"1533-4406","note":"PMID: 26061751\nPMCID: PMC4530011","journalAbbreviation":"N. Engl. J. Med.","language":"eng","author":[{"literal":"Cancer Genome Atlas Research Network"},{"family":"Brat","given":"Daniel J."},{"family":"Verhaak","given":"Roel G. W."},{"family":"Aldape","given":"Kenneth D."},{"family":"Yung","given":"W. K. Alfred"},{"family":"Salama","given":"Sofie R."},{"family":"Cooper","given":"Lee A. D."},{"family":"Rheinbay","given":"Esther"},{"family":"Miller","given":"C. Ryan"},{"family":"Vitucci","given":"Mark"},{"family":"Morozova","given":"Olena"},{"family":"Robertson","given":"A. Gordon"},{"family":"Noushmehr","given":"Houtan"},{"family":"Laird","given":"Peter W."},{"family":"Cherniack","given":"Andrew D."},{"family":"Akbani","given":"Rehan"},{"family":"Huse","given":"Jason T."},{"family":"Ciriello","given":"Giovanni"},{"family":"Poisson","given":"Laila M."},{"family":"Barnholtz-Sloan","given":"Jill S."},{"family":"Berger","given":"Mitchel S."},{"family":"Brennan","given":"Cameron"},{"family":"Colen","given":"Rivka R."},{"family":"Colman","given":"Howard"},{"family":"Flanders","given":"Adam E."},{"family":"Giannini","given":"Caterina"},{"family":"Grifford","given":"Mia"},{"family":"Iavarone","given":"Antonio"},{"family":"Jain","given":"Rajan"},{"family":"Joseph","given":"Isaac"},{"family":"Kim","given":"Jaegil"},{"family":"Kasaian","given":"Katayoon"},{"family":"Mikkelsen","given":"Tom"},{"family":"Murray","given":"Bradley A."},{"family":"O'Neill","given":"Brian Patrick"},{"family":"Pachter","given":"Lior"},{"family":"Parsons","given":"Donald W."},{"family":"Sougnez","given":"Carrie"},{"family":"Sulman","given":"Erik P."},{"family":"Vandenberg","given":"Scott R."},{"family":"Van Meir","given":"Erwin G."},{"family":"Deimling","given":"Andreas","non-dropping-particle":"von"},{"family":"Zhang","given":"Hailei"},{"family":"Crain","given":"Daniel"},{"family":"Lau","given":"Kevin"},{"family":"Mallery","given":"David"},{"family":"Morris","given":"Scott"},{"family":"Paulauskis","given":"Joseph"},{"family":"Penny","given":"Robert"},{"family":"Shelton","given":"Troy"},{"family":"Sherman","given":"Mark"},{"family":"Yena","given":"Peggy"},{"family":"Black","given":"Aaron"},{"family":"Bowen","given":"Jay"},{"family":"Dicostanzo","given":"Katie"},{"family":"Gastier-Foster","given":"Julie"},{"family":"Leraas","given":"Kristen M."},{"family":"Lichtenberg","given":"Tara M."},{"family":"Pierson","given":"Christopher R."},{"family":"Ramirez","given":"Nilsa C."},{"family":"Taylor","given":"Cynthia"},{"family":"Weaver","given":"Stephanie"},{"family":"Wise","given":"Lisa"},{"family":"Zmuda","given":"Erik"},{"family":"Davidsen","given":"Tanja"},{"family":"Demchok","given":"John A."},{"family":"Eley","given":"Greg"},{"family":"Ferguson","given":"Martin L."},{"family":"Hutter","given":"Carolyn M."},{"family":"Mills Shaw","given":"Kenna R."},{"family":"Ozenberger","given":"Bradley A."},{"family":"Sheth","given":"Margi"},{"family":"Sofia","given":"Heidi J."},{"family":"Tarnuzzer","given":"Roy"},{"family":"Wang","given":"Zhining"},{"family":"Yang","given":"Liming"},{"family":"Zenklusen","given":"Jean Claude"},{"family":"Ayala","given":"Brenda"},{"family":"Baboud","given":"Julien"},{"family":"Chudamani","given":"Sudha"},{"family":"Jensen","given":"Mark A."},{"family":"Liu","given":"Jia"},{"family":"Pihl","given":"Todd"},{"family":"Raman","given":"Rohini"},{"family":"Wan","given":"Yunhu"},{"family":"Wu","given":"Ye"},{"family":"Ally","given":"Adrian"},{"family":"Auman","given":"J. Todd"},{"family":"Balasundaram","given":"Miruna"},{"family":"Balu","given":"Saianand"},{"family":"Baylin","given":"Stephen B."},{"family":"Beroukhim","given":"Rameen"},{"family":"Bootwalla","given":"Moiz S."},{"family":"Bowlby","given":"Reanne"},{"family":"Bristow","given":"Christopher A."},{"family":"Brooks","given":"Denise"},{"family":"Butterfield","given":"Yaron"},{"family":"Carlsen","given":"Rebecca"},{"family":"Carter","given":"Scott"},{"family":"Chin","given":"Lynda"},{"family":"Chu","given":"Andy"},{"family":"Chuah","given":"Eric"},{"family":"Cibulskis","given":"Kristian"},{"family":"Clarke","given":"Amanda"},{"family":"Coetzee","given":"Simon G."},{"family":"Dhalla","given":"Noreen"},{"family":"Fennell","given":"Tim"},{"family":"Fisher","given":"Sheila"},{"family":"Gabriel","given":"Stacey"},{"family":"Getz","given":"Gad"},{"family":"Gibbs","given":"Richard"},{"family":"Guin","given":"Ranabir"},{"family":"Hadjipanayis","given":"Angela"},{"family":"Hayes","given":"D. Neil"},{"family":"Hinoue","given":"Toshinori"},{"family":"Hoadley","given":"Katherine"},{"family":"Holt","given":"Robert A."},{"family":"Hoyle","given":"Alan P."},{"family":"Jefferys","given":"Stuart R."},{"family":"Jones","given":"Steven"},{"family":"Jones","given":"Corbin D."},{"family":"Kucherlapati","given":"Raju"},{"family":"Lai","given":"Phillip H."},{"family":"Lander","given":"Eric"},{"family":"Lee","given":"Semin"},{"family":"Lichtenstein","given":"Lee"},{"family":"Ma","given":"Yussanne"},{"family":"Maglinte","given":"Dennis T."},{"family":"Mahadeshwar","given":"Harshad S."},{"family":"Marra","given":"Marco A."},{"family":"Mayo","given":"Michael"},{"family":"Meng","given":"Shaowu"},{"family":"Meyerson","given":"Matthew L."},{"family":"Mieczkowski","given":"Piotr A."},{"family":"Moore","given":"Richard A."},{"family":"Mose","given":"Lisle E."},{"family":"Mungall","given":"Andrew J."},{"family":"Pantazi","given":"Angeliki"},{"family":"Parfenov","given":"Michael"},{"family":"Park","given":"Peter J."},{"family":"Parker","given":"Joel S."},{"family":"Perou","given":"Charles M."},{"family":"Protopopov","given":"Alexei"},{"family":"Ren","given":"Xiaojia"},{"family":"Roach","given":"Jeffrey"},{"family":"Sabedot","given":"Thaís S."},{"family":"Schein","given":"Jacqueline"},{"family":"Schumacher","given":"Steven E."},{"family":"Seidman","given":"Jonathan G."},{"family":"Seth","given":"Sahil"},{"family":"Shen","given":"Hui"},{"family":"Simons","given":"Janae V."},{"family":"Sipahimalani","given":"Payal"},{"family":"Soloway","given":"Matthew G."},{"family":"Song","given":"Xingzhi"},{"family":"Sun","given":"Huandong"},{"family":"Tabak","given":"Barbara"},{"family":"Tam","given":"Angela"},{"family":"Tan","given":"Donghui"},{"family":"Tang","given":"Jiabin"},{"family":"Thiessen","given":"Nina"},{"family":"Triche","given":"Timothy"},{"family":"Van Den Berg","given":"David J."},{"family":"Veluvolu","given":"Umadevi"},{"family":"Waring","given":"Scot"},{"family":"Weisenberger","given":"Daniel J."},{"family":"Wilkerson","given":"Matthew D."},{"family":"Wong","given":"Tina"},{"family":"Wu","given":"Junyuan"},{"family":"Xi","given":"Liu"},{"family":"Xu","given":"Andrew W."},{"family":"Yang","given":"Lixing"},{"family":"Zack","given":"Travis I."},{"family":"Zhang","given":"Jianhua"},{"family":"Aksoy","given":"B. Arman"},{"family":"Arachchi","given":"Harindra"},{"family":"Benz","given":"Chris"},{"family":"Bernard","given":"Brady"},{"family":"Carlin","given":"Daniel"},{"family":"Cho","given":"Juok"},{"family":"DiCara","given":"Daniel"},{"family":"Frazer","given":"Scott"},{"family":"Fuller","given":"Gregory N."},{"family":"Gao","given":"JianJiong"},{"family":"Gehlenborg","given":"Nils"},{"family":"Haussler","given":"David"},{"family":"Heiman","given":"David I."},{"family":"Iype","given":"Lisa"},{"family":"Jacobsen","given":"Anders"},{"family":"Ju","given":"Zhenlin"},{"family":"Katzman","given":"Sol"},{"family":"Kim","given":"Hoon"},{"family":"Knijnenburg","given":"Theo"},{"family":"Kreisberg","given":"Richard Bailey"},{"family":"Lawrence","given":"Michael S."},{"family":"Lee","given":"William"},{"family":"Leinonen","given":"Kalle"},{"family":"Lin","given":"Pei"},{"family":"Ling","given":"Shiyun"},{"family":"Liu","given":"Wenbin"},{"family":"Liu","given":"Yingchun"},{"family":"Liu","given":"Yuexin"},{"family":"Lu","given":"Yiling"},{"family":"Mills","given":"Gordon"},{"family":"Ng","given":"Sam"},{"family":"Noble","given":"Michael S."},{"family":"Paull","given":"Evan"},{"family":"Rao","given":"Arvind"},{"family":"Reynolds","given":"Sheila"},{"family":"Saksena","given":"Gordon"},{"family":"Sanborn","given":"Zack"},{"family":"Sander","given":"Chris"},{"family":"Schultz","given":"Nikolaus"},{"family":"Senbabaoglu","given":"Yasin"},{"family":"Shen","given":"Ronglai"},{"family":"Shmulevich","given":"Ilya"},{"family":"Sinha","given":"Rileen"},{"family":"Stuart","given":"Josh"},{"family":"Sumer","given":"S. Onur"},{"family":"Sun","given":"Yichao"},{"family":"Tasman","given":"Natalie"},{"family":"Taylor","given":"Barry S."},{"family":"Voet","given":"Doug"},{"family":"Weinhold","given":"Nils"},{"family":"Weinstein","given":"John N."},{"family":"Yang","given":"Da"},{"family":"Yoshihara","given":"Kosuke"},{"family":"Zheng","given":"Siyuan"},{"family":"Zhang","given":"Wei"},{"family":"Zou","given":"Lihua"},{"family":"Abel","given":"Ty"},{"family":"Sadeghi","given":"Sara"},{"family":"Cohen","given":"Mark L."},{"family":"Eschbacher","given":"Jenny"},{"family":"Hattab","given":"Eyas M."},{"family":"Raghunathan","given":"Aditya"},{"family":"Schniederjan","given":"Matthew J."},{"family":"Aziz","given":"Dina"},{"family":"Barnett","given":"Gene"},{"family":"Barrett","given":"Wendi"},{"family":"Bigner","given":"Darell D."},{"family":"Boice","given":"Lori"},{"family":"Brewer","given":"Cathy"},{"family":"Calatozzolo","given":"Chiara"},{"family":"Campos","given":"Benito"},{"family":"Carlotti","given":"Carlos Gilberto"},{"family":"Chan","given":"Timothy A."},{"family":"Cuppini","given":"Lucia"},{"family":"Curley","given":"Erin"},{"family":"Cuzzubbo","given":"Stefania"},{"family":"Devine","given":"Karen"},{"family":"DiMeco","given":"Francesco"},{"family":"Duell","given":"Rebecca"},{"family":"Elder","given":"J. Bradley"},{"family":"Fehrenbach","given":"Ashley"},{"family":"Finocchiaro","given":"Gaetano"},{"family":"Friedman","given":"William"},{"family":"Fulop","given":"Jordonna"},{"family":"Gardner","given":"Johanna"},{"family":"Hermes","given":"Beth"},{"family":"Herold-Mende","given":"Christel"},{"family":"Jungk","given":"Christine"},{"family":"Kendler","given":"Ady"},{"family":"Lehman","given":"Norman L."},{"family":"Lipp","given":"Eric"},{"family":"Liu","given":"Ouida"},{"family":"Mandt","given":"Randy"},{"family":"McGraw","given":"Mary"},{"family":"Mclendon","given":"Roger"},{"family":"McPherson","given":"Christopher"},{"family":"Neder","given":"Luciano"},{"family":"Nguyen","given":"Phuong"},{"family":"Noss","given":"Ardene"},{"family":"Nunziata","given":"Raffaele"},{"family":"Ostrom","given":"Quinn T."},{"family":"Palmer","given":"Cheryl"},{"family":"Perin","given":"Alessandro"},{"family":"Pollo","given":"Bianca"},{"family":"Potapov","given":"Alexander"},{"family":"Potapova","given":"Olga"},{"family":"Rathmell","given":"W. Kimryn"},{"family":"Rotin","given":"Daniil"},{"family":"Scarpace","given":"Lisa"},{"family":"Schilero","given":"Cathy"},{"family":"Senecal","given":"Kelly"},{"family":"Shimmel","given":"Kristen"},{"family":"Shurkhay","given":"Vsevolod"},{"family":"Sifri","given":"Suzanne"},{"family":"Singh","given":"Rosy"},{"family":"Sloan","given":"Andrew E."},{"family":"Smolenski","given":"Kathy"},{"family":"Staugaitis","given":"Susan M."},{"family":"Steele","given":"Ruth"},{"family":"Thorne","given":"Leigh"},{"family":"Tirapelli","given":"Daniela P. C."},{"family":"Unterberg","given":"Andreas"},{"family":"Vallurupalli","given":"Mahitha"},{"family":"Wang","given":"Yun"},{"family":"Warnick","given":"Ronald"},{"family":"Williams","given":"Felicia"},{"family":"Wolinsky","given":"Yingli"},{"family":"Bell","given":"Sue"},{"family":"Rosenberg","given":"Mara"},{"family":"Stewart","given":"Chip"},{"family":"Huang","given":"Franklin"},{"family":"Grimsby","given":"Jonna L."},{"family":"Radenbaugh","given":"Amie J."},{"family":"Zhang","given":"Jianan"}],"issued":{"date-parts":[["2015",6,25]]}}},{"id":1698,"uris":["http://zotero.org/users/4775618/items/WVWQ8URS"],"uri":["http://zotero.org/users/4775618/items/WVWQ8URS"],"itemData":{"id":1698,"type":"article-journal","title":"2-Hydroxyglutarate Inhibits ATP Synthase and mTOR Signaling","container-title":"Cell Metabolism","page":"508-515","volume":"22","issue":"3","source":"ScienceDirect","abstract":"Summary\nWe discovered recently that the central metabolite α-ketoglutarate (α-KG) extends the lifespan of C. elegans through inhibition of ATP synthase and TOR signaling. Here we find, unexpectedly, that (R)-2-hydroxyglutarate ((R)-2HG), an oncometabolite that interferes with various α-KG-mediated processes, similarly extends worm lifespan. (R)-2HG accumulates in human cancers carrying neomorphic mutations in the isocitrate dehydrogenase (IDH) 1 and 2 genes. We show that, like α-KG, both (R)-2HG and (S)-2HG bind and inhibit ATP synthase and inhibit mTOR signaling. These effects are mirrored in IDH1 mutant cells, suggesting a growth-suppressive function of (R)-2HG. Consistently, inhibition of ATP synthase by 2-HG or α-KG in glioblastoma cells is sufficient for growth arrest and tumor cell killing under conditions of glucose limitation, e.g., when ketone bodies (instead of glucose) are supplied for energy. These findings inform therapeutic strategies and open avenues for investigating the roles of 2-HG and metabolites in biology and disease.","URL":"http://www.sciencedirect.com/science/article/pii/S1550413115002764","DOI":"10.1016/j.cmet.2015.06.009","ISSN":"1550-4131","journalAbbreviation":"Cell Metabolism","author":[{"family":"Fu","given":"Xudong"},{"family":"Chin","given":"Randall M."},{"family":"Vergnes","given":"Laurent"},{"family":"Hwang","given":"Heejun"},{"family":"Deng","given":"Gang"},{"family":"Xing","given":"Yanpeng"},{"family":"Pai","given":"Melody Y."},{"family":"Li","given":"Sichen"},{"family":"Ta","given":"Lisa"},{"family":"Fazlollahi","given":"Farbod"},{"family":"Chen","given":"Chuo"},{"family":"Prins","given":"Robert M."},{"family":"Teitell","given":"Michael A."},{"family":"Nathanson","given":"David A."},{"family":"Lai","given":"Albert"},{"family":"Faull","given":"Kym F."},{"family":"Jiang","given":"Meisheng"},{"family":"Clarke","given":"Steven G."},{"family":"Cloughesy","given":"Timothy F."},{"family":"Graeber","given":"Thomas G."},{"family":"Braas","given":"Daniel"},{"family":"Christofk","given":"Heather R."},{"family":"Jung","given":"Michael E."},{"family":"Reue","given":"Karen"},{"family":"Huang","given":"Jing"}],"issued":{"date-parts":[["2015",9,1]]},"accessed":{"date-parts":[["2019",3,4]]}}}],"schema":"https://github.com/citation-style-language/schema/raw/master/csl-citation.json"} </w:instrText>
      </w:r>
      <w:r w:rsidR="0094701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198,199</w:t>
      </w:r>
      <w:r w:rsidR="0094701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p>
    <w:p w14:paraId="28406852" w14:textId="02A09D1C" w:rsidR="00BE4CCE" w:rsidRPr="00D637BA" w:rsidRDefault="00F131BF" w:rsidP="00A12174">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One </w:t>
      </w:r>
      <w:r w:rsidR="00093CEC" w:rsidRPr="00D637BA">
        <w:rPr>
          <w:rFonts w:ascii="Calibri" w:hAnsi="Calibri" w:cs="Calibri"/>
          <w:color w:val="000000" w:themeColor="text1"/>
          <w:sz w:val="22"/>
          <w:szCs w:val="22"/>
        </w:rPr>
        <w:t xml:space="preserve">explanation </w:t>
      </w:r>
      <w:r w:rsidRPr="00D637BA">
        <w:rPr>
          <w:rFonts w:ascii="Calibri" w:hAnsi="Calibri" w:cs="Calibri"/>
          <w:color w:val="000000" w:themeColor="text1"/>
          <w:sz w:val="22"/>
          <w:szCs w:val="22"/>
        </w:rPr>
        <w:t>for the convincing simultaneous pro-</w:t>
      </w:r>
      <w:r w:rsidR="00093CEC" w:rsidRPr="00D637BA">
        <w:rPr>
          <w:rFonts w:ascii="Calibri" w:hAnsi="Calibri" w:cs="Calibri"/>
          <w:color w:val="000000" w:themeColor="text1"/>
          <w:sz w:val="22"/>
          <w:szCs w:val="22"/>
        </w:rPr>
        <w:t>tumoral</w:t>
      </w:r>
      <w:r w:rsidRPr="00D637BA">
        <w:rPr>
          <w:rFonts w:ascii="Calibri" w:hAnsi="Calibri" w:cs="Calibri"/>
          <w:color w:val="000000" w:themeColor="text1"/>
          <w:sz w:val="22"/>
          <w:szCs w:val="22"/>
        </w:rPr>
        <w:t xml:space="preserve"> and anti-</w:t>
      </w:r>
      <w:r w:rsidR="008B0014" w:rsidRPr="00D637BA">
        <w:rPr>
          <w:rFonts w:ascii="Calibri" w:hAnsi="Calibri" w:cs="Calibri"/>
          <w:color w:val="000000" w:themeColor="text1"/>
          <w:sz w:val="22"/>
          <w:szCs w:val="22"/>
        </w:rPr>
        <w:t>tumoural</w:t>
      </w:r>
      <w:r w:rsidRPr="00D637BA">
        <w:rPr>
          <w:rFonts w:ascii="Calibri" w:hAnsi="Calibri" w:cs="Calibri"/>
          <w:color w:val="000000" w:themeColor="text1"/>
          <w:sz w:val="22"/>
          <w:szCs w:val="22"/>
        </w:rPr>
        <w:t xml:space="preserve"> roles of 2HG, is that its effects are contingent on the specific cancer and/or specific stage in tumour evolution (i.e. tumour initiation versus tumour progression)</w:t>
      </w:r>
      <w:r w:rsidR="00E05943">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{"citationID":"a1hevvjc6hs","properties":{"formattedCitation":"\\super 195,198\\nosupersub{}","plainCitation":"195,198","noteIndex":0},"citationItems":[{"id":1698,"uris":["http://zotero.org/users/4775618/items/WVWQ8URS"],"uri":["http://zotero.org/users/4775618/items/WVWQ8URS"],"itemData":{"id":1698,"type":"article-journal","title":"2-Hydroxyglutarate Inhibits ATP Synthase and mTOR Signaling","container-title":"Cell Metabolism","page":"508-515","volume":"22","issue":"3","source":"ScienceDirect","abstract":"Summary\nWe discovered recently that the central metabolite α-ketoglutarate (α-KG) extends the lifespan of C. elegans through inhibition of ATP synthase and TOR signaling. Here we find, unexpectedly, that (R)-2-hydroxyglutarate ((R)-2HG), an oncometabolite that interferes with various α-KG-mediated processes, similarly extends worm lifespan. (R)-2HG accumulates in human cancers carrying neomorphic mutations in the isocitrate dehydrogenase (IDH) 1 and 2 genes. We show that, like α-KG, both (R)-2HG and (S)-2HG bind and inhibit ATP synthase and inhibit mTOR signaling. These effects are mirrored in IDH1 mutant cells, suggesting a growth-suppressive function of (R)-2HG. Consistently, inhibition of ATP synthase by 2-HG or α-KG in glioblastoma cells is sufficient for growth arrest and tumor cell killing under conditions of glucose limitation, e.g., when ketone bodies (instead of glucose) are supplied for energy. These findings inform therapeutic strategies and open avenues for investigating the roles of 2-HG and metabolites in biology and disease.","URL":"http://www.sciencedirect.com/science/article/pii/S1550413115002764","DOI":"10.1016/j.cmet.2015.06.009","ISSN":"1550-4131","journalAbbreviation":"Cell Metabolism","author":[{"family":"Fu","given":"Xudong"},{"family":"Chin","given":"Randall M."},{"family":"Vergnes","given":"Laurent"},{"family":"Hwang","given":"Heejun"},{"family":"Deng","given":"Gang"},{"family":"Xing","given":"Yanpeng"},{"family":"Pai","given":"Melody Y."},{"family":"Li","given":"Sichen"},{"family":"Ta","given":"Lisa"},{"family":"Fazlollahi","given":"Farbod"},{"family":"Chen","given":"Chuo"},{"family":"Prins","given":"Robert M."},{"family":"Teitell","given":"Michael A."},{"family":"Nathanson","given":"David A."},{"family":"Lai","given":"Albert"},{"family":"Faull","given":"Kym F."},{"family":"Jiang","given":"Meisheng"},{"family":"Clarke","given":"Steven G."},{"family":"Cloughesy","given":"Timothy F."},{"family":"Graeber","given":"Thomas G."},{"family":"Braas","given":"Daniel"},{"family":"Christofk","given":"Heather R."},{"family":"Jung","given":"Michael E."},{"family":"Reue","given":"Karen"},{"family":"Huang","given":"Jing"}],"issued":{"date-parts":[["2015",9,1]]},"accessed":{"date-parts":[["2019",3,4]]}}},{"id":1695,"uris":["http://zotero.org/users/4775618/items/H82L7KPF"],"uri":["http://zotero.org/users/4775618/items/H82L7KPF"],"itemData":{"id":1695,"type":"article-journal","title":"R-2HG Exhibits Anti-tumor Activity by Targeting FTO/m6A/MYC/CEBPA Signaling","container-title":"Cell","page":"90-105.e23","volume":"172","issue":"1","source":"ScienceDirect","abstract":"Summary\nR-2-hydroxyglutarate (R-2HG), produced at high levels by mutant isocitrate dehydrogenase 1/2 (IDH1/2) enzymes, was reported as an oncometabolite. We show here that R-2HG also exerts a broad anti-leukemic activity in vitro and in vivo by inhibiting leukemia cell proliferation/viability and by promoting cell-cycle arrest and apoptosis. Mechanistically, R-2HG inhibits fat mass and obesity-associated protein (FTO) activity, thereby increasing global N6-methyladenosine (m6A) RNA modification in R-2HG-sensitive leukemia cells, which in turn decreases the stability of MYC/CEBPA transcripts, leading to the suppression of relevant pathways. Ectopically expressed mutant IDH1 and S-2HG recapitulate the effects of R-2HG. High levels of FTO sensitize leukemic cells to R-2HG, whereas hyperactivation of MYC signaling confers resistance that can be reversed by the inhibition of MYC signaling. R-2HG also displays anti-tumor activity in glioma. Collectively, while R-2HG accumulated in IDH1/2 mutant cancers contributes to cancer initiation, our work demonstrates anti-tumor effects of 2HG in inhibiting proliferation/survival of FTO-high cancer cells via targeting FTO/m6A/MYC/CEBPA signaling.","URL":"http://www.sciencedirect.com/science/article/pii/S009286741731382X","DOI":"10.1016/j.cell.2017.11.031","ISSN":"0092-8674","journalAbbreviation":"Cell","author":[{"family":"Su","given":"Rui"},{"family":"Dong","given":"Lei"},{"family":"Li","given":"Chenying"},{"family":"Nachtergaele","given":"Sigrid"},{"family":"Wunderlich","given":"Mark"},{"family":"Qing","given":"Ying"},{"family":"Deng","given":"Xiaolan"},{"family":"Wang","given":"Yungui"},{"family":"Weng","given":"Xiaocheng"},{"family":"Hu","given":"Chao"},{"family":"Yu","given":"Mengxia"},{"family":"Skibbe","given":"Jennifer"},{"family":"Dai","given":"Qing"},{"family":"Zou","given":"Dongling"},{"family":"Wu","given":"Tong"},{"family":"Yu","given":"Kangkang"},{"family":"Weng","given":"Hengyou"},{"family":"Huang","given":"Huilin"},{"family":"Ferchen","given":"Kyle"},{"family":"Qin","given":"Xi"},{"family":"Zhang","given":"Bin"},{"family":"Qi","given":"Jun"},{"family":"Sasaki","given":"Atsuo T."},{"family":"Plas","given":"David R."},{"family":"Bradner","given":"James E."},{"family":"Wei","given":"Minjie"},{"family":"Marcucci","given":"Guido"},{"family":"Jiang","given":"Xi"},{"family":"Mulloy","given":"James C."},{"family":"Jin","given":"Jie"},{"family":"He","given":"Chuan"},{"family":"Chen","given":"Jianjun"}],"issued":{"date-parts":[["2018",1,11]]},"accessed":{"date-parts":[["2019",3,4]]}}}],"schema":"https://github.com/citation-style-language/schema/raw/master/csl-citation.json"} </w:instrText>
      </w:r>
      <w:r w:rsidR="00E05943">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195,198</w:t>
      </w:r>
      <w:r w:rsidR="00E05943">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Supporting this notion, accumulations of D2HG and L2HG were observed in colorectal </w:t>
      </w:r>
      <w:r w:rsidR="009B2590" w:rsidRPr="00D637BA">
        <w:rPr>
          <w:rFonts w:ascii="Calibri" w:hAnsi="Calibri" w:cs="Calibri"/>
          <w:color w:val="000000" w:themeColor="text1"/>
          <w:sz w:val="22"/>
          <w:szCs w:val="22"/>
        </w:rPr>
        <w:t xml:space="preserve">cancer </w:t>
      </w:r>
      <w:r w:rsidRPr="00D637BA">
        <w:rPr>
          <w:rFonts w:ascii="Calibri" w:hAnsi="Calibri" w:cs="Calibri"/>
          <w:color w:val="000000" w:themeColor="text1"/>
          <w:sz w:val="22"/>
          <w:szCs w:val="22"/>
        </w:rPr>
        <w:t xml:space="preserve">cell lines in the absence of </w:t>
      </w:r>
      <w:r w:rsidRPr="00D637BA">
        <w:rPr>
          <w:rFonts w:ascii="Calibri" w:hAnsi="Calibri" w:cs="Calibri"/>
          <w:i/>
          <w:color w:val="000000" w:themeColor="text1"/>
          <w:sz w:val="22"/>
          <w:szCs w:val="22"/>
        </w:rPr>
        <w:t>IDH</w:t>
      </w:r>
      <w:r w:rsidR="00093CEC" w:rsidRPr="00D637BA">
        <w:rPr>
          <w:rFonts w:ascii="Calibri" w:hAnsi="Calibri" w:cs="Calibri"/>
          <w:i/>
          <w:color w:val="000000" w:themeColor="text1"/>
          <w:sz w:val="22"/>
          <w:szCs w:val="22"/>
        </w:rPr>
        <w:t>, D2HGDH</w:t>
      </w:r>
      <w:r w:rsidR="000167D7">
        <w:rPr>
          <w:rFonts w:ascii="Calibri" w:hAnsi="Calibri" w:cs="Calibri"/>
          <w:i/>
          <w:color w:val="000000" w:themeColor="text1"/>
          <w:sz w:val="22"/>
          <w:szCs w:val="22"/>
        </w:rPr>
        <w:t xml:space="preserve"> </w:t>
      </w:r>
      <w:r w:rsidRPr="00D637BA">
        <w:rPr>
          <w:rFonts w:ascii="Calibri" w:hAnsi="Calibri" w:cs="Calibri"/>
          <w:i/>
          <w:color w:val="000000" w:themeColor="text1"/>
          <w:sz w:val="22"/>
          <w:szCs w:val="22"/>
        </w:rPr>
        <w:t xml:space="preserve">or L2HGDH </w:t>
      </w:r>
      <w:r w:rsidRPr="00D637BA">
        <w:rPr>
          <w:rFonts w:ascii="Calibri" w:hAnsi="Calibri" w:cs="Calibri"/>
          <w:color w:val="000000" w:themeColor="text1"/>
          <w:sz w:val="22"/>
          <w:szCs w:val="22"/>
        </w:rPr>
        <w:t>mutations</w:t>
      </w:r>
      <w:r w:rsidR="00E05943">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{"citationID":"a156umrqur1","properties":{"formattedCitation":"\\super 200\\nosupersub{}","plainCitation":"200","noteIndex":0},"citationItems":[{"id":345,"uris":["http://zotero.org/users/4775618/items/KP64KJ3W"],"uri":["http://zotero.org/users/4775618/items/KP64KJ3W"],"itemData":{"id":345,"type":"article-journal","title":"Oncometabolite D-2-Hydroxyglurate Directly Induces Epithelial-Mesenchymal Transition and is Associated with Distant Metastasis in Colorectal Cancer","container-title":"Scientific Reports","page":"36289","volume":"6","source":"www.nature.com","abstract":"Deranged metabolism is a hallmark of cancer, playing a significant role in driving the disease process. One such example is the induction of carcinogenesis by the oncometabolite D-2 hydroxyglutarate (D-2HG), which is produced by the mutated enzyme isocitrate dehydrogenase (IDH) occurring in subsets of leukaemias and brain tumours. The oncogenic property of D-2HG appears to stem from its ability to interfere with the activities of α-ketoglutarate-dependent dioxygenases, including the Jumonji family histone demethylases. Here, we find in colorectal cancer cells that even in the absence of IDH mutation, the levels of D-2HG and its enantiomer L-2HG were elevated through glutamine anaplerosis. D-2HG, but not L-2HG, increased the trimethylation of histone H3 lysine 4 of the promoter region of ZEB1, a master regulator of epithelial-mesenchymal transition (EMT), and increased the expression of the ZEB1 gene to directly induce EMT in colorectal cancer cells. EMT promotes the ability of cancer cells to invade the local tissue and enter into the bloodstream, leading to distant organ metastasis. D-2HG levels were elevated in colorectal cancer specimens, particularly in those associated with distant metastasis, supporting the observations in vitro and implicating the contribution of D-2HG in metastasis, the major cause of death in this disease.","URL":"https://www.nature.com/articles/srep36289","DOI":"10.1038/srep36289","ISSN":"2045-2322","language":"en","author":[{"family":"Colvin","given":"Hugh"},{"family":"Nishida","given":"Naohiro"},{"family":"Konno","given":"Masamitsu"},{"family":"Haraguchi","given":"Naotsugu"},{"family":"Takahashi","given":"Hidekazu"},{"family":"Nishimura","given":"Junichi"},{"family":"Hata","given":"Taishi"},{"family":"Kawamoto","given":"Koichi"},{"family":"Asai","given":"Ayumu"},{"family":"Tsunekuni","given":"Kenta"},{"family":"Koseki","given":"Jun"},{"family":"Mizushima","given":"Tsunekazu"},{"family":"Satoh","given":"Taroh"},{"family":"Doki","given":"Yuichiro"},{"family":"Mori","given":"Masaki"},{"family":"Ishii","given":"Hideshi"}],"issued":{"date-parts":[["2016",11,8]]},"accessed":{"date-parts":[["2018",3,29]]}}}],"schema":"https://github.com/citation-style-language/schema/raw/master/csl-citation.json"} </w:instrText>
      </w:r>
      <w:r w:rsidR="00E05943">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200</w:t>
      </w:r>
      <w:r w:rsidR="00E05943">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Dissecting the individual roles</w:t>
      </w:r>
      <w:r w:rsidR="00093CEC" w:rsidRPr="00D637BA">
        <w:rPr>
          <w:rFonts w:ascii="Calibri" w:hAnsi="Calibri" w:cs="Calibri"/>
          <w:color w:val="000000" w:themeColor="text1"/>
          <w:sz w:val="22"/>
          <w:szCs w:val="22"/>
        </w:rPr>
        <w:t xml:space="preserve"> of the 2HG isoforms</w:t>
      </w:r>
      <w:r w:rsidRPr="00D637BA">
        <w:rPr>
          <w:rFonts w:ascii="Calibri" w:hAnsi="Calibri" w:cs="Calibri"/>
          <w:color w:val="000000" w:themeColor="text1"/>
          <w:sz w:val="22"/>
          <w:szCs w:val="22"/>
        </w:rPr>
        <w:t xml:space="preserve"> in this setting revealed that D2HG, but not L2HG, </w:t>
      </w:r>
      <w:r w:rsidR="00093CEC" w:rsidRPr="00D637BA">
        <w:rPr>
          <w:rFonts w:ascii="Calibri" w:hAnsi="Calibri" w:cs="Calibri"/>
          <w:color w:val="000000" w:themeColor="text1"/>
          <w:sz w:val="22"/>
          <w:szCs w:val="22"/>
        </w:rPr>
        <w:t>has</w:t>
      </w:r>
      <w:r w:rsidRPr="00D637BA">
        <w:rPr>
          <w:rFonts w:ascii="Calibri" w:hAnsi="Calibri" w:cs="Calibri"/>
          <w:color w:val="000000" w:themeColor="text1"/>
          <w:sz w:val="22"/>
          <w:szCs w:val="22"/>
        </w:rPr>
        <w:t xml:space="preserve"> pro-</w:t>
      </w:r>
      <w:r w:rsidR="008B0014" w:rsidRPr="00D637BA">
        <w:rPr>
          <w:rFonts w:ascii="Calibri" w:hAnsi="Calibri" w:cs="Calibri"/>
          <w:color w:val="000000" w:themeColor="text1"/>
          <w:sz w:val="22"/>
          <w:szCs w:val="22"/>
        </w:rPr>
        <w:t>tumoural</w:t>
      </w:r>
      <w:r w:rsidRPr="00D637BA">
        <w:rPr>
          <w:rFonts w:ascii="Calibri" w:hAnsi="Calibri" w:cs="Calibri"/>
          <w:color w:val="000000" w:themeColor="text1"/>
          <w:sz w:val="22"/>
          <w:szCs w:val="22"/>
        </w:rPr>
        <w:t xml:space="preserve"> roles in EMT gene upregulation through KDM inhibition and subsequent histone hypermethylation, as well as in the acquisition of </w:t>
      </w:r>
      <w:r w:rsidR="00093CEC" w:rsidRPr="00D637BA">
        <w:rPr>
          <w:rFonts w:ascii="Calibri" w:hAnsi="Calibri" w:cs="Calibri"/>
          <w:color w:val="000000" w:themeColor="text1"/>
          <w:sz w:val="22"/>
          <w:szCs w:val="22"/>
        </w:rPr>
        <w:t xml:space="preserve">an </w:t>
      </w:r>
      <w:r w:rsidRPr="00D637BA">
        <w:rPr>
          <w:rFonts w:ascii="Calibri" w:hAnsi="Calibri" w:cs="Calibri"/>
          <w:color w:val="000000" w:themeColor="text1"/>
          <w:sz w:val="22"/>
          <w:szCs w:val="22"/>
        </w:rPr>
        <w:t xml:space="preserve">invasive and migratory </w:t>
      </w:r>
      <w:r w:rsidR="00093CEC" w:rsidRPr="00D637BA">
        <w:rPr>
          <w:rFonts w:ascii="Calibri" w:hAnsi="Calibri" w:cs="Calibri"/>
          <w:color w:val="000000" w:themeColor="text1"/>
          <w:sz w:val="22"/>
          <w:szCs w:val="22"/>
        </w:rPr>
        <w:t xml:space="preserve">cell </w:t>
      </w:r>
      <w:r w:rsidRPr="00D637BA">
        <w:rPr>
          <w:rFonts w:ascii="Calibri" w:hAnsi="Calibri" w:cs="Calibri"/>
          <w:color w:val="000000" w:themeColor="text1"/>
          <w:sz w:val="22"/>
          <w:szCs w:val="22"/>
        </w:rPr>
        <w:t>phenotype</w:t>
      </w:r>
      <w:r w:rsidR="00E05943">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{"citationID":"a2c7vmp8k8u","properties":{"formattedCitation":"\\super 200\\nosupersub{}","plainCitation":"200","noteIndex":0},"citationItems":[{"id":345,"uris":["http://zotero.org/users/4775618/items/KP64KJ3W"],"uri":["http://zotero.org/users/4775618/items/KP64KJ3W"],"itemData":{"id":345,"type":"article-journal","title":"Oncometabolite D-2-Hydroxyglurate Directly Induces Epithelial-Mesenchymal Transition and is Associated with Distant Metastasis in Colorectal Cancer","container-title":"Scientific Reports","page":"36289","volume":"6","source":"www.nature.com","abstract":"Deranged metabolism is a hallmark of cancer, playing a significant role in driving the disease process. One such example is the induction of carcinogenesis by the oncometabolite D-2 hydroxyglutarate (D-2HG), which is produced by the mutated enzyme isocitrate dehydrogenase (IDH) occurring in subsets of leukaemias and brain tumours. The oncogenic property of D-2HG appears to stem from its ability to interfere with the activities of α-ketoglutarate-dependent dioxygenases, including the Jumonji family histone demethylases. Here, we find in colorectal cancer cells that even in the absence of IDH mutation, the levels of D-2HG and its enantiomer L-2HG were elevated through glutamine anaplerosis. D-2HG, but not L-2HG, increased the trimethylation of histone H3 lysine 4 of the promoter region of ZEB1, a master regulator of epithelial-mesenchymal transition (EMT), and increased the expression of the ZEB1 gene to directly induce EMT in colorectal cancer cells. EMT promotes the ability of cancer cells to invade the local tissue and enter into the bloodstream, leading to distant organ metastasis. D-2HG levels were elevated in colorectal cancer specimens, particularly in those associated with distant metastasis, supporting the observations in vitro and implicating the contribution of D-2HG in metastasis, the major cause of death in this disease.","URL":"https://www.nature.com/articles/srep36289","DOI":"10.1038/srep36289","ISSN":"2045-2322","language":"en","author":[{"family":"Colvin","given":"Hugh"},{"family":"Nishida","given":"Naohiro"},{"family":"Konno","given":"Masamitsu"},{"family":"Haraguchi","given":"Naotsugu"},{"family":"Takahashi","given":"Hidekazu"},{"family":"Nishimura","given":"Junichi"},{"family":"Hata","given":"Taishi"},{"family":"Kawamoto","given":"Koichi"},{"family":"Asai","given":"Ayumu"},{"family":"Tsunekuni","given":"Kenta"},{"family":"Koseki","given":"Jun"},{"family":"Mizushima","given":"Tsunekazu"},{"family":"Satoh","given":"Taroh"},{"family":"Doki","given":"Yuichiro"},{"family":"Mori","given":"Masaki"},{"family":"Ishii","given":"Hideshi"}],"issued":{"date-parts":[["2016",11,8]]},"accessed":{"date-parts":[["2018",3,29]]}}}],"schema":"https://github.com/citation-style-language/schema/raw/master/csl-citation.json"} </w:instrText>
      </w:r>
      <w:r w:rsidR="00E05943">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200</w:t>
      </w:r>
      <w:r w:rsidR="00E05943">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093CEC" w:rsidRPr="00D637BA">
        <w:rPr>
          <w:rFonts w:ascii="Calibri" w:hAnsi="Calibri" w:cs="Calibri"/>
          <w:color w:val="000000" w:themeColor="text1"/>
          <w:sz w:val="22"/>
          <w:szCs w:val="22"/>
        </w:rPr>
        <w:t>T</w:t>
      </w:r>
      <w:r w:rsidRPr="00D637BA">
        <w:rPr>
          <w:rFonts w:ascii="Calibri" w:hAnsi="Calibri" w:cs="Calibri"/>
          <w:color w:val="000000" w:themeColor="text1"/>
          <w:sz w:val="22"/>
          <w:szCs w:val="22"/>
        </w:rPr>
        <w:t>his phenotype was ameliorated by the addition of a glutaminase inhibitor</w:t>
      </w:r>
      <w:r w:rsidR="00E05943">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{"citationID":"a1odoft7sa1","properties":{"formattedCitation":"\\super 200\\nosupersub{}","plainCitation":"200","noteIndex":0},"citationItems":[{"id":345,"uris":["http://zotero.org/users/4775618/items/KP64KJ3W"],"uri":["http://zotero.org/users/4775618/items/KP64KJ3W"],"itemData":{"id":345,"type":"article-journal","title":"Oncometabolite D-2-Hydroxyglurate Directly Induces Epithelial-Mesenchymal Transition and is Associated with Distant Metastasis in Colorectal Cancer","container-title":"Scientific Reports","page":"36289","volume":"6","source":"www.nature.com","abstract":"Deranged metabolism is a hallmark of cancer, playing a significant role in driving the disease process. One such example is the induction of carcinogenesis by the oncometabolite D-2 hydroxyglutarate (D-2HG), which is produced by the mutated enzyme isocitrate dehydrogenase (IDH) occurring in subsets of leukaemias and brain tumours. The oncogenic property of D-2HG appears to stem from its ability to interfere with the activities of α-ketoglutarate-dependent dioxygenases, including the Jumonji family histone demethylases. Here, we find in colorectal cancer cells that even in the absence of IDH mutation, the levels of D-2HG and its enantiomer L-2HG were elevated through glutamine anaplerosis. D-2HG, but not L-2HG, increased the trimethylation of histone H3 lysine 4 of the promoter region of ZEB1, a master regulator of epithelial-mesenchymal transition (EMT), and increased the expression of the ZEB1 gene to directly induce EMT in colorectal cancer cells. EMT promotes the ability of cancer cells to invade the local tissue and enter into the bloodstream, leading to distant organ metastasis. D-2HG levels were elevated in colorectal cancer specimens, particularly in those associated with distant metastasis, supporting the observations in vitro and implicating the contribution of D-2HG in metastasis, the major cause of death in this disease.","URL":"https://www.nature.com/articles/srep36289","DOI":"10.1038/srep36289","ISSN":"2045-2322","language":"en","author":[{"family":"Colvin","given":"Hugh"},{"family":"Nishida","given":"Naohiro"},{"family":"Konno","given":"Masamitsu"},{"family":"Haraguchi","given":"Naotsugu"},{"family":"Takahashi","given":"Hidekazu"},{"family":"Nishimura","given":"Junichi"},{"family":"Hata","given":"Taishi"},{"family":"Kawamoto","given":"Koichi"},{"family":"Asai","given":"Ayumu"},{"family":"Tsunekuni","given":"Kenta"},{"family":"Koseki","given":"Jun"},{"family":"Mizushima","given":"Tsunekazu"},{"family":"Satoh","given":"Taroh"},{"family":"Doki","given":"Yuichiro"},{"family":"Mori","given":"Masaki"},{"family":"Ishii","given":"Hideshi"}],"issued":{"date-parts":[["2016",11,8]]},"accessed":{"date-parts":[["2018",3,29]]}}}],"schema":"https://github.com/citation-style-language/schema/raw/master/csl-citation.json"} </w:instrText>
      </w:r>
      <w:r w:rsidR="00E05943">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200</w:t>
      </w:r>
      <w:r w:rsidR="00E05943">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093CEC" w:rsidRPr="00D637BA">
        <w:rPr>
          <w:rFonts w:ascii="Calibri" w:hAnsi="Calibri" w:cs="Calibri"/>
          <w:color w:val="000000" w:themeColor="text1"/>
          <w:sz w:val="22"/>
          <w:szCs w:val="22"/>
        </w:rPr>
        <w:t xml:space="preserve">indicating </w:t>
      </w:r>
      <w:r w:rsidRPr="00D637BA">
        <w:rPr>
          <w:rFonts w:ascii="Calibri" w:hAnsi="Calibri" w:cs="Calibri"/>
          <w:color w:val="000000" w:themeColor="text1"/>
          <w:sz w:val="22"/>
          <w:szCs w:val="22"/>
        </w:rPr>
        <w:t>that D</w:t>
      </w:r>
      <w:r w:rsidR="00093CEC" w:rsidRPr="00D637BA">
        <w:rPr>
          <w:rFonts w:ascii="Calibri" w:hAnsi="Calibri" w:cs="Calibri"/>
          <w:color w:val="000000" w:themeColor="text1"/>
          <w:sz w:val="22"/>
          <w:szCs w:val="22"/>
        </w:rPr>
        <w:t xml:space="preserve">2HG and </w:t>
      </w:r>
      <w:r w:rsidRPr="00D637BA">
        <w:rPr>
          <w:rFonts w:ascii="Calibri" w:hAnsi="Calibri" w:cs="Calibri"/>
          <w:color w:val="000000" w:themeColor="text1"/>
          <w:sz w:val="22"/>
          <w:szCs w:val="22"/>
        </w:rPr>
        <w:t xml:space="preserve">L2HG accumulation in </w:t>
      </w:r>
      <w:r w:rsidR="009B2590" w:rsidRPr="00D637BA">
        <w:rPr>
          <w:rFonts w:ascii="Calibri" w:hAnsi="Calibri" w:cs="Calibri"/>
          <w:color w:val="000000" w:themeColor="text1"/>
          <w:sz w:val="22"/>
          <w:szCs w:val="22"/>
        </w:rPr>
        <w:t xml:space="preserve">colorectal cancer cells </w:t>
      </w:r>
      <w:r w:rsidRPr="00D637BA">
        <w:rPr>
          <w:rFonts w:ascii="Calibri" w:hAnsi="Calibri" w:cs="Calibri"/>
          <w:color w:val="000000" w:themeColor="text1"/>
          <w:sz w:val="22"/>
          <w:szCs w:val="22"/>
        </w:rPr>
        <w:t xml:space="preserve">is dependent on glutamine-derived </w:t>
      </w:r>
      <w:r w:rsidRPr="00B946E4">
        <w:rPr>
          <w:rFonts w:ascii="Calibri" w:hAnsi="Calibri" w:cs="Calibri"/>
          <w:color w:val="FF0000"/>
          <w:sz w:val="22"/>
          <w:szCs w:val="22"/>
        </w:rPr>
        <w:t>anaplero</w:t>
      </w:r>
      <w:r w:rsidR="00937C99">
        <w:rPr>
          <w:rFonts w:ascii="Calibri" w:hAnsi="Calibri" w:cs="Calibri"/>
          <w:color w:val="FF0000"/>
          <w:sz w:val="22"/>
          <w:szCs w:val="22"/>
        </w:rPr>
        <w:t>sis</w:t>
      </w:r>
      <w:r w:rsidR="00093CEC" w:rsidRPr="00D637BA">
        <w:rPr>
          <w:rFonts w:ascii="Calibri" w:hAnsi="Calibri" w:cs="Calibri"/>
          <w:b/>
          <w:color w:val="0000FF"/>
          <w:sz w:val="22"/>
          <w:szCs w:val="22"/>
        </w:rPr>
        <w:t>[G]</w:t>
      </w:r>
      <w:r w:rsidR="00093CEC" w:rsidRPr="00D637BA">
        <w:rPr>
          <w:rFonts w:ascii="Calibri" w:hAnsi="Calibri" w:cs="Calibri"/>
          <w:sz w:val="22"/>
          <w:szCs w:val="22"/>
        </w:rPr>
        <w:t>.</w:t>
      </w:r>
      <w:r w:rsidRPr="00D637BA">
        <w:rPr>
          <w:rFonts w:ascii="Calibri" w:hAnsi="Calibri" w:cs="Calibri"/>
          <w:color w:val="000000" w:themeColor="text1"/>
          <w:sz w:val="22"/>
          <w:szCs w:val="22"/>
        </w:rPr>
        <w:t xml:space="preserve"> In keeping with these findings, elevated D2HG levels</w:t>
      </w:r>
      <w:r w:rsidR="00F0671B" w:rsidRPr="00D637BA">
        <w:rPr>
          <w:rFonts w:ascii="Calibri" w:hAnsi="Calibri" w:cs="Calibri"/>
          <w:color w:val="000000" w:themeColor="text1"/>
          <w:sz w:val="22"/>
          <w:szCs w:val="22"/>
        </w:rPr>
        <w:t xml:space="preserve"> </w:t>
      </w:r>
      <w:r w:rsidR="009347BF">
        <w:rPr>
          <w:rFonts w:ascii="Calibri" w:hAnsi="Calibri" w:cs="Calibri"/>
          <w:color w:val="000000" w:themeColor="text1"/>
          <w:sz w:val="22"/>
          <w:szCs w:val="22"/>
        </w:rPr>
        <w:t xml:space="preserve">in colorectal cancer samples </w:t>
      </w:r>
      <w:r w:rsidR="004C4577" w:rsidRPr="00D637BA">
        <w:rPr>
          <w:rFonts w:ascii="Calibri" w:hAnsi="Calibri" w:cs="Calibri"/>
          <w:color w:val="000000" w:themeColor="text1"/>
          <w:sz w:val="22"/>
          <w:szCs w:val="22"/>
        </w:rPr>
        <w:t xml:space="preserve">positively </w:t>
      </w:r>
      <w:r w:rsidRPr="00D637BA">
        <w:rPr>
          <w:rFonts w:ascii="Calibri" w:hAnsi="Calibri" w:cs="Calibri"/>
          <w:color w:val="000000" w:themeColor="text1"/>
          <w:sz w:val="22"/>
          <w:szCs w:val="22"/>
        </w:rPr>
        <w:t>correlated with higher frequenc</w:t>
      </w:r>
      <w:r w:rsidR="004C4577" w:rsidRPr="00D637BA">
        <w:rPr>
          <w:rFonts w:ascii="Calibri" w:hAnsi="Calibri" w:cs="Calibri"/>
          <w:color w:val="000000" w:themeColor="text1"/>
          <w:sz w:val="22"/>
          <w:szCs w:val="22"/>
        </w:rPr>
        <w:t>ies</w:t>
      </w:r>
      <w:r w:rsidRPr="00D637BA">
        <w:rPr>
          <w:rFonts w:ascii="Calibri" w:hAnsi="Calibri" w:cs="Calibri"/>
          <w:color w:val="000000" w:themeColor="text1"/>
          <w:sz w:val="22"/>
          <w:szCs w:val="22"/>
        </w:rPr>
        <w:t xml:space="preserve"> of distant metastases</w:t>
      </w:r>
      <w:r w:rsidR="00E05943">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{"citationID":"ajufrra7n2","properties":{"formattedCitation":"\\super 200\\nosupersub{}","plainCitation":"200","noteIndex":0},"citationItems":[{"id":345,"uris":["http://zotero.org/users/4775618/items/KP64KJ3W"],"uri":["http://zotero.org/users/4775618/items/KP64KJ3W"],"itemData":{"id":345,"type":"article-journal","title":"Oncometabolite D-2-Hydroxyglurate Directly Induces Epithelial-Mesenchymal Transition and is Associated with Distant Metastasis in Colorectal Cancer","container-title":"Scientific Reports","page":"36289","volume":"6","source":"www.nature.com","abstract":"Deranged metabolism is a hallmark of cancer, playing a significant role in driving the disease process. One such example is the induction of carcinogenesis by the oncometabolite D-2 hydroxyglutarate (D-2HG), which is produced by the mutated enzyme isocitrate dehydrogenase (IDH) occurring in subsets of leukaemias and brain tumours. The oncogenic property of D-2HG appears to stem from its ability to interfere with the activities of α-ketoglutarate-dependent dioxygenases, including the Jumonji family histone demethylases. Here, we find in colorectal cancer cells that even in the absence of IDH mutation, the levels of D-2HG and its enantiomer L-2HG were elevated through glutamine anaplerosis. D-2HG, but not L-2HG, increased the trimethylation of histone H3 lysine 4 of the promoter region of ZEB1, a master regulator of epithelial-mesenchymal transition (EMT), and increased the expression of the ZEB1 gene to directly induce EMT in colorectal cancer cells. EMT promotes the ability of cancer cells to invade the local tissue and enter into the bloodstream, leading to distant organ metastasis. D-2HG levels were elevated in colorectal cancer specimens, particularly in those associated with distant metastasis, supporting the observations in vitro and implicating the contribution of D-2HG in metastasis, the major cause of death in this disease.","URL":"https://www.nature.com/articles/srep36289","DOI":"10.1038/srep36289","ISSN":"2045-2322","language":"en","author":[{"family":"Colvin","given":"Hugh"},{"family":"Nishida","given":"Naohiro"},{"family":"Konno","given":"Masamitsu"},{"family":"Haraguchi","given":"Naotsugu"},{"family":"Takahashi","given":"Hidekazu"},{"family":"Nishimura","given":"Junichi"},{"family":"Hata","given":"Taishi"},{"family":"Kawamoto","given":"Koichi"},{"family":"Asai","given":"Ayumu"},{"family":"Tsunekuni","given":"Kenta"},{"family":"Koseki","given":"Jun"},{"family":"Mizushima","given":"Tsunekazu"},{"family":"Satoh","given":"Taroh"},{"family":"Doki","given":"Yuichiro"},{"family":"Mori","given":"Masaki"},{"family":"Ishii","given":"Hideshi"}],"issued":{"date-parts":[["2016",11,8]]},"accessed":{"date-parts":[["2018",3,29]]}}}],"schema":"https://github.com/citation-style-language/schema/raw/master/csl-citation.json"} </w:instrText>
      </w:r>
      <w:r w:rsidR="00E05943">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200</w:t>
      </w:r>
      <w:r w:rsidR="00E05943">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Ascertaining the IC</w:t>
      </w:r>
      <w:r w:rsidRPr="00D637BA">
        <w:rPr>
          <w:rFonts w:ascii="Calibri" w:hAnsi="Calibri" w:cs="Calibri"/>
          <w:color w:val="000000" w:themeColor="text1"/>
          <w:sz w:val="22"/>
          <w:szCs w:val="22"/>
          <w:vertAlign w:val="subscript"/>
        </w:rPr>
        <w:t>50</w:t>
      </w:r>
      <w:r w:rsidRPr="00D637BA">
        <w:rPr>
          <w:rFonts w:ascii="Calibri" w:hAnsi="Calibri" w:cs="Calibri"/>
          <w:color w:val="000000" w:themeColor="text1"/>
          <w:sz w:val="22"/>
          <w:szCs w:val="22"/>
        </w:rPr>
        <w:t xml:space="preserve"> levels for </w:t>
      </w:r>
      <w:r w:rsidR="009B2590" w:rsidRPr="00D637BA">
        <w:rPr>
          <w:rFonts w:ascii="Calibri" w:hAnsi="Calibri" w:cs="Calibri"/>
          <w:color w:val="000000" w:themeColor="text1"/>
          <w:sz w:val="22"/>
          <w:szCs w:val="22"/>
        </w:rPr>
        <w:t>D2HG and L2HG</w:t>
      </w:r>
      <w:r w:rsidRPr="00D637BA">
        <w:rPr>
          <w:rFonts w:ascii="Calibri" w:hAnsi="Calibri" w:cs="Calibri"/>
          <w:color w:val="000000" w:themeColor="text1"/>
          <w:sz w:val="22"/>
          <w:szCs w:val="22"/>
        </w:rPr>
        <w:t xml:space="preserve"> in this context</w:t>
      </w:r>
      <w:r w:rsidR="00970F62">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may </w:t>
      </w:r>
      <w:r w:rsidR="004C4577" w:rsidRPr="00D637BA">
        <w:rPr>
          <w:rFonts w:ascii="Calibri" w:hAnsi="Calibri" w:cs="Calibri"/>
          <w:color w:val="000000" w:themeColor="text1"/>
          <w:sz w:val="22"/>
          <w:szCs w:val="22"/>
        </w:rPr>
        <w:t xml:space="preserve">provide </w:t>
      </w:r>
      <w:r w:rsidRPr="00D637BA">
        <w:rPr>
          <w:rFonts w:ascii="Calibri" w:hAnsi="Calibri" w:cs="Calibri"/>
          <w:color w:val="000000" w:themeColor="text1"/>
          <w:sz w:val="22"/>
          <w:szCs w:val="22"/>
        </w:rPr>
        <w:t>insight into th</w:t>
      </w:r>
      <w:r w:rsidR="00BE4CCE" w:rsidRPr="00D637BA">
        <w:rPr>
          <w:rFonts w:ascii="Calibri" w:hAnsi="Calibri" w:cs="Calibri"/>
          <w:color w:val="000000" w:themeColor="text1"/>
          <w:sz w:val="22"/>
          <w:szCs w:val="22"/>
        </w:rPr>
        <w:t>e</w:t>
      </w:r>
      <w:r w:rsidRPr="00D637BA">
        <w:rPr>
          <w:rFonts w:ascii="Calibri" w:hAnsi="Calibri" w:cs="Calibri"/>
          <w:color w:val="000000" w:themeColor="text1"/>
          <w:sz w:val="22"/>
          <w:szCs w:val="22"/>
        </w:rPr>
        <w:t xml:space="preserve"> di</w:t>
      </w:r>
      <w:r w:rsidR="00C00CE7" w:rsidRPr="00D637BA">
        <w:rPr>
          <w:rFonts w:ascii="Calibri" w:hAnsi="Calibri" w:cs="Calibri"/>
          <w:color w:val="000000" w:themeColor="text1"/>
          <w:sz w:val="22"/>
          <w:szCs w:val="22"/>
        </w:rPr>
        <w:t xml:space="preserve">ffering effects of these </w:t>
      </w:r>
      <w:r w:rsidR="00FD63EF">
        <w:rPr>
          <w:rFonts w:ascii="Calibri" w:hAnsi="Calibri" w:cs="Calibri"/>
          <w:color w:val="000000" w:themeColor="text1"/>
          <w:sz w:val="22"/>
          <w:szCs w:val="22"/>
        </w:rPr>
        <w:t>onco</w:t>
      </w:r>
      <w:r w:rsidR="00C00CE7" w:rsidRPr="00D637BA">
        <w:rPr>
          <w:rFonts w:ascii="Calibri" w:hAnsi="Calibri" w:cs="Calibri"/>
          <w:color w:val="000000" w:themeColor="text1"/>
          <w:sz w:val="22"/>
          <w:szCs w:val="22"/>
        </w:rPr>
        <w:t>metabolites</w:t>
      </w:r>
      <w:r w:rsidR="00E05943">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{"citationID":"a1uit2h6hl0","properties":{"formattedCitation":"\\super 67,71,140,143,146\\nosupersub{}","plainCitation":"67,71,140,143,146","noteIndex":0},"citationItems":[{"id":595,"uris":["http://zotero.org/users/4775618/items/6DLESQ5F"],"uri":["http://zotero.org/users/4775618/items/6DLESQ5F"],"itemData":{"id":595,"type":"article-journal","title":"The oncometabolite 2-hydroxyglutarate inhibits histone lysine demethylases","container-title":"EMBO reports","page":"463-469","volume":"12","issue":"5","source":"Wiley Online Library","abstract":"Mutations in isocitrate dehydrogenases (IDHs) have a gain-of-function effect leading to R(−)-2-hydroxyglutarate (R-2HG) accumulation. By using biochemical, structural and cellular assays, we show that either or both R- and S-2HG inhibit 2-oxoglutarate (2OG)-dependent oxygenases with varying potencies. Half-maximal inhibitory concentration (IC50) values for the R-form of 2HG varied from approximately 25 μM for the histone Nε-lysine demethylase JMJD2A to more than 5 mM for the hypoxia-inducible factor (HIF) prolyl hydroxylase. The results indicate that candidate oncogenic pathways in IDH-associated malignancy should include those that are regulated by other 2OG oxygenases than HIF hydroxylases, in particular those involving the regulation of histone methylation.","URL":"https://onlinelibrary.wiley.com/doi/abs/10.1038/embor.2011.43","DOI":"10.1038/embor.2011.43","ISSN":"1469-3178","language":"en","author":[{"family":"Chowdhury","given":"Rasheduzzaman"},{"family":"Yeoh","given":"Kar Kheng"},{"family":"Tian","given":"Ya-Min"},{"family":"Hillringhaus","given":"Lars"},{"family":"Bagg","given":"Eleanor A."},{"family":"Rose","given":"Nathan R."},{"family":"Leung","given":"Ivanhoe K. H."},{"family":"Li","given":"Xuan S."},{"family":"Woon","given":"Esther C. Y."},{"family":"Yang","given":"Ming"},{"family":"McDonough","given":"Michael A."},{"family":"King","given":"Oliver N."},{"family":"Clifton","given":"Ian J."},{"family":"Klose","given":"Robert J."},{"family":"Claridge","given":"Timothy D. W."},{"family":"Ratcliffe","given":"Peter J."},{"family":"Schofield","given":"Christopher J."},{"family":"Kawamura","given":"Akane"}],"issued":{"date-parts":[["2011",5,1]]},"accessed":{"date-parts":[["2018",8,20]]}}},{"id":1439,"uris":["http://zotero.org/users/4775618/items/JZLIJDMI"],"uri":["http://zotero.org/users/4775618/items/JZLIJDMI"],"itemData":{"id":1439,"type":"article-journal","title":"Fumarate and Succinate Regulate Expression of Hypoxia-inducible Genes via TET Enzymes","container-title":"Journal of Biological Chemistry","page":"4256-4265","volume":"291","issue":"8","source":"www.jbc.org.ezp.lib.cam.ac.uk","abstract":"The TET enzymes are members of the 2-oxoglutarate-dependent dioxygenase family and comprise three isoenzymes in humans: TETs 1–3. These TETs convert 5-methylcytosine to 5-hydroxymethylcytosine (5-hmC) in DNA, and high 5-hmC levels are associated with active transcription. The importance of the balance in these modified cytosines is emphasized by the fact that TET2 is mutated in several human cancers, including myeloid malignancies such as acute myeloid leukemia (AML). We characterize here the kinetic and inhibitory properties of Tets and show that the Km value of Tets 1 and 2 for O2 is 30 μm, indicating that they retain high activity even under hypoxic conditions. The AML-associated mutations in the Fe2+ and 2-oxoglutarate-binding residues increased the Km values for these factors 30–80-fold and reduced the Vmax values. Fumarate and succinate, which can accumulate to millimolar levels in succinate dehydrogenase and fumarate hydratase-mutant tumors, were identified as potent Tet inhibitors in vitro, with IC50 values </w:instrText>
      </w:r>
      <w:r w:rsidR="003D6329">
        <w:rPr>
          <w:rFonts w:ascii="Cambria Math" w:hAnsi="Cambria Math" w:cs="Cambria Math"/>
          <w:color w:val="000000" w:themeColor="text1"/>
          <w:sz w:val="22"/>
          <w:szCs w:val="22"/>
        </w:rPr>
        <w:instrText>∼</w:instrText>
      </w:r>
      <w:r w:rsidR="003D6329">
        <w:rPr>
          <w:rFonts w:ascii="Calibri" w:hAnsi="Calibri" w:cs="Calibri"/>
          <w:color w:val="000000" w:themeColor="text1"/>
          <w:sz w:val="22"/>
          <w:szCs w:val="22"/>
        </w:rPr>
        <w:instrText xml:space="preserve">400–500 μm. Fumarate and succinate also down-regulated global 5-hmC levels in neuroblastoma cells and the expression levels of some hypoxia-inducible factor (HIF) target genes via TET inhibition, despite simultaneous HIFα stabilization. The combination of fumarate or succinate treatment with TET1 or TET3 silencing caused differential effects on the expression of specific HIF target genes. Altogether these data show that hypoxia-inducible genes are regulated in a multilayered manner that includes epigenetic regulation via TETs and 5-hmC levels in addition to HIF stabilization.","URL":"http://www.jbc.org.ezp.lib.cam.ac.uk/content/291/8/4256","DOI":"10.1074/jbc.M115.688762","ISSN":"0021-9258, 1083-351X","note":"PMID: 26703470","journalAbbreviation":"J. Biol. Chem.","language":"en","author":[{"family":"Laukka","given":"Tuomas"},{"family":"Mariani","given":"Christopher J."},{"family":"Ihantola","given":"Tuukka"},{"family":"Cao","given":"John Z."},{"family":"Hokkanen","given":"Juho"},{"family":"Kaelin","given":"William G."},{"family":"Godley","given":"Lucy A."},{"family":"Koivunen","given":"Peppi"}],"issued":{"date-parts":[["2016",2,19]]},"accessed":{"date-parts":[["2019",2,24]]}}},{"id":323,"uris":["http://zotero.org/users/4775618/items/JCMXXDI7"],"uri":["http://zotero.org/users/4775618/items/JCMXXDI7"],"itemData":{"id":323,"type":"article-journal","title":"Oncometabolites‐driven tumorigenesis: From genetics to targeted therapy","container-title":"International Journal of Cancer","page":"2237-2248","volume":"135","issue":"10","source":"onlinelibrary.wiley.com","URL":"https://onlinelibrary.wiley.com/doi/abs/10.1002/ijc.29080","DOI":"10.1002/ijc.29080","ISSN":"1097-0215","title-short":"Oncometabolites‐driven tumorigenesis","language":"en","author":[{"family":"Morin","given":"Aurélie"},{"family":"Letouzé","given":"Eric"},{"family":"Gimenez‐Roqueplo","given":"Anne-Paule"},{"family":"Favier","given":"Judith"}],"issued":{"date-parts":[["2014",11,15]]},"accessed":{"date-parts":[["2018",3,29]]}}},{"id":700,"uris":["http://zotero.org/users/4775618/items/UXVXGHY3"],"uri":["http://zotero.org/users/4775618/items/UXVXGHY3"],"itemData":{"id":700,"type":"article-journal","title":"Inhibition of α-KG-dependent histone and DNA demethylases by fumarate and succinate that are accumulated in mutations of FH and SDH tumor suppressors","container-title":"Genes &amp; Development","page":"1326-1338","volume":"26","issue":"12","source":"PubMed","abstract":"Two Krebs cycle genes, fumarate hydratase (FH) and succinate dehydrogenase (SDH), are mutated in a subset of human cancers, leading to accumulation of their substrates, fumarate and succinate, respectively. Here we demonstrate that fumarate and succinate are competitive inhibitors of multiple α-ketoglutarate (α-KG)-dependent dioxygenases, including histone demethylases, prolyl hydroxylases, collagen prolyl-4-hydroxylases, and the TET (ten-eleven translocation) family of 5-methlycytosine (5mC) hydroxylases. Knockdown of FH and SDH results in elevated intracellular levels of fumarate and succinate, respectively, which act as competitors of α-KG to broadly inhibit the activity of α-KG-dependent dioxygenases. In addition, ectopic expression of tumor-derived FH and SDH mutants inhibits histone demethylation and hydroxylation of 5mC. Our study suggests that tumor-derived FH and SDH mutations accumulate fumarate and succinate, leading to enzymatic inhibition of multiple α-KG-dependent dioxygenases and consequent alterations of genome-wide histone and DNA methylation. These epigenetic alterations associated with mutations of FH and SDH likely contribute to tumorigenesis.","DOI":"10.1101/gad.191056.112","ISSN":"1549-5477","note":"PMID: 22677546\nPMCID: PMC3387660","journalAbbreviation":"Genes Dev.","language":"eng","author":[{"family":"Xiao","given":"Mengtao"},{"family":"Yang","given":"Hui"},{"family":"Xu","given":"Wei"},{"family":"Ma","given":"Shenghong"},{"family":"Lin","given":"Huaipeng"},{"family":"Zhu","given":"Honguang"},{"family":"Liu","given":"Lixia"},{"family":"Liu","given":"Ying"},{"family":"Yang","given":"Chen"},{"family":"Xu","given":"Yanhui"},{"family":"Zhao","given":"Shimin"},{"family":"Ye","given":"Dan"},{"family":"Xiong","given":"Yue"},{"family":"Guan","given":"Kun-Liang"}],"issued":{"date-parts":[["2012",6,15]]}}},{"id":331,"uris":["http://zotero.org/users/4775618/items/CH9YES7I"],"uri":["http://zotero.org/users/4775618/items/CH9YES7I"],"itemData":{"id":331,"type":"article-journal","title":"Oncometabolite 2-Hydroxyglutarate Is a Competitive Inhibitor of α-Ketoglutarate-Dependent Dioxygenases","container-title":"Cancer cell","page":"17-30","volume":"19","issue":"1","source":"PubMed Central","abstract":"IDH1 and IDH2 mutations occur frequently in gliomas and acute myeloid leukemia, leading to simultaneous loss and gain of activities in the production of α-ketoglutarate (α-KG) and 2-hydroxyglutarate (2-HG), respectively. Here we demonstrate that 2-HG is a competitive inhibitor of multiple α-KG-dependent dioxygenases, including histone demethylases and the TET family of 5-methlycytosine (5mC) hydroxylases. 2-HG occupies the same space as α-KG does in the active site of histone demethylases. Ectopic expression of tumor-derived IDH1 and IDH2 mutants inhibits histone demethylation and 5mC hydroxylation. In glioma, IDH1 mutations are associated with increased histone methylation and decreased 5-hydroxylmethylcytosine (5hmC). Hence, tumor-derived IDH1 and IDH2 mutations reduce α-KG and accumulate an α-KG antagonist, 2-HG, leading to genome-wide histone and DNA methylation alterations.","URL":"https://www.ncbi.nlm.nih.gov/pmc/articles/PMC3229304/","DOI":"10.1016/j.ccr.2010.12.014","ISSN":"1535-6108","note":"PMID: 21251613\nPMCID: PMC3229304","journalAbbreviation":"Cancer Cell","author":[{"family":"Xu","given":"Wei"},{"family":"Yang","given":"Hui"},{"family":"Liu","given":"Ying"},{"family":"Yang","given":"Ying"},{"family":"Wang","given":"Ping"},{"family":"Kim","given":"Se-Hee"},{"family":"Ito","given":"Shinsuke"},{"family":"Yang","given":"Chen"},{"family":"Wang","given":"Pu"},{"family":"Xiao","given":"Meng-Tao"},{"family":"Liu","given":"Li-xia"},{"family":"Jiang","given":"Wen-qing"},{"family":"Liu","given":"Jing"},{"family":"Zhang","given":"Jin-ye"},{"family":"Wang","given":"Bin"},{"family":"Frye","given":"Stephen"},{"family":"Zhang","given":"Yi"},{"family":"Xu","given":"Yan-hui"},{"family":"Lei","given":"Qun-ying"},{"family":"Guan","given":"Kun-Liang"},{"family":"Zhao","given":"Shi-min"},{"family":"Xiong","given":"Yue"}],"issued":{"date-parts":[["2011",1,18]]},"accessed":{"date-parts":[["2018",3,29]]}}}],"schema":"https://github.com/citation-style-language/schema/raw/master/csl-citation.json"} </w:instrText>
      </w:r>
      <w:r w:rsidR="00E05943">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67,71,140,143,146</w:t>
      </w:r>
      <w:r w:rsidR="00E05943">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p>
    <w:p w14:paraId="69340B5F" w14:textId="3B11538C" w:rsidR="00F131BF" w:rsidRPr="00D637BA" w:rsidRDefault="00F131BF" w:rsidP="00A12174">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lastRenderedPageBreak/>
        <w:t>Overall, the</w:t>
      </w:r>
      <w:r w:rsidR="00BE4CCE" w:rsidRPr="00D637BA">
        <w:rPr>
          <w:rFonts w:ascii="Calibri" w:hAnsi="Calibri" w:cs="Calibri"/>
          <w:color w:val="000000" w:themeColor="text1"/>
          <w:sz w:val="22"/>
          <w:szCs w:val="22"/>
        </w:rPr>
        <w:t xml:space="preserve"> available </w:t>
      </w:r>
      <w:r w:rsidRPr="00D637BA">
        <w:rPr>
          <w:rFonts w:ascii="Calibri" w:hAnsi="Calibri" w:cs="Calibri"/>
          <w:color w:val="000000" w:themeColor="text1"/>
          <w:sz w:val="22"/>
          <w:szCs w:val="22"/>
        </w:rPr>
        <w:t xml:space="preserve">studies </w:t>
      </w:r>
      <w:r w:rsidR="004C4577" w:rsidRPr="00D637BA">
        <w:rPr>
          <w:rFonts w:ascii="Calibri" w:hAnsi="Calibri" w:cs="Calibri"/>
          <w:color w:val="000000" w:themeColor="text1"/>
          <w:sz w:val="22"/>
          <w:szCs w:val="22"/>
        </w:rPr>
        <w:t xml:space="preserve">indicate </w:t>
      </w:r>
      <w:r w:rsidRPr="00D637BA">
        <w:rPr>
          <w:rFonts w:ascii="Calibri" w:hAnsi="Calibri" w:cs="Calibri"/>
          <w:color w:val="000000" w:themeColor="text1"/>
          <w:sz w:val="22"/>
          <w:szCs w:val="22"/>
        </w:rPr>
        <w:t>that both 2HG isoforms can converge on a range of non-metabolic functions</w:t>
      </w:r>
      <w:r w:rsidR="004C4577"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such as DNA</w:t>
      </w:r>
      <w:r w:rsidR="004C4577" w:rsidRPr="00D637BA">
        <w:rPr>
          <w:rFonts w:ascii="Calibri" w:hAnsi="Calibri" w:cs="Calibri"/>
          <w:color w:val="000000" w:themeColor="text1"/>
          <w:sz w:val="22"/>
          <w:szCs w:val="22"/>
        </w:rPr>
        <w:t xml:space="preserve"> and </w:t>
      </w:r>
      <w:r w:rsidRPr="00D637BA">
        <w:rPr>
          <w:rFonts w:ascii="Calibri" w:hAnsi="Calibri" w:cs="Calibri"/>
          <w:color w:val="000000" w:themeColor="text1"/>
          <w:sz w:val="22"/>
          <w:szCs w:val="22"/>
        </w:rPr>
        <w:t>histone hypermethylation</w:t>
      </w:r>
      <w:r w:rsidR="00B818F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{"citationID":"aoeb74bo0q","properties":{"formattedCitation":"\\super 71,76,142,146,152\\nosupersub{}","plainCitation":"71,76,142,146,152","noteIndex":0},"citationItems":[{"id":595,"uris":["http://zotero.org/users/4775618/items/6DLESQ5F"],"uri":["http://zotero.org/users/4775618/items/6DLESQ5F"],"itemData":{"id":595,"type":"article-journal","title":"The oncometabolite 2-hydroxyglutarate inhibits histone lysine demethylases","container-title":"EMBO reports","page":"463-469","volume":"12","issue":"5","source":"Wiley Online Library","abstract":"Mutations in isocitrate dehydrogenases (IDHs) have a gain-of-function effect leading to R(−)-2-hydroxyglutarate (R-2HG) accumulation. By using biochemical, structural and cellular assays, we show that either or both R- and S-2HG inhibit 2-oxoglutarate (2OG)-dependent oxygenases with varying potencies. Half-maximal inhibitory concentration (IC50) values for the R-form of 2HG varied from approximately 25 μM for the histone Nε-lysine demethylase JMJD2A to more than 5 mM for the hypoxia-inducible factor (HIF) prolyl hydroxylase. The results indicate that candidate oncogenic pathways in IDH-associated malignancy should include those that are regulated by other 2OG oxygenases than HIF hydroxylases, in particular those involving the regulation of histone methylation.","URL":"https://onlinelibrary.wiley.com/doi/abs/10.1038/embor.2011.43","DOI":"10.1038/embor.2011.43","ISSN":"1469-3178","language":"en","author":[{"family":"Chowdhury","given":"Rasheduzzaman"},{"family":"Yeoh","given":"Kar Kheng"},{"family":"Tian","given":"Ya-Min"},{"family":"Hillringhaus","given":"Lars"},{"family":"Bagg","given":"Eleanor A."},{"family":"Rose","given":"Nathan R."},{"family":"Leung","given":"Ivanhoe K. H."},{"family":"Li","given":"Xuan S."},{"family":"Woon","given":"Esther C. Y."},{"family":"Yang","given":"Ming"},{"family":"McDonough","given":"Michael A."},{"family":"King","given":"Oliver N."},{"family":"Clifton","given":"Ian J."},{"family":"Klose","given":"Robert J."},{"family":"Claridge","given":"Timothy D. W."},{"family":"Ratcliffe","given":"Peter J."},{"family":"Schofield","given":"Christopher J."},{"family":"Kawamura","given":"Akane"}],"issued":{"date-parts":[["2011",5,1]]},"accessed":{"date-parts":[["2018",8,20]]}}},{"id":734,"uris":["http://zotero.org/users/4775618/items/VUKVARZV"],"uri":["http://zotero.org/users/4775618/items/VUKVARZV"],"itemData":{"id":734,"type":"article-journal","title":"Leukemic IDH1 and IDH2 mutations result in a hypermethylation phenotype, disrupt TET2 function, and impair hematopoietic differentiation","container-title":"Cancer Cell","page":"553-567","volume":"18","issue":"6","source":"PubMed","abstract":"Cancer-associated IDH mutations are characterized by neomorphic enzyme activity and resultant 2-hydroxyglutarate (2HG) production. Mutational and epigenetic profiling of a large acute myeloid leukemia (AML) patient cohort revealed that IDH1/2-mutant AMLs display global DNA hypermethylation and a specific hypermethylation signature. Furthermore, expression of 2HG-producing IDH alleles in cells induced global DNA hypermethylation. In the AML cohort, IDH1/2 mutations were mutually exclusive with mutations in the α-ketoglutarate-dependent enzyme TET2, and TET2 loss-of-function mutations were associated with similar epigenetic defects as IDH1/2 mutants. Consistent with these genetic and epigenetic data, expression of IDH mutants impaired TET2 catalytic function in cells. Finally, either expression of mutant IDH1/2 or Tet2 depletion impaired hematopoietic differentiation and increased stem/progenitor cell marker expression, suggesting a shared proleukemogenic effect.","DOI":"10.1016/j.ccr.2010.11.015","ISSN":"1878-3686","note":"PMID: 21130701\nPMCID: PMC4105845","journalAbbreviation":"Cancer Cell","language":"eng","author":[{"family":"Figueroa","given":"Maria E."},{"family":"Abdel-Wahab","given":"Omar"},{"family":"Lu","given":"Chao"},{"family":"Ward","given":"Patrick S."},{"family":"Patel","given":"Jay"},{"family":"Shih","given":"Alan"},{"family":"Li","given":"Yushan"},{"family":"Bhagwat","given":"Neha"},{"family":"Vasanthakumar","given":"Aparna"},{"family":"Fernandez","given":"Hugo F."},{"family":"Tallman","given":"Martin S."},{"family":"Sun","given":"Zhuoxin"},{"family":"Wolniak","given":"Kristy"},{"family":"Peeters","given":"Justine K."},{"family":"Liu","given":"Wei"},{"family":"Choe","given":"Sung E."},{"family":"Fantin","given":"Valeria R."},{"family":"Paietta","given":"Elisabeth"},{"family":"Löwenberg","given":"Bob"},{"family":"Licht","given":"Jonathan D."},{"family":"Godley","given":"Lucy A."},{"family":"Delwel","given":"Ruud"},{"family":"Valk","given":"Peter J. M."},{"family":"Thompson","given":"Craig B."},{"family":"Levine","given":"Ross L."},{"family":"Melnick","given":"Ari"}],"issued":{"date-parts":[["2010",12,14]]}}},{"id":1355,"uris":["http://zotero.org/users/4775618/items/TMNJ2W2F"],"uri":["http://zotero.org/users/4775618/items/TMNJ2W2F"],"itemData":{"id":1355,"type":"article-journal","title":"IDH mutation impairs histone demethylation and results in a block to cell differentiation","container-title":"Nature","page":"474-478","volume":"483","issue":"7390","source":"www-nature-com.ezp.lib.cam.ac.uk","abstract":"Recurrent mutations in isocitrate dehydrogenase 1 (IDH1) and IDH2 have been identified in gliomas, acute myeloid leukaemias (AML) and chondrosarcomas, and share a novel enzymatic property of producing 2-hydroxyglutarate (2HG) from α-ketoglutarate1,2,3,4,5,6. Here we report that 2HG-producing IDH mutants can prevent the histone demethylation that is required for lineage-specific progenitor cells to differentiate into terminally differentiated cells. In tumour samples from glioma patients, IDH mutations were associated with a distinct gene expression profile enriched for genes expressed in neural progenitor cells, and this was associated with increased histone methylation. To test whether the ability of IDH mutants to promote histone methylation contributes to a block in cell differentiation in non-transformed cells, we tested the effect of neomorphic IDH mutants on adipocyte differentiation in vitro. Introduction of either mutant IDH or cell-permeable 2HG was associated with repression of the inducible expression of lineage-specific differentiation genes and a block to differentiation. This correlated with a significant increase in repressive histone methylation marks without observable changes in promoter DNA methylation. Gliomas were found to have elevated levels of similar histone repressive marks. Stable transfection of a 2HG-producing mutant IDH into immortalized astrocytes resulted in progressive accumulation of histone methylation. Of the marks examined, increased H3K9 methylation reproducibly preceded a rise in DNA methylation as cells were passaged in culture. Furthermore, we found that the 2HG-inhibitable H3K9 demethylase KDM4C was induced during adipocyte differentiation, and that RNA-interference suppression of KDM4C was sufficient to block differentiation. Together these data demonstrate that 2HG can inhibit histone demethylation and that inhibition of histone demethylation can be sufficient to block the differentiation of non-transformed cells.","URL":"http://www.nature.com/articles/nature10860","DOI":"10.1038/nature10860","ISSN":"1476-4687","language":"en","author":[{"family":"Lu","given":"Chao"},{"family":"Ward","given":"Patrick S."},{"family":"Kapoor","given":"Gurpreet S."},{"family":"Rohle","given":"Dan"},{"family":"Turcan","given":"Sevin"},{"family":"Abdel-Wahab","given":"Omar"},{"family":"Edwards","given":"Christopher R."},{"family":"Khanin","given":"Raya"},{"family":"Figueroa","given":"Maria E."},{"family":"Melnick","given":"Ari"},{"family":"Wellen","given":"Kathryn E."},{"family":"O’Rourke","given":"Donald M."},{"family":"Berger","given":"Shelley L."},{"family":"Chan","given":"Timothy A."},{"family":"Levine","given":"Ross L."},{"family":"Mellinghoff","given":"Ingo K."},{"family":"Thompson","given":"Craig B."}],"issued":{"date-parts":[["2012",3]]},"accessed":{"date-parts":[["2019",2,23]]}}},{"id":784,"uris":["http://zotero.org/users/4775618/items/A2JRYGNB"],"uri":["http://zotero.org/users/4775618/items/A2JRYGNB"],"itemData":{"id":784,"type":"article-journal","title":"Biochemical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id":331,"uris":["http://zotero.org/users/4775618/items/CH9YES7I"],"uri":["http://zotero.org/users/4775618/items/CH9YES7I"],"itemData":{"id":331,"type":"article-journal","title":"Oncometabolite 2-Hydroxyglutarate Is a Competitive Inhibitor of α-Ketoglutarate-Dependent Dioxygenases","container-title":"Cancer cell","page":"17-30","volume":"19","issue":"1","source":"PubMed Central","abstract":"IDH1 and IDH2 mutations occur frequently in gliomas and acute myeloid leukemia, leading to simultaneous loss and gain of activities in the production of α-ketoglutarate (α-KG) and 2-hydroxyglutarate (2-HG), respectively. Here we demonstrate that 2-HG is a competitive inhibitor of multiple α-KG-dependent dioxygenases, including histone demethylases and the TET family of 5-methlycytosine (5mC) hydroxylases. 2-HG occupies the same space as α-KG does in the active site of histone demethylases. Ectopic expression of tumor-derived IDH1 and IDH2 mutants inhibits histone demethylation and 5mC hydroxylation. In glioma, IDH1 mutations are associated with increased histone methylation and decreased 5-hydroxylmethylcytosine (5hmC). Hence, tumor-derived IDH1 and IDH2 mutations reduce α-KG and accumulate an α-KG antagonist, 2-HG, leading to genome-wide histone and DNA methylation alterations.","URL":"https://www.ncbi.nlm.nih.gov/pmc/articles/PMC3229304/","DOI":"10.1016/j.ccr.2010.12.014","ISSN":"1535-6108","note":"PMID: 21251613\nPMCID: PMC3229304","journalAbbreviation":"Cancer Cell","author":[{"family":"Xu","given":"Wei"},{"family":"Yang","given":"Hui"},{"family":"Liu","given":"Ying"},{"family":"Yang","given":"Ying"},{"family":"Wang","given":"Ping"},{"family":"Kim","given":"Se-Hee"},{"family":"Ito","given":"Shinsuke"},{"family":"Yang","given":"Chen"},{"family":"Wang","given":"Pu"},{"family":"Xiao","given":"Meng-Tao"},{"family":"Liu","given":"Li-xia"},{"family":"Jiang","given":"Wen-qing"},{"family":"Liu","given":"Jing"},{"family":"Zhang","given":"Jin-ye"},{"family":"Wang","given":"Bin"},{"family":"Frye","given":"Stephen"},{"family":"Zhang","given":"Yi"},{"family":"Xu","given":"Yan-hui"},{"family":"Lei","given":"Qun-ying"},{"family":"Guan","given":"Kun-Liang"},{"family":"Zhao","given":"Shi-min"},{"family":"Xiong","given":"Yue"}],"issued":{"date-parts":[["2011",1,18]]},"accessed":{"date-parts":[["2018",3,29]]}}}],"schema":"https://github.com/citation-style-language/schema/raw/master/csl-citation.json"} </w:instrText>
      </w:r>
      <w:r w:rsidR="00B818F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71,76,142,146,152</w:t>
      </w:r>
      <w:r w:rsidR="00B818FA">
        <w:rPr>
          <w:rFonts w:ascii="Calibri" w:hAnsi="Calibri" w:cs="Calibri"/>
          <w:color w:val="000000" w:themeColor="text1"/>
          <w:sz w:val="22"/>
          <w:szCs w:val="22"/>
        </w:rPr>
        <w:fldChar w:fldCharType="end"/>
      </w:r>
      <w:r w:rsidR="00F0671B"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w:t>
      </w:r>
      <w:r w:rsidR="004C4577" w:rsidRPr="00D637BA">
        <w:rPr>
          <w:rFonts w:ascii="Calibri" w:hAnsi="Calibri" w:cs="Calibri"/>
          <w:color w:val="000000" w:themeColor="text1"/>
          <w:sz w:val="22"/>
          <w:szCs w:val="22"/>
        </w:rPr>
        <w:t xml:space="preserve">but </w:t>
      </w:r>
      <w:r w:rsidRPr="00D637BA">
        <w:rPr>
          <w:rFonts w:ascii="Calibri" w:hAnsi="Calibri" w:cs="Calibri"/>
          <w:color w:val="000000" w:themeColor="text1"/>
          <w:sz w:val="22"/>
          <w:szCs w:val="22"/>
        </w:rPr>
        <w:t>potentially diverge in respect to the</w:t>
      </w:r>
      <w:r w:rsidR="004C4577" w:rsidRPr="00D637BA">
        <w:rPr>
          <w:rFonts w:ascii="Calibri" w:hAnsi="Calibri" w:cs="Calibri"/>
          <w:color w:val="000000" w:themeColor="text1"/>
          <w:sz w:val="22"/>
          <w:szCs w:val="22"/>
        </w:rPr>
        <w:t>ir</w:t>
      </w:r>
      <w:r w:rsidRPr="00D637BA">
        <w:rPr>
          <w:rFonts w:ascii="Calibri" w:hAnsi="Calibri" w:cs="Calibri"/>
          <w:color w:val="000000" w:themeColor="text1"/>
          <w:sz w:val="22"/>
          <w:szCs w:val="22"/>
        </w:rPr>
        <w:t xml:space="preserve"> pro-</w:t>
      </w:r>
      <w:r w:rsidR="004C4577" w:rsidRPr="00D637BA">
        <w:rPr>
          <w:rFonts w:ascii="Calibri" w:hAnsi="Calibri" w:cs="Calibri"/>
          <w:color w:val="000000" w:themeColor="text1"/>
          <w:sz w:val="22"/>
          <w:szCs w:val="22"/>
        </w:rPr>
        <w:t>tumoural</w:t>
      </w:r>
      <w:r w:rsidRPr="00D637BA">
        <w:rPr>
          <w:rFonts w:ascii="Calibri" w:hAnsi="Calibri" w:cs="Calibri"/>
          <w:color w:val="000000" w:themeColor="text1"/>
          <w:sz w:val="22"/>
          <w:szCs w:val="22"/>
        </w:rPr>
        <w:t xml:space="preserve"> and anti-</w:t>
      </w:r>
      <w:r w:rsidR="008B0014" w:rsidRPr="00D637BA">
        <w:rPr>
          <w:rFonts w:ascii="Calibri" w:hAnsi="Calibri" w:cs="Calibri"/>
          <w:color w:val="000000" w:themeColor="text1"/>
          <w:sz w:val="22"/>
          <w:szCs w:val="22"/>
        </w:rPr>
        <w:t>tumoural</w:t>
      </w:r>
      <w:r w:rsidRPr="00D637BA">
        <w:rPr>
          <w:rFonts w:ascii="Calibri" w:hAnsi="Calibri" w:cs="Calibri"/>
          <w:color w:val="000000" w:themeColor="text1"/>
          <w:sz w:val="22"/>
          <w:szCs w:val="22"/>
        </w:rPr>
        <w:t xml:space="preserve"> effects as well as </w:t>
      </w:r>
      <w:r w:rsidR="00F0671B" w:rsidRPr="00B946E4">
        <w:rPr>
          <w:rFonts w:ascii="Calibri" w:hAnsi="Calibri" w:cs="Calibri"/>
          <w:color w:val="000000" w:themeColor="text1"/>
          <w:sz w:val="22"/>
          <w:szCs w:val="22"/>
        </w:rPr>
        <w:t xml:space="preserve">in </w:t>
      </w:r>
      <w:r w:rsidRPr="00D637BA">
        <w:rPr>
          <w:rFonts w:ascii="Calibri" w:hAnsi="Calibri" w:cs="Calibri"/>
          <w:color w:val="000000" w:themeColor="text1"/>
          <w:sz w:val="22"/>
          <w:szCs w:val="22"/>
        </w:rPr>
        <w:t>the 2HG isoform implicated</w:t>
      </w:r>
      <w:r w:rsidR="00F0671B" w:rsidRPr="00D637BA">
        <w:rPr>
          <w:rFonts w:ascii="Calibri" w:hAnsi="Calibri" w:cs="Calibri"/>
          <w:color w:val="000000" w:themeColor="text1"/>
          <w:sz w:val="22"/>
          <w:szCs w:val="22"/>
        </w:rPr>
        <w:t xml:space="preserve"> in different types of cancer </w:t>
      </w:r>
      <w:r w:rsidR="00B818FA">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{"citationID":"a13bsmc9uds","properties":{"formattedCitation":"\\super 76,112,115,119,142,195,197,198,200\\nosupersub{}","plainCitation":"76,112,115,119,142,195,197,198,200","noteIndex":0},"citationItems":[{"id":1496,"uris":["http://zotero.org/users/4775618/items/865MM5FR"],"uri":["http://zotero.org/users/4775618/items/865MM5FR"],"itemData":{"id":1496,"type":"article-journal","title":"Mitochondrial Protein Lipoylation and the 2-Oxoglutarate Dehydrogenase Complex Controls HIF1α Stability in Aerobic Conditions","container-title":"Cell Metabolism","page":"740-752","volume":"24","issue":"5","source":"Crossref","abstract":"Hypoxia-inducible transcription factors (HIFs) control adaptation to low oxygen environments by activating genes involved in metabolism, angiogenesis, and redox homeostasis. The ﬁnding that HIFs are also regulated by small molecule metabolites highlights the need to understand the complexity of their cellular regulation. Here we use a forward genetic screen in near-haploid human cells to identify genes that stabilize HIFs under aerobic conditions. We identify two mitochondrial genes, oxoglutarate dehydrogenase (OGDH) and lipoic acid synthase (LIAS), which when mutated stabilize HIF1a in a non-hydroxylated form. Disruption of OGDH complex activity in OGDH or LIAS mutants promotes L-2-hydroxyglutarate formation, which inhibits the activity of the HIFa prolyl hydroxylases (PHDs) and TET 2-oxoglutarate dependent dioxygenases. We also ﬁnd that PHD activity is decreased in patients with homozygous germline mutations in lipoic acid synthesis, leading to HIF1 activation. Thus, mutations affecting OGDHC activity may have broad implications for epigenetic regulation and tumorigenesis.","URL":"https://linkinghub.elsevier.com/retrieve/pii/S1550413116305009","DOI":"10.1016/j.cmet.2016.09.015","ISSN":"15504131","language":"en","author":[{"family":"Burr","given":"Stephen P."},{"family":"Costa","given":"Ana S.H."},{"family":"Grice","given":"Guinevere L."},{"family":"Timms","given":"Richard T."},{"family":"Lobb","given":"Ian T."},{"family":"Freisinger","given":"Peter"},{"family":"Dodd","given":"Roger B."},{"family":"Dougan","given":"Gordon"},{"family":"Lehner","given":"Paul J."},{"family":"Frezza","given":"Christian"},{"family":"Nathan","given":"James A."}],"issued":{"date-parts":[["2016",11]]},"accessed":{"date-parts":[["2019",2,25]]}}},{"id":345,"uris":["http://zotero.org/users/4775618/items/KP64KJ3W"],"uri":["http://zotero.org/users/4775618/items/KP64KJ3W"],"itemData":{"id":345,"type":"article-journal","title":"Oncometabolite D-2-Hydroxyglurate Directly Induces Epithelial-Mesenchymal Transition and is Associated with Distant Metastasis in Colorectal Cancer","container-title":"Scientific Reports","page":"36289","volume":"6","source":"www.nature.com","abstract":"Deranged metabolism is a hallmark of cancer, playing a significant role in driving the disease process. One such example is the induction of carcinogenesis by the oncometabolite D-2 hydroxyglutarate (D-2HG), which is produced by the mutated enzyme isocitrate dehydrogenase (IDH) occurring in subsets of leukaemias and brain tumours. The oncogenic property of D-2HG appears to stem from its ability to interfere with the activities of α-ketoglutarate-dependent dioxygenases, including the Jumonji family histone demethylases. Here, we find in colorectal cancer cells that even in the absence of IDH mutation, the levels of D-2HG and its enantiomer L-2HG were elevated through glutamine anaplerosis. D-2HG, but not L-2HG, increased the trimethylation of histone H3 lysine 4 of the promoter region of ZEB1, a master regulator of epithelial-mesenchymal transition (EMT), and increased the expression of the ZEB1 gene to directly induce EMT in colorectal cancer cells. EMT promotes the ability of cancer cells to invade the local tissue and enter into the bloodstream, leading to distant organ metastasis. D-2HG levels were elevated in colorectal cancer specimens, particularly in those associated with distant metastasis, supporting the observations in vitro and implicating the contribution of D-2HG in metastasis, the major cause of death in this disease.","URL":"https://www.nature.com/articles/srep36289","DOI":"10.1038/srep36289","ISSN":"2045-2322","language":"en","author":[{"family":"Colvin","given":"Hugh"},{"family":"Nishida","given":"Naohiro"},{"family":"Konno","given":"Masamitsu"},{"family":"Haraguchi","given":"Naotsugu"},{"family":"Takahashi","given":"Hidekazu"},{"family":"Nishimura","given":"Junichi"},{"family":"Hata","given":"Taishi"},{"family":"Kawamoto","given":"Koichi"},{"family":"Asai","given":"Ayumu"},{"family":"Tsunekuni","given":"Kenta"},{"family":"Koseki","given":"Jun"},{"family":"Mizushima","given":"Tsunekazu"},{"family":"Satoh","given":"Taroh"},{"family":"Doki","given":"Yuichiro"},{"family":"Mori","given":"Masaki"},{"family":"Ishii","given":"Hideshi"}],"issued":{"date-parts":[["2016",11,8]]},"accessed":{"date-parts":[["2018",3,29]]}}},{"id":1698,"uris":["http://zotero.org/users/4775618/items/WVWQ8URS"],"uri":["http://zotero.org/users/4775618/items/WVWQ8URS"],"itemData":{"id":1698,"type":"article-journal","title":"2-Hydroxyglutarate Inhibits ATP Synthase and mTOR Signaling","container-title":"Cell Metabolism","page":"508-515","volume":"22","issue":"3","source":"ScienceDirect","abstract":"Summary\nWe discovered recently that the central metabolite α-ketoglutarate (α-KG) extends the lifespan of C. elegans through inhibition of ATP synthase and TOR signaling. Here we find, unexpectedly, that (R)-2-hydroxyglutarate ((R)-2HG), an oncometabolite that interferes with various α-KG-mediated processes, similarly extends worm lifespan. (R)-2HG accumulates in human cancers carrying neomorphic mutations in the isocitrate dehydrogenase (IDH) 1 and 2 genes. We show that, like α-KG, both (R)-2HG and (S)-2HG bind and inhibit ATP synthase and inhibit mTOR signaling. These effects are mirrored in IDH1 mutant cells, suggesting a growth-suppressive function of (R)-2HG. Consistently, inhibition of ATP synthase by 2-HG or α-KG in glioblastoma cells is sufficient for growth arrest and tumor cell killing under conditions of glucose limitation, e.g., when ketone bodies (instead of glucose) are supplied for energy. These findings inform therapeutic strategies and open avenues for investigating the roles of 2-HG and metabolites in biology and disease.","URL":"http://www.sciencedirect.com/science/article/pii/S1550413115002764","DOI":"10.1016/j.cmet.2015.06.009","ISSN":"1550-4131","journalAbbreviation":"Cell Metabolism","author":[{"family":"Fu","given":"Xudong"},{"family":"Chin","given":"Randall M."},{"family":"Vergnes","given":"Laurent"},{"family":"Hwang","given":"Heejun"},{"family":"Deng","given":"Gang"},{"family":"Xing","given":"Yanpeng"},{"family":"Pai","given":"Melody Y."},{"family":"Li","given":"Sichen"},{"family":"Ta","given":"Lisa"},{"family":"Fazlollahi","given":"Farbod"},{"family":"Chen","given":"Chuo"},{"family":"Prins","given":"Robert M."},{"family":"Teitell","given":"Michael A."},{"family":"Nathanson","given":"David A."},{"family":"Lai","given":"Albert"},{"family":"Faull","given":"Kym F."},{"family":"Jiang","given":"Meisheng"},{"family":"Clarke","given":"Steven G."},{"family":"Cloughesy","given":"Timothy F."},{"family":"Graeber","given":"Thomas G."},{"family":"Braas","given":"Daniel"},{"family":"Christofk","given":"Heather R."},{"family":"Jung","given":"Michael E."},{"family":"Reue","given":"Karen"},{"family":"Huang","given":"Jing"}],"issued":{"date-parts":[["2015",9,1]]},"accessed":{"date-parts":[["2019",3,4]]}}},{"id":1710,"uris":["http://zotero.org/users/4775618/items/S6SFE2QR"],"uri":["http://zotero.org/users/4775618/items/S6SFE2QR"],"itemData":{"id":1710,"type":"article-journal","title":"FTO Plays an Oncogenic Role in Acute Myeloid Leukemia as a N6-Methyladenosine RNA Demethylase","container-title":"Cancer Cell","page":"127-141","volume":"31","issue":"1","source":"ScienceDirect","abstract":"Summary\nN6-Methyladenosine (m6A) represents the most prevalent internal modification in mammalian mRNAs. Despite its functional importance in various fundamental bioprocesses, the studies of m6A in cancer have been limited. Here we show that FTO, as an m6A demethylase, plays a critical oncogenic role in acute myeloid leukemia (AML). FTO is highly expressed in AMLs with t(11q23)/MLL rearrangements, t(15;17)/PML-RARA, FLT3-ITD, and/or NPM1 mutations. FTO enhances leukemic oncogene-mediated cell transformation and leukemogenesis, and inhibits all-trans-retinoic acid (ATRA)-induced AML cell differentiation, through regulating expression of targets such as ASB2 and RARA by reducing m6A levels in these mRNA transcripts. Collectively, our study demonstrates the functional importance of the m6A methylation and the corresponding proteins in cancer, and provides profound insights into leukemogenesis and drug response.","URL":"http://www.sciencedirect.com/science/article/pii/S1535610816305608","DOI":"10.1016/j.ccell.2016.11.017","ISSN":"1535-6108","journalAbbreviation":"Cancer Cell","author":[{"family":"Li","given":"Zejuan"},{"family":"Weng","given":"Hengyou"},{"family":"Su","given":"Rui"},{"family":"Weng","given":"Xiaocheng"},{"family":"Zuo","given":"Zhixiang"},{"family":"Li","given":"Chenying"},{"family":"Huang","given":"Huilin"},{"family":"Nachtergaele","given":"Sigrid"},{"family":"Dong","given":"Lei"},{"family":"Hu","given":"Chao"},{"family":"Qin","given":"Xi"},{"family":"Tang","given":"Lichun"},{"family":"Wang","given":"Yungui"},{"family":"Hong","given":"Gia-Ming"},{"family":"Huang","given":"Hao"},{"family":"Wang","given":"Xiao"},{"family":"Chen","given":"Ping"},{"family":"Gurbuxani","given":"Sandeep"},{"family":"Arnovitz","given":"Stephen"},{"family":"Li","given":"Yuanyuan"},{"family":"Li","given":"Shenglai"},{"family":"Strong","given":"Jennifer"},{"family":"Neilly","given":"Mary Beth"},{"family":"Larson","given":"Richard A."},{"family":"Jiang","given":"Xi"},{"family":"Zhang","given":"Pumin"},{"family":"Jin","given":"Jie"},{"family":"He","given":"Chuan"},{"family":"Chen","given":"Jianjun"}],"issued":{"date-parts":[["2017",1,9]]},"accessed":{"date-parts":[["2019",3,4]]}}},{"id":1351,"uris":["http://zotero.org/users/4775618/items/S62ERCDM"],"uri":["http://zotero.org/users/4775618/items/S62ERCDM"],"itemData":{"id":1351,"type":"article-journal","title":"(R)-2-Hydroxyglutarate Is Sufficient to Promote Leukemogenesis and Its Effects Are Reversible","container-title":"Science","page":"1621-1625","volume":"339","issue":"6127","source":"science.sciencemag.org","abstract":"Focusing on the Right Metabolite\nA variety of human cancers, including acute leukemias and brain tumors, have mutations in the genes encoding isocitrate dehydrogenase 1 or 2 (IDH1, IDH2), which cause overproduction of a metabolite called 2-hydroxyglutarate (2HG). Losman et al. (p. 1621, published online 7 February) show that the R- but not the S-enantiomer of 2HG can transform cells and that R-2HG mediates transformation at least in part through effects on protein modifying EglN prolyl hydroxylases. Importantly, the transforming activity of R-2HG was reversible, suggesting that therapeutic strategies focusing on inhibition of R-2HG production or inhibition of EglN prolyl hydroxylases merit further investigation.\nMutations in IDH1 and IDH2, the genes coding for isocitrate dehydrogenases 1 and 2, are common in several human cancers, including leukemias, and result in overproduction of the (R)-enantiomer of 2-hydroxyglutarate [(R)-2HG]. Elucidation of the role of IDH mutations and (R)-2HG in leukemogenesis has been hampered by a lack of appropriate cell-based models. Here, we show that a canonical IDH1 mutant, IDH1 R132H, promotes cytokine independence and blocks differentiation in hematopoietic cells. These effects can be recapitulated by (R)-2HG, but not (S)-2HG, despite the fact that (S)-2HG more potently inhibits enzymes, such as the 5′-methylcytosine hydroxylase TET2, that have previously been linked to the pathogenesis of IDH mutant tumors. We provide evidence that this paradox relates to the ability of (S)-2HG, but not (R)-2HG, to inhibit the EglN prolyl hydroxylases. Additionally, we show that transformation by (R)-2HG is reversible.\nA metabolite specific to certain cancers, and of therapeutic interest, exists in two forms, only one of which is oncogenic.\nA metabolite specific to certain cancers, and of therapeutic interest, exists in two forms, only one of which is oncogenic.","URL":"http://science.sciencemag.org/content/339/6127/1621","DOI":"10.1126/science.1231677","ISSN":"0036-8075, 1095-9203","note":"PMID: 23393090","language":"en","author":[{"family":"Losman","given":"Julie-Aurore"},{"family":"Looper","given":"Ryan E."},{"family":"Koivunen","given":"Peppi"},{"family":"Lee","given":"Sungwoo"},{"family":"Schneider","given":"Rebekka K."},{"family":"McMahon","given":"Christine"},{"family":"Cowley","given":"Glenn S."},{"family":"Root","given":"David E."},{"family":"Ebert","given":"Benjamin L."},{"family":"Kaelin","given":"William G."}],"issued":{"date-parts":[["2013",3,29]]},"accessed":{"date-parts":[["2019",2,23]]}}},{"id":1355,"uris":["http://zotero.org/users/4775618/items/TMNJ2W2F"],"uri":["http://zotero.org/users/4775618/items/TMNJ2W2F"],"itemData":{"id":1355,"type":"article-journal","title":"IDH mutation impairs histone demethylation and results in a block to cell differentiation","container-title":"Nature","page":"474-478","volume":"483","issue":"7390","source":"www-nature-com.ezp.lib.cam.ac.uk","abstract":"Recurrent mutations in isocitrate dehydrogenase 1 (IDH1) and IDH2 have been identified in gliomas, acute myeloid leukaemias (AML) and chondrosarcomas, and share a novel enzymatic property of producing 2-hydroxyglutarate (2HG) from α-ketoglutarate1,2,3,4,5,6. Here we report that 2HG-producing IDH mutants can prevent the histone demethylation that is required for lineage-specific progenitor cells to differentiate into terminally differentiated cells. In tumour samples from glioma patients, IDH mutations were associated with a distinct gene expression profile enriched for genes expressed in neural progenitor cells, and this was associated with increased histone methylation. To test whether the ability of IDH mutants to promote histone methylation contributes to a block in cell differentiation in non-transformed cells, we tested the effect of neomorphic IDH mutants on adipocyte differentiation in vitro. Introduction of either mutant IDH or cell-permeable 2HG was associated with repression of the inducible expression of lineage-specific differentiation genes and a block to differentiation. This correlated with a significant increase in repressive histone methylation marks without observable changes in promoter DNA methylation. Gliomas were found to have elevated levels of similar histone repressive marks. Stable transfection of a 2HG-producing mutant IDH into immortalized astrocytes resulted in progressive accumulation of histone methylation. Of the marks examined, increased H3K9 methylation reproducibly preceded a rise in DNA methylation as cells were passaged in culture. Furthermore, we found that the 2HG-inhibitable H3K9 demethylase KDM4C was induced during adipocyte differentiation, and that RNA-interference suppression of KDM4C was sufficient to block differentiation. Together these data demonstrate that 2HG can inhibit histone demethylation and that inhibition of histone demethylation can be sufficient to block the differentiation of non-transformed cells.","URL":"http://www.nature.com/articles/nature10860","DOI":"10.1038/nature10860","ISSN":"1476-4687","language":"en","author":[{"family":"Lu","given":"Chao"},{"family":"Ward","given":"Patrick S."},{"family":"Kapoor","given":"Gurpreet S."},{"family":"Rohle","given":"Dan"},{"family":"Turcan","given":"Sevin"},{"family":"Abdel-Wahab","given":"Omar"},{"family":"Edwards","given":"Christopher R."},{"family":"Khanin","given":"Raya"},{"family":"Figueroa","given":"Maria E."},{"family":"Melnick","given":"Ari"},{"family":"Wellen","given":"Kathryn E."},{"family":"O’Rourke","given":"Donald M."},{"family":"Berger","given":"Shelley L."},{"family":"Chan","given":"Timothy A."},{"family":"Levine","given":"Ross L."},{"family":"Mellinghoff","given":"Ingo K."},{"family":"Thompson","given":"Craig B."}],"issued":{"date-parts":[["2012",3]]},"accessed":{"date-parts":[["2019",2,23]]}}},{"id":1413,"uris":["http://zotero.org/users/4775618/items/KM39RQT6"],"uri":["http://zotero.org/users/4775618/items/KM39RQT6"],"itemData":{"id":1413,"type":"article-journal","title":"Acidic pH Is a Metabolic Switch for 2-Hydroxyglutarate Generation and Signaling","container-title":"The Journal of Biological Chemistry","page":"20188-20197","volume":"291","issue":"38","source":"PubMed Central","abstract":"2-Hydroxyglutarate (2-HG) is an important epigenetic regulator, with potential roles in cancer and stem cell biology. The d-(R)-enantiomer (d-2-HG) is an oncometabolite generated from α-ketoglutarate (α-KG) by mutant isocitrate dehydrogenase, whereas l-(S)-2-HG is generated by lactate dehydrogenase and malate dehydrogenase in response to hypoxia. Because acidic pH is a common feature of hypoxia, as well as tumor and stem cell microenvironments, we hypothesized that pH may regulate cellular 2-HG levels. Herein we report that cytosolic acidification under normoxia moderately elevated 2-HG in cells, and boosting endogenous substrate α-KG levels further stimulated this elevation. Studies with isolated lactate dehydrogenase-1 and malate dehydrogenase-2 revealed that generation of 2-HG by both enzymes was stimulated severalfold at acidic pH, relative to normal physiologic pH. In addition, acidic pH was found to inhibit the activity of the mitochondrial l-2-HG removal enzyme l-2-HG dehydrogenase and to stimulate the reverse reaction of isocitrate dehydrogenase (carboxylation of α-KG to isocitrate). Furthermore, because acidic pH is known to stabilize hypoxia-inducible factor (HIF) and 2-HG is a known inhibitor of HIF prolyl hydroxylases, we hypothesized that 2-HG may be required for acid-induced HIF stabilization. Accordingly, cells stably overexpressing l-2-HG dehydrogenase exhibited a blunted HIF response to acid. Together, these results suggest that acidosis is an important and previously overlooked regulator of 2-HG accumulation and other oncometabolic events, with implications for HIF signaling.","URL":"https://www.ncbi.nlm.nih.gov/pmc/articles/PMC5025701/","DOI":"10.1074/jbc.M116.738799","ISSN":"0021-9258","note":"PMID: 27510037\nPMCID: PMC5025701","journalAbbreviation":"J Biol Chem","author":[{"family":"Nadtochiy","given":"Sergiy M."},{"family":"Schafer","given":"Xenia"},{"family":"Fu","given":"Dragony"},{"family":"Nehrke","given":"Keith"},{"family":"Munger","given":"Joshua"},{"family":"Brookes","given":"Paul S."}],"issued":{"date-parts":[["2016",9,16]]},"accessed":{"date-parts":[["2019",2,24]]}}},{"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id":1695,"uris":["http://zotero.org/users/4775618/items/H82L7KPF"],"uri":["http://zotero.org/users/4775618/items/H82L7KPF"],"itemData":{"id":1695,"type":"article-journal","title":"R-2HG Exhibits Anti-tumor Activity by Targeting FTO/m6A/MYC/CEBPA Signaling","container-title":"Cell","page":"90-105.e23","volume":"172","issue":"1","source":"ScienceDirect","abstract":"Summary\nR-2-hydroxyglutarate (R-2HG), produced at high levels by mutant isocitrate dehydrogenase 1/2 (IDH1/2) enzymes, was reported as an oncometabolite. We show here that R-2HG also exerts a broad anti-leukemic activity in vitro and in vivo by inhibiting leukemia cell proliferation/viability and by promoting cell-cycle arrest and apoptosis. Mechanistically, R-2HG inhibits fat mass and obesity-associated protein (FTO) activity, thereby increasing global N6-methyladenosine (m6A) RNA modification in R-2HG-sensitive leukemia cells, which in turn decreases the stability of MYC/CEBPA transcripts, leading to the suppression of relevant pathways. Ectopically expressed mutant IDH1 and S-2HG recapitulate the effects of R-2HG. High levels of FTO sensitize leukemic cells to R-2HG, whereas hyperactivation of MYC signaling confers resistance that can be reversed by the inhibition of MYC signaling. R-2HG also displays anti-tumor activity in glioma. Collectively, while R-2HG accumulated in IDH1/2 mutant cancers contributes to cancer initiation, our work demonstrates anti-tumor effects of 2HG in inhibiting proliferation/survival of FTO-high cancer cells via targeting FTO/m6A/MYC/CEBPA signaling.","URL":"http://www.sciencedirect.com/science/article/pii/S009286741731382X","DOI":"10.1016/j.cell.2017.11.031","ISSN":"0092-8674","journalAbbreviation":"Cell","author":[{"family":"Su","given":"Rui"},{"family":"Dong","given":"Lei"},{"family":"Li","given":"Chenying"},{"family":"Nachtergaele","given":"Sigrid"},{"family":"Wunderlich","given":"Mark"},{"family":"Qing","given":"Ying"},{"family":"Deng","given":"Xiaolan"},{"family":"Wang","given":"Yungui"},{"family":"Weng","given":"Xiaocheng"},{"family":"Hu","given":"Chao"},{"family":"Yu","given":"Mengxia"},{"family":"Skibbe","given":"Jennifer"},{"family":"Dai","given":"Qing"},{"family":"Zou","given":"Dongling"},{"family":"Wu","given":"Tong"},{"family":"Yu","given":"Kangkang"},{"family":"Weng","given":"Hengyou"},{"family":"Huang","given":"Huilin"},{"family":"Ferchen","given":"Kyle"},{"family":"Qin","given":"Xi"},{"family":"Zhang","given":"Bin"},{"family":"Qi","given":"Jun"},{"family":"Sasaki","given":"Atsuo T."},{"family":"Plas","given":"David R."},{"family":"Bradner","given":"James E."},{"family":"Wei","given":"Minjie"},{"family":"Marcucci","given":"Guido"},{"family":"Jiang","given":"Xi"},{"family":"Mulloy","given":"James C."},{"family":"Jin","given":"Jie"},{"family":"He","given":"Chuan"},{"family":"Chen","given":"Jianjun"}],"issued":{"date-parts":[["2018",1,11]]},"accessed":{"date-parts":[["2019",3,4]]}}}],"schema":"https://github.com/citation-style-language/schema/raw/master/csl-citation.json"} </w:instrText>
      </w:r>
      <w:r w:rsidR="00B818FA">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76,112,115,119,142,195,197,198,200</w:t>
      </w:r>
      <w:r w:rsidR="00B818FA">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Thus</w:t>
      </w:r>
      <w:r w:rsidR="007955F2" w:rsidRPr="00D637BA">
        <w:rPr>
          <w:rFonts w:ascii="Calibri" w:hAnsi="Calibri" w:cs="Calibri"/>
          <w:color w:val="000000" w:themeColor="text1"/>
          <w:sz w:val="22"/>
          <w:szCs w:val="22"/>
        </w:rPr>
        <w:t xml:space="preserve">, it </w:t>
      </w:r>
      <w:r w:rsidR="00833758" w:rsidRPr="00B946E4">
        <w:rPr>
          <w:rFonts w:ascii="Calibri" w:hAnsi="Calibri" w:cs="Calibri"/>
          <w:color w:val="000000" w:themeColor="text1"/>
          <w:sz w:val="22"/>
          <w:szCs w:val="22"/>
        </w:rPr>
        <w:t>is</w:t>
      </w:r>
      <w:r w:rsidR="007955F2" w:rsidRPr="00D637BA">
        <w:rPr>
          <w:rFonts w:ascii="Calibri" w:hAnsi="Calibri" w:cs="Calibri"/>
          <w:color w:val="000000" w:themeColor="text1"/>
          <w:sz w:val="22"/>
          <w:szCs w:val="22"/>
        </w:rPr>
        <w:t xml:space="preserve"> imperative</w:t>
      </w:r>
      <w:r w:rsidRPr="00D637BA">
        <w:rPr>
          <w:rFonts w:ascii="Calibri" w:hAnsi="Calibri" w:cs="Calibri"/>
          <w:color w:val="000000" w:themeColor="text1"/>
          <w:sz w:val="22"/>
          <w:szCs w:val="22"/>
        </w:rPr>
        <w:t xml:space="preserve"> </w:t>
      </w:r>
      <w:r w:rsidR="00833758" w:rsidRPr="00B946E4">
        <w:rPr>
          <w:rFonts w:ascii="Calibri" w:hAnsi="Calibri" w:cs="Calibri"/>
          <w:color w:val="000000" w:themeColor="text1"/>
          <w:sz w:val="22"/>
          <w:szCs w:val="22"/>
        </w:rPr>
        <w:t xml:space="preserve">that </w:t>
      </w:r>
      <w:r w:rsidRPr="00D637BA">
        <w:rPr>
          <w:rFonts w:ascii="Calibri" w:hAnsi="Calibri" w:cs="Calibri"/>
          <w:color w:val="000000" w:themeColor="text1"/>
          <w:sz w:val="22"/>
          <w:szCs w:val="22"/>
        </w:rPr>
        <w:t xml:space="preserve">future studies </w:t>
      </w:r>
      <w:r w:rsidR="00833758" w:rsidRPr="00B946E4">
        <w:rPr>
          <w:rFonts w:ascii="Calibri" w:hAnsi="Calibri" w:cs="Calibri"/>
          <w:color w:val="000000" w:themeColor="text1"/>
          <w:sz w:val="22"/>
          <w:szCs w:val="22"/>
        </w:rPr>
        <w:t xml:space="preserve">that aim to </w:t>
      </w:r>
      <w:r w:rsidRPr="00D637BA">
        <w:rPr>
          <w:rFonts w:ascii="Calibri" w:hAnsi="Calibri" w:cs="Calibri"/>
          <w:color w:val="000000" w:themeColor="text1"/>
          <w:sz w:val="22"/>
          <w:szCs w:val="22"/>
        </w:rPr>
        <w:t>elucidat</w:t>
      </w:r>
      <w:r w:rsidR="00833758" w:rsidRPr="00B946E4">
        <w:rPr>
          <w:rFonts w:ascii="Calibri" w:hAnsi="Calibri" w:cs="Calibri"/>
          <w:color w:val="000000" w:themeColor="text1"/>
          <w:sz w:val="22"/>
          <w:szCs w:val="22"/>
        </w:rPr>
        <w:t>e</w:t>
      </w:r>
      <w:r w:rsidRPr="00D637BA">
        <w:rPr>
          <w:rFonts w:ascii="Calibri" w:hAnsi="Calibri" w:cs="Calibri"/>
          <w:color w:val="000000" w:themeColor="text1"/>
          <w:sz w:val="22"/>
          <w:szCs w:val="22"/>
        </w:rPr>
        <w:t xml:space="preserve"> the role of 2HG isoforms in tumours and the </w:t>
      </w:r>
      <w:r w:rsidR="00833758" w:rsidRPr="00B946E4">
        <w:rPr>
          <w:rFonts w:ascii="Calibri" w:hAnsi="Calibri" w:cs="Calibri"/>
          <w:color w:val="000000" w:themeColor="text1"/>
          <w:sz w:val="22"/>
          <w:szCs w:val="22"/>
        </w:rPr>
        <w:t xml:space="preserve">associated </w:t>
      </w:r>
      <w:r w:rsidRPr="00D637BA">
        <w:rPr>
          <w:rFonts w:ascii="Calibri" w:hAnsi="Calibri" w:cs="Calibri"/>
          <w:color w:val="000000" w:themeColor="text1"/>
          <w:sz w:val="22"/>
          <w:szCs w:val="22"/>
        </w:rPr>
        <w:t xml:space="preserve">potential clinical applications </w:t>
      </w:r>
      <w:r w:rsidR="00833758" w:rsidRPr="00B946E4">
        <w:rPr>
          <w:rFonts w:ascii="Calibri" w:hAnsi="Calibri" w:cs="Calibri"/>
          <w:color w:val="000000" w:themeColor="text1"/>
          <w:sz w:val="22"/>
          <w:szCs w:val="22"/>
        </w:rPr>
        <w:t>are</w:t>
      </w:r>
      <w:r w:rsidRPr="00D637BA">
        <w:rPr>
          <w:rFonts w:ascii="Calibri" w:hAnsi="Calibri" w:cs="Calibri"/>
          <w:color w:val="000000" w:themeColor="text1"/>
          <w:sz w:val="22"/>
          <w:szCs w:val="22"/>
        </w:rPr>
        <w:t xml:space="preserve"> cancer and tumour</w:t>
      </w:r>
      <w:r w:rsidR="00833758"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stage specific.</w:t>
      </w:r>
    </w:p>
    <w:p w14:paraId="12374302" w14:textId="77777777" w:rsidR="00FC01D0" w:rsidRPr="00D637BA" w:rsidRDefault="00FC01D0" w:rsidP="00F131BF">
      <w:pPr>
        <w:spacing w:line="360" w:lineRule="auto"/>
        <w:jc w:val="both"/>
        <w:rPr>
          <w:rFonts w:ascii="Calibri" w:hAnsi="Calibri" w:cs="Calibri"/>
          <w:color w:val="000000" w:themeColor="text1"/>
          <w:sz w:val="22"/>
          <w:szCs w:val="22"/>
        </w:rPr>
      </w:pPr>
    </w:p>
    <w:p w14:paraId="382A8196" w14:textId="22BEECF1" w:rsidR="00F131BF" w:rsidRPr="00D637BA" w:rsidRDefault="004C4577" w:rsidP="00F131BF">
      <w:pPr>
        <w:spacing w:line="360" w:lineRule="auto"/>
        <w:jc w:val="both"/>
        <w:rPr>
          <w:rFonts w:ascii="Calibri" w:hAnsi="Calibri" w:cs="Calibri"/>
          <w:b/>
          <w:color w:val="000000" w:themeColor="text1"/>
          <w:szCs w:val="22"/>
        </w:rPr>
      </w:pPr>
      <w:r w:rsidRPr="00D637BA">
        <w:rPr>
          <w:rFonts w:ascii="Calibri" w:hAnsi="Calibri" w:cs="Calibri"/>
          <w:b/>
          <w:color w:val="000000" w:themeColor="text1"/>
          <w:szCs w:val="22"/>
        </w:rPr>
        <w:t xml:space="preserve">[H1] </w:t>
      </w:r>
      <w:r w:rsidR="002D1B15" w:rsidRPr="00B946E4">
        <w:rPr>
          <w:rFonts w:ascii="Calibri" w:hAnsi="Calibri" w:cs="Calibri"/>
          <w:b/>
          <w:color w:val="000000" w:themeColor="text1"/>
          <w:szCs w:val="22"/>
        </w:rPr>
        <w:t>Targeting</w:t>
      </w:r>
      <w:r w:rsidR="00F131BF" w:rsidRPr="00D637BA">
        <w:rPr>
          <w:rFonts w:ascii="Calibri" w:hAnsi="Calibri" w:cs="Calibri"/>
          <w:b/>
          <w:color w:val="000000" w:themeColor="text1"/>
          <w:szCs w:val="22"/>
        </w:rPr>
        <w:t xml:space="preserve"> oncometabolite</w:t>
      </w:r>
      <w:r w:rsidR="005F53E9" w:rsidRPr="00D637BA">
        <w:rPr>
          <w:rFonts w:ascii="Calibri" w:hAnsi="Calibri" w:cs="Calibri"/>
          <w:b/>
          <w:color w:val="000000" w:themeColor="text1"/>
          <w:szCs w:val="22"/>
        </w:rPr>
        <w:t xml:space="preserve">s </w:t>
      </w:r>
    </w:p>
    <w:p w14:paraId="0204A995" w14:textId="0AF8D6F6" w:rsidR="00F0248B" w:rsidRPr="00D637BA" w:rsidRDefault="00F131BF" w:rsidP="00F0248B">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Multiple </w:t>
      </w:r>
      <w:r w:rsidR="00A6527C" w:rsidRPr="00D637BA">
        <w:rPr>
          <w:rFonts w:ascii="Calibri" w:hAnsi="Calibri" w:cs="Calibri"/>
          <w:color w:val="000000" w:themeColor="text1"/>
          <w:sz w:val="22"/>
          <w:szCs w:val="22"/>
        </w:rPr>
        <w:t xml:space="preserve">potential </w:t>
      </w:r>
      <w:r w:rsidRPr="00D637BA">
        <w:rPr>
          <w:rFonts w:ascii="Calibri" w:hAnsi="Calibri" w:cs="Calibri"/>
          <w:color w:val="000000" w:themeColor="text1"/>
          <w:sz w:val="22"/>
          <w:szCs w:val="22"/>
        </w:rPr>
        <w:t xml:space="preserve">targets </w:t>
      </w:r>
      <w:r w:rsidR="00692D86" w:rsidRPr="00D637BA">
        <w:rPr>
          <w:rFonts w:ascii="Calibri" w:hAnsi="Calibri" w:cs="Calibri"/>
          <w:color w:val="000000" w:themeColor="text1"/>
          <w:sz w:val="22"/>
          <w:szCs w:val="22"/>
        </w:rPr>
        <w:t xml:space="preserve">for </w:t>
      </w:r>
      <w:r w:rsidR="00A6527C" w:rsidRPr="00D637BA">
        <w:rPr>
          <w:rFonts w:ascii="Calibri" w:hAnsi="Calibri" w:cs="Calibri"/>
          <w:color w:val="000000" w:themeColor="text1"/>
          <w:sz w:val="22"/>
          <w:szCs w:val="22"/>
        </w:rPr>
        <w:t xml:space="preserve">therapeutic intervention </w:t>
      </w:r>
      <w:r w:rsidRPr="00D637BA">
        <w:rPr>
          <w:rFonts w:ascii="Calibri" w:hAnsi="Calibri" w:cs="Calibri"/>
          <w:color w:val="000000" w:themeColor="text1"/>
          <w:sz w:val="22"/>
          <w:szCs w:val="22"/>
        </w:rPr>
        <w:t xml:space="preserve">within oncometabolite-associated pathways have been </w:t>
      </w:r>
      <w:r w:rsidR="00A6527C" w:rsidRPr="00D637BA">
        <w:rPr>
          <w:rFonts w:ascii="Calibri" w:hAnsi="Calibri" w:cs="Calibri"/>
          <w:color w:val="000000" w:themeColor="text1"/>
          <w:sz w:val="22"/>
          <w:szCs w:val="22"/>
        </w:rPr>
        <w:t>identified</w:t>
      </w:r>
      <w:r w:rsidR="009B2590" w:rsidRPr="00D637BA">
        <w:rPr>
          <w:rFonts w:ascii="Calibri" w:hAnsi="Calibri" w:cs="Calibri"/>
          <w:color w:val="000000" w:themeColor="text1"/>
          <w:sz w:val="22"/>
          <w:szCs w:val="22"/>
        </w:rPr>
        <w:t xml:space="preserve"> (Fig. 3)</w:t>
      </w:r>
      <w:r w:rsidRPr="00D637BA">
        <w:rPr>
          <w:rFonts w:ascii="Calibri" w:hAnsi="Calibri" w:cs="Calibri"/>
          <w:color w:val="000000" w:themeColor="text1"/>
          <w:sz w:val="22"/>
          <w:szCs w:val="22"/>
        </w:rPr>
        <w:t xml:space="preserve">. These </w:t>
      </w:r>
      <w:r w:rsidR="00A6527C" w:rsidRPr="00D637BA">
        <w:rPr>
          <w:rFonts w:ascii="Calibri" w:hAnsi="Calibri" w:cs="Calibri"/>
          <w:color w:val="000000" w:themeColor="text1"/>
          <w:sz w:val="22"/>
          <w:szCs w:val="22"/>
        </w:rPr>
        <w:t xml:space="preserve">approaches </w:t>
      </w:r>
      <w:r w:rsidRPr="00D637BA">
        <w:rPr>
          <w:rFonts w:ascii="Calibri" w:hAnsi="Calibri" w:cs="Calibri"/>
          <w:color w:val="000000" w:themeColor="text1"/>
          <w:sz w:val="22"/>
          <w:szCs w:val="22"/>
        </w:rPr>
        <w:t xml:space="preserve">can broadly be divided into targeting oncometabolite accumulation </w:t>
      </w:r>
      <w:r w:rsidR="00A6527C"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i.e. production and/or degradation pathways</w:t>
      </w:r>
      <w:r w:rsidR="00A6527C"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or targeting the downstream sequ</w:t>
      </w:r>
      <w:r w:rsidR="00746863">
        <w:rPr>
          <w:rFonts w:ascii="Calibri" w:hAnsi="Calibri" w:cs="Calibri"/>
          <w:color w:val="000000" w:themeColor="text1"/>
          <w:sz w:val="22"/>
          <w:szCs w:val="22"/>
        </w:rPr>
        <w:t>e</w:t>
      </w:r>
      <w:r w:rsidRPr="00D637BA">
        <w:rPr>
          <w:rFonts w:ascii="Calibri" w:hAnsi="Calibri" w:cs="Calibri"/>
          <w:color w:val="000000" w:themeColor="text1"/>
          <w:sz w:val="22"/>
          <w:szCs w:val="22"/>
        </w:rPr>
        <w:t xml:space="preserve">lae either in the broad sense </w:t>
      </w:r>
      <w:r w:rsidR="00A6527C"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e.g. DNA hypomethylation agents</w:t>
      </w:r>
      <w:r w:rsidR="00393B3C">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{"citationID":"a143f52rmpn","properties":{"formattedCitation":"\\super 153\\nosupersub{}","plainCitation":"153","noteIndex":0},"citationItems":[{"id":1526,"uris":["http://zotero.org/users/4775618/items/VJWPJGKC"],"uri":["http://zotero.org/users/4775618/items/VJWPJGKC"],"itemData":{"id":1526,"type":"article-journal","title":"Induction of sarcomas by mutant IDH2","container-title":"Genes &amp; Development","page":"1986-1998","volume":"27","issue":"18","source":"PubMed Central","abstract":"Most chondrosarcoma patients exhibit gain-of-function mutations in either IDH1 or IDH2. Lu et al. found that IDH mutations were associated with DNA hypermethylation at CpG islands in chondrosarcoma biopsies. Regions of hypermethylation were enriched for genes implicated in stem cell maintenance/differentiation and lineage specification. In murine mesenchymal progenitor cells, mutant IDH2 led to DNA hypermethylation and impairment in differentiation, which could be reversed by DNA-hypomethylating agents. Mutant IDH2 also generated undifferentiated sarcomas in vivo. This work demonstrates that neomorphic IDH2 mutations can be oncogenic in mesenchymal cells., More than 50% of patients with chondrosarcomas exhibit gain-of-function mutations in either isocitrate dehydrogenase 1 (IDH1) or IDH2. In this study, we performed genome-wide CpG methylation sequencing of chondrosarcoma biopsies and found that IDH mutations were associated with DNA hypermethylation at CpG islands but not other genomic regions. Regions of CpG island hypermethylation were enriched for genes implicated in stem cell maintenance/differentiation and lineage specification. In murine 10T1/2 mesenchymal progenitor cells, expression of mutant IDH2 led to DNA hypermethylation and an impairment in differentiation that could be reversed by treatment with DNA-hypomethylating agents. Introduction of mutant IDH2 also induced loss of contact inhibition and generated undifferentiated sarcomas in vivo. The oncogenic potential of mutant IDH2 correlated with the ability to produce 2-hydroxyglutarate. Together, these data demonstrate that neomorphic IDH2 mutations can be oncogenic in mesenchymal cells.","URL":"https://www.ncbi.nlm.nih.gov/pmc/articles/PMC3792475/","DOI":"10.1101/gad.226753.113","ISSN":"0890-9369","note":"PMID: 24065766\nPMCID: PMC3792475","journalAbbreviation":"Genes Dev","author":[{"family":"Lu","given":"Chao"},{"family":"Venneti","given":"Sriram"},{"family":"Akalin","given":"Altuna"},{"family":"Fang","given":"Fang"},{"family":"Ward","given":"Patrick S."},{"family":"DeMatteo","given":"Raymond G."},{"family":"Intlekofer","given":"Andrew M."},{"family":"Chen","given":"Chong"},{"family":"Ye","given":"Jiangbin"},{"family":"Hameed","given":"Meera"},{"family":"Nafa","given":"Khedoudja"},{"family":"Agaram","given":"Narasimhan P."},{"family":"Cross","given":"Justin R."},{"family":"Khanin","given":"Raya"},{"family":"Mason","given":"Christopher E."},{"family":"Healey","given":"John H."},{"family":"Lowe","given":"Scott W."},{"family":"Schwartz","given":"Gary K."},{"family":"Melnick","given":"Ari"},{"family":"Thompson","given":"Craig B."}],"issued":{"date-parts":[["2013",9,15]]},"accessed":{"date-parts":[["2019",2,26]]}}}],"schema":"https://github.com/citation-style-language/schema/raw/master/csl-citation.json"} </w:instrText>
      </w:r>
      <w:r w:rsidR="00393B3C">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153</w:t>
      </w:r>
      <w:r w:rsidR="00393B3C">
        <w:rPr>
          <w:rFonts w:ascii="Calibri" w:hAnsi="Calibri" w:cs="Calibri"/>
          <w:color w:val="000000" w:themeColor="text1"/>
          <w:sz w:val="22"/>
          <w:szCs w:val="22"/>
        </w:rPr>
        <w:fldChar w:fldCharType="end"/>
      </w:r>
      <w:r w:rsidR="00393B3C">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or specific pathways </w:t>
      </w:r>
      <w:r w:rsidR="00A6527C"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e.g. arginine deprivation in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-deficient RCC</w:t>
      </w:r>
      <w:r w:rsidR="00393B3C">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{"citationID":"a2nbsr0cm3d","properties":{"formattedCitation":"\\super 102,201\\nosupersub{}","plainCitation":"102,201","noteIndex":0},"citationItems":[{"id":1887,"uris":["http://zotero.org/users/4775618/items/LDFGY2UY"],"uri":["http://zotero.org/users/4775618/items/LDFGY2UY"],"itemData":{"id":1887,"type":"article-journal","title":"A Role for Cytosolic Fumarate Hydratase in Urea Cycle Metabolism and Renal Neoplasia","container-title":"Cell Reports","page":"1440-1448","volume":"3","issue":"5","source":"PubMed Central","abstract":"The identification of mutated metabolic enzymes in hereditary cancer syndromes has established a direct link between metabolic dysregulation and cancer. Mutations in the Krebs cycle enzyme, fumarate hydratase (FH), predispose affected individuals to leiomyomas, renal cysts, and cancers, though the respective pathogenic roles of mitochondrial and cytosolic FH isoforms remain undefined. On the basis of comprehensive metabolomic analyses, we demonstrate that FH1-deficient cells and tissues exhibit defects in the urea cycle/arginine metabolism. Remarkably, transgenic re-expression of cytosolic FH ameliorated both renal cyst development and urea cycle defects associated with renal-specific FH1 deletion in mice. Furthermore, acute arginine depletion significantly reduced the viability of FH1-deficient cells in comparison to controls. Our findings highlight the importance of extramitochondrial metabolic pathways in FH-associated oncogenesis and the urea cycle/arginine metabolism as a potential therapeutic target., \n          \n            \n              •\n              FH-deficient cells accumulate fumarate and urea cycle metabolites\n            \n            \n              •\n              Cytosolic FH is critical for renal cyst development in FH1-deficient mice\n            \n            \n              •\n              Restoration of cytosolic FH activity restores urea cycle defects\n            \n            \n              •\n              Arginine depletion reduces viability of FH1-deficient cells\n            \n          \n        , In this study, Pollard and colleagues demonstrate the importance of cytosolic fumarate hydratase (FH) in renal cyst development in mice. Metabolite analysis of FH-deficient cysts and tumors identified alterations in urea cycle metabolism. re-expression of extramitochondrial FH in mice with renal-specific FH1 deletion was sufficient to ameliorate cyst development and metabolic alterations in the urea cycle. Significantly, FH-deficient cells exhibit increased sensitivity to arginine depletion. Exploitation of this vulnerability may be a potential route for therapy for FH-mutant tumors.","URL":"https://www.ncbi.nlm.nih.gov/pmc/articles/PMC3675675/","DOI":"10.1016/j.celrep.2013.04.006","ISSN":"2211-1247","note":"PMID: 23643539\nPMCID: PMC3675675","journalAbbreviation":"Cell Rep","author":[{"family":"Adam","given":"Julie"},{"family":"Yang","given":"Ming"},{"family":"Bauerschmidt","given":"Christina"},{"family":"Kitagawa","given":"Mitsuhiro"},{"family":"O’Flaherty","given":"Linda"},{"family":"Maheswaran","given":"Pratheesh"},{"family":"Özkan","given":"Gizem"},{"family":"Sahgal","given":"Natasha"},{"family":"Baban","given":"Dilair"},{"family":"Kato","given":"Keiko"},{"family":"Saito","given":"Kaori"},{"family":"Iino","given":"Keiko"},{"family":"Igarashi","given":"Kaori"},{"family":"Stratford","given":"Michael"},{"family":"Pugh","given":"Christopher"},{"family":"Tennant","given":"Daniel A."},{"family":"Ludwig","given":"Christian"},{"family":"Davies","given":"Benjamin"},{"family":"Ratcliffe","given":"Peter J."},{"family":"El-Bahrawy","given":"Mona"},{"family":"Ashrafian","given":"Houman"},{"family":"Soga","given":"Tomoyoshi"},{"family":"Pollard","given":"Patrick J."}],"issued":{"date-parts":[["2013",5,30]]},"accessed":{"date-parts":[["2019",3,21]]}}},{"id":763,"uris":["http://zotero.org/users/4775618/items/NM59HM97"],"uri":["http://zotero.org/users/4775618/items/NM59HM97"],"itemData":{"id":763,"type":"article-journal","title":"Reversed argininosuccinate lyase activity in fumarate hydratase-deficient cancer cells","container-title":"Cancer &amp; Metabolism","page":"12","volume":"1","source":"PubMed Central","abstract":"Background\nLoss of function of fumarate hydratase (FH), the mitochondrial tumor suppressor and tricarboxylic acid (TCA) cycle enzyme, is associated with a highly malignant form of papillary and collecting duct renal cell cancer. The accumulation of fumarate in these cells has been linked to the tumorigenic process. However, little is known about the overall effects of the loss of FH on cellular metabolism.\n\nMethods\nWe performed comprehensive metabolomic analyses of urine from Fh1-deficient mice and stable isotopologue tracing from human and mouse FH-deficient cell lines to investigate the biochemical signature of the loss of FH.\n\nResults\nThe metabolomics analysis revealed that the urea cycle metabolite argininosuccinate is a common metabolic biomarker of FH deficiency. Argininosuccinate was found to be produced from arginine and fumarate by the reverse activity of the urea cycle enzyme argininosuccinate lyase (ASL), making these cells auxotrophic for arginine. Depleting arginine from the growth media by the addition of pegylated arginine deiminase (ADI-PEG 20) decreased the production of argininosuccinate in FH-deficient cells and reduced cell survival and proliferation.\n\nConclusions\nThese results unravel a previously unidentified correlation between fumarate accumulation and the urea cycle enzyme ASL in FH-deficient cells. The finding that FH-deficient cells become auxotrophic for arginine opens a new therapeutic perspective for the cure of hereditary leiomyomatosis and renal cell cancer (HLRCC).","URL":"https://www.ncbi.nlm.nih.gov/pmc/articles/PMC4108060/","DOI":"10.1186/2049-3002-1-12","ISSN":"2049-3002","note":"PMID: 24280230\nPMCID: PMC4108060","journalAbbreviation":"Cancer Metab","author":[{"family":"Zheng","given":"Liang"},{"family":"MacKenzie","given":"Elaine D"},{"family":"Karim","given":"Saadia A"},{"family":"Hedley","given":"Ann"},{"family":"Blyth","given":"Karen"},{"family":"Kalna","given":"Gabriela"},{"family":"Watson","given":"David G"},{"family":"Szlosarek","given":"Peter"},{"family":"Frezza","given":"Christian"},{"family":"Gottlieb","given":"Eyal"}],"issued":{"date-parts":[["2013",3,21]]},"accessed":{"date-parts":[["2018",10,30]]}}}],"schema":"https://github.com/citation-style-language/schema/raw/master/csl-citation.json"} </w:instrText>
      </w:r>
      <w:r w:rsidR="00393B3C">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102,201</w:t>
      </w:r>
      <w:r w:rsidR="00393B3C">
        <w:rPr>
          <w:rFonts w:ascii="Calibri" w:hAnsi="Calibri" w:cs="Calibri"/>
          <w:color w:val="000000" w:themeColor="text1"/>
          <w:sz w:val="22"/>
          <w:szCs w:val="22"/>
        </w:rPr>
        <w:fldChar w:fldCharType="end"/>
      </w:r>
      <w:r w:rsidR="00F51B55" w:rsidRPr="00D637BA">
        <w:rPr>
          <w:rFonts w:ascii="Calibri" w:hAnsi="Calibri" w:cs="Calibri"/>
          <w:color w:val="000000" w:themeColor="text1"/>
          <w:sz w:val="22"/>
          <w:szCs w:val="22"/>
        </w:rPr>
        <w:t>)</w:t>
      </w:r>
      <w:r w:rsidR="00F51B55">
        <w:rPr>
          <w:rFonts w:ascii="Calibri" w:hAnsi="Calibri" w:cs="Calibri"/>
          <w:color w:val="000000" w:themeColor="text1"/>
          <w:sz w:val="22"/>
          <w:szCs w:val="22"/>
        </w:rPr>
        <w:t>, some of which are discussed above and are summarised in</w:t>
      </w:r>
      <w:r w:rsidR="00695537">
        <w:rPr>
          <w:rFonts w:ascii="Calibri" w:hAnsi="Calibri" w:cs="Calibri"/>
          <w:color w:val="000000" w:themeColor="text1"/>
          <w:sz w:val="22"/>
          <w:szCs w:val="22"/>
        </w:rPr>
        <w:t xml:space="preserve"> </w:t>
      </w:r>
      <w:r w:rsidR="000268DC">
        <w:rPr>
          <w:rFonts w:ascii="Calibri" w:hAnsi="Calibri" w:cs="Calibri"/>
          <w:color w:val="000000" w:themeColor="text1"/>
          <w:sz w:val="22"/>
          <w:szCs w:val="22"/>
        </w:rPr>
        <w:t>(Table 1)</w:t>
      </w:r>
      <w:r w:rsidRPr="00D637BA">
        <w:rPr>
          <w:rFonts w:ascii="Calibri" w:hAnsi="Calibri" w:cs="Calibri"/>
          <w:color w:val="000000" w:themeColor="text1"/>
          <w:sz w:val="22"/>
          <w:szCs w:val="22"/>
        </w:rPr>
        <w:t xml:space="preserve">. </w:t>
      </w:r>
    </w:p>
    <w:p w14:paraId="7283973C" w14:textId="732D7F3D" w:rsidR="004144E4" w:rsidRPr="00D637BA" w:rsidRDefault="004144E4" w:rsidP="00F0248B">
      <w:pPr>
        <w:spacing w:line="360" w:lineRule="auto"/>
        <w:jc w:val="both"/>
        <w:rPr>
          <w:rFonts w:ascii="Calibri" w:hAnsi="Calibri" w:cs="Calibri"/>
          <w:color w:val="000000" w:themeColor="text1"/>
          <w:sz w:val="22"/>
          <w:szCs w:val="22"/>
        </w:rPr>
      </w:pPr>
    </w:p>
    <w:p w14:paraId="7C7C3B1C" w14:textId="5C6EB693" w:rsidR="002D1B15" w:rsidRPr="00D637BA" w:rsidRDefault="00A6527C" w:rsidP="00B946E4">
      <w:pPr>
        <w:spacing w:line="360" w:lineRule="auto"/>
        <w:jc w:val="both"/>
        <w:rPr>
          <w:rFonts w:ascii="Calibri" w:hAnsi="Calibri" w:cs="Calibri"/>
          <w:b/>
          <w:color w:val="000000" w:themeColor="text1"/>
          <w:sz w:val="22"/>
          <w:szCs w:val="22"/>
        </w:rPr>
      </w:pPr>
      <w:r w:rsidRPr="00B946E4">
        <w:rPr>
          <w:rFonts w:ascii="Calibri" w:hAnsi="Calibri" w:cs="Calibri"/>
          <w:b/>
          <w:color w:val="000000" w:themeColor="text1"/>
          <w:sz w:val="22"/>
          <w:szCs w:val="22"/>
        </w:rPr>
        <w:t>[H</w:t>
      </w:r>
      <w:r w:rsidR="002D1B15" w:rsidRPr="00D637BA">
        <w:rPr>
          <w:rFonts w:ascii="Calibri" w:hAnsi="Calibri" w:cs="Calibri"/>
          <w:b/>
          <w:color w:val="000000" w:themeColor="text1"/>
          <w:sz w:val="22"/>
          <w:szCs w:val="22"/>
        </w:rPr>
        <w:t>2</w:t>
      </w:r>
      <w:r w:rsidRPr="00B946E4">
        <w:rPr>
          <w:rFonts w:ascii="Calibri" w:hAnsi="Calibri" w:cs="Calibri"/>
          <w:b/>
          <w:color w:val="000000" w:themeColor="text1"/>
          <w:sz w:val="22"/>
          <w:szCs w:val="22"/>
        </w:rPr>
        <w:t xml:space="preserve">] </w:t>
      </w:r>
      <w:r w:rsidR="00A27791" w:rsidRPr="00D637BA">
        <w:rPr>
          <w:rFonts w:ascii="Calibri" w:hAnsi="Calibri" w:cs="Calibri"/>
          <w:b/>
          <w:color w:val="000000" w:themeColor="text1"/>
          <w:sz w:val="22"/>
          <w:szCs w:val="22"/>
        </w:rPr>
        <w:t>O</w:t>
      </w:r>
      <w:r w:rsidR="004144E4" w:rsidRPr="00B946E4">
        <w:rPr>
          <w:rFonts w:ascii="Calibri" w:hAnsi="Calibri" w:cs="Calibri"/>
          <w:b/>
          <w:color w:val="000000" w:themeColor="text1"/>
          <w:sz w:val="22"/>
          <w:szCs w:val="22"/>
        </w:rPr>
        <w:t xml:space="preserve">ncometabolite </w:t>
      </w:r>
      <w:r w:rsidR="001C2C67" w:rsidRPr="00B946E4">
        <w:rPr>
          <w:rFonts w:ascii="Calibri" w:hAnsi="Calibri" w:cs="Calibri"/>
          <w:b/>
          <w:color w:val="000000" w:themeColor="text1"/>
          <w:sz w:val="22"/>
          <w:szCs w:val="22"/>
        </w:rPr>
        <w:t>accumulation</w:t>
      </w:r>
      <w:r w:rsidR="00692D86" w:rsidRPr="00D637BA">
        <w:rPr>
          <w:rFonts w:ascii="Calibri" w:hAnsi="Calibri" w:cs="Calibri"/>
          <w:b/>
          <w:color w:val="000000" w:themeColor="text1"/>
          <w:sz w:val="22"/>
          <w:szCs w:val="22"/>
        </w:rPr>
        <w:t xml:space="preserve"> </w:t>
      </w:r>
    </w:p>
    <w:p w14:paraId="1E6A14D9" w14:textId="10EE5BF0" w:rsidR="0010521A" w:rsidRPr="00D637BA" w:rsidRDefault="00F131BF" w:rsidP="00B946E4">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Targeting </w:t>
      </w:r>
      <w:r w:rsidR="000924D0" w:rsidRPr="00D637BA">
        <w:rPr>
          <w:rFonts w:ascii="Calibri" w:hAnsi="Calibri" w:cs="Calibri"/>
          <w:color w:val="000000" w:themeColor="text1"/>
          <w:sz w:val="22"/>
          <w:szCs w:val="22"/>
        </w:rPr>
        <w:t>the pathways that contribute</w:t>
      </w:r>
      <w:r w:rsidRPr="00D637BA">
        <w:rPr>
          <w:rFonts w:ascii="Calibri" w:hAnsi="Calibri" w:cs="Calibri"/>
          <w:color w:val="000000" w:themeColor="text1"/>
          <w:sz w:val="22"/>
          <w:szCs w:val="22"/>
        </w:rPr>
        <w:t xml:space="preserve"> to oncometabolite accumulation has shown promising results with evidence of translation into clinical practice</w:t>
      </w:r>
      <w:r w:rsidR="00393B3C">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{"citationID":"a1co3bnel0v","properties":{"formattedCitation":"\\super 202\\nosupersub{}","plainCitation":"202","noteIndex":0},"citationItems":[{"id":1745,"uris":["http://zotero.org/users/4775618/items/4T8XXKBT"],"uri":["http://zotero.org/users/4775618/items/4T8XXKBT"],"itemData":{"id":1745,"type":"article-journal","title":"The role of mutant IDH1 and IDH2 inhibitors in the treatment of acute myeloid leukemia","container-title":"Annals of Hematology","page":"1983-1991","volume":"96","issue":"12","source":"PubMed","abstract":"For decades, researchers have looked into the pathophysiology of acute myeloid leukemia (AML). With the advances in molecular techniques, the two-hit hypothesis was replaced by a multi-hit model, which also emphasizes the importance of aberrant epigenetic regulation in the pathogenesis of AML. IDH1 and IDH2 are two isoforms of isocitrate dehydrogenase that perform crucial roles in cellular metabolism. Somatic mutations in either of these two genes impart a neomorphic enzymatic activity upon the encoded enzymes resulting in the ability to convert α-ketoglutarate (αKG) into the oncometabolite R2-hydroxyglutarate (R2-HG), which can competitively inhibit multiple αKG-dependent dioxygenases. Inhibition of various classes of αKG-dependent dioxygenases results in dramatic epigenetic changes in hematopoietic cells, which has been found to directly impair differentiation. In addition to a global dysregulation of gene expression, other mechanisms have been described through which R2-HG promotes leukemic transformation including the induction of B cell lymphoma 2 dependency and stimulation of the EglN family of prolyl 4-hydroxylases (EglN). Due to the fact that mutations in IDH1 and IDH2 are acquired early during AML clonal evolution as well as because these mutations tend to remain stable during AML progression, the pharmaceutical industry has prompted the development of specific mutant IDH enzyme inhibitors. More recently, the FDA approved the first mutant IDH2 inhibitor, enasidenib (AG-221), for patients with relapsed or refractory IDH2-mutated AML (RR-AML). This has brought a lot of excitement to researchers, clinicians, and patients, especially because the treatment of AML remains challenging and is still associated with a high mortality.","DOI":"10.1007/s00277-017-3161-0","ISSN":"1432-0584","note":"PMID: 29090344","journalAbbreviation":"Ann. Hematol.","language":"eng","author":[{"family":"Nassereddine","given":"Samah"},{"family":"Lap","given":"Coen J."},{"family":"Haroun","given":"Faysal"},{"family":"Tabbara","given":"Imad"}],"issued":{"date-parts":[["2017",12]]}}}],"schema":"https://github.com/citation-style-language/schema/raw/master/csl-citation.json"} </w:instrText>
      </w:r>
      <w:r w:rsidR="00393B3C">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202</w:t>
      </w:r>
      <w:r w:rsidR="00393B3C">
        <w:rPr>
          <w:rFonts w:ascii="Calibri" w:hAnsi="Calibri" w:cs="Calibri"/>
          <w:color w:val="000000" w:themeColor="text1"/>
          <w:sz w:val="22"/>
          <w:szCs w:val="22"/>
        </w:rPr>
        <w:fldChar w:fldCharType="end"/>
      </w:r>
      <w:r w:rsidR="000924D0" w:rsidRPr="00D637BA">
        <w:rPr>
          <w:rFonts w:ascii="Calibri" w:hAnsi="Calibri" w:cs="Calibri"/>
          <w:color w:val="000000" w:themeColor="text1"/>
          <w:sz w:val="22"/>
          <w:szCs w:val="22"/>
        </w:rPr>
        <w:t xml:space="preserve">. </w:t>
      </w:r>
      <w:r w:rsidR="00904087" w:rsidRPr="00D637BA">
        <w:rPr>
          <w:rFonts w:ascii="Calibri" w:hAnsi="Calibri" w:cs="Calibri"/>
          <w:color w:val="000000" w:themeColor="text1"/>
          <w:sz w:val="22"/>
          <w:szCs w:val="22"/>
        </w:rPr>
        <w:t xml:space="preserve">One such example is the </w:t>
      </w:r>
      <w:r w:rsidRPr="00D637BA">
        <w:rPr>
          <w:rFonts w:ascii="Calibri" w:hAnsi="Calibri" w:cs="Calibri"/>
          <w:color w:val="000000" w:themeColor="text1"/>
          <w:sz w:val="22"/>
          <w:szCs w:val="22"/>
        </w:rPr>
        <w:t>development of specific mutant-IDH1</w:t>
      </w:r>
      <w:r w:rsidR="007A3610">
        <w:rPr>
          <w:rFonts w:ascii="Calibri" w:hAnsi="Calibri" w:cs="Calibri"/>
          <w:color w:val="000000" w:themeColor="text1"/>
          <w:sz w:val="22"/>
          <w:szCs w:val="22"/>
        </w:rPr>
        <w:t xml:space="preserve"> and mutant-IDH</w:t>
      </w:r>
      <w:r w:rsidRPr="00D637BA">
        <w:rPr>
          <w:rFonts w:ascii="Calibri" w:hAnsi="Calibri" w:cs="Calibri"/>
          <w:color w:val="000000" w:themeColor="text1"/>
          <w:sz w:val="22"/>
          <w:szCs w:val="22"/>
        </w:rPr>
        <w:t>2</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inhibitors </w:t>
      </w:r>
      <w:r w:rsidR="00904087" w:rsidRPr="00D637BA">
        <w:rPr>
          <w:rFonts w:ascii="Calibri" w:hAnsi="Calibri" w:cs="Calibri"/>
          <w:color w:val="000000" w:themeColor="text1"/>
          <w:sz w:val="22"/>
          <w:szCs w:val="22"/>
        </w:rPr>
        <w:t xml:space="preserve">that </w:t>
      </w:r>
      <w:r w:rsidRPr="00D637BA">
        <w:rPr>
          <w:rFonts w:ascii="Calibri" w:hAnsi="Calibri" w:cs="Calibri"/>
          <w:color w:val="000000" w:themeColor="text1"/>
          <w:sz w:val="22"/>
          <w:szCs w:val="22"/>
        </w:rPr>
        <w:t>reduc</w:t>
      </w:r>
      <w:r w:rsidR="00904087" w:rsidRPr="00D637BA">
        <w:rPr>
          <w:rFonts w:ascii="Calibri" w:hAnsi="Calibri" w:cs="Calibri"/>
          <w:color w:val="000000" w:themeColor="text1"/>
          <w:sz w:val="22"/>
          <w:szCs w:val="22"/>
        </w:rPr>
        <w:t>e</w:t>
      </w:r>
      <w:r w:rsidR="00480FD6" w:rsidRPr="00D637BA">
        <w:rPr>
          <w:rFonts w:ascii="Calibri" w:hAnsi="Calibri" w:cs="Calibri"/>
          <w:color w:val="000000" w:themeColor="text1"/>
          <w:sz w:val="22"/>
          <w:szCs w:val="22"/>
        </w:rPr>
        <w:t>d</w:t>
      </w:r>
      <w:r w:rsidRPr="00D637BA">
        <w:rPr>
          <w:rFonts w:ascii="Calibri" w:hAnsi="Calibri" w:cs="Calibri"/>
          <w:color w:val="000000" w:themeColor="text1"/>
          <w:sz w:val="22"/>
          <w:szCs w:val="22"/>
        </w:rPr>
        <w:t xml:space="preserve"> D2HG levels </w:t>
      </w:r>
      <w:r w:rsidR="00904087" w:rsidRPr="00D637BA">
        <w:rPr>
          <w:rFonts w:ascii="Calibri" w:hAnsi="Calibri" w:cs="Calibri"/>
          <w:color w:val="000000" w:themeColor="text1"/>
          <w:sz w:val="22"/>
          <w:szCs w:val="22"/>
        </w:rPr>
        <w:t>and</w:t>
      </w:r>
      <w:r w:rsidRPr="00D637BA">
        <w:rPr>
          <w:rFonts w:ascii="Calibri" w:hAnsi="Calibri" w:cs="Calibri"/>
          <w:color w:val="000000" w:themeColor="text1"/>
          <w:sz w:val="22"/>
          <w:szCs w:val="22"/>
        </w:rPr>
        <w:t xml:space="preserve"> revers</w:t>
      </w:r>
      <w:r w:rsidR="00904087" w:rsidRPr="00D637BA">
        <w:rPr>
          <w:rFonts w:ascii="Calibri" w:hAnsi="Calibri" w:cs="Calibri"/>
          <w:color w:val="000000" w:themeColor="text1"/>
          <w:sz w:val="22"/>
          <w:szCs w:val="22"/>
        </w:rPr>
        <w:t>e</w:t>
      </w:r>
      <w:r w:rsidR="00480FD6" w:rsidRPr="00D637BA">
        <w:rPr>
          <w:rFonts w:ascii="Calibri" w:hAnsi="Calibri" w:cs="Calibri"/>
          <w:color w:val="000000" w:themeColor="text1"/>
          <w:sz w:val="22"/>
          <w:szCs w:val="22"/>
        </w:rPr>
        <w:t>d</w:t>
      </w:r>
      <w:r w:rsidRPr="00D637BA">
        <w:rPr>
          <w:rFonts w:ascii="Calibri" w:hAnsi="Calibri" w:cs="Calibri"/>
          <w:color w:val="000000" w:themeColor="text1"/>
          <w:sz w:val="22"/>
          <w:szCs w:val="22"/>
        </w:rPr>
        <w:t xml:space="preserve"> the DNA</w:t>
      </w:r>
      <w:r w:rsidR="00904087" w:rsidRPr="00D637BA">
        <w:rPr>
          <w:rFonts w:ascii="Calibri" w:hAnsi="Calibri" w:cs="Calibri"/>
          <w:color w:val="000000" w:themeColor="text1"/>
          <w:sz w:val="22"/>
          <w:szCs w:val="22"/>
        </w:rPr>
        <w:t xml:space="preserve"> and </w:t>
      </w:r>
      <w:r w:rsidRPr="00D637BA">
        <w:rPr>
          <w:rFonts w:ascii="Calibri" w:hAnsi="Calibri" w:cs="Calibri"/>
          <w:color w:val="000000" w:themeColor="text1"/>
          <w:sz w:val="22"/>
          <w:szCs w:val="22"/>
        </w:rPr>
        <w:t>histone hypermethylation profile and cellular differentiation block in leukaemia in pre-clinical studies</w:t>
      </w:r>
      <w:r w:rsidR="00393B3C">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{"citationID":"a2nt33d742r","properties":{"formattedCitation":"\\super 115,203\\uc0\\u8211{}205\\nosupersub{}","plainCitation":"115,203–205","noteIndex":0},"citationItems":[{"id":1747,"uris":["http://zotero.org/users/4775618/items/SJKAHLWQ"],"uri":["http://zotero.org/users/4775618/items/SJKAHLWQ"],"itemData":{"id":1747,"type":"article-journal","title":"A pharmacogenomic approach validates AG-221 as an effective and on-target therapy in IDH2 mutant AML","container-title":"Leukemia","page":"1466-1470","volume":"31","issue":"6","source":"PubMed","DOI":"10.1038/leu.2017.84","ISSN":"1476-5551","note":"PMID: 28280273","journalAbbreviation":"Leukemia","language":"eng","author":[{"family":"Kats","given":"L. M."},{"family":"Vervoort","given":"S. J."},{"family":"Cole","given":"R."},{"family":"Rogers","given":"A. J."},{"family":"Gregory","given":"G. P."},{"family":"Vidacs","given":"E."},{"family":"Li","given":"J."},{"family":"Nagaraja","given":"R."},{"family":"Yen","given":"K. E."},{"family":"Johnstone","given":"R. W."}],"issued":{"date-parts":[["2017"]]}}},{"id":1739,"uris":["http://zotero.org/users/4775618/items/8Z67NQBK"],"uri":["http://zotero.org/users/4775618/items/8Z67NQBK"],"itemData":{"id":1739,"type":"article-journal","title":"IDH2 mutation-induced histone and DNA hypermethylation is progressively reversed by small-molecule inhibition","container-title":"Blood","page":"296-303","volume":"125","issue":"2","source":"www.bloodjournal.org.ezp.lib.cam.ac.uk","abstract":"Mutations of IDH1 and IDH2, which produce the oncometabolite 2-hydroxyglutarate (2HG), have been identified in several tumors, including acute myeloid leukemia. Recent studies have shown that expression of the IDH mutant enzymes results in high levels of 2HG and a block in cellular differentiation that can be reversed with IDH mutant-specific small-molecule inhibitors. To further understand the role of IDH mutations in cancer, we conducted mechanistic studies in the TF-1 IDH2 R140Q erythroleukemia model system and found that IDH2 mutant expression caused both histone and genomic DNA methylation changes that can be reversed when IDH2 mutant activity is inhibited. Specifically, histone hypermethylation is rapidly reversed within days, whereas reversal of DNA hypermethylation proceeds in a progressive manner over the course of weeks. We identified several gene signatures implicated in tumorigenesis of leukemia and lymphoma, indicating a selective modulation of relevant cancer genes by IDH mutations. As methylation of DNA and histones is closely linked to mRNA expression and differentiation, these results indicate that IDH2 mutant inhibition may function as a cancer therapy via histone and DNA demethylation at genes involved in differentiation and tumorigenesis.","URL":"http://www.bloodjournal.org.ezp.lib.cam.ac.uk/content/125/2/296","DOI":"10.1182/blood-2013-10-533604","ISSN":"0006-4971, 1528-0020","note":"PMID: 25398940","language":"en","author":[{"family":"Kernytsky","given":"Andrew"},{"family":"Wang","given":"Fang"},{"family":"Hansen","given":"Erica"},{"family":"Schalm","given":"Stefanie"},{"family":"Straley","given":"Kimberly"},{"family":"Gliser","given":"Camelia"},{"family":"Yang","given":"Hua"},{"family":"Travins","given":"Jeremy"},{"family":"Murray","given":"Stuart"},{"family":"Dorsch","given":"Marion"},{"family":"Agresta","given":"Sam"},{"family":"Schenkein","given":"David P."},{"family":"Biller","given":"Scott A."},{"family":"Su","given":"Shinsan M."},{"family":"Liu","given":"Wei"},{"family":"Yen","given":"Katharine E."}],"issued":{"date-parts":[["2015",1,8]]},"accessed":{"date-parts":[["2019",3,5]]}}},{"id":1351,"uris":["http://zotero.org/users/4775618/items/S62ERCDM"],"uri":["http://zotero.org/users/4775618/items/S62ERCDM"],"itemData":{"id":1351,"type":"article-journal","title":"(R)-2-Hydroxyglutarate Is Sufficient to Promote Leukemogenesis and Its Effects Are Reversible","container-title":"Science","page":"1621-1625","volume":"339","issue":"6127","source":"science.sciencemag.org","abstract":"Focusing on the Right Metabolite\nA variety of human cancers, including acute leukemias and brain tumors, have mutations in the genes encoding isocitrate dehydrogenase 1 or 2 (IDH1, IDH2), which cause overproduction of a metabolite called 2-hydroxyglutarate (2HG). Losman et al. (p. 1621, published online 7 February) show that the R- but not the S-enantiomer of 2HG can transform cells and that R-2HG mediates transformation at least in part through effects on protein modifying EglN prolyl hydroxylases. Importantly, the transforming activity of R-2HG was reversible, suggesting that therapeutic strategies focusing on inhibition of R-2HG production or inhibition of EglN prolyl hydroxylases merit further investigation.\nMutations in IDH1 and IDH2, the genes coding for isocitrate dehydrogenases 1 and 2, are common in several human cancers, including leukemias, and result in overproduction of the (R)-enantiomer of 2-hydroxyglutarate [(R)-2HG]. Elucidation of the role of IDH mutations and (R)-2HG in leukemogenesis has been hampered by a lack of appropriate cell-based models. Here, we show that a canonical IDH1 mutant, IDH1 R132H, promotes cytokine independence and blocks differentiation in hematopoietic cells. These effects can be recapitulated by (R)-2HG, but not (S)-2HG, despite the fact that (S)-2HG more potently inhibits enzymes, such as the 5′-methylcytosine hydroxylase TET2, that have previously been linked to the pathogenesis of IDH mutant tumors. We provide evidence that this paradox relates to the ability of (S)-2HG, but not (R)-2HG, to inhibit the EglN prolyl hydroxylases. Additionally, we show that transformation by (R)-2HG is reversible.\nA metabolite specific to certain cancers, and of therapeutic interest, exists in two forms, only one of which is oncogenic.\nA metabolite specific to certain cancers, and of therapeutic interest, exists in two forms, only one of which is oncogenic.","URL":"http://science.sciencemag.org/content/339/6127/1621","DOI":"10.1126/science.1231677","ISSN":"0036-8075, 1095-9203","note":"PMID: 23393090","language":"en","author":[{"family":"Losman","given":"Julie-Aurore"},{"family":"Looper","given":"Ryan E."},{"family":"Koivunen","given":"Peppi"},{"family":"Lee","given":"Sungwoo"},{"family":"Schneider","given":"Rebekka K."},{"family":"McMahon","given":"Christine"},{"family":"Cowley","given":"Glenn S."},{"family":"Root","given":"David E."},{"family":"Ebert","given":"Benjamin L."},{"family":"Kaelin","given":"William G."}],"issued":{"date-parts":[["2013",3,29]]},"accessed":{"date-parts":[["2019",2,23]]}}},{"id":1741,"uris":["http://zotero.org/users/4775618/items/AKIW47A9"],"uri":["http://zotero.org/users/4775618/items/AKIW47A9"],"itemData":{"id":1741,"type":"article-journal","title":"Targeted inhibition of mutant IDH2 in leukemia cells induces cellular differentiation","container-title":"Science (New York, N.Y.)","page":"622-626","volume":"340","issue":"6132","source":"PubMed","abstract":"A number of human cancers harbor somatic point mutations in the genes encoding isocitrate dehydrogenases 1 and 2 (IDH1 and IDH2). These mutations alter residues in the enzyme active sites and confer a gain-of-function in cancer cells, resulting in the accumulation and secretion of the oncometabolite (R)-2-hydroxyglutarate (2HG). We developed a small molecule, AGI-6780, that potently and selectively inhibits the tumor-associated mutant IDH2/R140Q. A crystal structure of AGI-6780 complexed with IDH2/R140Q revealed that the inhibitor binds in an allosteric manner at the dimer interface. The results of steady-state enzymology analysis were consistent with allostery and slow-tight binding by AGI-6780. Treatment with AGI-6780 induced differentiation of TF-1 erythroleukemia and primary human acute myelogenous leukemia cells in vitro. These data provide proof-of-concept that inhibitors targeting mutant IDH2/R140Q could have potential applications as a differentiation therapy for cancer.","DOI":"10.1126/science.1234769","ISSN":"1095-9203","note":"PMID: 23558173","journalAbbreviation":"Science","language":"eng","author":[{"family":"Wang","given":"Fang"},{"family":"Travins","given":"Jeremy"},{"family":"DeLaBarre","given":"Byron"},{"family":"Penard-Lacronique","given":"Virginie"},{"family":"Schalm","given":"Stefanie"},{"family":"Hansen","given":"Erica"},{"family":"Straley","given":"Kimberly"},{"family":"Kernytsky","given":"Andrew"},{"family":"Liu","given":"Wei"},{"family":"Gliser","given":"Camelia"},{"family":"Yang","given":"Hua"},{"family":"Gross","given":"Stefan"},{"family":"Artin","given":"Erin"},{"family":"Saada","given":"Veronique"},{"family":"Mylonas","given":"Elena"},{"family":"Quivoron","given":"Cyril"},{"family":"Popovici-Muller","given":"Janeta"},{"family":"Saunders","given":"Jeffrey O."},{"family":"Salituro","given":"Francesco G."},{"family":"Yan","given":"Shunqi"},{"family":"Murray","given":"Stuart"},{"family":"Wei","given":"Wentao"},{"family":"Gao","given":"Yi"},{"family":"Dang","given":"Lenny"},{"family":"Dorsch","given":"Marion"},{"family":"Agresta","given":"Sam"},{"family":"Schenkein","given":"David P."},{"family":"Biller","given":"Scott A."},{"family":"Su","given":"Shinsan M."},{"family":"Botton","given":"Stephane","non-dropping-particle":"de"},{"family":"Yen","given":"Katharine E."}],"issued":{"date-parts":[["2013",5,3]]}}}],"schema":"https://github.com/citation-style-language/schema/raw/master/csl-citation.json"} </w:instrText>
      </w:r>
      <w:r w:rsidR="00393B3C">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115,203–205</w:t>
      </w:r>
      <w:r w:rsidR="00393B3C">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4A6077" w:rsidRPr="00D637BA">
        <w:rPr>
          <w:rFonts w:ascii="Calibri" w:hAnsi="Calibri" w:cs="Calibri"/>
          <w:color w:val="000000" w:themeColor="text1"/>
          <w:sz w:val="22"/>
          <w:szCs w:val="22"/>
        </w:rPr>
        <w:t xml:space="preserve">This effort together with </w:t>
      </w:r>
      <w:r w:rsidR="0011537B">
        <w:rPr>
          <w:rFonts w:ascii="Calibri" w:hAnsi="Calibri" w:cs="Calibri"/>
          <w:color w:val="000000" w:themeColor="text1"/>
          <w:sz w:val="22"/>
          <w:szCs w:val="22"/>
        </w:rPr>
        <w:t>initial</w:t>
      </w:r>
      <w:r w:rsidR="00D1736D" w:rsidRPr="00D637BA">
        <w:rPr>
          <w:rFonts w:ascii="Calibri" w:hAnsi="Calibri" w:cs="Calibri"/>
          <w:color w:val="000000" w:themeColor="text1"/>
          <w:sz w:val="22"/>
          <w:szCs w:val="22"/>
        </w:rPr>
        <w:t xml:space="preserve"> </w:t>
      </w:r>
      <w:r w:rsidR="004A6077" w:rsidRPr="00D637BA">
        <w:rPr>
          <w:rFonts w:ascii="Calibri" w:hAnsi="Calibri" w:cs="Calibri"/>
          <w:color w:val="000000" w:themeColor="text1"/>
          <w:sz w:val="22"/>
          <w:szCs w:val="22"/>
        </w:rPr>
        <w:t xml:space="preserve">findings </w:t>
      </w:r>
      <w:r w:rsidR="00F51B55">
        <w:rPr>
          <w:rFonts w:ascii="Calibri" w:hAnsi="Calibri" w:cs="Calibri"/>
          <w:color w:val="000000" w:themeColor="text1"/>
          <w:sz w:val="22"/>
          <w:szCs w:val="22"/>
        </w:rPr>
        <w:t>from</w:t>
      </w:r>
      <w:r w:rsidR="004A6077" w:rsidRPr="00D637BA">
        <w:rPr>
          <w:rFonts w:ascii="Calibri" w:hAnsi="Calibri" w:cs="Calibri"/>
          <w:color w:val="000000" w:themeColor="text1"/>
          <w:sz w:val="22"/>
          <w:szCs w:val="22"/>
        </w:rPr>
        <w:t xml:space="preserve"> </w:t>
      </w:r>
      <w:r w:rsidR="004A6077" w:rsidRPr="00B946E4">
        <w:rPr>
          <w:rFonts w:ascii="Calibri" w:hAnsi="Calibri" w:cs="Calibri"/>
          <w:color w:val="000000" w:themeColor="text1"/>
          <w:sz w:val="22"/>
          <w:szCs w:val="22"/>
        </w:rPr>
        <w:t>c</w:t>
      </w:r>
      <w:r w:rsidRPr="00D637BA">
        <w:rPr>
          <w:rFonts w:ascii="Calibri" w:hAnsi="Calibri" w:cs="Calibri"/>
          <w:color w:val="000000" w:themeColor="text1"/>
          <w:sz w:val="22"/>
          <w:szCs w:val="22"/>
        </w:rPr>
        <w:t>linical studies</w:t>
      </w:r>
      <w:r w:rsidR="004A6077" w:rsidRPr="00B946E4">
        <w:rPr>
          <w:rFonts w:ascii="Calibri" w:hAnsi="Calibri" w:cs="Calibri"/>
          <w:color w:val="000000" w:themeColor="text1"/>
          <w:sz w:val="22"/>
          <w:szCs w:val="22"/>
        </w:rPr>
        <w:t xml:space="preserve"> </w:t>
      </w:r>
      <w:r w:rsidR="000D4503">
        <w:rPr>
          <w:rFonts w:ascii="Calibri" w:hAnsi="Calibri" w:cs="Calibri"/>
          <w:color w:val="000000" w:themeColor="text1"/>
          <w:sz w:val="22"/>
          <w:szCs w:val="22"/>
        </w:rPr>
        <w:t>demonstrat</w:t>
      </w:r>
      <w:r w:rsidR="00E507EE">
        <w:rPr>
          <w:rFonts w:ascii="Calibri" w:hAnsi="Calibri" w:cs="Calibri"/>
          <w:color w:val="000000" w:themeColor="text1"/>
          <w:sz w:val="22"/>
          <w:szCs w:val="22"/>
        </w:rPr>
        <w:t xml:space="preserve">ed a </w:t>
      </w:r>
      <w:r w:rsidR="00D1736D">
        <w:rPr>
          <w:rFonts w:ascii="Calibri" w:hAnsi="Calibri" w:cs="Calibri"/>
          <w:color w:val="000000" w:themeColor="text1"/>
          <w:sz w:val="22"/>
          <w:szCs w:val="22"/>
        </w:rPr>
        <w:t>promising</w:t>
      </w:r>
      <w:r w:rsidR="00E507EE">
        <w:rPr>
          <w:rFonts w:ascii="Calibri" w:hAnsi="Calibri" w:cs="Calibri"/>
          <w:color w:val="000000" w:themeColor="text1"/>
          <w:sz w:val="22"/>
          <w:szCs w:val="22"/>
        </w:rPr>
        <w:t xml:space="preserve"> overall response rate</w:t>
      </w:r>
      <w:r w:rsidR="00D1736D">
        <w:rPr>
          <w:rFonts w:ascii="Calibri" w:hAnsi="Calibri" w:cs="Calibri"/>
          <w:color w:val="000000" w:themeColor="text1"/>
          <w:sz w:val="22"/>
          <w:szCs w:val="22"/>
        </w:rPr>
        <w:t xml:space="preserve"> in patients with </w:t>
      </w:r>
      <w:r w:rsidR="00D1736D">
        <w:rPr>
          <w:rFonts w:ascii="Calibri" w:hAnsi="Calibri" w:cs="Calibri"/>
          <w:i/>
          <w:color w:val="000000" w:themeColor="text1"/>
          <w:sz w:val="22"/>
          <w:szCs w:val="22"/>
        </w:rPr>
        <w:t>IDH1-</w:t>
      </w:r>
      <w:r w:rsidR="00D1736D">
        <w:rPr>
          <w:rFonts w:ascii="Calibri" w:hAnsi="Calibri" w:cs="Calibri"/>
          <w:color w:val="000000" w:themeColor="text1"/>
          <w:sz w:val="22"/>
          <w:szCs w:val="22"/>
        </w:rPr>
        <w:t>mutant and</w:t>
      </w:r>
      <w:r w:rsidR="00D1736D">
        <w:rPr>
          <w:rFonts w:ascii="Calibri" w:hAnsi="Calibri" w:cs="Calibri"/>
          <w:i/>
          <w:color w:val="000000" w:themeColor="text1"/>
          <w:sz w:val="22"/>
          <w:szCs w:val="22"/>
        </w:rPr>
        <w:t xml:space="preserve"> </w:t>
      </w:r>
      <w:r w:rsidR="00D1736D" w:rsidRPr="00D637BA">
        <w:rPr>
          <w:rFonts w:ascii="Calibri" w:hAnsi="Calibri" w:cs="Calibri"/>
          <w:i/>
          <w:color w:val="000000" w:themeColor="text1"/>
          <w:sz w:val="22"/>
          <w:szCs w:val="22"/>
        </w:rPr>
        <w:t>IDH</w:t>
      </w:r>
      <w:r w:rsidR="00D1736D">
        <w:rPr>
          <w:rFonts w:ascii="Calibri" w:hAnsi="Calibri" w:cs="Calibri"/>
          <w:i/>
          <w:color w:val="000000" w:themeColor="text1"/>
          <w:sz w:val="22"/>
          <w:szCs w:val="22"/>
        </w:rPr>
        <w:t>2</w:t>
      </w:r>
      <w:r w:rsidR="00D1736D" w:rsidRPr="00D637BA">
        <w:rPr>
          <w:rFonts w:ascii="Calibri" w:hAnsi="Calibri" w:cs="Calibri"/>
          <w:i/>
          <w:color w:val="000000" w:themeColor="text1"/>
          <w:sz w:val="22"/>
          <w:szCs w:val="22"/>
        </w:rPr>
        <w:t>-</w:t>
      </w:r>
      <w:r w:rsidR="00D1736D" w:rsidRPr="00D637BA">
        <w:rPr>
          <w:rFonts w:ascii="Calibri" w:hAnsi="Calibri" w:cs="Calibri"/>
          <w:color w:val="000000" w:themeColor="text1"/>
          <w:sz w:val="22"/>
          <w:szCs w:val="22"/>
        </w:rPr>
        <w:t>mutant</w:t>
      </w:r>
      <w:r w:rsidR="00D1736D">
        <w:rPr>
          <w:rFonts w:ascii="Calibri" w:hAnsi="Calibri" w:cs="Calibri"/>
          <w:color w:val="000000" w:themeColor="text1"/>
          <w:sz w:val="22"/>
          <w:szCs w:val="22"/>
        </w:rPr>
        <w:t xml:space="preserve"> relapsed or </w:t>
      </w:r>
      <w:r w:rsidR="00D1736D" w:rsidRPr="00970F62">
        <w:rPr>
          <w:rFonts w:ascii="Calibri" w:hAnsi="Calibri" w:cs="Calibri"/>
          <w:color w:val="000000" w:themeColor="text1"/>
          <w:sz w:val="22"/>
          <w:szCs w:val="22"/>
        </w:rPr>
        <w:t>refractory AML</w:t>
      </w:r>
      <w:r w:rsidR="00393B3C" w:rsidRPr="00970F62">
        <w:rPr>
          <w:rFonts w:ascii="Calibri" w:hAnsi="Calibri" w:cs="Calibri"/>
          <w:b/>
          <w:color w:val="000000" w:themeColor="text1"/>
          <w:sz w:val="22"/>
          <w:szCs w:val="22"/>
        </w:rPr>
        <w:fldChar w:fldCharType="begin"/>
      </w:r>
      <w:r w:rsidR="003D6329" w:rsidRPr="00970F62">
        <w:rPr>
          <w:rFonts w:ascii="Calibri" w:hAnsi="Calibri" w:cs="Calibri"/>
          <w:b/>
          <w:color w:val="000000" w:themeColor="text1"/>
          <w:sz w:val="22"/>
          <w:szCs w:val="22"/>
        </w:rPr>
        <w:instrText xml:space="preserve"> ADDIN ZOTERO_ITEM CSL_CITATION {"citationID":"a1d9l6md63d","properties":{"formattedCitation":"\\super 202,206\\nosupersub{}","plainCitation":"202,206","noteIndex":0},"citationItems":[{"id":1749,"uris":["http://zotero.org/users/4775618/items/D8UUKHG7"],"uri":["http://zotero.org/users/4775618/items/D8UUKHG7"],"itemData":{"id":1749,"type":"article-journal","title":"Evidence for Clinical Differentiation and Differentiation Syndrome in Patients With Acute Myeloid Leukemia and IDH1 Mutations Treated With the Targeted Mutant IDH1 Inhibitor, AG-120","container-title":"Clinical Lymphoma, Myeloma &amp; Leukemia","page":"460-465","volume":"16","issue":"8","source":"PubMed","abstract":"BACKGROUND: Cancer-associated isocitrate dehydrogenase (IDH) mutations block normal cellular differentiation via production of the oncometabolite, R-2-hydroxyglutarate. In patients with acute myeloid leukemia (AML) receiving targeted mutant IDH inhibitor therapy, neutrophil recovery within the setting of clinical differentiation syndrome (DS) has been anecdotally described.\nPATIENTS AND METHODS: We describe 3 patients who developed clinically apparent DS during monotherapy with the mutant IDH1 inhibitor, AG-120, for relapsed/refractory AML.\nRESULTS: AG-120-induced differentiation commenced within the first 60 days of treatment, notably in the same time frame as clinical response, strengthening the purported mechanism of targeted mutant IDH inhibitor therapy via successful myeloid maturation. Symptoms of DS were nonspecific and included culture-negative fever, edema, hypotension, malaise, and pleural and/or pericardial effusions, in addition to marked neutrophil-predominant leukocytosis.\nCONCLUSION: DS can occur during treatment with targeted mutant IDH1 inhibitor therapy. Patients might present with nonspecific clinical manifestations often in the setting of leukocytosis related to exuberant neutrophil recovery. Prompt identification and initiation of treatment interventions, including hydroxyurea, corticosteroids, and/or consideration of temporary treatment discontinuation, are important to facilitate prompt resolution.","DOI":"10.1016/j.clml.2016.04.006","ISSN":"2152-2669","note":"PMID: 27245312\nPMCID: PMC4983480","journalAbbreviation":"Clin Lymphoma Myeloma Leuk","language":"eng","author":[{"family":"Birendra","given":"K. C."},{"family":"DiNardo","given":"Courtney D."}],"issued":{"date-parts":[["2016"]]}}},{"id":1745,"uris":["http://zotero.org/users/4775618/items/4T8XXKBT"],"uri":["http://zotero.org/users/4775618/items/4T8XXKBT"],"itemData":{"id":1745,"type":"article-journal","title":"The role of mutant IDH1 and IDH2 inhibitors in the treatment of acute myeloid leukemia","container-title":"Annals of Hematology","page":"1983-1991","volume":"96","issue":"12","source":"PubMed","abstract":"For decades, researchers have looked into the pathophysiology of acute myeloid leukemia (AML). With the advances in molecular techniques, the two-hit hypothesis was replaced by a multi-hit model, which also emphasizes the importance of aberrant epigenetic regulation in the pathogenesis of AML. IDH1 and IDH2 are two isoforms of isocitrate dehydrogenase that perform crucial roles in cellular metabolism. Somatic mutations in either of these two genes impart a neomorphic enzymatic activity upon the encoded enzymes resulting in the ability to convert α-ketoglutarate (αKG) into the oncometabolite R2-hydroxyglutarate (R2-HG), which can competitively inhibit multiple αKG-dependent dioxygenases. Inhibition of various classes of αKG-dependent dioxygenases results in dramatic epigenetic changes in hematopoietic cells, which has been found to directly impair differentiation. In addition to a global dysregulation of gene expression, other mechanisms have been described through which R2-HG promotes leukemic transformation including the induction of B cell lymphoma 2 dependency and stimulation of the EglN family of prolyl 4-hydroxylases (EglN). Due to the fact that mutations in IDH1 and IDH2 are acquired early during AML clonal evolution as well as because these mutations tend to remain stable during AML progression, the pharmaceutical industry has prompted the development of specific mutant IDH enzyme inhibitors. More recently, the FDA approved the first mutant IDH2 inhibitor, enasidenib (AG-221), for patients with relapsed or refractory IDH2-mutated AML (RR-AML). This has brought a lot of excitement to researchers, clinicians, and patients, especially because the treatment of AML remains challenging and is still associated with a high mortality.","DOI":"10.1007/s00277-017-3161-0","ISSN":"1432-0584","note":"PMID: 29090344","journalAbbreviation":"Ann. Hematol.","language":"eng","author":[{"family":"Nassereddine","given":"Samah"},{"family":"Lap","given":"Coen J."},{"family":"Haroun","given":"Faysal"},{"family":"Tabbara","given":"Imad"}],"issued":{"date-parts":[["2017",12]]}}}],"schema":"https://github.com/citation-style-language/schema/raw/master/csl-citation.json"} </w:instrText>
      </w:r>
      <w:r w:rsidR="00393B3C" w:rsidRPr="00970F62">
        <w:rPr>
          <w:rFonts w:ascii="Calibri" w:hAnsi="Calibri" w:cs="Calibri"/>
          <w:b/>
          <w:color w:val="000000" w:themeColor="text1"/>
          <w:sz w:val="22"/>
          <w:szCs w:val="22"/>
        </w:rPr>
        <w:fldChar w:fldCharType="separate"/>
      </w:r>
      <w:r w:rsidR="003D6329" w:rsidRPr="00970F62">
        <w:rPr>
          <w:rFonts w:ascii="Calibri" w:hAnsi="Calibri" w:cs="Calibri"/>
          <w:color w:val="000000" w:themeColor="text1"/>
          <w:sz w:val="22"/>
          <w:vertAlign w:val="superscript"/>
          <w:lang w:val="en-US"/>
        </w:rPr>
        <w:t>202,206</w:t>
      </w:r>
      <w:r w:rsidR="00393B3C" w:rsidRPr="00970F62">
        <w:rPr>
          <w:rFonts w:ascii="Calibri" w:hAnsi="Calibri" w:cs="Calibri"/>
          <w:b/>
          <w:color w:val="000000" w:themeColor="text1"/>
          <w:sz w:val="22"/>
          <w:szCs w:val="22"/>
        </w:rPr>
        <w:fldChar w:fldCharType="end"/>
      </w:r>
      <w:r w:rsidRPr="00970F62">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resulted in the</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approval</w:t>
      </w:r>
      <w:r w:rsidR="004A676A">
        <w:rPr>
          <w:rFonts w:ascii="Calibri" w:hAnsi="Calibri" w:cs="Calibri"/>
          <w:color w:val="000000" w:themeColor="text1"/>
          <w:sz w:val="22"/>
          <w:szCs w:val="22"/>
        </w:rPr>
        <w:t xml:space="preserve"> of</w:t>
      </w:r>
      <w:r w:rsidR="002A63D3">
        <w:rPr>
          <w:rFonts w:ascii="Calibri" w:hAnsi="Calibri" w:cs="Calibri"/>
          <w:color w:val="000000" w:themeColor="text1"/>
          <w:sz w:val="22"/>
          <w:szCs w:val="22"/>
        </w:rPr>
        <w:t xml:space="preserve"> </w:t>
      </w:r>
      <w:r w:rsidR="00D752E8">
        <w:rPr>
          <w:rFonts w:ascii="Calibri" w:hAnsi="Calibri" w:cs="Calibri"/>
          <w:color w:val="000000" w:themeColor="text1"/>
          <w:sz w:val="22"/>
          <w:szCs w:val="22"/>
        </w:rPr>
        <w:t>Ivosidenib</w:t>
      </w:r>
      <w:r w:rsidR="00A1799A">
        <w:rPr>
          <w:rFonts w:ascii="Calibri" w:hAnsi="Calibri" w:cs="Calibri"/>
          <w:color w:val="000000" w:themeColor="text1"/>
          <w:sz w:val="22"/>
          <w:szCs w:val="22"/>
        </w:rPr>
        <w:t xml:space="preserve"> in 2018</w:t>
      </w:r>
      <w:r w:rsidR="00D752E8">
        <w:rPr>
          <w:rFonts w:ascii="Calibri" w:hAnsi="Calibri" w:cs="Calibri"/>
          <w:color w:val="000000" w:themeColor="text1"/>
          <w:sz w:val="22"/>
          <w:szCs w:val="22"/>
        </w:rPr>
        <w:t xml:space="preserve"> and E</w:t>
      </w:r>
      <w:r w:rsidR="004A676A" w:rsidRPr="004A676A">
        <w:rPr>
          <w:rFonts w:ascii="Calibri" w:hAnsi="Calibri" w:cs="Calibri"/>
          <w:color w:val="000000" w:themeColor="text1"/>
          <w:sz w:val="22"/>
          <w:szCs w:val="22"/>
        </w:rPr>
        <w:t>nasidenib</w:t>
      </w:r>
      <w:r w:rsidR="004A676A">
        <w:rPr>
          <w:rFonts w:ascii="Calibri" w:hAnsi="Calibri" w:cs="Calibri"/>
          <w:color w:val="000000" w:themeColor="text1"/>
          <w:sz w:val="22"/>
          <w:szCs w:val="22"/>
        </w:rPr>
        <w:t xml:space="preserve"> in 2017</w:t>
      </w:r>
      <w:r w:rsidR="0011537B">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11537B">
        <w:rPr>
          <w:rFonts w:ascii="Calibri" w:hAnsi="Calibri" w:cs="Calibri"/>
          <w:color w:val="000000" w:themeColor="text1"/>
          <w:sz w:val="22"/>
          <w:szCs w:val="22"/>
        </w:rPr>
        <w:t>respectively</w:t>
      </w:r>
      <w:r w:rsidR="00970F62">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for use in the management of </w:t>
      </w:r>
      <w:r w:rsidR="00D1736D">
        <w:rPr>
          <w:rFonts w:ascii="Calibri" w:hAnsi="Calibri" w:cs="Calibri"/>
          <w:color w:val="000000" w:themeColor="text1"/>
          <w:sz w:val="22"/>
          <w:szCs w:val="22"/>
        </w:rPr>
        <w:t>this particular cohort</w:t>
      </w:r>
      <w:r w:rsidR="0011537B">
        <w:rPr>
          <w:rFonts w:ascii="Calibri" w:hAnsi="Calibri" w:cs="Calibri"/>
          <w:color w:val="000000" w:themeColor="text1"/>
          <w:sz w:val="22"/>
          <w:szCs w:val="22"/>
        </w:rPr>
        <w:t xml:space="preserve"> of patients</w:t>
      </w:r>
      <w:r w:rsidR="00393B3C">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{"citationID":"ac5r5t70l2","properties":{"formattedCitation":"\\super 202,207\\nosupersub{}","plainCitation":"202,207","noteIndex":0},"citationItems":[{"id":1745,"uris":["http://zotero.org/users/4775618/items/4T8XXKBT"],"uri":["http://zotero.org/users/4775618/items/4T8XXKBT"],"itemData":{"id":1745,"type":"article-journal","title":"The role of mutant IDH1 and IDH2 inhibitors in the treatment of acute myeloid leukemia","container-title":"Annals of Hematology","page":"1983-1991","volume":"96","issue":"12","source":"PubMed","abstract":"For decades, researchers have looked into the pathophysiology of acute myeloid leukemia (AML). With the advances in molecular techniques, the two-hit hypothesis was replaced by a multi-hit model, which also emphasizes the importance of aberrant epigenetic regulation in the pathogenesis of AML. IDH1 and IDH2 are two isoforms of isocitrate dehydrogenase that perform crucial roles in cellular metabolism. Somatic mutations in either of these two genes impart a neomorphic enzymatic activity upon the encoded enzymes resulting in the ability to convert α-ketoglutarate (αKG) into the oncometabolite R2-hydroxyglutarate (R2-HG), which can competitively inhibit multiple αKG-dependent dioxygenases. Inhibition of various classes of αKG-dependent dioxygenases results in dramatic epigenetic changes in hematopoietic cells, which has been found to directly impair differentiation. In addition to a global dysregulation of gene expression, other mechanisms have been described through which R2-HG promotes leukemic transformation including the induction of B cell lymphoma 2 dependency and stimulation of the EglN family of prolyl 4-hydroxylases (EglN). Due to the fact that mutations in IDH1 and IDH2 are acquired early during AML clonal evolution as well as because these mutations tend to remain stable during AML progression, the pharmaceutical industry has prompted the development of specific mutant IDH enzyme inhibitors. More recently, the FDA approved the first mutant IDH2 inhibitor, enasidenib (AG-221), for patients with relapsed or refractory IDH2-mutated AML (RR-AML). This has brought a lot of excitement to researchers, clinicians, and patients, especially because the treatment of AML remains challenging and is still associated with a high mortality.","DOI":"10.1007/s00277-017-3161-0","ISSN":"1432-0584","note":"PMID: 29090344","journalAbbreviation":"Ann. Hematol.","language":"eng","author":[{"family":"Nassereddine","given":"Samah"},{"family":"Lap","given":"Coen J."},{"family":"Haroun","given":"Faysal"},{"family":"Tabbara","given":"Imad"}],"issued":{"date-parts":[["2017",12]]}}},{"id":2815,"uris":["http://zotero.org/users/4775618/items/FNGR6NKH"],"uri":["http://zotero.org/users/4775618/items/FNGR6NKH"],"itemData":{"id":2815,"type":"article-journal","title":"FDA Approval Summary: Ivosidenib for Relapsed or Refractory Acute Myeloid Leukemia with an Isocitrate Dehydrogenase-1 Mutation","container-title":"Clinical Cancer Research: An Official Journal of the American Association for Cancer Research","page":"3205-3209","volume":"25","issue":"11","source":"PubMed","abstract":"The FDA approved ivosidenib (Tibsovo; Agios), a small-molecule inhibitor of isocitrate dehydrogenase (IDH)1 on July 20, 2018, for treatment of adults with relapsed or refractory acute myeloid leukemia (R/R AML) with susceptible IDH1 mutation as detected by an FDA-approved test. The efficacy of ivosidenib was established on the basis of complete remission (CR) + CR with partial hematologic recovery (CRh) rate, duration of CR + CRh, and conversion from transfusion dependence (TD) to transfusion independence (TI) in Study AG120-C-001, a single-arm trial. With median follow-up of 8.3 months for 174 adults with IDH1-mutated R/R AML treated with 500 mg ivosidenib daily, the CR + CRh rate was 33% [95% confidence interval (CI), 26-40], median duration of response was 8.2 (95% CI, 5.6-12) months, and conversion from TD to TI occurred in 37% of patients. These endpoints reflect short-term benefit in patients with an unmet medical need; long-term efficacy outcomes were not assessed. Serious adverse reactions (AR) in ≥5% of patients were differentiation syndrome (10%), leukocytosis (10%), and QT interval prolongation (7%). Common (≥20%) ARs of any grade were fatigue, leukocytosis, arthralgia, diarrhea, dyspnea, edema, nausea, mucositis, QT interval prolongation, rash, pyrexia, cough, and constipation. Assessment of long-term safety of ivosidenib is a condition of this approval.","DOI":"10.1158/1078-0432.CCR-18-3749","ISSN":"1078-0432","note":"PMID: 30692099","title-short":"FDA Approval Summary","journalAbbreviation":"Clin. Cancer Res.","language":"eng","author":[{"family":"Norsworthy","given":"Kelly J."},{"family":"Luo","given":"Lola"},{"family":"Hsu","given":"Vicky"},{"family":"Gudi","given":"Ramadevi"},{"family":"Dorff","given":"Sarah E."},{"family":"Przepiorka","given":"Donna"},{"family":"Deisseroth","given":"Albert"},{"family":"Shen","given":"Yuan-Li"},{"family":"Sheth","given":"Christopher M."},{"family":"Charlab","given":"Rosane"},{"family":"Williams","given":"Gene M."},{"family":"Goldberg","given":"Kirsten B."},{"family":"Farrell","given":"Ann T."},{"family":"Pazdur","given":"Richard"}],"issued":{"date-parts":[["2019",6,1]]}}}],"schema":"https://github.com/citation-style-language/schema/raw/master/csl-citation.json"} </w:instrText>
      </w:r>
      <w:r w:rsidR="00393B3C">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202,207</w:t>
      </w:r>
      <w:r w:rsidR="00393B3C">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007A3610">
        <w:rPr>
          <w:rFonts w:ascii="Calibri" w:hAnsi="Calibri" w:cs="Calibri"/>
          <w:color w:val="000000" w:themeColor="text1"/>
          <w:sz w:val="22"/>
          <w:szCs w:val="22"/>
        </w:rPr>
        <w:t xml:space="preserve"> As mutant IDH is not implicated in the pathophysiology of oncometabolite-associated RCC</w:t>
      </w:r>
      <w:r w:rsidR="004A676A">
        <w:rPr>
          <w:rFonts w:ascii="Calibri" w:hAnsi="Calibri" w:cs="Calibri"/>
          <w:color w:val="000000" w:themeColor="text1"/>
          <w:sz w:val="22"/>
          <w:szCs w:val="22"/>
        </w:rPr>
        <w:t>,</w:t>
      </w:r>
      <w:r w:rsidR="007A3610">
        <w:rPr>
          <w:rFonts w:ascii="Calibri" w:hAnsi="Calibri" w:cs="Calibri"/>
          <w:color w:val="000000" w:themeColor="text1"/>
          <w:sz w:val="22"/>
          <w:szCs w:val="22"/>
        </w:rPr>
        <w:t xml:space="preserve"> it is unlikely to be beneficial</w:t>
      </w:r>
      <w:r w:rsidR="004A676A">
        <w:rPr>
          <w:rFonts w:ascii="Calibri" w:hAnsi="Calibri" w:cs="Calibri"/>
          <w:color w:val="000000" w:themeColor="text1"/>
          <w:sz w:val="22"/>
          <w:szCs w:val="22"/>
        </w:rPr>
        <w:t xml:space="preserve"> in this setting</w:t>
      </w:r>
      <w:r w:rsidR="007A3610">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p>
    <w:p w14:paraId="0308AABA" w14:textId="4A4F97A0" w:rsidR="006B30B9" w:rsidRPr="00D637BA" w:rsidRDefault="00F131BF" w:rsidP="00F0248B">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Another rapidly emerging area of interest is the use of glutaminase inhibitors in oncology. Cancer cells </w:t>
      </w:r>
      <w:r w:rsidR="004A6077" w:rsidRPr="00D637BA">
        <w:rPr>
          <w:rFonts w:ascii="Calibri" w:hAnsi="Calibri" w:cs="Calibri"/>
          <w:color w:val="000000" w:themeColor="text1"/>
          <w:sz w:val="22"/>
          <w:szCs w:val="22"/>
        </w:rPr>
        <w:t xml:space="preserve">have </w:t>
      </w:r>
      <w:r w:rsidRPr="00D637BA">
        <w:rPr>
          <w:rFonts w:ascii="Calibri" w:hAnsi="Calibri" w:cs="Calibri"/>
          <w:color w:val="000000" w:themeColor="text1"/>
          <w:sz w:val="22"/>
          <w:szCs w:val="22"/>
        </w:rPr>
        <w:t>long</w:t>
      </w:r>
      <w:r w:rsidR="004A6077" w:rsidRPr="00D637BA">
        <w:rPr>
          <w:rFonts w:ascii="Calibri" w:hAnsi="Calibri" w:cs="Calibri"/>
          <w:color w:val="000000" w:themeColor="text1"/>
          <w:sz w:val="22"/>
          <w:szCs w:val="22"/>
        </w:rPr>
        <w:t xml:space="preserve"> been</w:t>
      </w:r>
      <w:r w:rsidRPr="00D637BA">
        <w:rPr>
          <w:rFonts w:ascii="Calibri" w:hAnsi="Calibri" w:cs="Calibri"/>
          <w:color w:val="000000" w:themeColor="text1"/>
          <w:sz w:val="22"/>
          <w:szCs w:val="22"/>
        </w:rPr>
        <w:t xml:space="preserve"> recognised to rely on glutamine as an essential fuel source and biosynthetic precursor to support the demands of rapid growth, survival and </w:t>
      </w:r>
      <w:r w:rsidR="00DE6089" w:rsidRPr="00B946E4">
        <w:rPr>
          <w:rFonts w:ascii="Calibri" w:hAnsi="Calibri" w:cs="Calibri"/>
          <w:color w:val="000000" w:themeColor="text1"/>
          <w:sz w:val="22"/>
          <w:szCs w:val="22"/>
        </w:rPr>
        <w:t xml:space="preserve">cellular </w:t>
      </w:r>
      <w:r w:rsidRPr="00D637BA">
        <w:rPr>
          <w:rFonts w:ascii="Calibri" w:hAnsi="Calibri" w:cs="Calibri"/>
          <w:color w:val="000000" w:themeColor="text1"/>
          <w:sz w:val="22"/>
          <w:szCs w:val="22"/>
        </w:rPr>
        <w:t>stress</w:t>
      </w:r>
      <w:r w:rsidR="001A328F">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{"citationID":"a1c81fro4uv","properties":{"formattedCitation":"\\super 175\\nosupersub{}","plainCitation":"175","noteIndex":0},"citationItems":[{"id":897,"uris":["http://zotero.org/users/4775618/items/2QF3M2VA"],"uri":["http://zotero.org/users/4775618/items/2QF3M2VA"],"itemData":{"id":897,"type":"article-journal","title":"Glutamine and cancer: cell biology, physiology, and clinical opportunities","container-title":"The Journal of Clinical Investigation","page":"3678-3684","volume":"123","issue":"9","source":"PubMed Central","abstract":"Glutamine is an abundant and versatile nutrient that participates in energy formation, redox homeostasis, macromolecular synthesis, and signaling in cancer cells. These characteristics make glutamine metabolism an appealing target for new clinical strategies to detect, monitor, and treat cancer. Here we review the metabolic functions of glutamine as a super nutrient and the surprising roles of glutamine in supporting the biological hallmarks of malignancy. We also review recent efforts in imaging and therapeutics to exploit tumor cell glutamine dependence, discuss some of the challenges in this arena, and suggest a disease-focused paradigm to deploy these emerging approaches.","URL":"https://www.ncbi.nlm.nih.gov/pmc/articles/PMC3754270/","DOI":"10.1172/JCI69600","ISSN":"0021-9738","note":"PMID: 23999442\nPMCID: PMC3754270","title-short":"Glutamine and cancer","journalAbbreviation":"J Clin Invest","author":[{"family":"Hensley","given":"Christopher T."},{"family":"Wasti","given":"Ajla T."},{"family":"DeBerardinis","given":"Ralph J."}],"issued":{"date-parts":[["2013",9,3]]},"accessed":{"date-parts":[["2019",1,5]]}}}],"schema":"https://github.com/citation-style-language/schema/raw/master/csl-citation.json"} </w:instrText>
      </w:r>
      <w:r w:rsidR="001A328F">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175</w:t>
      </w:r>
      <w:r w:rsidR="001A328F">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Glutamine has several fates</w:t>
      </w:r>
      <w:r w:rsidR="00D9446E"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w:t>
      </w:r>
      <w:r w:rsidR="00F51B55" w:rsidRPr="00D637BA">
        <w:rPr>
          <w:rFonts w:ascii="Calibri" w:hAnsi="Calibri" w:cs="Calibri"/>
          <w:color w:val="000000" w:themeColor="text1"/>
          <w:sz w:val="22"/>
          <w:szCs w:val="22"/>
        </w:rPr>
        <w:t xml:space="preserve">however, </w:t>
      </w:r>
      <w:r w:rsidRPr="00D637BA">
        <w:rPr>
          <w:rFonts w:ascii="Calibri" w:hAnsi="Calibri" w:cs="Calibri"/>
          <w:color w:val="000000" w:themeColor="text1"/>
          <w:sz w:val="22"/>
          <w:szCs w:val="22"/>
        </w:rPr>
        <w:t>the conversion of glutamine to αKG as an anaplerotic source</w:t>
      </w:r>
      <w:r w:rsidR="000D4503">
        <w:rPr>
          <w:rFonts w:ascii="Calibri" w:hAnsi="Calibri" w:cs="Calibri"/>
          <w:color w:val="000000" w:themeColor="text1"/>
          <w:sz w:val="22"/>
          <w:szCs w:val="22"/>
        </w:rPr>
        <w:t xml:space="preserve"> for the TCA cycle</w:t>
      </w:r>
      <w:r w:rsidR="004A6077"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is of particular relevance</w:t>
      </w:r>
      <w:r w:rsidR="00DE6089" w:rsidRPr="00D637BA">
        <w:rPr>
          <w:rFonts w:ascii="Calibri" w:hAnsi="Calibri" w:cs="Calibri"/>
          <w:color w:val="000000" w:themeColor="text1"/>
          <w:sz w:val="22"/>
          <w:szCs w:val="22"/>
        </w:rPr>
        <w:t xml:space="preserve"> </w:t>
      </w:r>
      <w:r w:rsidR="00A12D1E" w:rsidRPr="00D637BA">
        <w:rPr>
          <w:rFonts w:ascii="Calibri" w:hAnsi="Calibri" w:cs="Calibri"/>
          <w:color w:val="000000" w:themeColor="text1"/>
          <w:sz w:val="22"/>
          <w:szCs w:val="22"/>
        </w:rPr>
        <w:t>in cancer. T</w:t>
      </w:r>
      <w:r w:rsidR="00DE6089" w:rsidRPr="00D637BA">
        <w:rPr>
          <w:rFonts w:ascii="Calibri" w:hAnsi="Calibri" w:cs="Calibri"/>
          <w:color w:val="000000" w:themeColor="text1"/>
          <w:sz w:val="22"/>
          <w:szCs w:val="22"/>
        </w:rPr>
        <w:t>he</w:t>
      </w:r>
      <w:r w:rsidRPr="00D637BA">
        <w:rPr>
          <w:rFonts w:ascii="Calibri" w:hAnsi="Calibri" w:cs="Calibri"/>
          <w:color w:val="000000" w:themeColor="text1"/>
          <w:sz w:val="22"/>
          <w:szCs w:val="22"/>
        </w:rPr>
        <w:t xml:space="preserve"> first step</w:t>
      </w:r>
      <w:r w:rsidR="00D9446E" w:rsidRPr="00D637BA">
        <w:rPr>
          <w:rFonts w:ascii="Calibri" w:hAnsi="Calibri" w:cs="Calibri"/>
          <w:color w:val="000000" w:themeColor="text1"/>
          <w:sz w:val="22"/>
          <w:szCs w:val="22"/>
        </w:rPr>
        <w:t xml:space="preserve"> in this process — the conversion of</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glutamine </w:t>
      </w:r>
      <w:r w:rsidR="00D9446E" w:rsidRPr="00D637BA">
        <w:rPr>
          <w:rFonts w:ascii="Calibri" w:hAnsi="Calibri" w:cs="Calibri"/>
          <w:color w:val="000000" w:themeColor="text1"/>
          <w:sz w:val="22"/>
          <w:szCs w:val="22"/>
        </w:rPr>
        <w:t>into</w:t>
      </w:r>
      <w:r w:rsidRPr="00D637BA">
        <w:rPr>
          <w:rFonts w:ascii="Calibri" w:hAnsi="Calibri" w:cs="Calibri"/>
          <w:color w:val="000000" w:themeColor="text1"/>
          <w:sz w:val="22"/>
          <w:szCs w:val="22"/>
        </w:rPr>
        <w:t xml:space="preserve"> glutamate</w:t>
      </w:r>
      <w:r w:rsidR="00D9446E"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 is catalysed by glutaminase</w:t>
      </w:r>
      <w:r w:rsidR="001A328F">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{"citationID":"a11l758sscs","properties":{"formattedCitation":"\\super 175\\nosupersub{}","plainCitation":"175","noteIndex":0},"citationItems":[{"id":897,"uris":["http://zotero.org/users/4775618/items/2QF3M2VA"],"uri":["http://zotero.org/users/4775618/items/2QF3M2VA"],"itemData":{"id":897,"type":"article-journal","title":"Glutamine and cancer: cell biology, physiology, and clinical opportunities","container-title":"The Journal of Clinical Investigation","page":"3678-3684","volume":"123","issue":"9","source":"PubMed Central","abstract":"Glutamine is an abundant and versatile nutrient that participates in energy formation, redox homeostasis, macromolecular synthesis, and signaling in cancer cells. These characteristics make glutamine metabolism an appealing target for new clinical strategies to detect, monitor, and treat cancer. Here we review the metabolic functions of glutamine as a super nutrient and the surprising roles of glutamine in supporting the biological hallmarks of malignancy. We also review recent efforts in imaging and therapeutics to exploit tumor cell glutamine dependence, discuss some of the challenges in this arena, and suggest a disease-focused paradigm to deploy these emerging approaches.","URL":"https://www.ncbi.nlm.nih.gov/pmc/articles/PMC3754270/","DOI":"10.1172/JCI69600","ISSN":"0021-9738","note":"PMID: 23999442\nPMCID: PMC3754270","title-short":"Glutamine and cancer","journalAbbreviation":"J Clin Invest","author":[{"family":"Hensley","given":"Christopher T."},{"family":"Wasti","given":"Ajla T."},{"family":"DeBerardinis","given":"Ralph J."}],"issued":{"date-parts":[["2013",9,3]]},"accessed":{"date-parts":[["2019",1,5]]}}}],"schema":"https://github.com/citation-style-language/schema/raw/master/csl-citation.json"} </w:instrText>
      </w:r>
      <w:r w:rsidR="001A328F">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175</w:t>
      </w:r>
      <w:r w:rsidR="001A328F">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DE6089" w:rsidRPr="00D637BA">
        <w:rPr>
          <w:rFonts w:ascii="Calibri" w:hAnsi="Calibri" w:cs="Calibri"/>
          <w:color w:val="000000" w:themeColor="text1"/>
          <w:sz w:val="22"/>
          <w:szCs w:val="22"/>
        </w:rPr>
        <w:t>C</w:t>
      </w:r>
      <w:r w:rsidRPr="00D637BA">
        <w:rPr>
          <w:rFonts w:ascii="Calibri" w:hAnsi="Calibri" w:cs="Calibri"/>
          <w:color w:val="000000" w:themeColor="text1"/>
          <w:sz w:val="22"/>
          <w:szCs w:val="22"/>
        </w:rPr>
        <w:t>ancers with defective mitochondria</w:t>
      </w:r>
      <w:r w:rsidR="00DE6089"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such as </w:t>
      </w:r>
      <w:r w:rsidRPr="00D637BA">
        <w:rPr>
          <w:rFonts w:ascii="Calibri" w:hAnsi="Calibri" w:cs="Calibri"/>
          <w:i/>
          <w:color w:val="000000" w:themeColor="text1"/>
          <w:sz w:val="22"/>
          <w:szCs w:val="22"/>
        </w:rPr>
        <w:t>FH-</w:t>
      </w:r>
      <w:r w:rsidR="00DE6089" w:rsidRPr="00D637BA">
        <w:rPr>
          <w:rFonts w:ascii="Calibri" w:hAnsi="Calibri" w:cs="Calibri"/>
          <w:color w:val="000000" w:themeColor="text1"/>
          <w:sz w:val="22"/>
          <w:szCs w:val="22"/>
        </w:rPr>
        <w:t>deficient</w:t>
      </w:r>
      <w:r w:rsidRPr="00D637BA">
        <w:rPr>
          <w:rFonts w:ascii="Calibri" w:hAnsi="Calibri" w:cs="Calibri"/>
          <w:color w:val="000000" w:themeColor="text1"/>
          <w:sz w:val="22"/>
          <w:szCs w:val="22"/>
        </w:rPr>
        <w:t xml:space="preserve"> and </w:t>
      </w:r>
      <w:r w:rsidRPr="00D637BA">
        <w:rPr>
          <w:rFonts w:ascii="Calibri" w:hAnsi="Calibri" w:cs="Calibri"/>
          <w:i/>
          <w:color w:val="000000" w:themeColor="text1"/>
          <w:sz w:val="22"/>
          <w:szCs w:val="22"/>
        </w:rPr>
        <w:t>SDH-</w:t>
      </w:r>
      <w:r w:rsidRPr="00D637BA">
        <w:rPr>
          <w:rFonts w:ascii="Calibri" w:hAnsi="Calibri" w:cs="Calibri"/>
          <w:color w:val="000000" w:themeColor="text1"/>
          <w:sz w:val="22"/>
          <w:szCs w:val="22"/>
        </w:rPr>
        <w:t xml:space="preserve">deficient RCC, predominantly utilise glutamine-derived αKG </w:t>
      </w:r>
      <w:r w:rsidR="004014FC" w:rsidRPr="00D637BA">
        <w:rPr>
          <w:rFonts w:ascii="Calibri" w:hAnsi="Calibri" w:cs="Calibri"/>
          <w:color w:val="000000" w:themeColor="text1"/>
          <w:sz w:val="22"/>
          <w:szCs w:val="22"/>
        </w:rPr>
        <w:t>for</w:t>
      </w:r>
      <w:r w:rsidRPr="00D637BA">
        <w:rPr>
          <w:rFonts w:ascii="Calibri" w:hAnsi="Calibri" w:cs="Calibri"/>
          <w:color w:val="000000" w:themeColor="text1"/>
          <w:sz w:val="22"/>
          <w:szCs w:val="22"/>
        </w:rPr>
        <w:t xml:space="preserve"> reductive carboxylation (Fig. 1),</w:t>
      </w:r>
      <w:r w:rsidRPr="00D637BA">
        <w:rPr>
          <w:rFonts w:ascii="Calibri" w:hAnsi="Calibri" w:cs="Calibri"/>
          <w:i/>
          <w:color w:val="000000" w:themeColor="text1"/>
          <w:sz w:val="22"/>
          <w:szCs w:val="22"/>
        </w:rPr>
        <w:t xml:space="preserve"> </w:t>
      </w:r>
      <w:r w:rsidR="00DE6089" w:rsidRPr="00D637BA">
        <w:rPr>
          <w:rFonts w:ascii="Calibri" w:hAnsi="Calibri" w:cs="Calibri"/>
          <w:color w:val="000000" w:themeColor="text1"/>
          <w:sz w:val="22"/>
          <w:szCs w:val="22"/>
        </w:rPr>
        <w:t xml:space="preserve">enabling </w:t>
      </w:r>
      <w:r w:rsidRPr="00D637BA">
        <w:rPr>
          <w:rFonts w:ascii="Calibri" w:hAnsi="Calibri" w:cs="Calibri"/>
          <w:color w:val="000000" w:themeColor="text1"/>
          <w:sz w:val="22"/>
          <w:szCs w:val="22"/>
        </w:rPr>
        <w:t>these cells to bypass the truncated TCA cycle and replenish essential TCA cycle intermediates such as citrate, which is cleaved to form acetyl-coenzyme A for lipid biosynthesis</w:t>
      </w:r>
      <w:r w:rsidR="001A328F">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{"citationID":"a250n7ubclm","properties":{"formattedCitation":"\\super 175,176\\nosupersub{}","plainCitation":"175,176","noteIndex":0},"citationItems":[{"id":897,"uris":["http://zotero.org/users/4775618/items/2QF3M2VA"],"uri":["http://zotero.org/users/4775618/items/2QF3M2VA"],"itemData":{"id":897,"type":"article-journal","title":"Glutamine and cancer: cell biology, physiology, and clinical opportunities","container-title":"The Journal of Clinical Investigation","page":"3678-3684","volume":"123","issue":"9","source":"PubMed Central","abstract":"Glutamine is an abundant and versatile nutrient that participates in energy formation, redox homeostasis, macromolecular synthesis, and signaling in cancer cells. These characteristics make glutamine metabolism an appealing target for new clinical strategies to detect, monitor, and treat cancer. Here we review the metabolic functions of glutamine as a super nutrient and the surprising roles of glutamine in supporting the biological hallmarks of malignancy. We also review recent efforts in imaging and therapeutics to exploit tumor cell glutamine dependence, discuss some of the challenges in this arena, and suggest a disease-focused paradigm to deploy these emerging approaches.","URL":"https://www.ncbi.nlm.nih.gov/pmc/articles/PMC3754270/","DOI":"10.1172/JCI69600","ISSN":"0021-9738","note":"PMID: 23999442\nPMCID: PMC3754270","title-short":"Glutamine and cancer","journalAbbreviation":"J Clin Invest","author":[{"family":"Hensley","given":"Christopher T."},{"family":"Wasti","given":"Ajla T."},{"family":"DeBerardinis","given":"Ralph J."}],"issued":{"date-parts":[["2013",9,3]]},"accessed":{"date-parts":[["2019",1,5]]}}},{"id":1752,"uris":["http://zotero.org/users/4775618/items/899A8F79"],"uri":["http://zotero.org/users/4775618/items/899A8F79"],"itemData":{"id":1752,"type":"article-journal","title":"Reductive carboxylation supports growth in tumour cells with defective mitochondria","container-title":"Nature","page":"385-388","volume":"481","issue":"7381","source":"www-nature-com.ezp.lib.cam.ac.uk","abstract":"Mitochondrial metabolism provides precursors to build macromolecules in growing cancer cells1,2. In normally functioning tumour cell mitochondria, oxidative metabolism of glucose- and glutamine-derived carbon produces citrate and acetyl-coenzyme A for lipid synthesis, which is required for tumorigenesis3. Yet some tumours harbour mutations in the citric acid cycle (CAC) or electron transport chain (ETC) that disable normal oxidative mitochondrial function4,5,6,7, and it is unknown how cells from such tumours generate precursors for macromolecular synthesis. Here we show that tumour cells with defective mitochondria use glutamine-dependent reductive carboxylation rather than oxidative metabolism as the major pathway of citrate formation. This pathway uses mitochondrial and cytosolic isoforms of NADP+/NADPH-dependent isocitrate dehydrogenase, and subsequent metabolism of glutamine-derived citrate provides both the acetyl-coenzyme A for lipid synthesis and the four-carbon intermediates needed to produce the remaining CAC metabolites and related macromolecular precursors. This reductive, glutamine-dependent pathway is the dominant mode of metabolism in rapidly growing malignant cells containing mutations in complex I or complex III of the ETC, in patient-derived renal carcinoma cells with mutations in fumarate hydratase, and in cells with normal mitochondria subjected to acute pharmacological ETC inhibition. Our findings reveal the novel induction of a versatile glutamine-dependent pathway that reverses many of the reactions of the canonical CAC, supports tumour cell growth, and explains how cells generate pools of CAC intermediates in the face of impaired mitochondrial metabolism.","URL":"http://www.nature.com/articles/nature10642","DOI":"10.1038/nature10642","ISSN":"1476-4687","language":"en","author":[{"family":"Mullen","given":"Andrew R."},{"family":"Wheaton","given":"William W."},{"family":"Jin","given":"Eunsook S."},{"family":"Chen","given":"Pei-Hsuan"},{"family":"Sullivan","given":"Lucas B."},{"family":"Cheng","given":"Tzuling"},{"family":"Yang","given":"Youfeng"},{"family":"Linehan","given":"W. Marston"},{"family":"Chandel","given":"Navdeep S."},{"family":"DeBerardinis","given":"Ralph J."}],"issued":{"date-parts":[["2012",1]]},"accessed":{"date-parts":[["2019",3,5]]}}}],"schema":"https://github.com/citation-style-language/schema/raw/master/csl-citation.json"} </w:instrText>
      </w:r>
      <w:r w:rsidR="001A328F">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175,176</w:t>
      </w:r>
      <w:r w:rsidR="001A328F">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4014FC" w:rsidRPr="00D637BA">
        <w:rPr>
          <w:rFonts w:ascii="Calibri" w:hAnsi="Calibri" w:cs="Calibri"/>
          <w:color w:val="000000" w:themeColor="text1"/>
          <w:sz w:val="22"/>
          <w:szCs w:val="22"/>
        </w:rPr>
        <w:t>G</w:t>
      </w:r>
      <w:r w:rsidRPr="00D637BA">
        <w:rPr>
          <w:rFonts w:ascii="Calibri" w:hAnsi="Calibri" w:cs="Calibri"/>
          <w:color w:val="000000" w:themeColor="text1"/>
          <w:sz w:val="22"/>
          <w:szCs w:val="22"/>
        </w:rPr>
        <w:t xml:space="preserve">lutamine-derived αKG </w:t>
      </w:r>
      <w:r w:rsidR="004014FC" w:rsidRPr="00D637BA">
        <w:rPr>
          <w:rFonts w:ascii="Calibri" w:hAnsi="Calibri" w:cs="Calibri"/>
          <w:color w:val="000000" w:themeColor="text1"/>
          <w:sz w:val="22"/>
          <w:szCs w:val="22"/>
        </w:rPr>
        <w:t xml:space="preserve">also seems </w:t>
      </w:r>
      <w:r w:rsidRPr="00D637BA">
        <w:rPr>
          <w:rFonts w:ascii="Calibri" w:hAnsi="Calibri" w:cs="Calibri"/>
          <w:color w:val="000000" w:themeColor="text1"/>
          <w:sz w:val="22"/>
          <w:szCs w:val="22"/>
        </w:rPr>
        <w:t>to be the dominant source for 2HG production in several cancer</w:t>
      </w:r>
      <w:r w:rsidR="000167D7">
        <w:rPr>
          <w:rFonts w:ascii="Calibri" w:hAnsi="Calibri" w:cs="Calibri"/>
          <w:color w:val="000000" w:themeColor="text1"/>
          <w:sz w:val="22"/>
          <w:szCs w:val="22"/>
        </w:rPr>
        <w:t xml:space="preserve"> </w:t>
      </w:r>
      <w:r w:rsidR="004014FC" w:rsidRPr="00D637BA">
        <w:rPr>
          <w:rFonts w:ascii="Calibri" w:hAnsi="Calibri" w:cs="Calibri"/>
          <w:color w:val="000000" w:themeColor="text1"/>
          <w:sz w:val="22"/>
          <w:szCs w:val="22"/>
        </w:rPr>
        <w:t>t</w:t>
      </w:r>
      <w:r w:rsidRPr="00D637BA">
        <w:rPr>
          <w:rFonts w:ascii="Calibri" w:hAnsi="Calibri" w:cs="Calibri"/>
          <w:color w:val="000000" w:themeColor="text1"/>
          <w:sz w:val="22"/>
          <w:szCs w:val="22"/>
        </w:rPr>
        <w:t>ypes</w:t>
      </w:r>
      <w:r w:rsidR="004014FC"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including breast</w:t>
      </w:r>
      <w:r w:rsidR="00DE6089" w:rsidRPr="00D637BA">
        <w:rPr>
          <w:rFonts w:ascii="Calibri" w:hAnsi="Calibri" w:cs="Calibri"/>
          <w:color w:val="000000" w:themeColor="text1"/>
          <w:sz w:val="22"/>
          <w:szCs w:val="22"/>
        </w:rPr>
        <w:t xml:space="preserve"> cancer</w:t>
      </w:r>
      <w:r w:rsidR="001A328F">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{"citationID":"aebknuvasd","properties":{"formattedCitation":"\\super 208\\nosupersub{}","plainCitation":"208","noteIndex":0},"citationItems":[{"id":1721,"uris":["http://zotero.org/users/4775618/items/47SRS2RW"],"uri":["http://zotero.org/users/4775618/items/47SRS2RW"],"itemData":{"id":1721,"type":"article-journal","title":"MYC-driven accumulation of 2-hydroxyglutarate is associated with breast cancer prognosis","container-title":"The Journal of Clinical Investigation","page":"398-412","volume":"124","issue":"1","source":"www.jci.org","URL":"https://www.jci.org/articles/view/71180","DOI":"10.1172/JCI71180","ISSN":"0021-9738","note":"PMID: 0","journalAbbreviation":"J Clin Invest","language":"en","author":[{"family":"Terunuma","given":"Atsushi"},{"family":"Putluri","given":"Nagireddy"},{"family":"Mishra","given":"Prachi"},{"family":"Mathé","given":"Ewy A."},{"family":"Dorsey","given":"Tiffany H."},{"family":"Yi","given":"Ming"},{"family":"Wallace","given":"Tiffany A."},{"family":"Issaq","given":"Haleem J."},{"family":"Zhou","given":"Ming"},{"family":"Killian","given":"J. Keith"},{"family":"Stevenson","given":"Holly S."},{"family":"Karoly","given":"Edward D."},{"family":"Chan","given":"King"},{"family":"Samanta","given":"Susmita"},{"family":"Prieto","given":"DaRue"},{"family":"Hsu","given":"Tiffany Y. T."},{"family":"Kurley","given":"Sarah J."},{"family":"Putluri","given":"Vasanta"},{"family":"Sonavane","given":"Rajni"},{"family":"Edelman","given":"Daniel C."},{"family":"Wulff","given":"Jacob"},{"family":"Starks","given":"Adrienne M."},{"family":"Yang","given":"Yinmeng"},{"family":"Kittles","given":"Rick A."},{"family":"Yfantis","given":"Harry G."},{"family":"Lee","given":"Dong H."},{"family":"Ioffe","given":"Olga B."},{"family":"Schiff","given":"Rachel"},{"family":"Stephens","given":"Robert M."},{"family":"Meltzer","given":"Paul S."},{"family":"Veenstra","given":"Timothy D."},{"family":"Westbrook","given":"Thomas F."},{"family":"Sreekumar","given":"Arun"},{"family":"Ambs","given":"Stefan"}],"issued":{"date-parts":[["2014",1,2]]},"accessed":{"date-parts":[["2019",3,4]]}}}],"schema":"https://github.com/citation-style-language/schema/raw/master/csl-citation.json"} </w:instrText>
      </w:r>
      <w:r w:rsidR="001A328F">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208</w:t>
      </w:r>
      <w:r w:rsidR="001A328F">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chondrosarcoma</w:t>
      </w:r>
      <w:r w:rsidR="001A328F">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{"citationID":"a2o3q5be8mi","properties":{"formattedCitation":"\\super 209\\nosupersub{}","plainCitation":"209","noteIndex":0},"citationItems":[{"id":1848,"uris":["http://zotero.org/users/4775618/items/XZJPHC67"],"uri":["http://zotero.org/users/4775618/items/XZJPHC67"],"itemData":{"id":1848,"type":"article-journal","title":"In Vivo Imaging of Glutamine Metabolism to the Oncometabolite 2-Hydroxyglutarate in IDH1/2 Mutant Tumors","container-title":"Cell Metabolism","page":"830-841.e3","volume":"26","issue":"6","source":"www.cell.com","abstract":"&lt;h2&gt;Summary&lt;/h2&gt;&lt;p&gt;The oncometabolite 2-hydroxyglutarate (2-HG) is a signature biomarker in various cancers, where it accumulates as a result of mutations in isocitrate dehydrogenase (IDH). The metabolic source of 2-HG, in a wide variety of cancers, dictates both its generation and also potential therapeutic strategies, but this remains difficult to access &lt;i&gt;in vivo&lt;/i&gt;. Here, utilizing patient-derived chondrosarcoma cells harboring endogenous mutations in IDH1 and IDH2, we report that 2-HG can be rapidly generated from glutamine &lt;i&gt;in vitro&lt;/i&gt;. Then, using hyperpolarized magnetic resonance imaging (HP-MRI), we demonstrate that &lt;i&gt;in vivo&lt;/i&gt; HP [1-&lt;sup&gt;13&lt;/sup&gt;C] glutamine can be used to non-invasively measure glutamine-derived HP 2-HG production. This can be readily modulated utilizing a selective IDH1 inhibitor, opening the door to targeting glutamine-derived 2-HG therapeutically. Rapid rates of HP 2-HG generation &lt;i&gt;in vivo&lt;/i&gt; further demonstrate that, in a context-dependent manner, glutamine can be a primary carbon source for 2-HG production in mutant IDH tumors.&lt;/p&gt;","URL":"https://www.cell.com/cell-metabolism/abstract/S1550-4131(17)30613-7","DOI":"10.1016/j.cmet.2017.10.001","ISSN":"1550-4131","note":"PMID: 29056515","journalAbbreviation":"Cell Metabolism","language":"English","author":[{"family":"Salamanca-Cardona","given":"Lucia"},{"family":"Shah","given":"Hardik"},{"family":"Poot","given":"Alex J."},{"family":"Correa","given":"Fabian M."},{"family":"Gialleonardo","given":"Valentina Di"},{"family":"Lui","given":"Hui"},{"family":"Miloushev","given":"Vesselin Z."},{"family":"Granlund","given":"Kristin L."},{"family":"Tee","given":"Sui S."},{"family":"Cross","given":"Justin R."},{"family":"Thompson","given":"Craig B."},{"family":"Keshari","given":"Kayvan R."}],"issued":{"date-parts":[["2017",12,5]]},"accessed":{"date-parts":[["2019",3,6]]}}}],"schema":"https://github.com/citation-style-language/schema/raw/master/csl-citation.json"} </w:instrText>
      </w:r>
      <w:r w:rsidR="001A328F">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209</w:t>
      </w:r>
      <w:r w:rsidR="001A328F">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colorectal cancer</w:t>
      </w:r>
      <w:r w:rsidR="001A328F">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{"citationID":"a1671k5gs43","properties":{"formattedCitation":"\\super 200\\nosupersub{}","plainCitation":"200","noteIndex":0},"citationItems":[{"id":345,"uris":["http://zotero.org/users/4775618/items/KP64KJ3W"],"uri":["http://zotero.org/users/4775618/items/KP64KJ3W"],"itemData":{"id":345,"type":"article-journal","title":"Oncometabolite D-2-Hydroxyglurate Directly Induces Epithelial-Mesenchymal Transition and is Associated with Distant Metastasis in Colorectal Cancer","container-title":"Scientific Reports","page":"36289","volume":"6","source":"www.nature.com","abstract":"Deranged metabolism is a hallmark of cancer, playing a significant role in driving the disease process. One such example is the induction of carcinogenesis by the oncometabolite D-2 hydroxyglutarate (D-2HG), which is produced by the mutated enzyme isocitrate dehydrogenase (IDH) occurring in subsets of leukaemias and brain tumours. The oncogenic property of D-2HG appears to stem from its ability to interfere with the activities of α-ketoglutarate-dependent dioxygenases, including the Jumonji family histone demethylases. Here, we find in colorectal cancer cells that even in the absence of IDH mutation, the levels of D-2HG and its enantiomer L-2HG were elevated through glutamine anaplerosis. D-2HG, but not L-2HG, increased the trimethylation of histone H3 lysine 4 of the promoter region of ZEB1, a master regulator of epithelial-mesenchymal transition (EMT), and increased the expression of the ZEB1 gene to directly induce EMT in colorectal cancer cells. EMT promotes the ability of cancer cells to invade the local tissue and enter into the bloodstream, leading to distant organ metastasis. D-2HG levels were elevated in colorectal cancer specimens, particularly in those associated with distant metastasis, supporting the observations in vitro and implicating the contribution of D-2HG in metastasis, the major cause of death in this disease.","URL":"https://www.nature.com/articles/srep36289","DOI":"10.1038/srep36289","ISSN":"2045-2322","language":"en","author":[{"family":"Colvin","given":"Hugh"},{"family":"Nishida","given":"Naohiro"},{"family":"Konno","given":"Masamitsu"},{"family":"Haraguchi","given":"Naotsugu"},{"family":"Takahashi","given":"Hidekazu"},{"family":"Nishimura","given":"Junichi"},{"family":"Hata","given":"Taishi"},{"family":"Kawamoto","given":"Koichi"},{"family":"Asai","given":"Ayumu"},{"family":"Tsunekuni","given":"Kenta"},{"family":"Koseki","given":"Jun"},{"family":"Mizushima","given":"Tsunekazu"},{"family":"Satoh","given":"Taroh"},{"family":"Doki","given":"Yuichiro"},{"family":"Mori","given":"Masaki"},{"family":"Ishii","given":"Hideshi"}],"issued":{"date-parts":[["2016",11,8]]},"accessed":{"date-parts":[["2018",3,29]]}}}],"schema":"https://github.com/citation-style-language/schema/raw/master/csl-citation.json"} </w:instrText>
      </w:r>
      <w:r w:rsidR="001A328F">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200</w:t>
      </w:r>
      <w:r w:rsidR="001A328F">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and RCC</w:t>
      </w:r>
      <w:r w:rsidR="001A328F">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{"citationID":"a20nclthjg6","properties":{"formattedCitation":"\\super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1A328F">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76</w:t>
      </w:r>
      <w:r w:rsidR="001A328F">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as well as the main source of fumarate in </w:t>
      </w:r>
      <w:r w:rsidRPr="00D637BA">
        <w:rPr>
          <w:rFonts w:ascii="Calibri" w:hAnsi="Calibri" w:cs="Calibri"/>
          <w:i/>
          <w:color w:val="000000" w:themeColor="text1"/>
          <w:sz w:val="22"/>
          <w:szCs w:val="22"/>
        </w:rPr>
        <w:t>FH</w:t>
      </w:r>
      <w:r w:rsidRPr="00D637BA">
        <w:rPr>
          <w:rFonts w:ascii="Calibri" w:hAnsi="Calibri" w:cs="Calibri"/>
          <w:color w:val="000000" w:themeColor="text1"/>
          <w:sz w:val="22"/>
          <w:szCs w:val="22"/>
        </w:rPr>
        <w:t>-deficient RCC cells</w:t>
      </w:r>
      <w:r w:rsidR="001A328F">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{"citationID":"a1hr57aqat8","properties":{"formattedCitation":"\\super 175,176\\nosupersub{}","plainCitation":"175,176","noteIndex":0},"citationItems":[{"id":897,"uris":["http://zotero.org/users/4775618/items/2QF3M2VA"],"uri":["http://zotero.org/users/4775618/items/2QF3M2VA"],"itemData":{"id":897,"type":"article-journal","title":"Glutamine and cancer: cell biology, physiology, and clinical opportunities","container-title":"The Journal of Clinical Investigation","page":"3678-3684","volume":"123","issue":"9","source":"PubMed Central","abstract":"Glutamine is an abundant and versatile nutrient that participates in energy formation, redox homeostasis, macromolecular synthesis, and signaling in cancer cells. These characteristics make glutamine metabolism an appealing target for new clinical strategies to detect, monitor, and treat cancer. Here we review the metabolic functions of glutamine as a super nutrient and the surprising roles of glutamine in supporting the biological hallmarks of malignancy. We also review recent efforts in imaging and therapeutics to exploit tumor cell glutamine dependence, discuss some of the challenges in this arena, and suggest a disease-focused paradigm to deploy these emerging approaches.","URL":"https://www.ncbi.nlm.nih.gov/pmc/articles/PMC3754270/","DOI":"10.1172/JCI69600","ISSN":"0021-9738","note":"PMID: 23999442\nPMCID: PMC3754270","title-short":"Glutamine and cancer","journalAbbreviation":"J Clin Invest","author":[{"family":"Hensley","given":"Christopher T."},{"family":"Wasti","given":"Ajla T."},{"family":"DeBerardinis","given":"Ralph J."}],"issued":{"date-parts":[["2013",9,3]]},"accessed":{"date-parts":[["2019",1,5]]}}},{"id":1752,"uris":["http://zotero.org/users/4775618/items/899A8F79"],"uri":["http://zotero.org/users/4775618/items/899A8F79"],"itemData":{"id":1752,"type":"article-journal","title":"Reductive carboxylation supports growth in tumour cells with defective mitochondria","container-title":"Nature","page":"385-388","volume":"481","issue":"7381","source":"www-nature-com.ezp.lib.cam.ac.uk","abstract":"Mitochondrial metabolism provides precursors to build macromolecules in growing cancer cells1,2. In normally functioning tumour cell mitochondria, oxidative metabolism of glucose- and glutamine-derived carbon produces citrate and acetyl-coenzyme A for lipid synthesis, which is required for tumorigenesis3. Yet some tumours harbour mutations in the citric acid cycle (CAC) or electron transport chain (ETC) that disable normal oxidative mitochondrial function4,5,6,7, and it is unknown how cells from such tumours generate precursors for macromolecular synthesis. Here we show that tumour cells with defective mitochondria use glutamine-dependent reductive carboxylation rather than oxidative metabolism as the major pathway of citrate formation. This pathway uses mitochondrial and cytosolic isoforms of NADP+/NADPH-dependent isocitrate dehydrogenase, and subsequent metabolism of glutamine-derived citrate provides both the acetyl-coenzyme A for lipid synthesis and the four-carbon intermediates needed to produce the remaining CAC metabolites and related macromolecular precursors. This reductive, glutamine-dependent pathway is the dominant mode of metabolism in rapidly growing malignant cells containing mutations in complex I or complex III of the ETC, in patient-derived renal carcinoma cells with mutations in fumarate hydratase, and in cells with normal mitochondria subjected to acute pharmacological ETC inhibition. Our findings reveal the novel induction of a versatile glutamine-dependent pathway that reverses many of the reactions of the canonical CAC, supports tumour cell growth, and explains how cells generate pools of CAC intermediates in the face of impaired mitochondrial metabolism.","URL":"http://www.nature.com/articles/nature10642","DOI":"10.1038/nature10642","ISSN":"1476-4687","language":"en","author":[{"family":"Mullen","given":"Andrew R."},{"family":"Wheaton","given":"William W."},{"family":"Jin","given":"Eunsook S."},{"family":"Chen","given":"Pei-Hsuan"},{"family":"Sullivan","given":"Lucas B."},{"family":"Cheng","given":"Tzuling"},{"family":"Yang","given":"Youfeng"},{"family":"Linehan","given":"W. Marston"},{"family":"Chandel","given":"Navdeep S."},{"family":"DeBerardinis","given":"Ralph J."}],"issued":{"date-parts":[["2012",1]]},"accessed":{"date-parts":[["2019",3,5]]}}}],"schema":"https://github.com/citation-style-language/schema/raw/master/csl-citation.json"} </w:instrText>
      </w:r>
      <w:r w:rsidR="001A328F">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175,176</w:t>
      </w:r>
      <w:r w:rsidR="001A328F">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As </w:t>
      </w:r>
      <w:r w:rsidR="004014FC" w:rsidRPr="00B946E4">
        <w:rPr>
          <w:rFonts w:ascii="Calibri" w:hAnsi="Calibri" w:cs="Calibri"/>
          <w:color w:val="000000" w:themeColor="text1"/>
          <w:sz w:val="22"/>
          <w:szCs w:val="22"/>
        </w:rPr>
        <w:t xml:space="preserve">discussed above, substantial accumulation of </w:t>
      </w:r>
      <w:r w:rsidRPr="00D637BA">
        <w:rPr>
          <w:rFonts w:ascii="Calibri" w:hAnsi="Calibri" w:cs="Calibri"/>
          <w:color w:val="000000" w:themeColor="text1"/>
          <w:sz w:val="22"/>
          <w:szCs w:val="22"/>
        </w:rPr>
        <w:t xml:space="preserve">L2HG </w:t>
      </w:r>
      <w:r w:rsidR="004014FC" w:rsidRPr="00B946E4">
        <w:rPr>
          <w:rFonts w:ascii="Calibri" w:hAnsi="Calibri" w:cs="Calibri"/>
          <w:color w:val="000000" w:themeColor="text1"/>
          <w:sz w:val="22"/>
          <w:szCs w:val="22"/>
        </w:rPr>
        <w:t xml:space="preserve">occurs </w:t>
      </w:r>
      <w:r w:rsidRPr="00D637BA">
        <w:rPr>
          <w:rFonts w:ascii="Calibri" w:hAnsi="Calibri" w:cs="Calibri"/>
          <w:color w:val="000000" w:themeColor="text1"/>
          <w:sz w:val="22"/>
          <w:szCs w:val="22"/>
        </w:rPr>
        <w:t>in human ccRCC tissues</w:t>
      </w:r>
      <w:r w:rsidR="001A328F">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{"citationID":"a20cm3nhua5","properties":{"formattedCitation":"\\super 110\\nosupersub{}","plainCitation":"110","noteIndex":0},"citationItems":[{"id":294,"uris":["http://zotero.org/users/4775618/items/KQPSSL3S"],"uri":["http://zotero.org/users/4775618/items/KQPSSL3S"],"itemData":{"id":294,"type":"article-journal","title":"l-2-Hydroxyglutarate: An Epigenetic Modifier and Putative Oncometabolite in Renal Cancer","container-title":"Cancer Discovery","page":"1290-1298","volume":"4","issue":"11","source":"cancerdiscovery.aacrjournals.org","abstract":"Through unbiased metabolomics, we identified elevations of the metabolite 2-hydroxyglutarate (2HG) in renal cell carcinoma (RCC). 2HG can inhibit 2-oxoglutaratre (2-OG)–dependent dioxygenases that mediate epigenetic events, including DNA and histone demethylation. 2HG accumulation, specifically the d enantiomer, can result from gain-of-function mutations of isocitrate dehydrogenase (IDH1, IDH2) found in several different tumors. In contrast, kidney tumors demonstrate elevations of the l enantiomer of 2HG (l-2HG). High-2HG tumors demonstrate reduced DNA levels of 5-hydroxymethylcytosine (5hmC), consistent with 2HG-mediated inhibition of ten-eleven translocation (TET) enzymes, which convert 5-methylcytosine (5mC) to 5hmC. l-2HG elevation is mediated in part by reduced expression of l-2HG dehydrogenase (L2HGDH). L2HGDH reconstitution in RCC cells lowers l-2HG and promotes 5hmC accumulation. In addition, L2HGDH expression in RCC cells reduces histone methylation and suppresses in vitro tumor phenotypes. Our report identifies l-2HG as an epigenetic modifier and putative oncometabolite in kidney cancer.\nSignificance: Here, we report elevations of the putative oncometabolite l-2HG in the most common subtype of kidney cancer and describe a novel mechanism for the regulation of DNA 5hmC levels. Our findings provide new insight into the metabolic basis for the epigenetic landscape of renal cancer. Cancer Discov; 4(11); 1290–8. ©2014 AACR.\nThis article is highlighted in the In This Issue feature, p. 1243","URL":"http://cancerdiscovery.aacrjournals.org/content/4/11/1290","DOI":"10.1158/2159-8290.CD-13-0696","ISSN":"2159-8274, 2159-8290","note":"PMID: 25182153","title-short":"l-2-Hydroxyglutarate","journalAbbreviation":"Cancer Discov","language":"en","author":[{"family":"Shim","given":"Eun-Hee"},{"family":"Livi","given":"Carolina B."},{"family":"Rakheja","given":"Dinesh"},{"family":"Tan","given":"Jubilee"},{"family":"Benson","given":"Daniel"},{"family":"Parekh","given":"Vishwas"},{"family":"Kho","given":"Eun-Young"},{"family":"Ghosh","given":"Arindam P."},{"family":"Kirkman","given":"Richard"},{"family":"Velu","given":"Sadanan"},{"family":"Dutta","given":"Shilpa"},{"family":"Chenna","given":"Balachandra"},{"family":"Rea","given":"Shane L."},{"family":"Mishur","given":"Robert J."},{"family":"Li","given":"Qiuhua"},{"family":"Johnson-Pais","given":"Teresa L."},{"family":"Guo","given":"Lining"},{"family":"Bae","given":"Sejong"},{"family":"Wei","given":"Shi"},{"family":"Block","given":"Karen"},{"family":"Sudarshan","given":"Sunil"}],"issued":{"date-parts":[["2014",11,1]]},"accessed":{"date-parts":[["2018",3,25]]}}}],"schema":"https://github.com/citation-style-language/schema/raw/master/csl-citation.json"} </w:instrText>
      </w:r>
      <w:r w:rsidR="001A328F">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110</w:t>
      </w:r>
      <w:r w:rsidR="001A328F">
        <w:rPr>
          <w:rFonts w:ascii="Calibri" w:hAnsi="Calibri" w:cs="Calibri"/>
          <w:color w:val="000000" w:themeColor="text1"/>
          <w:sz w:val="22"/>
          <w:szCs w:val="22"/>
        </w:rPr>
        <w:fldChar w:fldCharType="end"/>
      </w:r>
      <w:r w:rsidR="004014FC" w:rsidRPr="00B946E4">
        <w:rPr>
          <w:rFonts w:ascii="Calibri" w:hAnsi="Calibri" w:cs="Calibri"/>
          <w:color w:val="000000" w:themeColor="text1"/>
          <w:sz w:val="22"/>
          <w:szCs w:val="22"/>
        </w:rPr>
        <w:t xml:space="preserve"> owing to </w:t>
      </w:r>
      <w:r w:rsidR="00537E61" w:rsidRPr="00D637BA">
        <w:rPr>
          <w:rFonts w:ascii="Calibri" w:hAnsi="Calibri" w:cs="Calibri"/>
          <w:color w:val="000000" w:themeColor="text1"/>
          <w:sz w:val="22"/>
          <w:szCs w:val="22"/>
        </w:rPr>
        <w:t>LOH</w:t>
      </w:r>
      <w:r w:rsidRPr="00D637BA">
        <w:rPr>
          <w:rFonts w:ascii="Calibri" w:hAnsi="Calibri" w:cs="Calibri"/>
          <w:color w:val="000000" w:themeColor="text1"/>
          <w:sz w:val="22"/>
          <w:szCs w:val="22"/>
        </w:rPr>
        <w:t xml:space="preserve"> of the </w:t>
      </w:r>
      <w:r w:rsidRPr="00D637BA">
        <w:rPr>
          <w:rFonts w:ascii="Calibri" w:hAnsi="Calibri" w:cs="Calibri"/>
          <w:i/>
          <w:color w:val="000000" w:themeColor="text1"/>
          <w:sz w:val="22"/>
          <w:szCs w:val="22"/>
        </w:rPr>
        <w:t>L2HGDH</w:t>
      </w:r>
      <w:r w:rsidRPr="00D637BA">
        <w:rPr>
          <w:rFonts w:ascii="Calibri" w:hAnsi="Calibri" w:cs="Calibri"/>
          <w:color w:val="000000" w:themeColor="text1"/>
          <w:sz w:val="22"/>
          <w:szCs w:val="22"/>
        </w:rPr>
        <w:t xml:space="preserve"> gene</w:t>
      </w:r>
      <w:r w:rsidR="00312056">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{"citationID":"a115sd6jq6t","properties":{"formattedCitation":"\\super 110\\nosupersub{}","plainCitation":"110","noteIndex":0},"citationItems":[{"id":294,"uris":["http://zotero.org/users/4775618/items/KQPSSL3S"],"uri":["http://zotero.org/users/4775618/items/KQPSSL3S"],"itemData":{"id":294,"type":"article-journal","title":"l-2-Hydroxyglutarate: An Epigenetic Modifier and Putative Oncometabolite in Renal Cancer","container-title":"Cancer Discovery","page":"1290-1298","volume":"4","issue":"11","source":"cancerdiscovery.aacrjournals.org","abstract":"Through unbiased metabolomics, we identified elevations of the metabolite 2-hydroxyglutarate (2HG) in renal cell carcinoma (RCC). 2HG can inhibit 2-oxoglutaratre (2-OG)–dependent dioxygenases that mediate epigenetic events, including DNA and histone demethylation. 2HG accumulation, specifically the d enantiomer, can result from gain-of-function mutations of isocitrate dehydrogenase (IDH1, IDH2) found in several different tumors. In contrast, kidney tumors demonstrate elevations of the l enantiomer of 2HG (l-2HG). High-2HG tumors demonstrate reduced DNA levels of 5-hydroxymethylcytosine (5hmC), consistent with 2HG-mediated inhibition of ten-eleven translocation (TET) enzymes, which convert 5-methylcytosine (5mC) to 5hmC. l-2HG elevation is mediated in part by reduced expression of l-2HG dehydrogenase (L2HGDH). L2HGDH reconstitution in RCC cells lowers l-2HG and promotes 5hmC accumulation. In addition, L2HGDH expression in RCC cells reduces histone methylation and suppresses in vitro tumor phenotypes. Our report identifies l-2HG as an epigenetic modifier and putative oncometabolite in kidney cancer.\nSignificance: Here, we report elevations of the putative oncometabolite l-2HG in the most common subtype of kidney cancer and describe a novel mechanism for the regulation of DNA 5hmC levels. Our findings provide new insight into the metabolic basis for the epigenetic landscape of renal cancer. Cancer Discov; 4(11); 1290–8. ©2014 AACR.\nThis article is highlighted in the In This Issue feature, p. 1243","URL":"http://cancerdiscovery.aacrjournals.org/content/4/11/1290","DOI":"10.1158/2159-8290.CD-13-0696","ISSN":"2159-8274, 2159-8290","note":"PMID: 25182153","title-short":"l-2-Hydroxyglutarate","journalAbbreviation":"Cancer Discov","language":"en","author":[{"family":"Shim","given":"Eun-Hee"},{"family":"Livi","given":"Carolina B."},{"family":"Rakheja","given":"Dinesh"},{"family":"Tan","given":"Jubilee"},{"family":"Benson","given":"Daniel"},{"family":"Parekh","given":"Vishwas"},{"family":"Kho","given":"Eun-Young"},{"family":"Ghosh","given":"Arindam P."},{"family":"Kirkman","given":"Richard"},{"family":"Velu","given":"Sadanan"},{"family":"Dutta","given":"Shilpa"},{"family":"Chenna","given":"Balachandra"},{"family":"Rea","given":"Shane L."},{"family":"Mishur","given":"Robert J."},{"family":"Li","given":"Qiuhua"},{"family":"Johnson-Pais","given":"Teresa L."},{"family":"Guo","given":"Lining"},{"family":"Bae","given":"Sejong"},{"family":"Wei","given":"Shi"},{"family":"Block","given":"Karen"},{"family":"Sudarshan","given":"Sunil"}],"issued":{"date-parts":[["2014",11,1]]},"accessed":{"date-parts":[["2018",3,25]]}}}],"schema":"https://github.com/citation-style-language/schema/raw/master/csl-citation.json"} </w:instrText>
      </w:r>
      <w:r w:rsidR="00312056">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110</w:t>
      </w:r>
      <w:r w:rsidR="00312056">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4014FC" w:rsidRPr="00B946E4">
        <w:rPr>
          <w:rFonts w:ascii="Calibri" w:hAnsi="Calibri" w:cs="Calibri"/>
          <w:color w:val="000000" w:themeColor="text1"/>
          <w:sz w:val="22"/>
          <w:szCs w:val="22"/>
        </w:rPr>
        <w:t xml:space="preserve">and </w:t>
      </w:r>
      <w:r w:rsidRPr="00D637BA">
        <w:rPr>
          <w:rFonts w:ascii="Calibri" w:hAnsi="Calibri" w:cs="Calibri"/>
          <w:color w:val="000000" w:themeColor="text1"/>
          <w:sz w:val="22"/>
          <w:szCs w:val="22"/>
        </w:rPr>
        <w:t>the promiscuous activity of MDH2 on predominantly glutamine-derived αKG</w:t>
      </w:r>
      <w:r w:rsidR="00312056">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{"citationID":"aoan8l3709","properties":{"formattedCitation":"\\super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312056">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76</w:t>
      </w:r>
      <w:r w:rsidR="00312056">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lastRenderedPageBreak/>
        <w:t>Targeting the ‘production’ pathway of 2HG accumulation</w:t>
      </w:r>
      <w:r w:rsidR="006B30B9" w:rsidRPr="00D637BA">
        <w:rPr>
          <w:rFonts w:ascii="Calibri" w:hAnsi="Calibri" w:cs="Calibri"/>
          <w:color w:val="000000" w:themeColor="text1"/>
          <w:sz w:val="22"/>
          <w:szCs w:val="22"/>
        </w:rPr>
        <w:t>, the</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glutamine</w:t>
      </w:r>
      <w:r w:rsidR="006B30B9"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MDH2 axis</w:t>
      </w:r>
      <w:r w:rsidR="006B30B9"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via pharmacological or genetic inhibition significantly reduced L2HG levels and suppress</w:t>
      </w:r>
      <w:r w:rsidR="006B30B9" w:rsidRPr="00D637BA">
        <w:rPr>
          <w:rFonts w:ascii="Calibri" w:hAnsi="Calibri" w:cs="Calibri"/>
          <w:color w:val="000000" w:themeColor="text1"/>
          <w:sz w:val="22"/>
          <w:szCs w:val="22"/>
        </w:rPr>
        <w:t>ed</w:t>
      </w:r>
      <w:r w:rsidRPr="00D637BA">
        <w:rPr>
          <w:rFonts w:ascii="Calibri" w:hAnsi="Calibri" w:cs="Calibri"/>
          <w:color w:val="000000" w:themeColor="text1"/>
          <w:sz w:val="22"/>
          <w:szCs w:val="22"/>
        </w:rPr>
        <w:t xml:space="preserve"> the migratory phenotype in multiple RCC cell lines with restoration of epigenetic TET activity, as evidenced by elevated DNA 5hmc levels </w:t>
      </w:r>
      <w:r w:rsidRPr="00D637BA">
        <w:rPr>
          <w:rFonts w:ascii="Calibri" w:hAnsi="Calibri" w:cs="Calibri"/>
          <w:i/>
          <w:color w:val="000000" w:themeColor="text1"/>
          <w:sz w:val="22"/>
          <w:szCs w:val="22"/>
        </w:rPr>
        <w:t>in vitro</w:t>
      </w:r>
      <w:r w:rsidR="00312056">
        <w:rPr>
          <w:rFonts w:ascii="Calibri" w:hAnsi="Calibri" w:cs="Calibri"/>
          <w:i/>
          <w:color w:val="000000" w:themeColor="text1"/>
          <w:sz w:val="22"/>
          <w:szCs w:val="22"/>
        </w:rPr>
        <w:fldChar w:fldCharType="begin"/>
      </w:r>
      <w:r w:rsidR="003D6329">
        <w:rPr>
          <w:rFonts w:ascii="Calibri" w:hAnsi="Calibri" w:cs="Calibri"/>
          <w:i/>
          <w:color w:val="000000" w:themeColor="text1"/>
          <w:sz w:val="22"/>
          <w:szCs w:val="22"/>
        </w:rPr>
        <w:instrText xml:space="preserve"> ADDIN ZOTERO_ITEM CSL_CITATION {"citationID":"a17eur3ug5m","properties":{"formattedCitation":"\\super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312056">
        <w:rPr>
          <w:rFonts w:ascii="Calibri" w:hAnsi="Calibri" w:cs="Calibri"/>
          <w:i/>
          <w:color w:val="000000" w:themeColor="text1"/>
          <w:sz w:val="22"/>
          <w:szCs w:val="22"/>
        </w:rPr>
        <w:fldChar w:fldCharType="separate"/>
      </w:r>
      <w:r w:rsidR="003D6329" w:rsidRPr="003D6329">
        <w:rPr>
          <w:rFonts w:ascii="Calibri" w:hAnsi="Calibri" w:cs="Calibri"/>
          <w:color w:val="000000"/>
          <w:sz w:val="22"/>
          <w:vertAlign w:val="superscript"/>
          <w:lang w:val="en-US"/>
        </w:rPr>
        <w:t>76</w:t>
      </w:r>
      <w:r w:rsidR="00312056">
        <w:rPr>
          <w:rFonts w:ascii="Calibri" w:hAnsi="Calibri" w:cs="Calibri"/>
          <w:i/>
          <w:color w:val="000000" w:themeColor="text1"/>
          <w:sz w:val="22"/>
          <w:szCs w:val="22"/>
        </w:rPr>
        <w:fldChar w:fldCharType="end"/>
      </w:r>
      <w:r w:rsidRPr="00D637BA">
        <w:rPr>
          <w:rFonts w:ascii="Calibri" w:hAnsi="Calibri" w:cs="Calibri"/>
          <w:color w:val="000000" w:themeColor="text1"/>
          <w:sz w:val="22"/>
          <w:szCs w:val="22"/>
        </w:rPr>
        <w:t xml:space="preserve">. Moreover, glutaminase inhibition </w:t>
      </w:r>
      <w:r w:rsidRPr="00D637BA">
        <w:rPr>
          <w:rFonts w:ascii="Calibri" w:hAnsi="Calibri" w:cs="Calibri"/>
          <w:i/>
          <w:color w:val="000000" w:themeColor="text1"/>
          <w:sz w:val="22"/>
          <w:szCs w:val="22"/>
        </w:rPr>
        <w:t>in vivo</w:t>
      </w:r>
      <w:r w:rsidRPr="00D637BA">
        <w:rPr>
          <w:rFonts w:ascii="Calibri" w:hAnsi="Calibri" w:cs="Calibri"/>
          <w:color w:val="000000" w:themeColor="text1"/>
          <w:sz w:val="22"/>
          <w:szCs w:val="22"/>
        </w:rPr>
        <w:t xml:space="preserve"> suppress</w:t>
      </w:r>
      <w:r w:rsidR="006B30B9" w:rsidRPr="00D637BA">
        <w:rPr>
          <w:rFonts w:ascii="Calibri" w:hAnsi="Calibri" w:cs="Calibri"/>
          <w:color w:val="000000" w:themeColor="text1"/>
          <w:sz w:val="22"/>
          <w:szCs w:val="22"/>
        </w:rPr>
        <w:t>ed</w:t>
      </w:r>
      <w:r w:rsidRPr="00D637BA">
        <w:rPr>
          <w:rFonts w:ascii="Calibri" w:hAnsi="Calibri" w:cs="Calibri"/>
          <w:color w:val="000000" w:themeColor="text1"/>
          <w:sz w:val="22"/>
          <w:szCs w:val="22"/>
        </w:rPr>
        <w:t xml:space="preserve"> </w:t>
      </w:r>
      <w:r w:rsidR="001306B8">
        <w:rPr>
          <w:rFonts w:ascii="Calibri" w:hAnsi="Calibri" w:cs="Calibri"/>
          <w:color w:val="000000" w:themeColor="text1"/>
          <w:sz w:val="22"/>
          <w:szCs w:val="22"/>
        </w:rPr>
        <w:t xml:space="preserve">RCC </w:t>
      </w:r>
      <w:r w:rsidRPr="00D637BA">
        <w:rPr>
          <w:rFonts w:ascii="Calibri" w:hAnsi="Calibri" w:cs="Calibri"/>
          <w:color w:val="000000" w:themeColor="text1"/>
          <w:sz w:val="22"/>
          <w:szCs w:val="22"/>
        </w:rPr>
        <w:t>tumour growth</w:t>
      </w:r>
      <w:r w:rsidR="00312056">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{"citationID":"a2ip8n2d212","properties":{"formattedCitation":"\\super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312056">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76</w:t>
      </w:r>
      <w:r w:rsidR="00312056">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adding to the evidence that targeting glutamine in this setting profoundly affects L2HG accumulation with suppression of tumour phenotype. </w:t>
      </w:r>
    </w:p>
    <w:p w14:paraId="13D008F5" w14:textId="6A78A7EB" w:rsidR="009F1585" w:rsidRPr="00D637BA" w:rsidRDefault="006B30B9" w:rsidP="00F0248B">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everal other independent studies </w:t>
      </w:r>
      <w:r w:rsidRPr="00D637BA">
        <w:rPr>
          <w:rFonts w:ascii="Calibri" w:hAnsi="Calibri" w:cs="Calibri"/>
          <w:color w:val="000000" w:themeColor="text1"/>
          <w:sz w:val="22"/>
          <w:szCs w:val="22"/>
        </w:rPr>
        <w:t xml:space="preserve">that </w:t>
      </w:r>
      <w:r w:rsidR="00F131BF" w:rsidRPr="00D637BA">
        <w:rPr>
          <w:rFonts w:ascii="Calibri" w:hAnsi="Calibri" w:cs="Calibri"/>
          <w:color w:val="000000" w:themeColor="text1"/>
          <w:sz w:val="22"/>
          <w:szCs w:val="22"/>
        </w:rPr>
        <w:t xml:space="preserve">investigated glutaminase inhibition in the wider context of RCC, including in </w:t>
      </w:r>
      <w:r w:rsidR="00F131BF" w:rsidRPr="00D637BA">
        <w:rPr>
          <w:rFonts w:ascii="Calibri" w:hAnsi="Calibri" w:cs="Calibri"/>
          <w:i/>
          <w:color w:val="000000" w:themeColor="text1"/>
          <w:sz w:val="22"/>
          <w:szCs w:val="22"/>
        </w:rPr>
        <w:t>VHL</w:t>
      </w:r>
      <w:r w:rsidR="00F131BF" w:rsidRPr="00D637BA">
        <w:rPr>
          <w:rFonts w:ascii="Calibri" w:hAnsi="Calibri" w:cs="Calibri"/>
          <w:color w:val="000000" w:themeColor="text1"/>
          <w:sz w:val="22"/>
          <w:szCs w:val="22"/>
        </w:rPr>
        <w:t>-</w:t>
      </w:r>
      <w:r w:rsidR="007F5553" w:rsidRPr="00D637BA">
        <w:rPr>
          <w:rFonts w:ascii="Calibri" w:hAnsi="Calibri" w:cs="Calibri"/>
          <w:color w:val="000000" w:themeColor="text1"/>
          <w:sz w:val="22"/>
          <w:szCs w:val="22"/>
        </w:rPr>
        <w:t xml:space="preserve">mutant and </w:t>
      </w:r>
      <w:r w:rsidR="007F5553" w:rsidRPr="00D637BA">
        <w:rPr>
          <w:rFonts w:ascii="Calibri" w:hAnsi="Calibri" w:cs="Calibri"/>
          <w:i/>
          <w:color w:val="000000" w:themeColor="text1"/>
          <w:sz w:val="22"/>
          <w:szCs w:val="22"/>
        </w:rPr>
        <w:t>VHL</w:t>
      </w:r>
      <w:r w:rsidR="007F5553" w:rsidRPr="00D637BA">
        <w:rPr>
          <w:rFonts w:ascii="Calibri" w:hAnsi="Calibri" w:cs="Calibri"/>
          <w:color w:val="000000" w:themeColor="text1"/>
          <w:sz w:val="22"/>
          <w:szCs w:val="22"/>
        </w:rPr>
        <w:t>-wild</w:t>
      </w:r>
      <w:r w:rsidR="004014FC" w:rsidRPr="00D637BA">
        <w:rPr>
          <w:rFonts w:ascii="Calibri" w:hAnsi="Calibri" w:cs="Calibri"/>
          <w:color w:val="000000" w:themeColor="text1"/>
          <w:sz w:val="22"/>
          <w:szCs w:val="22"/>
        </w:rPr>
        <w:t xml:space="preserve"> </w:t>
      </w:r>
      <w:r w:rsidR="007F5553" w:rsidRPr="00D637BA">
        <w:rPr>
          <w:rFonts w:ascii="Calibri" w:hAnsi="Calibri" w:cs="Calibri"/>
          <w:color w:val="000000" w:themeColor="text1"/>
          <w:sz w:val="22"/>
          <w:szCs w:val="22"/>
        </w:rPr>
        <w:t>type</w:t>
      </w:r>
      <w:r w:rsidR="00F131BF" w:rsidRPr="00D637BA">
        <w:rPr>
          <w:rFonts w:ascii="Calibri" w:hAnsi="Calibri" w:cs="Calibri"/>
          <w:color w:val="000000" w:themeColor="text1"/>
          <w:sz w:val="22"/>
          <w:szCs w:val="22"/>
        </w:rPr>
        <w:t xml:space="preserve"> RCC, also demonstrat</w:t>
      </w:r>
      <w:r w:rsidRPr="00D637BA">
        <w:rPr>
          <w:rFonts w:ascii="Calibri" w:hAnsi="Calibri" w:cs="Calibri"/>
          <w:color w:val="000000" w:themeColor="text1"/>
          <w:sz w:val="22"/>
          <w:szCs w:val="22"/>
        </w:rPr>
        <w:t>ed</w:t>
      </w:r>
      <w:r w:rsidR="00F131BF" w:rsidRPr="00D637BA">
        <w:rPr>
          <w:rFonts w:ascii="Calibri" w:hAnsi="Calibri" w:cs="Calibri"/>
          <w:color w:val="000000" w:themeColor="text1"/>
          <w:sz w:val="22"/>
          <w:szCs w:val="22"/>
        </w:rPr>
        <w:t xml:space="preserve"> </w:t>
      </w:r>
      <w:r w:rsidR="004014FC" w:rsidRPr="00D637BA">
        <w:rPr>
          <w:rFonts w:ascii="Calibri" w:hAnsi="Calibri" w:cs="Calibri"/>
          <w:color w:val="000000" w:themeColor="text1"/>
          <w:sz w:val="22"/>
          <w:szCs w:val="22"/>
        </w:rPr>
        <w:t xml:space="preserve">suppression of </w:t>
      </w:r>
      <w:r w:rsidR="00F131BF" w:rsidRPr="00D637BA">
        <w:rPr>
          <w:rFonts w:ascii="Calibri" w:hAnsi="Calibri" w:cs="Calibri"/>
          <w:color w:val="000000" w:themeColor="text1"/>
          <w:sz w:val="22"/>
          <w:szCs w:val="22"/>
        </w:rPr>
        <w:t xml:space="preserve">tumour growth </w:t>
      </w:r>
      <w:r w:rsidR="00F131BF" w:rsidRPr="00D637BA">
        <w:rPr>
          <w:rFonts w:ascii="Calibri" w:hAnsi="Calibri" w:cs="Calibri"/>
          <w:i/>
          <w:color w:val="000000" w:themeColor="text1"/>
          <w:sz w:val="22"/>
          <w:szCs w:val="22"/>
        </w:rPr>
        <w:t>in vivo</w:t>
      </w:r>
      <w:r w:rsidR="00312056">
        <w:rPr>
          <w:rFonts w:ascii="Calibri" w:hAnsi="Calibri" w:cs="Calibri"/>
          <w:i/>
          <w:color w:val="000000" w:themeColor="text1"/>
          <w:sz w:val="22"/>
          <w:szCs w:val="22"/>
        </w:rPr>
        <w:fldChar w:fldCharType="begin"/>
      </w:r>
      <w:r w:rsidR="003D6329">
        <w:rPr>
          <w:rFonts w:ascii="Calibri" w:hAnsi="Calibri" w:cs="Calibri"/>
          <w:i/>
          <w:color w:val="000000" w:themeColor="text1"/>
          <w:sz w:val="22"/>
          <w:szCs w:val="22"/>
        </w:rPr>
        <w:instrText xml:space="preserve"> ADDIN ZOTERO_ITEM CSL_CITATION {"citationID":"a1fvri9l19n","properties":{"formattedCitation":"\\super 14,210,211\\nosupersub{}","plainCitation":"14,210,211","noteIndex":0},"citationItems":[{"id":2617,"uris":["http://zotero.org/users/4775618/items/834J6ZV5"],"uri":["http://zotero.org/users/4775618/items/834J6ZV5"],"itemData":{"id":2617,"type":"article-journal","title":"Glutamine Addiction in Kidney Cancer Suppresses Oxidative Stress and Can Be Exploited for Real-Time Imaging","container-title":"Cancer Research","page":"6746-6758","volume":"77","issue":"23","source":"PubMed","abstract":"Many cancers appear to activate intrinsic antioxidant systems as a means to counteract oxidative stress. Some cancers, such as clear cell renal cell carcinoma (ccRCC), require exogenous glutamine for growth and exhibit reprogrammed glutamine metabolism, at least in part due to the glutathione pathway, an efficient cellular buffering system that counteracts reactive oxygen species and other oxidants. We show here that ccRCC xenograft tumors under the renal capsule exhibit enhanced oxidative stress compared with adjacent normal tissue and the contralateral kidney. Upon glutaminase inhibition with CB-839 or BPTES, the RCC cell lines SN12PM-6-1 (SN12) and 786-O exhibited decreased survival and pronounced apoptosis associated with a decreased GSH/GSSG ratio, augmented nuclear factor erythroid-related factor 2, and increased 8-oxo-7,8-dihydro-2'-deoxyguanosine, a marker of DNA damage. SN12 tumor xenografts showed decreased growth when treated with CB-839. Furthermore, PET imaging confirmed that ccRCC tumors exhibited increased tumoral uptake of 18F-(2S,4R)4-fluoroglutamine compared with the kidney in the orthotopic mouse model. This technique can be utilized to follow changes in ccRCC metabolism in vivo Further development of these paradigms will lead to new treatment options with glutaminase inhibitors and the utility of PET to identify and manage patients with ccRCC who are likely to respond to glutaminase inhibitors in the clinic. Cancer Res; 77(23); 6746-58. ©2017 AACR.","DOI":"10.1158/0008-5472.CAN-17-0930","ISSN":"1538-7445","note":"PMID: 29021138\nPMCID: PMC5791889","journalAbbreviation":"Cancer Res.","language":"eng","author":[{"family":"Abu Aboud","given":"Omran"},{"family":"Habib","given":"Samy L."},{"family":"Trott","given":"Josephine"},{"family":"Stewart","given":"Benjamin"},{"family":"Liang","given":"Sitai"},{"family":"Chaudhari","given":"Abhijit J."},{"family":"Sutcliffe","given":"Julie"},{"family":"Weiss","given":"Robert H."}],"issued":{"date-parts":[["2017"]],"season":"01"}}},{"id":461,"uris":["http://zotero.org/users/4775618/items/JB2M8FVX"],"uri":["http://zotero.org/users/4775618/items/JB2M8FVX"],"itemData":{"id":461,"type":"article-journal","title":"In Vivo HIF-Mediated Reductive Carboxylation Is Regulated by Citrate Levels and Sensitizes VHL-Deficient Cells to Glutamine Deprivation","container-title":"Cell metabolism","page":"372-385","volume":"17","issue":"3","source":"PubMed Central","abstract":"Hypoxic and VHL-deficient cells use glutamine to generate citrate and lipids through reductive carboxylation (RC) of α-ketoglutarate. To gain insights into the role of HIF and the molecular mechanisms underlying RC, we took advantage of a panel of disease-associated VHL mutants and showed that HIF expression is necessary and sufficient for the induction of RC in human renal cell carcinoma (RCC) cells. HIF expression drastically reduced intracellular citrate levels. Feeding VHL-deficient RCC cells with acetate or citrate or knocking down PDK-1 and ACLY restored citrate levels and suppressed RC. These data suggest that HIF-induced low intracellular citrate levels promote the reductive flux by mass action to maintain lipogenesis. Using [1–13C] glutamine, we demonstrated in vivo RC activity in VHL-deficient tumors growing as xenografts in mice. Lastly, HIF rendered VHL-deficient cells sensitive to glutamine deprivation in vitro, and systemic administration of glutaminase inhibitors suppressed the growth of RCC cells as mice xenografts.","URL":"https://www.ncbi.nlm.nih.gov/pmc/articles/PMC4003458/","DOI":"10.1016/j.cmet.2013.02.002","ISSN":"1550-4131","note":"PMID: 23473032\nPMCID: PMC4003458","journalAbbreviation":"Cell Metab","author":[{"family":"Gameiro","given":"Paulo A."},{"family":"Yang","given":"Juanjuan"},{"family":"Metelo","given":"Ana M."},{"family":"Pérez-Carro","given":"Rocio"},{"family":"Baker","given":"Rania"},{"family":"Wang","given":"Zongwei"},{"family":"Arreola","given":"Alexandra"},{"family":"Rathmell","given":"W. Kimryn"},{"family":"Olumi","given":"Aria"},{"family":"López-Larrubia","given":"Pilar"},{"family":"Stephanopoulos","given":"Gregory"},{"family":"Iliopoulos","given":"Othon"}],"issued":{"date-parts":[["2013",3,5]]},"accessed":{"date-parts":[["2018",4,10]]}}},{"id":464,"uris":["http://zotero.org/users/4775618/items/SGZS9S6Q"],"uri":["http://zotero.org/users/4775618/items/SGZS9S6Q"],"itemData":{"id":464,"type":"article-journal","title":"MYC oncogene overexpression drives renal cell carcinoma in a mouse model through glutamine metabolism","container-title":"Proceedings of the National Academy of Sciences of the United States of America","page":"6539-6544","volume":"112","issue":"21","source":"PubMed Central","abstract":"The absence of appropriate transgenic animal models of renal cell carcinomas (RCCs) has made it difficult to identify and test new therapies for this disease. We developed a new transgenic mouse model of a highly aggressive form of RCC in which tumor growth and regression is conditionally regulated by the MYC oncogene. Using desorption electrospray ionization–mass-spectrometric imaging, we found that certain glycerophosphoglycerols and metabolites of the glutaminolytic pathway were higher in abundance in RCC than in normal kidney tissue. Up-regulation of glutaminolytic genes and proteins was identified by genetic analysis and immunohistochemistry, therefore suggesting that RCC tumors are glutamine addicted. Pharmacological inhibition of glutaminase slowed tumor progression in vivo, which may represent a novel therapeutic route for RCC., The MYC oncogene is frequently mutated and overexpressed in human renal cell carcinoma (RCC). However, there have been no studies on the causative role of MYC or any other oncogene in the initiation or maintenance of kidney tumorigenesis. Here, we show through a conditional transgenic mouse model that the MYC oncogene, but not the RAS oncogene, initiates and maintains RCC. Desorption electrospray ionization–mass-spectrometric imaging was used to obtain chemical maps of metabolites and lipids in the mouse RCC samples. Gene expression analysis revealed that the mouse tumors mimicked human RCC. The data suggested that MYC-induced RCC up-regulated the glutaminolytic pathway instead of the glycolytic pathway. The pharmacologic inhibition of glutamine metabolism with bis-2-(5-phenylacetamido-1,2,4-thiadiazol-2-yl)ethyl sulfide impeded MYC-mediated RCC tumor progression. Our studies demonstrate that MYC overexpression causes RCC and points to the inhibition of glutamine metabolism as a potential therapeutic approach for the treatment of this disease.","URL":"https://www.ncbi.nlm.nih.gov/pmc/articles/PMC4450371/","DOI":"10.1073/pnas.1507228112","ISSN":"0027-8424","note":"PMID: 25964345\nPMCID: PMC4450371","journalAbbreviation":"Proc Natl Acad Sci U S A","author":[{"family":"Shroff","given":"Emelyn H."},{"family":"Eberlin","given":"Livia S."},{"family":"Dang","given":"Vanessa M."},{"family":"Gouw","given":"Arvin M."},{"family":"Gabay","given":"Meital"},{"family":"Adam","given":"Stacey J."},{"family":"Bellovin","given":"David I."},{"family":"Tran","given":"Phuoc T."},{"family":"Philbrick","given":"William M."},{"family":"Garcia-Ocana","given":"Adolfo"},{"family":"Casey","given":"Stephanie C."},{"family":"Li","given":"Yulin"},{"family":"Dang","given":"Chi V."},{"family":"Zare","given":"Richard N."},{"family":"Felsher","given":"Dean W."}],"issued":{"date-parts":[["2015",5,26]]},"accessed":{"date-parts":[["2018",4,10]]}}}],"schema":"https://github.com/citation-style-language/schema/raw/master/csl-citation.json"} </w:instrText>
      </w:r>
      <w:r w:rsidR="00312056">
        <w:rPr>
          <w:rFonts w:ascii="Calibri" w:hAnsi="Calibri" w:cs="Calibri"/>
          <w:i/>
          <w:color w:val="000000" w:themeColor="text1"/>
          <w:sz w:val="22"/>
          <w:szCs w:val="22"/>
        </w:rPr>
        <w:fldChar w:fldCharType="separate"/>
      </w:r>
      <w:r w:rsidR="003D6329" w:rsidRPr="003D6329">
        <w:rPr>
          <w:rFonts w:ascii="Calibri" w:hAnsi="Calibri" w:cs="Calibri"/>
          <w:color w:val="000000"/>
          <w:sz w:val="22"/>
          <w:vertAlign w:val="superscript"/>
          <w:lang w:val="en-US"/>
        </w:rPr>
        <w:t>14,210,211</w:t>
      </w:r>
      <w:r w:rsidR="00312056">
        <w:rPr>
          <w:rFonts w:ascii="Calibri" w:hAnsi="Calibri" w:cs="Calibri"/>
          <w:i/>
          <w:color w:val="000000" w:themeColor="text1"/>
          <w:sz w:val="22"/>
          <w:szCs w:val="22"/>
        </w:rPr>
        <w:fldChar w:fldCharType="end"/>
      </w:r>
      <w:r w:rsidR="00F131BF" w:rsidRPr="00D637BA">
        <w:rPr>
          <w:rFonts w:ascii="Calibri" w:hAnsi="Calibri" w:cs="Calibri"/>
          <w:color w:val="000000" w:themeColor="text1"/>
          <w:sz w:val="22"/>
          <w:szCs w:val="22"/>
        </w:rPr>
        <w:t xml:space="preserve">. These studies facilitated the translation of glutaminase inhibitors into </w:t>
      </w:r>
      <w:r w:rsidR="00A25552" w:rsidRPr="00D637BA">
        <w:rPr>
          <w:rFonts w:ascii="Calibri" w:hAnsi="Calibri" w:cs="Calibri"/>
          <w:color w:val="000000" w:themeColor="text1"/>
          <w:sz w:val="22"/>
          <w:szCs w:val="22"/>
        </w:rPr>
        <w:t xml:space="preserve">several </w:t>
      </w:r>
      <w:r w:rsidR="00F131BF" w:rsidRPr="00D637BA">
        <w:rPr>
          <w:rFonts w:ascii="Calibri" w:hAnsi="Calibri" w:cs="Calibri"/>
          <w:color w:val="000000" w:themeColor="text1"/>
          <w:sz w:val="22"/>
          <w:szCs w:val="22"/>
        </w:rPr>
        <w:t>phase 1</w:t>
      </w:r>
      <w:r w:rsidR="00FD27A2" w:rsidRPr="00D637BA">
        <w:rPr>
          <w:rFonts w:ascii="Calibri" w:hAnsi="Calibri" w:cs="Calibri"/>
          <w:color w:val="000000" w:themeColor="text1"/>
          <w:sz w:val="22"/>
          <w:szCs w:val="22"/>
        </w:rPr>
        <w:t>/2</w:t>
      </w:r>
      <w:r w:rsidR="00F131BF" w:rsidRPr="00D637BA">
        <w:rPr>
          <w:rFonts w:ascii="Calibri" w:hAnsi="Calibri" w:cs="Calibri"/>
          <w:color w:val="000000" w:themeColor="text1"/>
          <w:sz w:val="22"/>
          <w:szCs w:val="22"/>
        </w:rPr>
        <w:t xml:space="preserve"> clinical stud</w:t>
      </w:r>
      <w:r w:rsidR="00A25552" w:rsidRPr="00D637BA">
        <w:rPr>
          <w:rFonts w:ascii="Calibri" w:hAnsi="Calibri" w:cs="Calibri"/>
          <w:color w:val="000000" w:themeColor="text1"/>
          <w:sz w:val="22"/>
          <w:szCs w:val="22"/>
        </w:rPr>
        <w:t>ies</w:t>
      </w:r>
      <w:r w:rsidR="00D84C56" w:rsidRPr="00D637BA">
        <w:rPr>
          <w:rFonts w:ascii="Calibri" w:hAnsi="Calibri" w:cs="Calibri"/>
          <w:color w:val="000000" w:themeColor="text1"/>
          <w:sz w:val="22"/>
          <w:szCs w:val="22"/>
        </w:rPr>
        <w:t>,</w:t>
      </w:r>
      <w:r w:rsidR="00A25552" w:rsidRPr="00D637BA">
        <w:rPr>
          <w:rFonts w:ascii="Calibri" w:hAnsi="Calibri" w:cs="Calibri"/>
          <w:color w:val="000000" w:themeColor="text1"/>
          <w:sz w:val="22"/>
          <w:szCs w:val="22"/>
        </w:rPr>
        <w:t xml:space="preserve"> either as </w:t>
      </w:r>
      <w:r w:rsidR="00D84C56" w:rsidRPr="00D637BA">
        <w:rPr>
          <w:rFonts w:ascii="Calibri" w:hAnsi="Calibri" w:cs="Calibri"/>
          <w:color w:val="000000" w:themeColor="text1"/>
          <w:sz w:val="22"/>
          <w:szCs w:val="22"/>
        </w:rPr>
        <w:t xml:space="preserve">a </w:t>
      </w:r>
      <w:r w:rsidR="00A25552" w:rsidRPr="00D637BA">
        <w:rPr>
          <w:rFonts w:ascii="Calibri" w:hAnsi="Calibri" w:cs="Calibri"/>
          <w:color w:val="000000" w:themeColor="text1"/>
          <w:sz w:val="22"/>
          <w:szCs w:val="22"/>
        </w:rPr>
        <w:t xml:space="preserve">monotherapy or in combination with </w:t>
      </w:r>
      <w:r w:rsidR="004812B4" w:rsidRPr="00D637BA">
        <w:rPr>
          <w:rFonts w:ascii="Calibri" w:hAnsi="Calibri" w:cs="Calibri"/>
          <w:color w:val="000000" w:themeColor="text1"/>
          <w:sz w:val="22"/>
          <w:szCs w:val="22"/>
        </w:rPr>
        <w:t>approved therapeutic agents</w:t>
      </w:r>
      <w:r w:rsidR="00312056">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{"citationID":"acpod4lesn","properties":{"formattedCitation":"\\super 212\\uc0\\u8211{}214\\nosupersub{}","plainCitation":"212–214","noteIndex":0},"citationItems":[{"id":2624,"uris":["http://zotero.org/users/4775618/items/BWSKPDTX"],"uri":["http://zotero.org/users/4775618/items/BWSKPDTX"],"itemData":{"id":2624,"type":"article-journal","title":"Glutaminase inhibition in renal cell carcinoma therapy","container-title":"Cancer Drug Resistance","source":"Crossref","abstract":"Receptor tyrosine kinase inhibitors have been a standard first-line therapy for renal cell carcinoma (RCC) for over a decade. Although they stabilize the disease, they are unable to remove all tumor cells, leading to relapse. Moreover, both intrinsic and acquired resistance to therapy are a significant health burden. In order to overcome resistance, several combination therapies have been recently approved by the FDA. Another approach takes advantage of altered metabolism in tumor cells, which switch to alternative metabolic pathways to sustain their rapid growth and proliferation. CB-839 is a small molecule inhibitor of kidney type glutaminase (GLS). GLS is often upregulated in glutamine addicted cancers, enhancing glutamine metabolism for the production of energy and the biosynthesis of various cellular building blocks. CB-839 is currently in clinical trials for several tumors, including clear cell (cc)RCC, both as monotherapy and in combination with the approved therapeutic agents everolimus, cabozantinib and nivolumab. Early results of Phase 1/2 clinical trials look promising, especially for CB-839 plus cabozantinib, and all combinations seem to be well tolerated. However, cancer cells can activate compensatory pathways to overcome glutaminolysis inhibition. Therefore, genetic and metabolomic studies are crucial for the successful implementation of CB-839 alone or in combination in subgroups of ccRCC patients.","URL":"https://cdrjournal.com/article/view/3078","DOI":"10.20517/cdr.2018.004","ISSN":"2578532X","language":"en","author":[{"family":"Raczka","given":"Aleksandra M."},{"family":"Reynolds","given":"Paul A."}],"issued":{"date-parts":[["2019"]]},"accessed":{"date-parts":[["2019",6,26]]}}},{"id":1761,"uris":["http://zotero.org/users/4775618/items/QZATVJHI"],"uri":["http://zotero.org/users/4775618/items/QZATVJHI"],"itemData":{"id":1761,"type":"article-journal","title":"Recent Development of Small Molecule Glutaminase Inhibitors","container-title":"Current Topics in Medicinal Chemistry","page":"432-443","volume":"18","issue":"6","source":"PubMed","abstract":"Glutaminase (GLS), which is responsible for the conversion of glutamine to glutamate, plays a vital role in up-regulating cell metabolism for tumor cell growth and is considered to be a valuable therapeutic target for cancer treatment. Based on this important function of glutaminase in cancer, several GLS inhibitors have been developed in both academia and industry. Most importantly, Calithera Biosciences Inc. is actively developing the glutaminase inhibitor CB-839 for the treatment of various cancers, and it is currently being evaluated in phase 1 and 2 clinical trials. In this review, recent efforts to develop small molecule glutaminase inhibitors that target glutamine metabolism in both preclinical and clinical studies are discussed. In particular, more emphasis is placed on CB-839 because it is the only small molecule GLS inhibitor being studied in a clinical setting. The inhibition mechanism is also discussed based on X-ray structure studies of thiadiazole derivatives present in glutaminase inhibitor BPTES. Finally, recent medicinal chemistry efforts to develop a new class of GLS inhibitors are described in the hopes of providing useful information for the next generation of GLS inhibitors.","DOI":"10.2174/1568026618666180525100830","ISSN":"1873-4294","note":"PMID: 29793408","journalAbbreviation":"Curr Top Med Chem","language":"eng","author":[{"family":"Song","given":"Minsoo"},{"family":"Kim","given":"Soong-Hyun"},{"family":"Im","given":"Chun Young"},{"family":"Hwang","given":"Hee-Jong"}],"issued":{"date-parts":[["2018"]]}}},{"id":2621,"uris":["http://zotero.org/users/4775618/items/FBJ493KA"],"uri":["http://zotero.org/users/4775618/items/FBJ493KA"],"itemData":{"id":2621,"type":"article-journal","title":"CANTATA: A randomized phase 2 study of CB-839 in combination with cabozantinib vs. placebo with cabozantinib in patients with advanced/metastatic renal cell carcinoma.","container-title":"Journal of Clinical Oncology","page":"TPS4601-TPS4601","volume":"36","issue":"15_suppl","source":"ascopubs-org.ezp.lib.cam.ac.uk (Atypon)","abstract":"TPS4601Background: Glutamine utilization is a metabolic pathway upregulated in renal cell carcinoma (RCC) and important for RCC tumor cell proliferation and survival. CB-839 is a first-in-class, potent, oral inhibitor of the mitochondrial enzyme glutaminase (GLS) that controls a critical step in tumor cell utilization of glutamine. In preclinical RCC models, CB-839 demonstrated synergistic anti-tumor activity when combined with cabozantinib, a VEGFR/MET inhibitor. A phase 1 study cohort of CB-839 plus cabozantinib as 2L+ therapy showed encouraging safety and efficacy results, with 40% overall response rate (ORR; RECIST v1.1) and 100% disease control rate in patients with clear cell advanced/metastatic RCC (mRCC). These findings prompted the initiation of a randomized phase 2 study comparing CB-839 plus cabozantinib vs. placebo plus cabozantinib in patients with clear cell mRCC. Methods: This international, randomized, double-blind, placebo-controlled, multi-center study (NCT03428217) will enroll ~300 patients with clear cell mRCC. Eligible patients will have received 1-2 prior lines of systemic therapy for mRCC including ≥1 anti-angiogenic therapy or the combination of nivolumab + ipilimumab. Other eligibility criteria include KPS ≥70%, measurable disease (RECIST v1.1), and no prior cabozantinib (or other MET inhibitor). Patients will be randomized 1:1 to receive CB-839 (800 mg twice daily per oral [PO] route) or placebo in combination with cabozantinib (60 mg daily PO) in 28-day cycles until disease progression or unacceptable toxicity. Patients will be stratified by prior PD-1/PD-L1 inhibitor therapy (Y/N) and IMDC prognostic risk group (favorable vs intermediate vs poor). The primary endpoint is progression-free survival (PFS; RECIST v1.1) by blinded independent radiology review; secondary endpoints are investigator-assessed PFS and overall survival. Safety, disease responses per RECIST, and quality of life will also be assessed. This important study will contribute to understanding the efficacy and safety profile of CB-839, a first-in-class metabolic inhibitor, in combination with cabozantinib in patients with mRCC. Clinical trial information: NCT03428217.","URL":"https://ascopubs-org.ezp.lib.cam.ac.uk/doi/abs/10.1200/JCO.2018.36.15_suppl.TPS4601","DOI":"10.1200/JCO.2018.36.15_suppl.TPS4601","ISSN":"0732-183X","title-short":"CANTATA","journalAbbreviation":"JCO","author":[{"family":"Tannir","given":"Nizar M."},{"family":"Motzer","given":"Robert J."},{"family":"Agarwal","given":"Neeraj"},{"family":"Liu","given":"Ping-Yu"},{"family":"Whiting","given":"Samuel H."},{"family":"O'Keeffe","given":"Bridget"},{"family":"Tran","given":"Xuan"},{"family":"Fiji","given":"Gayle P."},{"family":"Escudier","given":"Bernard"}],"issued":{"date-parts":[["2018",5,20]]},"accessed":{"date-parts":[["2019",6,26]]}}}],"schema":"https://github.com/citation-style-language/schema/raw/master/csl-citation.json"} </w:instrText>
      </w:r>
      <w:r w:rsidR="00312056">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212–214</w:t>
      </w:r>
      <w:r w:rsidR="00312056">
        <w:rPr>
          <w:rFonts w:ascii="Calibri" w:hAnsi="Calibri" w:cs="Calibri"/>
          <w:color w:val="000000" w:themeColor="text1"/>
          <w:sz w:val="22"/>
          <w:szCs w:val="22"/>
        </w:rPr>
        <w:fldChar w:fldCharType="end"/>
      </w:r>
      <w:r w:rsidR="00D84C56" w:rsidRPr="00D637BA">
        <w:rPr>
          <w:rFonts w:ascii="Calibri" w:hAnsi="Calibri" w:cs="Calibri"/>
          <w:color w:val="000000" w:themeColor="text1"/>
          <w:sz w:val="22"/>
          <w:szCs w:val="22"/>
        </w:rPr>
        <w:t>. The study cohorts included patients with</w:t>
      </w:r>
      <w:r w:rsidR="000167D7">
        <w:rPr>
          <w:rFonts w:ascii="Calibri" w:hAnsi="Calibri" w:cs="Calibri"/>
          <w:color w:val="000000" w:themeColor="text1"/>
          <w:sz w:val="22"/>
          <w:szCs w:val="22"/>
        </w:rPr>
        <w:t xml:space="preserve"> </w:t>
      </w:r>
      <w:r w:rsidR="00F131BF" w:rsidRPr="00D637BA">
        <w:rPr>
          <w:rFonts w:ascii="Calibri" w:hAnsi="Calibri" w:cs="Calibri"/>
          <w:i/>
          <w:color w:val="000000" w:themeColor="text1"/>
          <w:sz w:val="22"/>
          <w:szCs w:val="22"/>
        </w:rPr>
        <w:t>FH-</w:t>
      </w:r>
      <w:r w:rsidR="00D84C56" w:rsidRPr="00B946E4">
        <w:rPr>
          <w:rFonts w:ascii="Calibri" w:hAnsi="Calibri" w:cs="Calibri"/>
          <w:color w:val="000000" w:themeColor="text1"/>
          <w:sz w:val="22"/>
          <w:szCs w:val="22"/>
        </w:rPr>
        <w:t xml:space="preserve">deficient </w:t>
      </w:r>
      <w:r w:rsidR="00EF1620">
        <w:rPr>
          <w:rFonts w:ascii="Calibri" w:hAnsi="Calibri" w:cs="Calibri"/>
          <w:color w:val="000000" w:themeColor="text1"/>
          <w:sz w:val="22"/>
          <w:szCs w:val="22"/>
        </w:rPr>
        <w:t>and</w:t>
      </w:r>
      <w:r w:rsidR="00F131BF" w:rsidRPr="00B946E4">
        <w:rPr>
          <w:rFonts w:ascii="Calibri" w:hAnsi="Calibri" w:cs="Calibri"/>
          <w:color w:val="000000" w:themeColor="text1"/>
          <w:sz w:val="22"/>
          <w:szCs w:val="22"/>
        </w:rPr>
        <w:t xml:space="preserve"> </w:t>
      </w:r>
      <w:r w:rsidR="00F131BF" w:rsidRPr="00D637BA">
        <w:rPr>
          <w:rFonts w:ascii="Calibri" w:hAnsi="Calibri" w:cs="Calibri"/>
          <w:i/>
          <w:color w:val="000000" w:themeColor="text1"/>
          <w:sz w:val="22"/>
          <w:szCs w:val="22"/>
        </w:rPr>
        <w:t>SDH-</w:t>
      </w:r>
      <w:r w:rsidR="00F131BF" w:rsidRPr="00B946E4">
        <w:rPr>
          <w:rFonts w:ascii="Calibri" w:hAnsi="Calibri" w:cs="Calibri"/>
          <w:color w:val="000000" w:themeColor="text1"/>
          <w:sz w:val="22"/>
          <w:szCs w:val="22"/>
        </w:rPr>
        <w:t>deficient RCC</w:t>
      </w:r>
      <w:r w:rsidR="004812B4" w:rsidRPr="00D637BA">
        <w:rPr>
          <w:rFonts w:ascii="Calibri" w:hAnsi="Calibri" w:cs="Calibri"/>
          <w:color w:val="000000" w:themeColor="text1"/>
          <w:sz w:val="22"/>
          <w:szCs w:val="22"/>
        </w:rPr>
        <w:t xml:space="preserve"> </w:t>
      </w:r>
      <w:r w:rsidR="00A25552" w:rsidRPr="00D637BA">
        <w:rPr>
          <w:rFonts w:ascii="Calibri" w:hAnsi="Calibri" w:cs="Calibri"/>
          <w:color w:val="000000" w:themeColor="text1"/>
          <w:sz w:val="22"/>
          <w:szCs w:val="22"/>
        </w:rPr>
        <w:t xml:space="preserve">as well as </w:t>
      </w:r>
      <w:r w:rsidR="00D84C56" w:rsidRPr="00B946E4">
        <w:rPr>
          <w:rFonts w:ascii="Calibri" w:hAnsi="Calibri" w:cs="Calibri"/>
          <w:color w:val="000000" w:themeColor="text1"/>
          <w:sz w:val="22"/>
          <w:szCs w:val="22"/>
        </w:rPr>
        <w:t xml:space="preserve">patients with </w:t>
      </w:r>
      <w:r w:rsidR="00A25552" w:rsidRPr="00D637BA">
        <w:rPr>
          <w:rFonts w:ascii="Calibri" w:hAnsi="Calibri" w:cs="Calibri"/>
          <w:color w:val="000000" w:themeColor="text1"/>
          <w:sz w:val="22"/>
          <w:szCs w:val="22"/>
        </w:rPr>
        <w:t>metastatic RCC</w:t>
      </w:r>
      <w:r w:rsidR="00312056">
        <w:rPr>
          <w:rFonts w:ascii="Calibri" w:hAnsi="Calibri" w:cs="Calibri"/>
          <w:color w:val="000000" w:themeColor="text1"/>
          <w:sz w:val="22"/>
          <w:szCs w:val="22"/>
        </w:rPr>
        <w:t>.</w:t>
      </w:r>
      <w:r w:rsidR="00D84C56" w:rsidRPr="00D637BA">
        <w:rPr>
          <w:rFonts w:ascii="Calibri" w:hAnsi="Calibri" w:cs="Calibri"/>
          <w:color w:val="000000" w:themeColor="text1"/>
          <w:sz w:val="22"/>
          <w:szCs w:val="22"/>
        </w:rPr>
        <w:t xml:space="preserve"> </w:t>
      </w:r>
      <w:r w:rsidR="00EF1620">
        <w:rPr>
          <w:rFonts w:ascii="Calibri" w:hAnsi="Calibri" w:cs="Calibri"/>
          <w:color w:val="000000" w:themeColor="text1"/>
          <w:sz w:val="22"/>
          <w:szCs w:val="22"/>
        </w:rPr>
        <w:t>E</w:t>
      </w:r>
      <w:r w:rsidR="004812B4" w:rsidRPr="00D637BA">
        <w:rPr>
          <w:rFonts w:ascii="Calibri" w:hAnsi="Calibri" w:cs="Calibri"/>
          <w:color w:val="000000" w:themeColor="text1"/>
          <w:sz w:val="22"/>
          <w:szCs w:val="22"/>
        </w:rPr>
        <w:t>arly</w:t>
      </w:r>
      <w:r w:rsidR="00D84C56" w:rsidRPr="00B946E4">
        <w:rPr>
          <w:rFonts w:ascii="Calibri" w:hAnsi="Calibri" w:cs="Calibri"/>
          <w:color w:val="000000" w:themeColor="text1"/>
          <w:sz w:val="22"/>
          <w:szCs w:val="22"/>
        </w:rPr>
        <w:t xml:space="preserve"> results </w:t>
      </w:r>
      <w:r w:rsidR="00E77698">
        <w:rPr>
          <w:rFonts w:ascii="Calibri" w:hAnsi="Calibri" w:cs="Calibri"/>
          <w:color w:val="000000" w:themeColor="text1"/>
          <w:sz w:val="22"/>
          <w:szCs w:val="22"/>
        </w:rPr>
        <w:t>are</w:t>
      </w:r>
      <w:r w:rsidR="004812B4" w:rsidRPr="00D637BA">
        <w:rPr>
          <w:rFonts w:ascii="Calibri" w:hAnsi="Calibri" w:cs="Calibri"/>
          <w:color w:val="000000" w:themeColor="text1"/>
          <w:sz w:val="22"/>
          <w:szCs w:val="22"/>
        </w:rPr>
        <w:t xml:space="preserve"> promising</w:t>
      </w:r>
      <w:r w:rsidR="00E77698">
        <w:rPr>
          <w:rFonts w:ascii="Calibri" w:hAnsi="Calibri" w:cs="Calibri"/>
          <w:color w:val="000000" w:themeColor="text1"/>
          <w:sz w:val="22"/>
          <w:szCs w:val="22"/>
        </w:rPr>
        <w:t xml:space="preserve"> </w:t>
      </w:r>
      <w:r w:rsidR="00EF1620">
        <w:rPr>
          <w:rFonts w:ascii="Calibri" w:hAnsi="Calibri" w:cs="Calibri"/>
          <w:color w:val="000000" w:themeColor="text1"/>
          <w:sz w:val="22"/>
          <w:szCs w:val="22"/>
        </w:rPr>
        <w:t xml:space="preserve">with </w:t>
      </w:r>
      <w:r w:rsidR="00181ACC">
        <w:rPr>
          <w:rFonts w:ascii="Calibri" w:hAnsi="Calibri" w:cs="Calibri"/>
          <w:color w:val="000000" w:themeColor="text1"/>
          <w:sz w:val="22"/>
          <w:szCs w:val="22"/>
        </w:rPr>
        <w:t>an overall response rate of 40% and favourable safety profile in patients with advanced and/or metastatic ccRCC</w:t>
      </w:r>
      <w:r w:rsidR="00312056">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{"citationID":"a706u4r6oj","properties":{"formattedCitation":"\\super 212,214\\nosupersub{}","plainCitation":"212,214","noteIndex":0},"citationItems":[{"id":2624,"uris":["http://zotero.org/users/4775618/items/BWSKPDTX"],"uri":["http://zotero.org/users/4775618/items/BWSKPDTX"],"itemData":{"id":2624,"type":"article-journal","title":"Glutaminase inhibition in renal cell carcinoma therapy","container-title":"Cancer Drug Resistance","source":"Crossref","abstract":"Receptor tyrosine kinase inhibitors have been a standard first-line therapy for renal cell carcinoma (RCC) for over a decade. Although they stabilize the disease, they are unable to remove all tumor cells, leading to relapse. Moreover, both intrinsic and acquired resistance to therapy are a significant health burden. In order to overcome resistance, several combination therapies have been recently approved by the FDA. Another approach takes advantage of altered metabolism in tumor cells, which switch to alternative metabolic pathways to sustain their rapid growth and proliferation. CB-839 is a small molecule inhibitor of kidney type glutaminase (GLS). GLS is often upregulated in glutamine addicted cancers, enhancing glutamine metabolism for the production of energy and the biosynthesis of various cellular building blocks. CB-839 is currently in clinical trials for several tumors, including clear cell (cc)RCC, both as monotherapy and in combination with the approved therapeutic agents everolimus, cabozantinib and nivolumab. Early results of Phase 1/2 clinical trials look promising, especially for CB-839 plus cabozantinib, and all combinations seem to be well tolerated. However, cancer cells can activate compensatory pathways to overcome glutaminolysis inhibition. Therefore, genetic and metabolomic studies are crucial for the successful implementation of CB-839 alone or in combination in subgroups of ccRCC patients.","URL":"https://cdrjournal.com/article/view/3078","DOI":"10.20517/cdr.2018.004","ISSN":"2578532X","language":"en","author":[{"family":"Raczka","given":"Aleksandra M."},{"family":"Reynolds","given":"Paul A."}],"issued":{"date-parts":[["2019"]]},"accessed":{"date-parts":[["2019",6,26]]}}},{"id":2621,"uris":["http://zotero.org/users/4775618/items/FBJ493KA"],"uri":["http://zotero.org/users/4775618/items/FBJ493KA"],"itemData":{"id":2621,"type":"article-journal","title":"CANTATA: A randomized phase 2 study of CB-839 in combination with cabozantinib vs. placebo with cabozantinib in patients with advanced/metastatic renal cell carcinoma.","container-title":"Journal of Clinical Oncology","page":"TPS4601-TPS4601","volume":"36","issue":"15_suppl","source":"ascopubs-org.ezp.lib.cam.ac.uk (Atypon)","abstract":"TPS4601Background: Glutamine utilization is a metabolic pathway upregulated in renal cell carcinoma (RCC) and important for RCC tumor cell proliferation and survival. CB-839 is a first-in-class, potent, oral inhibitor of the mitochondrial enzyme glutaminase (GLS) that controls a critical step in tumor cell utilization of glutamine. In preclinical RCC models, CB-839 demonstrated synergistic anti-tumor activity when combined with cabozantinib, a VEGFR/MET inhibitor. A phase 1 study cohort of CB-839 plus cabozantinib as 2L+ therapy showed encouraging safety and efficacy results, with 40% overall response rate (ORR; RECIST v1.1) and 100% disease control rate in patients with clear cell advanced/metastatic RCC (mRCC). These findings prompted the initiation of a randomized phase 2 study comparing CB-839 plus cabozantinib vs. placebo plus cabozantinib in patients with clear cell mRCC. Methods: This international, randomized, double-blind, placebo-controlled, multi-center study (NCT03428217) will enroll ~300 patients with clear cell mRCC. Eligible patients will have received 1-2 prior lines of systemic therapy for mRCC including ≥1 anti-angiogenic therapy or the combination of nivolumab + ipilimumab. Other eligibility criteria include KPS ≥70%, measurable disease (RECIST v1.1), and no prior cabozantinib (or other MET inhibitor). Patients will be randomized 1:1 to receive CB-839 (800 mg twice daily per oral [PO] route) or placebo in combination with cabozantinib (60 mg daily PO) in 28-day cycles until disease progression or unacceptable toxicity. Patients will be stratified by prior PD-1/PD-L1 inhibitor therapy (Y/N) and IMDC prognostic risk group (favorable vs intermediate vs poor). The primary endpoint is progression-free survival (PFS; RECIST v1.1) by blinded independent radiology review; secondary endpoints are investigator-assessed PFS and overall survival. Safety, disease responses per RECIST, and quality of life will also be assessed. This important study will contribute to understanding the efficacy and safety profile of CB-839, a first-in-class metabolic inhibitor, in combination with cabozantinib in patients with mRCC. Clinical trial information: NCT03428217.","URL":"https://ascopubs-org.ezp.lib.cam.ac.uk/doi/abs/10.1200/JCO.2018.36.15_suppl.TPS4601","DOI":"10.1200/JCO.2018.36.15_suppl.TPS4601","ISSN":"0732-183X","title-short":"CANTATA","journalAbbreviation":"JCO","author":[{"family":"Tannir","given":"Nizar M."},{"family":"Motzer","given":"Robert J."},{"family":"Agarwal","given":"Neeraj"},{"family":"Liu","given":"Ping-Yu"},{"family":"Whiting","given":"Samuel H."},{"family":"O'Keeffe","given":"Bridget"},{"family":"Tran","given":"Xuan"},{"family":"Fiji","given":"Gayle P."},{"family":"Escudier","given":"Bernard"}],"issued":{"date-parts":[["2018",5,20]]},"accessed":{"date-parts":[["2019",6,26]]}}}],"schema":"https://github.com/citation-style-language/schema/raw/master/csl-citation.json"} </w:instrText>
      </w:r>
      <w:r w:rsidR="00312056">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212,214</w:t>
      </w:r>
      <w:r w:rsidR="00312056">
        <w:rPr>
          <w:rFonts w:ascii="Calibri" w:hAnsi="Calibri" w:cs="Calibri"/>
          <w:color w:val="000000" w:themeColor="text1"/>
          <w:sz w:val="22"/>
          <w:szCs w:val="22"/>
        </w:rPr>
        <w:fldChar w:fldCharType="end"/>
      </w:r>
      <w:r w:rsidR="00A25552" w:rsidRPr="00D637BA">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p>
    <w:p w14:paraId="48735648" w14:textId="0253D4C6" w:rsidR="00F131BF" w:rsidRPr="00D637BA" w:rsidRDefault="00D84C56" w:rsidP="00F0248B">
      <w:pPr>
        <w:spacing w:line="360" w:lineRule="auto"/>
        <w:ind w:firstLine="454"/>
        <w:jc w:val="both"/>
        <w:rPr>
          <w:rFonts w:ascii="Calibri" w:hAnsi="Calibri" w:cs="Calibri"/>
          <w:color w:val="000000" w:themeColor="text1"/>
          <w:sz w:val="22"/>
          <w:szCs w:val="22"/>
        </w:rPr>
      </w:pPr>
      <w:r w:rsidRPr="00B946E4">
        <w:rPr>
          <w:rFonts w:ascii="Calibri" w:hAnsi="Calibri" w:cs="Calibri"/>
          <w:color w:val="000000" w:themeColor="text1"/>
          <w:sz w:val="22"/>
          <w:szCs w:val="22"/>
        </w:rPr>
        <w:t xml:space="preserve">As not all RCC tumours accumulate L2HG, it is </w:t>
      </w:r>
      <w:r w:rsidR="00F131BF" w:rsidRPr="00D637BA">
        <w:rPr>
          <w:rFonts w:ascii="Calibri" w:hAnsi="Calibri" w:cs="Calibri"/>
          <w:color w:val="000000" w:themeColor="text1"/>
          <w:sz w:val="22"/>
          <w:szCs w:val="22"/>
        </w:rPr>
        <w:t>highly unlikely that the effects of glutaminase inhibition in RCC are purely mediated through</w:t>
      </w:r>
      <w:r w:rsidRPr="00B946E4">
        <w:rPr>
          <w:rFonts w:ascii="Calibri" w:hAnsi="Calibri" w:cs="Calibri"/>
          <w:color w:val="000000" w:themeColor="text1"/>
          <w:sz w:val="22"/>
          <w:szCs w:val="22"/>
        </w:rPr>
        <w:t xml:space="preserve"> this metabolite.</w:t>
      </w:r>
      <w:r w:rsidR="000167D7">
        <w:rPr>
          <w:rFonts w:ascii="Calibri" w:hAnsi="Calibri" w:cs="Calibri"/>
          <w:color w:val="000000" w:themeColor="text1"/>
          <w:sz w:val="22"/>
          <w:szCs w:val="22"/>
        </w:rPr>
        <w:t xml:space="preserve"> </w:t>
      </w:r>
      <w:r w:rsidR="009F1585" w:rsidRPr="00B946E4">
        <w:rPr>
          <w:rFonts w:ascii="Calibri" w:hAnsi="Calibri" w:cs="Calibri"/>
          <w:color w:val="000000" w:themeColor="text1"/>
          <w:sz w:val="22"/>
          <w:szCs w:val="22"/>
        </w:rPr>
        <w:t>As</w:t>
      </w:r>
      <w:r w:rsidR="00F131BF" w:rsidRPr="00D637BA">
        <w:rPr>
          <w:rFonts w:ascii="Calibri" w:hAnsi="Calibri" w:cs="Calibri"/>
          <w:color w:val="000000" w:themeColor="text1"/>
          <w:sz w:val="22"/>
          <w:szCs w:val="22"/>
        </w:rPr>
        <w:t xml:space="preserve"> loss of </w:t>
      </w:r>
      <w:r w:rsidR="00F131BF" w:rsidRPr="00D637BA">
        <w:rPr>
          <w:rFonts w:ascii="Calibri" w:hAnsi="Calibri" w:cs="Calibri"/>
          <w:i/>
          <w:color w:val="000000" w:themeColor="text1"/>
          <w:sz w:val="22"/>
          <w:szCs w:val="22"/>
        </w:rPr>
        <w:t xml:space="preserve">L2HGDH </w:t>
      </w:r>
      <w:r w:rsidR="00F131BF" w:rsidRPr="00D637BA">
        <w:rPr>
          <w:rFonts w:ascii="Calibri" w:hAnsi="Calibri" w:cs="Calibri"/>
          <w:color w:val="000000" w:themeColor="text1"/>
          <w:sz w:val="22"/>
          <w:szCs w:val="22"/>
        </w:rPr>
        <w:t>and accumulation of L2HG confers a worse prognosis in patients with ccRCC</w:t>
      </w:r>
      <w:r w:rsidR="008562B7">
        <w:rPr>
          <w:rFonts w:ascii="Calibri" w:hAnsi="Calibri" w:cs="Calibri"/>
          <w:color w:val="000000" w:themeColor="text1"/>
          <w:sz w:val="22"/>
          <w:szCs w:val="22"/>
        </w:rPr>
        <w:fldChar w:fldCharType="begin"/>
      </w:r>
      <w:r w:rsidR="003D6329">
        <w:rPr>
          <w:rFonts w:ascii="Calibri" w:hAnsi="Calibri" w:cs="Calibri"/>
          <w:color w:val="000000" w:themeColor="text1"/>
          <w:sz w:val="22"/>
          <w:szCs w:val="22"/>
        </w:rPr>
        <w:instrText xml:space="preserve"> ADDIN ZOTERO_ITEM CSL_CITATION {"citationID":"a2o9gpgob3f","properties":{"formattedCitation":"\\super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8562B7">
        <w:rPr>
          <w:rFonts w:ascii="Calibri" w:hAnsi="Calibri" w:cs="Calibri"/>
          <w:color w:val="000000" w:themeColor="text1"/>
          <w:sz w:val="22"/>
          <w:szCs w:val="22"/>
        </w:rPr>
        <w:fldChar w:fldCharType="separate"/>
      </w:r>
      <w:r w:rsidR="003D6329" w:rsidRPr="003D6329">
        <w:rPr>
          <w:rFonts w:ascii="Calibri" w:hAnsi="Calibri" w:cs="Calibri"/>
          <w:color w:val="000000"/>
          <w:sz w:val="22"/>
          <w:vertAlign w:val="superscript"/>
          <w:lang w:val="en-US"/>
        </w:rPr>
        <w:t>76</w:t>
      </w:r>
      <w:r w:rsidR="008562B7">
        <w:rPr>
          <w:rFonts w:ascii="Calibri" w:hAnsi="Calibri" w:cs="Calibri"/>
          <w:color w:val="000000" w:themeColor="text1"/>
          <w:sz w:val="22"/>
          <w:szCs w:val="22"/>
        </w:rPr>
        <w:fldChar w:fldCharType="end"/>
      </w:r>
      <w:r w:rsidR="009F1585" w:rsidRPr="00B946E4">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and upregulation of the glutamine transporter </w:t>
      </w:r>
      <w:r w:rsidR="009F1585" w:rsidRPr="00B946E4">
        <w:rPr>
          <w:rFonts w:ascii="Calibri" w:hAnsi="Calibri" w:cs="Calibri"/>
          <w:color w:val="000000" w:themeColor="text1"/>
          <w:sz w:val="22"/>
          <w:szCs w:val="22"/>
        </w:rPr>
        <w:t xml:space="preserve">also </w:t>
      </w:r>
      <w:r w:rsidR="00F131BF" w:rsidRPr="00D637BA">
        <w:rPr>
          <w:rFonts w:ascii="Calibri" w:hAnsi="Calibri" w:cs="Calibri"/>
          <w:color w:val="000000" w:themeColor="text1"/>
          <w:sz w:val="22"/>
          <w:szCs w:val="22"/>
        </w:rPr>
        <w:t>correlates with aggressive ccRCC and worse prognosis</w:t>
      </w:r>
      <w:r w:rsidR="008562B7">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{"citationID":"a1kqu9mpm3u","properties":{"formattedCitation":"\\super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8562B7">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10</w:t>
      </w:r>
      <w:r w:rsidR="008562B7">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F131BF" w:rsidRPr="00B946E4">
        <w:rPr>
          <w:rFonts w:ascii="Calibri" w:hAnsi="Calibri" w:cs="Calibri"/>
          <w:sz w:val="22"/>
          <w:szCs w:val="22"/>
        </w:rPr>
        <w:t>it</w:t>
      </w:r>
      <w:r w:rsidR="00F131BF" w:rsidRPr="00D637BA">
        <w:rPr>
          <w:rFonts w:ascii="Calibri" w:hAnsi="Calibri" w:cs="Calibri"/>
          <w:color w:val="000000" w:themeColor="text1"/>
          <w:sz w:val="22"/>
          <w:szCs w:val="22"/>
        </w:rPr>
        <w:t xml:space="preserve"> would be of immense value to ascertain whether there is crosstalk</w:t>
      </w:r>
      <w:r w:rsidR="008346B9" w:rsidRPr="00B946E4">
        <w:rPr>
          <w:rFonts w:ascii="Calibri" w:hAnsi="Calibri" w:cs="Calibri"/>
          <w:color w:val="000000" w:themeColor="text1"/>
          <w:sz w:val="22"/>
          <w:szCs w:val="22"/>
        </w:rPr>
        <w:t xml:space="preserve"> between the</w:t>
      </w:r>
      <w:r w:rsidR="00ED32F4">
        <w:rPr>
          <w:rFonts w:ascii="Calibri" w:hAnsi="Calibri" w:cs="Calibri"/>
          <w:color w:val="000000" w:themeColor="text1"/>
          <w:sz w:val="22"/>
          <w:szCs w:val="22"/>
        </w:rPr>
        <w:t>se</w:t>
      </w:r>
      <w:r w:rsidR="008346B9" w:rsidRPr="00B946E4">
        <w:rPr>
          <w:rFonts w:ascii="Calibri" w:hAnsi="Calibri" w:cs="Calibri"/>
          <w:color w:val="000000" w:themeColor="text1"/>
          <w:sz w:val="22"/>
          <w:szCs w:val="22"/>
        </w:rPr>
        <w:t xml:space="preserve"> underlying mechanisms</w:t>
      </w:r>
      <w:r w:rsidR="007E4363" w:rsidRPr="00D637BA">
        <w:rPr>
          <w:rFonts w:ascii="Calibri" w:hAnsi="Calibri" w:cs="Calibri"/>
          <w:color w:val="000000" w:themeColor="text1"/>
          <w:sz w:val="22"/>
          <w:szCs w:val="22"/>
        </w:rPr>
        <w:t xml:space="preserve"> </w:t>
      </w:r>
      <w:r w:rsidR="00ED32F4">
        <w:rPr>
          <w:rFonts w:ascii="Calibri" w:hAnsi="Calibri" w:cs="Calibri"/>
          <w:color w:val="000000" w:themeColor="text1"/>
          <w:sz w:val="22"/>
          <w:szCs w:val="22"/>
        </w:rPr>
        <w:t>that mutually confers poor prognoses. G</w:t>
      </w:r>
      <w:r w:rsidR="00F131BF" w:rsidRPr="00D637BA">
        <w:rPr>
          <w:rFonts w:ascii="Calibri" w:hAnsi="Calibri" w:cs="Calibri"/>
          <w:color w:val="000000" w:themeColor="text1"/>
          <w:sz w:val="22"/>
          <w:szCs w:val="22"/>
        </w:rPr>
        <w:t>iven the ability of L2HG</w:t>
      </w:r>
      <w:r w:rsidR="009712CC">
        <w:rPr>
          <w:rFonts w:ascii="Calibri" w:hAnsi="Calibri" w:cs="Calibri"/>
          <w:color w:val="000000" w:themeColor="text1"/>
          <w:sz w:val="22"/>
          <w:szCs w:val="22"/>
        </w:rPr>
        <w:t xml:space="preserve"> accumulation</w:t>
      </w:r>
      <w:r w:rsidR="00F131BF" w:rsidRPr="00D637BA">
        <w:rPr>
          <w:rFonts w:ascii="Calibri" w:hAnsi="Calibri" w:cs="Calibri"/>
          <w:color w:val="000000" w:themeColor="text1"/>
          <w:sz w:val="22"/>
          <w:szCs w:val="22"/>
        </w:rPr>
        <w:t xml:space="preserve"> to significantly modulate the epigenetic cell state</w:t>
      </w:r>
      <w:r w:rsidR="009712CC">
        <w:rPr>
          <w:rFonts w:ascii="Calibri" w:hAnsi="Calibri" w:cs="Calibri"/>
          <w:color w:val="000000" w:themeColor="text1"/>
          <w:sz w:val="22"/>
          <w:szCs w:val="22"/>
        </w:rPr>
        <w:t xml:space="preserve"> (and thereby </w:t>
      </w:r>
      <w:r w:rsidR="00800252">
        <w:rPr>
          <w:rFonts w:ascii="Calibri" w:hAnsi="Calibri" w:cs="Calibri"/>
          <w:color w:val="000000" w:themeColor="text1"/>
          <w:sz w:val="22"/>
          <w:szCs w:val="22"/>
        </w:rPr>
        <w:t xml:space="preserve">lead to aggressive </w:t>
      </w:r>
      <w:r w:rsidR="00ED32F4">
        <w:rPr>
          <w:rFonts w:ascii="Calibri" w:hAnsi="Calibri" w:cs="Calibri"/>
          <w:color w:val="000000" w:themeColor="text1"/>
          <w:sz w:val="22"/>
          <w:szCs w:val="22"/>
        </w:rPr>
        <w:t xml:space="preserve">tumour </w:t>
      </w:r>
      <w:r w:rsidR="00800252">
        <w:rPr>
          <w:rFonts w:ascii="Calibri" w:hAnsi="Calibri" w:cs="Calibri"/>
          <w:color w:val="000000" w:themeColor="text1"/>
          <w:sz w:val="22"/>
          <w:szCs w:val="22"/>
        </w:rPr>
        <w:t>phenotype</w:t>
      </w:r>
      <w:r w:rsidR="00ED32F4">
        <w:rPr>
          <w:rFonts w:ascii="Calibri" w:hAnsi="Calibri" w:cs="Calibri"/>
          <w:color w:val="000000" w:themeColor="text1"/>
          <w:sz w:val="22"/>
          <w:szCs w:val="22"/>
        </w:rPr>
        <w:t>s</w:t>
      </w:r>
      <w:r w:rsidR="009712CC">
        <w:rPr>
          <w:rFonts w:ascii="Calibri" w:hAnsi="Calibri" w:cs="Calibri"/>
          <w:color w:val="000000" w:themeColor="text1"/>
          <w:sz w:val="22"/>
          <w:szCs w:val="22"/>
        </w:rPr>
        <w:t>)</w:t>
      </w:r>
      <w:r w:rsidR="00ED32F4">
        <w:rPr>
          <w:rFonts w:ascii="Calibri" w:hAnsi="Calibri" w:cs="Calibri"/>
          <w:color w:val="000000" w:themeColor="text1"/>
          <w:sz w:val="22"/>
          <w:szCs w:val="22"/>
        </w:rPr>
        <w:t>, it may be</w:t>
      </w:r>
      <w:r w:rsidR="005A1AA5">
        <w:rPr>
          <w:rFonts w:ascii="Calibri" w:hAnsi="Calibri" w:cs="Calibri"/>
          <w:color w:val="000000" w:themeColor="text1"/>
          <w:sz w:val="22"/>
          <w:szCs w:val="22"/>
        </w:rPr>
        <w:t xml:space="preserve"> plausible</w:t>
      </w:r>
      <w:r w:rsidR="00ED32F4">
        <w:rPr>
          <w:rFonts w:ascii="Calibri" w:hAnsi="Calibri" w:cs="Calibri"/>
          <w:color w:val="000000" w:themeColor="text1"/>
          <w:sz w:val="22"/>
          <w:szCs w:val="22"/>
        </w:rPr>
        <w:t xml:space="preserve"> that </w:t>
      </w:r>
      <w:r w:rsidR="009712CC">
        <w:rPr>
          <w:rFonts w:ascii="Calibri" w:hAnsi="Calibri" w:cs="Calibri"/>
          <w:color w:val="000000" w:themeColor="text1"/>
          <w:sz w:val="22"/>
          <w:szCs w:val="22"/>
        </w:rPr>
        <w:t xml:space="preserve">upregulation of </w:t>
      </w:r>
      <w:r w:rsidR="00ED32F4">
        <w:rPr>
          <w:rFonts w:ascii="Calibri" w:hAnsi="Calibri" w:cs="Calibri"/>
          <w:color w:val="000000" w:themeColor="text1"/>
          <w:sz w:val="22"/>
          <w:szCs w:val="22"/>
        </w:rPr>
        <w:t>glutamine</w:t>
      </w:r>
      <w:r w:rsidR="009712CC">
        <w:rPr>
          <w:rFonts w:ascii="Calibri" w:hAnsi="Calibri" w:cs="Calibri"/>
          <w:color w:val="000000" w:themeColor="text1"/>
          <w:sz w:val="22"/>
          <w:szCs w:val="22"/>
        </w:rPr>
        <w:t xml:space="preserve"> transporters leads to increased</w:t>
      </w:r>
      <w:r w:rsidR="00ED32F4">
        <w:rPr>
          <w:rFonts w:ascii="Calibri" w:hAnsi="Calibri" w:cs="Calibri"/>
          <w:color w:val="000000" w:themeColor="text1"/>
          <w:sz w:val="22"/>
          <w:szCs w:val="22"/>
        </w:rPr>
        <w:t xml:space="preserve"> uptake and conversion </w:t>
      </w:r>
      <w:r w:rsidR="009712CC">
        <w:rPr>
          <w:rFonts w:ascii="Calibri" w:hAnsi="Calibri" w:cs="Calibri"/>
          <w:color w:val="000000" w:themeColor="text1"/>
          <w:sz w:val="22"/>
          <w:szCs w:val="22"/>
        </w:rPr>
        <w:t xml:space="preserve">of glutamine-derived </w:t>
      </w:r>
      <w:r w:rsidR="009712CC" w:rsidRPr="00D637BA">
        <w:rPr>
          <w:rFonts w:ascii="Calibri" w:hAnsi="Calibri" w:cs="Calibri"/>
          <w:color w:val="000000" w:themeColor="text1"/>
          <w:sz w:val="22"/>
          <w:szCs w:val="22"/>
        </w:rPr>
        <w:t>αKG</w:t>
      </w:r>
      <w:r w:rsidR="009712CC">
        <w:rPr>
          <w:rFonts w:ascii="Calibri" w:hAnsi="Calibri" w:cs="Calibri"/>
          <w:color w:val="000000" w:themeColor="text1"/>
          <w:sz w:val="22"/>
          <w:szCs w:val="22"/>
        </w:rPr>
        <w:t xml:space="preserve"> to</w:t>
      </w:r>
      <w:r w:rsidR="00ED32F4">
        <w:rPr>
          <w:rFonts w:ascii="Calibri" w:hAnsi="Calibri" w:cs="Calibri"/>
          <w:color w:val="000000" w:themeColor="text1"/>
          <w:sz w:val="22"/>
          <w:szCs w:val="22"/>
        </w:rPr>
        <w:t xml:space="preserve"> L2HG</w:t>
      </w:r>
      <w:r w:rsidR="009712CC">
        <w:rPr>
          <w:rFonts w:ascii="Calibri" w:hAnsi="Calibri" w:cs="Calibri"/>
          <w:color w:val="000000" w:themeColor="text1"/>
          <w:sz w:val="22"/>
          <w:szCs w:val="22"/>
        </w:rPr>
        <w:t xml:space="preserve"> and thus the correlation of glutamine transporters with aggressive ccRCCs</w:t>
      </w:r>
      <w:r w:rsidR="008346B9" w:rsidRPr="00B946E4">
        <w:rPr>
          <w:rFonts w:ascii="Calibri" w:hAnsi="Calibri" w:cs="Calibri"/>
          <w:color w:val="000000" w:themeColor="text1"/>
          <w:sz w:val="22"/>
          <w:szCs w:val="22"/>
        </w:rPr>
        <w:t>.</w:t>
      </w:r>
      <w:r w:rsidR="00970F62">
        <w:rPr>
          <w:rFonts w:ascii="Calibri" w:hAnsi="Calibri" w:cs="Calibri"/>
          <w:color w:val="000000" w:themeColor="text1"/>
          <w:sz w:val="22"/>
          <w:szCs w:val="22"/>
        </w:rPr>
        <w:t xml:space="preserve"> </w:t>
      </w:r>
      <w:r w:rsidR="008346B9" w:rsidRPr="00D637BA">
        <w:rPr>
          <w:rFonts w:ascii="Calibri" w:hAnsi="Calibri" w:cs="Calibri"/>
          <w:color w:val="000000" w:themeColor="text1"/>
          <w:sz w:val="22"/>
          <w:szCs w:val="22"/>
        </w:rPr>
        <w:t xml:space="preserve">Determining </w:t>
      </w:r>
      <w:r w:rsidR="00F131BF" w:rsidRPr="00D637BA">
        <w:rPr>
          <w:rFonts w:ascii="Calibri" w:hAnsi="Calibri" w:cs="Calibri"/>
          <w:color w:val="000000" w:themeColor="text1"/>
          <w:sz w:val="22"/>
          <w:szCs w:val="22"/>
        </w:rPr>
        <w:t xml:space="preserve">whether glutaminase inhibition has a more profound effect in L2HG-associated RCC tumours given the </w:t>
      </w:r>
      <w:r w:rsidR="00800252">
        <w:rPr>
          <w:rFonts w:ascii="Calibri" w:hAnsi="Calibri" w:cs="Calibri"/>
          <w:color w:val="000000" w:themeColor="text1"/>
          <w:sz w:val="22"/>
          <w:szCs w:val="22"/>
        </w:rPr>
        <w:t xml:space="preserve">pro-oncogenic capabilities of this oncometabolite </w:t>
      </w:r>
      <w:r w:rsidR="008346B9" w:rsidRPr="00D637BA">
        <w:rPr>
          <w:rFonts w:ascii="Calibri" w:hAnsi="Calibri" w:cs="Calibri"/>
          <w:color w:val="000000" w:themeColor="text1"/>
          <w:sz w:val="22"/>
          <w:szCs w:val="22"/>
        </w:rPr>
        <w:t xml:space="preserve">would </w:t>
      </w:r>
      <w:r w:rsidR="005A1AA5">
        <w:rPr>
          <w:rFonts w:ascii="Calibri" w:hAnsi="Calibri" w:cs="Calibri"/>
          <w:color w:val="000000" w:themeColor="text1"/>
          <w:sz w:val="22"/>
          <w:szCs w:val="22"/>
        </w:rPr>
        <w:t>also</w:t>
      </w:r>
      <w:r w:rsidR="009712CC">
        <w:rPr>
          <w:rFonts w:ascii="Calibri" w:hAnsi="Calibri" w:cs="Calibri"/>
          <w:color w:val="000000" w:themeColor="text1"/>
          <w:sz w:val="22"/>
          <w:szCs w:val="22"/>
        </w:rPr>
        <w:t xml:space="preserve"> be of</w:t>
      </w:r>
      <w:r w:rsidR="008346B9" w:rsidRPr="00D637BA">
        <w:rPr>
          <w:rFonts w:ascii="Calibri" w:hAnsi="Calibri" w:cs="Calibri"/>
          <w:color w:val="000000" w:themeColor="text1"/>
          <w:sz w:val="22"/>
          <w:szCs w:val="22"/>
        </w:rPr>
        <w:t xml:space="preserve"> value</w:t>
      </w:r>
      <w:r w:rsidR="00F131BF" w:rsidRPr="00D637BA">
        <w:rPr>
          <w:rFonts w:ascii="Calibri" w:hAnsi="Calibri" w:cs="Calibri"/>
          <w:color w:val="000000" w:themeColor="text1"/>
          <w:sz w:val="22"/>
          <w:szCs w:val="22"/>
        </w:rPr>
        <w:t xml:space="preserve">. In addition to </w:t>
      </w:r>
      <w:r w:rsidR="002668C9" w:rsidRPr="00D637BA">
        <w:rPr>
          <w:rFonts w:ascii="Calibri" w:hAnsi="Calibri" w:cs="Calibri"/>
          <w:color w:val="000000" w:themeColor="text1"/>
          <w:sz w:val="22"/>
          <w:szCs w:val="22"/>
        </w:rPr>
        <w:t xml:space="preserve">inhibition of the </w:t>
      </w:r>
      <w:r w:rsidR="00F131BF" w:rsidRPr="00D637BA">
        <w:rPr>
          <w:rFonts w:ascii="Calibri" w:hAnsi="Calibri" w:cs="Calibri"/>
          <w:color w:val="000000" w:themeColor="text1"/>
          <w:sz w:val="22"/>
          <w:szCs w:val="22"/>
        </w:rPr>
        <w:t>glutamine</w:t>
      </w:r>
      <w:r w:rsidR="002668C9"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MDH2 axis, genetic restoration of </w:t>
      </w:r>
      <w:r w:rsidR="00F131BF" w:rsidRPr="00D637BA">
        <w:rPr>
          <w:rFonts w:ascii="Calibri" w:hAnsi="Calibri" w:cs="Calibri"/>
          <w:i/>
          <w:color w:val="000000" w:themeColor="text1"/>
          <w:sz w:val="22"/>
          <w:szCs w:val="22"/>
        </w:rPr>
        <w:t xml:space="preserve">L2HGDH </w:t>
      </w:r>
      <w:r w:rsidR="00F131BF" w:rsidRPr="00D637BA">
        <w:rPr>
          <w:rFonts w:ascii="Calibri" w:hAnsi="Calibri" w:cs="Calibri"/>
          <w:color w:val="000000" w:themeColor="text1"/>
          <w:sz w:val="22"/>
          <w:szCs w:val="22"/>
        </w:rPr>
        <w:t>suppress</w:t>
      </w:r>
      <w:r w:rsidR="002668C9" w:rsidRPr="00D637BA">
        <w:rPr>
          <w:rFonts w:ascii="Calibri" w:hAnsi="Calibri" w:cs="Calibri"/>
          <w:color w:val="000000" w:themeColor="text1"/>
          <w:sz w:val="22"/>
          <w:szCs w:val="22"/>
        </w:rPr>
        <w:t>ed</w:t>
      </w:r>
      <w:r w:rsidR="00800252">
        <w:rPr>
          <w:rFonts w:ascii="Calibri" w:hAnsi="Calibri" w:cs="Calibri"/>
          <w:color w:val="000000" w:themeColor="text1"/>
          <w:sz w:val="22"/>
          <w:szCs w:val="22"/>
        </w:rPr>
        <w:t xml:space="preserve"> RCC</w:t>
      </w:r>
      <w:r w:rsidR="00F131BF" w:rsidRPr="00D637BA">
        <w:rPr>
          <w:rFonts w:ascii="Calibri" w:hAnsi="Calibri" w:cs="Calibri"/>
          <w:color w:val="000000" w:themeColor="text1"/>
          <w:sz w:val="22"/>
          <w:szCs w:val="22"/>
        </w:rPr>
        <w:t xml:space="preserve"> tumour growth</w:t>
      </w:r>
      <w:r w:rsidR="008346B9" w:rsidRPr="00D637BA">
        <w:rPr>
          <w:rFonts w:ascii="Calibri" w:hAnsi="Calibri" w:cs="Calibri"/>
          <w:color w:val="000000" w:themeColor="text1"/>
          <w:sz w:val="22"/>
          <w:szCs w:val="22"/>
        </w:rPr>
        <w:t xml:space="preserve"> </w:t>
      </w:r>
      <w:r w:rsidR="00F131BF" w:rsidRPr="00D637BA">
        <w:rPr>
          <w:rFonts w:ascii="Calibri" w:hAnsi="Calibri" w:cs="Calibri"/>
          <w:i/>
          <w:color w:val="000000" w:themeColor="text1"/>
          <w:sz w:val="22"/>
          <w:szCs w:val="22"/>
        </w:rPr>
        <w:t>in vivo</w:t>
      </w:r>
      <w:r w:rsidR="008562B7">
        <w:rPr>
          <w:rFonts w:ascii="Calibri" w:hAnsi="Calibri" w:cs="Calibri"/>
          <w:i/>
          <w:color w:val="000000" w:themeColor="text1"/>
          <w:sz w:val="22"/>
          <w:szCs w:val="22"/>
        </w:rPr>
        <w:fldChar w:fldCharType="begin"/>
      </w:r>
      <w:r w:rsidR="004E2A88">
        <w:rPr>
          <w:rFonts w:ascii="Calibri" w:hAnsi="Calibri" w:cs="Calibri"/>
          <w:i/>
          <w:color w:val="000000" w:themeColor="text1"/>
          <w:sz w:val="22"/>
          <w:szCs w:val="22"/>
        </w:rPr>
        <w:instrText xml:space="preserve"> ADDIN ZOTERO_ITEM CSL_CITATION {"citationID":"a2am638lelh","properties":{"formattedCitation":"\\super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8562B7">
        <w:rPr>
          <w:rFonts w:ascii="Calibri" w:hAnsi="Calibri" w:cs="Calibri"/>
          <w:i/>
          <w:color w:val="000000" w:themeColor="text1"/>
          <w:sz w:val="22"/>
          <w:szCs w:val="22"/>
        </w:rPr>
        <w:fldChar w:fldCharType="separate"/>
      </w:r>
      <w:r w:rsidR="004E2A88" w:rsidRPr="004E2A88">
        <w:rPr>
          <w:rFonts w:ascii="Calibri" w:hAnsi="Calibri" w:cs="Calibri"/>
          <w:color w:val="000000"/>
          <w:sz w:val="22"/>
          <w:vertAlign w:val="superscript"/>
          <w:lang w:val="en-US"/>
        </w:rPr>
        <w:t>76</w:t>
      </w:r>
      <w:r w:rsidR="008562B7">
        <w:rPr>
          <w:rFonts w:ascii="Calibri" w:hAnsi="Calibri" w:cs="Calibri"/>
          <w:i/>
          <w:color w:val="000000" w:themeColor="text1"/>
          <w:sz w:val="22"/>
          <w:szCs w:val="22"/>
        </w:rPr>
        <w:fldChar w:fldCharType="end"/>
      </w:r>
      <w:r w:rsidR="00F131BF" w:rsidRPr="00D637BA">
        <w:rPr>
          <w:rFonts w:ascii="Calibri" w:hAnsi="Calibri" w:cs="Calibri"/>
          <w:color w:val="000000" w:themeColor="text1"/>
          <w:sz w:val="22"/>
          <w:szCs w:val="22"/>
        </w:rPr>
        <w:t xml:space="preserve">. These findings highlight several vulnerabilities </w:t>
      </w:r>
      <w:r w:rsidR="00F7358E" w:rsidRPr="00B946E4">
        <w:rPr>
          <w:rFonts w:ascii="Calibri" w:hAnsi="Calibri" w:cs="Calibri"/>
          <w:color w:val="000000" w:themeColor="text1"/>
          <w:sz w:val="22"/>
          <w:szCs w:val="22"/>
        </w:rPr>
        <w:t xml:space="preserve">in </w:t>
      </w:r>
      <w:r w:rsidR="00F131BF" w:rsidRPr="00D637BA">
        <w:rPr>
          <w:rFonts w:ascii="Calibri" w:hAnsi="Calibri" w:cs="Calibri"/>
          <w:color w:val="000000" w:themeColor="text1"/>
          <w:sz w:val="22"/>
          <w:szCs w:val="22"/>
        </w:rPr>
        <w:t xml:space="preserve">both </w:t>
      </w:r>
      <w:r w:rsidR="00800252">
        <w:rPr>
          <w:rFonts w:ascii="Calibri" w:hAnsi="Calibri" w:cs="Calibri"/>
          <w:color w:val="000000" w:themeColor="text1"/>
          <w:sz w:val="22"/>
          <w:szCs w:val="22"/>
        </w:rPr>
        <w:t xml:space="preserve">production and degradation </w:t>
      </w:r>
      <w:r w:rsidR="00F7358E" w:rsidRPr="00B946E4">
        <w:rPr>
          <w:rFonts w:ascii="Calibri" w:hAnsi="Calibri" w:cs="Calibri"/>
          <w:color w:val="000000" w:themeColor="text1"/>
          <w:sz w:val="22"/>
          <w:szCs w:val="22"/>
        </w:rPr>
        <w:t xml:space="preserve">pathways </w:t>
      </w:r>
      <w:r w:rsidR="00F131BF" w:rsidRPr="00D637BA">
        <w:rPr>
          <w:rFonts w:ascii="Calibri" w:hAnsi="Calibri" w:cs="Calibri"/>
          <w:color w:val="000000" w:themeColor="text1"/>
          <w:sz w:val="22"/>
          <w:szCs w:val="22"/>
        </w:rPr>
        <w:t xml:space="preserve">of L2HG that can be exploited for the development of targeted therapies in L2HG-associated RCC. Establishing whether </w:t>
      </w:r>
      <w:r w:rsidR="002668C9" w:rsidRPr="00D637BA">
        <w:rPr>
          <w:rFonts w:ascii="Calibri" w:hAnsi="Calibri" w:cs="Calibri"/>
          <w:color w:val="000000" w:themeColor="text1"/>
          <w:sz w:val="22"/>
          <w:szCs w:val="22"/>
        </w:rPr>
        <w:t xml:space="preserve">the </w:t>
      </w:r>
      <w:r w:rsidR="00F131BF" w:rsidRPr="00D637BA">
        <w:rPr>
          <w:rFonts w:ascii="Calibri" w:hAnsi="Calibri" w:cs="Calibri"/>
          <w:color w:val="000000" w:themeColor="text1"/>
          <w:sz w:val="22"/>
          <w:szCs w:val="22"/>
        </w:rPr>
        <w:t xml:space="preserve">use of multiple approaches to reduce L2HG levels have a synergistic effect may impact on strategic management of this subset of RCC tumours. </w:t>
      </w:r>
      <w:r w:rsidRPr="00D637BA">
        <w:rPr>
          <w:rFonts w:ascii="Calibri" w:hAnsi="Calibri" w:cs="Calibri"/>
          <w:color w:val="000000" w:themeColor="text1"/>
          <w:sz w:val="22"/>
          <w:szCs w:val="22"/>
        </w:rPr>
        <w:t xml:space="preserve">Unlike MDH2, </w:t>
      </w:r>
      <w:r w:rsidR="00F131BF" w:rsidRPr="00D637BA">
        <w:rPr>
          <w:rFonts w:ascii="Calibri" w:hAnsi="Calibri" w:cs="Calibri"/>
          <w:color w:val="000000" w:themeColor="text1"/>
          <w:sz w:val="22"/>
          <w:szCs w:val="22"/>
        </w:rPr>
        <w:t>L2HG has no known physiological role</w:t>
      </w:r>
      <w:r w:rsidR="008562B7">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{"citationID":"a9ejgm9nrb","properties":{"formattedCitation":"\\super 59\\uc0\\u8211{}62\\nosupersub{}","plainCitation":"59–62","noteIndex":0},"citationItems":[{"id":1283,"uris":["http://zotero.org/users/4775618/items/KBVUYJFZ"],"uri":["http://zotero.org/users/4775618/items/KBVUYJFZ"],"itemData":{"id":1283,"type":"article-journal","title":"Identification of a dehydrogenase acting on D-2-hydroxyglutarate","container-title":"The Biochemical Journal","page":"35-42","volume":"381","issue":"Pt 1","source":"PubMed","abstract":"Extracts of frozen rat liver were found to catalyse the formation of 3H2O from DL-2-hydroxy[2-3H]glutarate. Three peaks of enzyme activities were observed on separation by chromatography on DEAE-Sepharose. The first and second peaks corresponded to an enzyme acting on L-2-hydroxyglutarate and the third peak corresponded to an enzyme acting on D-2-hydroxyglutarate, as indicated by competitive inhibition of the detritiation of the racemic radioactive compound by the unlabelled L- and D-isomers respectively. The enzyme acting on the D-form was further characterized. It was independent of NAD or NADP and it converted D-2-hydroxyglutarate into a-ketoglutarate, transferring electrons to artificial electron acceptors. It also oxidized D-lactate, D-malate and meso-tartrate and was stimulated by Zn2+, Co2+ and Mn2+, but not by Mg2+ or Ca2+. Subcellular fractionation indicated that it was present in the mitochondrial fraction. The enzyme was further purified by chromatography on Blue Trisacryl and phenyl-Sepharose, up to a stage where only a few bands were still visible by SDS/PAGE. Among the four candidate polypeptides that were identified by MS, one corresponded to a predicted mitochondrial protein homologous with FAD-dependent D-lactate dehydrogenase. The corresponding human protein was expressed in HEK-293 cells and it was shown to catalyse the detritiation of DL-2-hydroxy[2-3H]glutarate with similar properties as the purified rat enzyme.","DOI":"10.1042/BJ20031933","ISSN":"1470-8728","note":"PMID: 15070399\nPMCID: PMC1133759","journalAbbreviation":"Biochem. J.","language":"eng","author":[{"family":"Achouri","given":"Younes"},{"family":"Noël","given":"Gaëtane"},{"family":"Vertommen","given":"Didier"},{"family":"Rider","given":"Mark H."},{"family":"Veiga-Da-Cunha","given":"Maria"},{"family":"Van Schaftingen","given":"Emile"}],"issued":{"date-parts":[["2004",7,1]]}}},{"id":444,"uris":["http://zotero.org/users/4775618/items/U5E9AF2W"],"uri":["http://zotero.org/users/4775618/items/U5E9AF2W"],"itemData":{"id":444,"type":"article-journal","title":"Oncometabolites: A New Paradigm for Oncology, Metabolism, and the Clinical Laboratory","container-title":"Clinical Chemistry","page":"1812-1820","volume":"63","issue":"12","source":"PubMed","abstract":"BACKGROUND: Pediatric clinical laboratories commonly measure tricarboxylic acid cycle intermediates for screening, diagnosis, and monitoring of specific inborn errors of metabolism, such as organic acidurias. In the past decade, the same tricarboxylic acid cycle metabolites have been implicated and studied in cancer. The accumulation of these metabolites in certain cancers not only serves as a biomarker but also directly contributes to cellular transformation, therefore earning them the designation of oncometabolites.\nCONTENT: D\n-2-hydroxyglutarate,L-2-hydroxyglutarate, succinate, and fumarate are the currently recognized oncometabolites. They are structurally similar and share metabolic proximity in the tricarboxylic acid cycle. As a result, they promote tumorigenesis in cancer cells through similar mechanisms. This review summarizes the currently understood common and distinct biological features of these compounds. In addition, we will review the current laboratory methodologies that can be used to quantify these metabolites and their downstream targets.\nSUMMARY: Oncometabolites play an important role in cancer biology. The metabolic pathways that lead to the production of oncometabolites and the downstream signaling pathways that are activated by oncometabolites represent potential therapeutic targets. Clinical laboratories have a critical role to play in the management of oncometabolite-associated cancers through development and validation of sensitive and specific assays that measure oncometabolites and their downstream effectors. These assays can be used as screening tools and for follow-up to measure response to treatment, as well as to detect minimal residual disease and recurrence.","DOI":"10.1373/clinchem.2016.267666","ISSN":"1530-8561","note":"PMID: 29038145","title-short":"Oncometabolites","journalAbbreviation":"Clin. Chem.","language":"eng","author":[{"family":"Collins","given":"Rebecca R. J."},{"family":"Patel","given":"Khushbu"},{"family":"Putnam","given":"William C."},{"family":"Kapur","given":"Payal"},{"family":"Rakheja","given":"Dinesh"}],"issued":{"date-parts":[["2017",12]]}}},{"id":1277,"uris":["http://zotero.org/users/4775618/items/4AW75D6L"],"uri":["http://zotero.org/users/4775618/items/4AW75D6L"],"itemData":{"id":1277,"type":"article-journal","title":"Metabolite damage and its repair or pre-emption","container-title":"Nature Chemical Biology","page":"72-80","volume":"9","issue":"2","source":"www.nature.com","abstract":"It is increasingly evident that metabolites suffer various kinds of damage, that such damage happens in all organisms and that cells have dedicated systems for damage repair and containment. First, chemical biology is demonstrating that diverse metabolites are damaged by side reactions of 'promiscuous' enzymes or by spontaneous chemical reactions, that the products are useless or toxic and that the unchecked buildup of these products can be devastating. Second, genetic and genomic evidence from prokaryotes and eukaryotes is implicating a network of new, conserved enzymes that repair damaged metabolites or somehow pre-empt damage. Metabolite (that is, small-molecule) repair is analogous to macromolecule (DNA and protein) repair and seems from comparative genomic evidence to be equally widespread. Comparative genomics also implies that metabolite repair could be the function of many conserved protein families lacking known activities. How—and how well—cells deal with metabolite damage affects fields ranging from medical genetics to metabolic engineering.","URL":"https://www.nature.com/articles/nchembio.1141","DOI":"10.1038/nchembio.1141","ISSN":"1552-4469","language":"en","author":[{"family":"Linster","given":"Carole L."},{"family":"Van Schaftingen","given":"Emile"},{"family":"Hanson","given":"Andrew D."}],"issued":{"date-parts":[["2013",2]]},"accessed":{"date-parts":[["2019",2,21]]}}},{"id":1286,"uris":["http://zotero.org/users/4775618/items/XMLZNFDI"],"uri":["http://zotero.org/users/4775618/items/XMLZNFDI"],"itemData":{"id":1286,"type":"article-journal","title":"2-Hydroxyglutarate is not a metabolite; d-2-hydroxyglutarate and l-2-hydroxyglutarate are!","container-title":"Proceedings of the National Academy of Sciences of the United States of America","page":"E4939","volume":"110","issue":"51","source":"PubMed Central","URL":"https://www.ncbi.nlm.nih.gov/pmc/articles/PMC3870664/","DOI":"10.1073/pnas.1318777110","ISSN":"0027-8424","note":"PMID: 24319093\nPMCID: PMC3870664","journalAbbreviation":"Proc Natl Acad Sci U S A","author":[{"family":"Struys","given":"Eduard A."}],"issued":{"date-parts":[["2013",12,17]]},"accessed":{"date-parts":[["2019",2,21]]}}}],"schema":"https://github.com/citation-style-language/schema/raw/master/csl-citation.json"} </w:instrText>
      </w:r>
      <w:r w:rsidR="008562B7">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59–62</w:t>
      </w:r>
      <w:r w:rsidR="008562B7">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therefore </w:t>
      </w:r>
      <w:r w:rsidR="00F131BF" w:rsidRPr="00D637BA">
        <w:rPr>
          <w:rFonts w:ascii="Calibri" w:hAnsi="Calibri" w:cs="Calibri"/>
          <w:color w:val="000000" w:themeColor="text1"/>
          <w:sz w:val="22"/>
          <w:szCs w:val="22"/>
        </w:rPr>
        <w:t>specific targeting of L2HGDH</w:t>
      </w:r>
      <w:r w:rsidR="00F131BF" w:rsidRPr="00D637BA">
        <w:rPr>
          <w:rFonts w:ascii="Calibri" w:hAnsi="Calibri" w:cs="Calibri"/>
          <w:i/>
          <w:color w:val="000000" w:themeColor="text1"/>
          <w:sz w:val="22"/>
          <w:szCs w:val="22"/>
        </w:rPr>
        <w:t xml:space="preserve"> </w:t>
      </w:r>
      <w:r w:rsidR="00F131BF" w:rsidRPr="00D637BA">
        <w:rPr>
          <w:rFonts w:ascii="Calibri" w:hAnsi="Calibri" w:cs="Calibri"/>
          <w:color w:val="000000" w:themeColor="text1"/>
          <w:sz w:val="22"/>
          <w:szCs w:val="22"/>
        </w:rPr>
        <w:t xml:space="preserve">may be preferable over </w:t>
      </w:r>
      <w:r w:rsidRPr="00D637BA">
        <w:rPr>
          <w:rFonts w:ascii="Calibri" w:hAnsi="Calibri" w:cs="Calibri"/>
          <w:color w:val="000000" w:themeColor="text1"/>
          <w:sz w:val="22"/>
          <w:szCs w:val="22"/>
        </w:rPr>
        <w:t xml:space="preserve">targeting of </w:t>
      </w:r>
      <w:r w:rsidR="00F131BF" w:rsidRPr="00D637BA">
        <w:rPr>
          <w:rFonts w:ascii="Calibri" w:hAnsi="Calibri" w:cs="Calibri"/>
          <w:color w:val="000000" w:themeColor="text1"/>
          <w:sz w:val="22"/>
          <w:szCs w:val="22"/>
        </w:rPr>
        <w:t>MDH2</w:t>
      </w:r>
      <w:r w:rsidRPr="00D637BA">
        <w:rPr>
          <w:rFonts w:ascii="Calibri" w:hAnsi="Calibri" w:cs="Calibri"/>
          <w:color w:val="000000" w:themeColor="text1"/>
          <w:sz w:val="22"/>
          <w:szCs w:val="22"/>
        </w:rPr>
        <w:t>, which could potentially lead</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to undesirable systemic effects.</w:t>
      </w:r>
    </w:p>
    <w:p w14:paraId="330BE736" w14:textId="5B9B6EF0" w:rsidR="002747A7" w:rsidRPr="00D637BA" w:rsidRDefault="003646A6" w:rsidP="003646A6">
      <w:pPr>
        <w:spacing w:line="360" w:lineRule="auto"/>
        <w:ind w:firstLine="454"/>
        <w:jc w:val="both"/>
        <w:rPr>
          <w:rFonts w:ascii="Calibri" w:hAnsi="Calibri" w:cs="Calibri"/>
          <w:color w:val="000000" w:themeColor="text1"/>
          <w:sz w:val="22"/>
          <w:szCs w:val="22"/>
        </w:rPr>
      </w:pPr>
      <w:r>
        <w:rPr>
          <w:rFonts w:ascii="Calibri" w:hAnsi="Calibri" w:cs="Calibri"/>
          <w:color w:val="000000" w:themeColor="text1"/>
          <w:sz w:val="22"/>
          <w:szCs w:val="22"/>
        </w:rPr>
        <w:t xml:space="preserve">As discussed, increasing evidence supports the role of exogenous factors in oncometabolite </w:t>
      </w:r>
      <w:r w:rsidR="007C435C">
        <w:rPr>
          <w:rFonts w:ascii="Calibri" w:hAnsi="Calibri" w:cs="Calibri"/>
          <w:color w:val="000000" w:themeColor="text1"/>
          <w:sz w:val="22"/>
          <w:szCs w:val="22"/>
        </w:rPr>
        <w:t>production</w:t>
      </w:r>
      <w:r>
        <w:rPr>
          <w:rFonts w:ascii="Calibri" w:hAnsi="Calibri" w:cs="Calibri"/>
          <w:color w:val="000000" w:themeColor="text1"/>
          <w:sz w:val="22"/>
          <w:szCs w:val="22"/>
        </w:rPr>
        <w:t>. T</w:t>
      </w:r>
      <w:r w:rsidR="005A1AA5" w:rsidRPr="00D637BA">
        <w:rPr>
          <w:rFonts w:ascii="Calibri" w:hAnsi="Calibri" w:cs="Calibri"/>
          <w:color w:val="000000" w:themeColor="text1"/>
          <w:sz w:val="22"/>
          <w:szCs w:val="22"/>
        </w:rPr>
        <w:t>argeting the modifiable exogenous factors implicated in oncometabolite accumulation may ameliorate their pro-tumoural effects. Although not fully elucidated,</w:t>
      </w:r>
      <w:r w:rsidR="005A1AA5">
        <w:rPr>
          <w:rFonts w:ascii="Calibri" w:hAnsi="Calibri" w:cs="Calibri"/>
          <w:color w:val="000000" w:themeColor="text1"/>
          <w:sz w:val="22"/>
          <w:szCs w:val="22"/>
        </w:rPr>
        <w:t xml:space="preserve"> </w:t>
      </w:r>
      <w:r w:rsidR="005A1AA5" w:rsidRPr="00D637BA">
        <w:rPr>
          <w:rFonts w:ascii="Calibri" w:hAnsi="Calibri" w:cs="Calibri"/>
          <w:color w:val="000000" w:themeColor="text1"/>
          <w:sz w:val="22"/>
          <w:szCs w:val="22"/>
        </w:rPr>
        <w:t>compelling evidence suggests that hyperglycaemi</w:t>
      </w:r>
      <w:r w:rsidR="005A1AA5">
        <w:rPr>
          <w:rFonts w:ascii="Calibri" w:hAnsi="Calibri" w:cs="Calibri"/>
          <w:color w:val="000000" w:themeColor="text1"/>
          <w:sz w:val="22"/>
          <w:szCs w:val="22"/>
        </w:rPr>
        <w:t>a</w:t>
      </w:r>
      <w:r w:rsidR="005A1AA5" w:rsidRPr="00D637BA">
        <w:rPr>
          <w:rFonts w:ascii="Calibri" w:hAnsi="Calibri" w:cs="Calibri"/>
          <w:color w:val="000000" w:themeColor="text1"/>
          <w:sz w:val="22"/>
          <w:szCs w:val="22"/>
        </w:rPr>
        <w:t>-induced oncometabolite production</w:t>
      </w:r>
      <w:r w:rsidR="005A1AA5">
        <w:rPr>
          <w:rFonts w:ascii="Calibri" w:hAnsi="Calibri" w:cs="Calibri"/>
          <w:color w:val="000000" w:themeColor="text1"/>
          <w:sz w:val="22"/>
          <w:szCs w:val="22"/>
        </w:rPr>
        <w:t xml:space="preserve"> </w:t>
      </w:r>
      <w:r w:rsidR="005A1AA5" w:rsidRPr="00D637BA">
        <w:rPr>
          <w:rFonts w:ascii="Calibri" w:hAnsi="Calibri" w:cs="Calibri"/>
          <w:color w:val="000000" w:themeColor="text1"/>
          <w:sz w:val="22"/>
          <w:szCs w:val="22"/>
        </w:rPr>
        <w:t>elicits cell phenotypes that are analogous to those observed in oncometabolite-associated cancers</w:t>
      </w:r>
      <w:r w:rsidR="00A37710">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{"citationID":"a1ig2io948d","properties":{"formattedCitation":"\\super 78,128,129,131\\nosupersub{}","plainCitation":"78,128,129,131","noteIndex":0},"citationItems":[{"id":371,"uris":["http://zotero.org/users/4775618/items/TWDZHBU3"],"uri":["http://zotero.org/users/4775618/items/TWDZHBU3"],"itemData":{"id":371,"type":"article-journal","title":"Aberrant succination of proteins in fumarate hydratase‐deficient mice and HLRCC patients is a robust biomarker of mutation status","container-title":"The Journal of Pathology","page":"4-11","volume":"225","issue":"1","source":"onlinelibrary.wiley.com (Atypon)","abstract":"Abstract Germline mutations in the FH gene encoding the Krebs cycle enzyme fumarate hydratase predispose to hereditary leiomyomatosis and renal cell cancer (HLRCC) syndrome. FH?deficient cells and tissues accumulate high levels of fumarate, which may act as an oncometabolite and contribute to tumourigenesis. A recently proposed role for fumarate in the covalent modification of cysteine residues to S?(2?succinyl) cysteine (2SC) (termed protein succination) prompted us to assess 2SC levels in our existing models of HLRCC. Herein, using a previously characterized antibody against 2SC, we show that genetic ablation of FH causes high levels of protein succination. We next hypothesized that immunohistochemistry for 2SC would serve as a metabolic biomarker for the in situ detection of FH?deficient tissues. Robust detection of 2SC was observed in Fh1 (murine FH)?deficient renal cysts and in a retrospective series of HLRCC tumours (n = 16) with established FH mutations. Importantly, 2SC was undetectable in normal tissues (n = 200) and tumour types not associated with HLRCC (n = 1342). In a prospective evaluation of cases referred for genetic testing for HLRCC, the presence of 2SC?modified proteins (2SCP) correctly predicted genetic alterations in FH in every case. In two series of unselected type II papillary renal cancer (PRCC), prospectively analysed by 2SCP staining followed by genetic analysis, the biomarker accurately identified previously unsuspected FH mutations (2/33 and 1/36). The investigation of whether metabolites in other tumour types produce protein modification signature(s) that can be assayed using similar strategies will be of interest in future studies of cancer. Copyright ? 2011 Pathological Society of Great Britain and Ireland. Published by John Wiley &amp; Sons, Ltd.","URL":"https://onlinelibrary.wiley.com/doi/full/10.1002/path.2932","DOI":"10.1002/path.2932","ISSN":"0022-3417","journalAbbreviation":"The Journal of Pathology","author":[{"literal":"Bardella Chiara"},{"literal":"El‐Bahrawy Mona"},{"literal":"Frizzell Norma"},{"literal":"Adam Julie"},{"literal":"Ternette Nicola"},{"literal":"Hatipoglu Emine"},{"literal":"Howarth Kimberley"},{"literal":"O'Flaherty Linda"},{"literal":"Roberts Ian"},{"literal":"Turner Gareth"},{"literal":"Taylor Jennifer"},{"literal":"Giaslakiotis Konstantinos"},{"literal":"Macaulay Valentine M"},{"literal":"Harris Adrian L"},{"literal":"Chandra Ashish"},{"literal":"Lehtonen Heli J"},{"literal":"Launonen Virpi"},{"literal":"Aaltonen Lauri A"},{"literal":"Pugh Christopher W"},{"literal":"Mihai Radu"},{"literal":"Trudgian David"},{"literal":"Kessler Benedikt"},{"literal":"Baynes John W"},{"literal":"Ratcliffe Peter J"},{"literal":"Tomlinson Ian P"},{"literal":"Pollard Patrick J"}],"issued":{"date-parts":[["2011",5,10]]},"accessed":{"date-parts":[["2018",4,2]]}}},{"id":1396,"uris":["http://zotero.org/users/4775618/items/RVFXF6H9"],"uri":["http://zotero.org/users/4775618/items/RVFXF6H9"],"itemData":{"id":1396,"type":"article-journal","title":"Inactivation of Glyceraldehyde-3-Phosphate Dehydrogenase by Fumarate in Diabetes: Formation of S-(2-Succinyl)Cysteine, a Novel Chemical Modification of Protein and Possible Biomarker of Mitochondrial Stress","container-title":"Diabetes","page":"41-49","volume":"57","issue":"1","source":"PubMed Central","abstract":"OBJECTIVE\nS-(2-succinyl)cysteine (2SC) is formed by a Michael addition reaction of the Krebs cycle intermediate, fumarate, with cysteine residues in protein. We investigated the role of fumarate in chemical modification and inhibition of the sulfhydryl enzyme, glyceraldehyde-3-phosphate dehydrogenase (GAPDH), in vitro and in tissues of diabetic rats.\n\nRESEARCH DESIGN AND METHODS\nGAPDH was incubated with fumarate in PBS to assess effects of fumarate on enzyme activity in vitro. Sites of 2SC formation were determined by analysis of tryptic peptides by high-performance liquid chromatography–quadrupole/time-of-flight mass spectrometry. 2SC and fumarate in gastrocnemius muscle of control and streptozotocin-induced diabetic rats were measured by liquid chromatography/tandem mass spectrometry and by gas chromatography/mass spectrometry, respectively. GAPDH was isolated from muscle by immunoprecipitation, and sites of modification of GAPDH were determined by mass spectrometry analysis.\n\nRESULTS\n2SC was found, both in vitro and in vivo, about equally at active-site Cys-149 and nucleophilic Cys-244. Inactivation of GAPDH by fumarate in vitro correlated with formation of 2SC. In diabetic compared with control rats, fumarate and 2SC concentration increased approximately fivefold, accompanied by an ~25% decrease in GAPDH specific activity. The fractional modification of GAPDH by 2SC was significantly increased in diabetic versus control animals, consistent with the decreased specific activity of GAPDH in muscle of diabetic animals.\n\nCONCLUSIONS\nFumarate contributes to inactivation of GAPDH in diabetes. 2SC may be a useful biomarker of mitochondrial stress in diabetes. Modification of GAPDH and other enzymes and proteins by fumarate may contribute to the metabolic changes underlying the development of diabetes complications.","URL":"https://www.ncbi.nlm.nih.gov/pmc/articles/PMC2423377/","DOI":"10.2337/db07-0838","ISSN":"0012-1797","note":"PMID: 17934141\nPMCID: PMC2423377","title-short":"Inactivation of Glyceraldehyde-3-Phosphate Dehydrogenase by Fumarate in Diabetes","journalAbbreviation":"Diabetes","author":[{"family":"Blatnik","given":"Matthew"},{"family":"Frizzell","given":"Norma"},{"family":"Thorpe","given":"Suzanne R."},{"family":"Baynes","given":"John W."}],"issued":{"date-parts":[["2008",1]]},"accessed":{"date-parts":[["2019",2,24]]}}},{"id":645,"uris":["http://zotero.org/users/4775618/items/SA3WQAFZ"],"uri":["http://zotero.org/users/4775618/items/SA3WQAFZ"],"itemData":{"id":645,"type":"article-journal","title":"Mitochondrial stress causes increased succination of proteins in adipocytes in response to glucotoxicity","container-title":"Biochemical Journal","page":"247-254","volume":"445","issue":"2","source":"www.biochemj.org","abstract":"2SC [S-(2-succino)-cysteine] is a chemical modification formed by a Michael addition reaction of fumarate with cysteine residues in proteins. Formation of 2SC, termed ‘succination’ of proteins, increases in adipocytes grown in high-glucose medium and in adipose tissues of Type 2 diabetic mice. However, the metabolic mechanisms leading to increased fumarate and succination of protein in the adipocyte are unknown. Treatment of 3T3 cells with high glucose (30 mM compared with 5 mM) caused a significant increase in cellular ATP/ADP, NADH/NAD+ and Δψm (mitochondrial membrane potential). There was also a significant increase in the cellular fumarate concentration and succination of proteins, which may be attributed to the increase in NADH/NAD+ and subsequent inhibition of tricarboxylic acid cycle NAD+-dependent dehydrogenases. Chemical uncouplers, which dissipated Δψm and reduced the NADH/NAD+ ratio, also decreased the fumarate concentration and protein succination. High glucose plus metformin, an inhibitor of complex I in the electron transport chain, caused an increase in fumarate and succination of protein. Thus excess fuel supply (glucotoxicity) appears to create a pseudohypoxic environment (high NADH/NAD+ without hypoxia), which drives the increase in succination of protein. We propose that increased succination of proteins is an early marker of glucotoxicity and mitochondrial stress in adipose tissue in diabetes.","URL":"http://www.biochemj.org/content/445/2/247","DOI":"10.1042/BJ20112142","ISSN":"0264-6021, 1470-8728","note":"PMID: 22524437","language":"en","author":[{"family":"Frizzell","given":"Norma"},{"family":"Thomas","given":"Sonia A."},{"family":"Carson","given":"James A."},{"family":"Baynes","given":"John W."}],"issued":{"date-parts":[["2012",7,15]]},"accessed":{"date-parts":[["2018",8,26]]}}},{"id":373,"uris":["http://zotero.org/users/4775618/items/LDDMRW2I"],"uri":["http://zotero.org/users/4775618/items/LDDMRW2I"],"itemData":{"id":373,"type":"article-journal","title":"The Succinated Proteome of FH-Mutant Tumours","container-title":"Metabolites","page":"640-654","volume":"4","issue":"3","source":"www.mdpi.com","abstract":"Inherited mutations in the Krebs cycle enzyme fumarate hydratase (FH) predispose to hereditary leiomyomatosis and renal cell cancer (HLRCC). Loss of FH activity in HLRCC tumours causes accumulation of the Krebs cycle intermediate fumarate to high levels, which may act as an oncometabolite through various, but not necessarily mutually exclusive, mechanisms. One such mechanism, succination, is an irreversible  non-enzymatic modification of cysteine residues by fumarate, to form S-(2-succino)cysteine (2SC). Previous studies have demonstrated that succination of proteins including glyceraldehyde 3-phosphate dehydrogenase (GAPDH), kelch-like ECH-associated protein 1 (KEAP1) and mitochondrial aconitase (ACO2) can have profound effects on cellular metabolism. Furthermore, immunostaining for 2SC is a sensitive and specific biomarker for HLRCC tumours. Here, we performed a proteomic screen on an FH-mutant tumour and two HLRCC-derived cancer cell lines and identified 60 proteins where one or more cysteine residues were succinated; 10 of which were succinated at cysteine residues either predicted, or experimentally proven, to be functionally significant. Bioinformatic enrichment analyses identified most succinated targets to be involved in redox signaling. To our knowledge, this is the first proteomic-based succination screen performed in human tumours and cancer-derived cells and has identified novel 2SC targets that may be relevant to the pathogenesis of HLRCC.","URL":"http://www.mdpi.com/2218-1989/4/3/640","DOI":"10.3390/metabo4030640","language":"en","author":[{"family":"Yang","given":"Ming"},{"family":"Ternette","given":"Nicola"},{"family":"Su","given":"Huizhong"},{"family":"Dabiri","given":"Raliat"},{"family":"Kessler","given":"Benedikt M."},{"family":"Adam","given":"Julie"},{"family":"Teh","given":"Bin Tean"},{"family":"Pollard","given":"Patrick J."}],"issued":{"date-parts":[["2014",8,7]]},"accessed":{"date-parts":[["2018",4,2]]}}}],"schema":"https://github.com/citation-style-language/schema/raw/master/csl-citation.json"} </w:instrText>
      </w:r>
      <w:r w:rsidR="00A37710">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78,128,129,131</w:t>
      </w:r>
      <w:r w:rsidR="00A37710">
        <w:rPr>
          <w:rFonts w:ascii="Calibri" w:hAnsi="Calibri" w:cs="Calibri"/>
          <w:color w:val="000000" w:themeColor="text1"/>
          <w:sz w:val="22"/>
          <w:szCs w:val="22"/>
        </w:rPr>
        <w:fldChar w:fldCharType="end"/>
      </w:r>
      <w:r w:rsidR="005A1AA5" w:rsidRPr="000167D7">
        <w:rPr>
          <w:rFonts w:ascii="Calibri" w:hAnsi="Calibri" w:cs="Calibri"/>
          <w:sz w:val="22"/>
          <w:szCs w:val="22"/>
        </w:rPr>
        <w:t>.</w:t>
      </w:r>
      <w:r w:rsidR="005A1AA5" w:rsidRPr="00D637BA">
        <w:rPr>
          <w:rFonts w:ascii="Calibri" w:hAnsi="Calibri" w:cs="Calibri"/>
          <w:color w:val="000000" w:themeColor="text1"/>
          <w:sz w:val="22"/>
          <w:szCs w:val="22"/>
        </w:rPr>
        <w:t xml:space="preserve"> Thus, studying the role of antidiabetic therapies such as metformin may also be of interest in oncometabolite-associated tumours. Of note, metformin is currently in </w:t>
      </w:r>
      <w:r w:rsidR="005A1AA5" w:rsidRPr="00D637BA">
        <w:rPr>
          <w:rFonts w:ascii="Calibri" w:hAnsi="Calibri" w:cs="Calibri"/>
          <w:color w:val="000000" w:themeColor="text1"/>
          <w:sz w:val="22"/>
          <w:szCs w:val="22"/>
        </w:rPr>
        <w:lastRenderedPageBreak/>
        <w:t>oncological clinical trials in patients with breast and prostate cancer. Although the data is c</w:t>
      </w:r>
      <w:r w:rsidR="00DF6088">
        <w:rPr>
          <w:rFonts w:ascii="Calibri" w:hAnsi="Calibri" w:cs="Calibri"/>
          <w:color w:val="000000" w:themeColor="text1"/>
          <w:sz w:val="22"/>
          <w:szCs w:val="22"/>
        </w:rPr>
        <w:t>onflicting</w:t>
      </w:r>
      <w:r w:rsidR="005A1AA5" w:rsidRPr="00D637BA">
        <w:rPr>
          <w:rFonts w:ascii="Calibri" w:hAnsi="Calibri" w:cs="Calibri"/>
          <w:color w:val="000000" w:themeColor="text1"/>
          <w:sz w:val="22"/>
          <w:szCs w:val="22"/>
        </w:rPr>
        <w:t>,</w:t>
      </w:r>
      <w:r w:rsidR="00970F62">
        <w:rPr>
          <w:rFonts w:ascii="Calibri" w:hAnsi="Calibri" w:cs="Calibri"/>
          <w:color w:val="000000" w:themeColor="text1"/>
          <w:sz w:val="22"/>
          <w:szCs w:val="22"/>
        </w:rPr>
        <w:t xml:space="preserve"> </w:t>
      </w:r>
      <w:r w:rsidR="00DF6088">
        <w:rPr>
          <w:rFonts w:ascii="Calibri" w:hAnsi="Calibri" w:cs="Calibri"/>
          <w:color w:val="000000" w:themeColor="text1"/>
          <w:sz w:val="22"/>
          <w:szCs w:val="22"/>
        </w:rPr>
        <w:t>metformin</w:t>
      </w:r>
      <w:r w:rsidR="005A1AA5" w:rsidRPr="00D637BA">
        <w:rPr>
          <w:rFonts w:ascii="Calibri" w:hAnsi="Calibri" w:cs="Calibri"/>
          <w:color w:val="000000" w:themeColor="text1"/>
          <w:sz w:val="22"/>
          <w:szCs w:val="22"/>
        </w:rPr>
        <w:t xml:space="preserve"> has </w:t>
      </w:r>
      <w:r w:rsidR="00DF6088">
        <w:rPr>
          <w:rFonts w:ascii="Calibri" w:hAnsi="Calibri" w:cs="Calibri"/>
          <w:color w:val="000000" w:themeColor="text1"/>
          <w:sz w:val="22"/>
          <w:szCs w:val="22"/>
        </w:rPr>
        <w:t>shown</w:t>
      </w:r>
      <w:r w:rsidR="005A1AA5" w:rsidRPr="00D637BA">
        <w:rPr>
          <w:rFonts w:ascii="Calibri" w:hAnsi="Calibri" w:cs="Calibri"/>
          <w:color w:val="000000" w:themeColor="text1"/>
          <w:sz w:val="22"/>
          <w:szCs w:val="22"/>
        </w:rPr>
        <w:t xml:space="preserve"> a degree of anti-tumoural activity </w:t>
      </w:r>
      <w:r w:rsidR="00DF6088">
        <w:rPr>
          <w:rFonts w:ascii="Calibri" w:hAnsi="Calibri" w:cs="Calibri"/>
          <w:color w:val="000000" w:themeColor="text1"/>
          <w:sz w:val="22"/>
          <w:szCs w:val="22"/>
        </w:rPr>
        <w:t>and is</w:t>
      </w:r>
      <w:r w:rsidR="00F51B55">
        <w:rPr>
          <w:rFonts w:ascii="Calibri" w:hAnsi="Calibri" w:cs="Calibri"/>
          <w:color w:val="000000" w:themeColor="text1"/>
          <w:sz w:val="22"/>
          <w:szCs w:val="22"/>
        </w:rPr>
        <w:t xml:space="preserve"> also</w:t>
      </w:r>
      <w:r w:rsidR="005A1AA5" w:rsidRPr="00D637BA">
        <w:rPr>
          <w:rFonts w:ascii="Calibri" w:hAnsi="Calibri" w:cs="Calibri"/>
          <w:color w:val="000000" w:themeColor="text1"/>
          <w:sz w:val="22"/>
          <w:szCs w:val="22"/>
        </w:rPr>
        <w:t xml:space="preserve"> recognised </w:t>
      </w:r>
      <w:r w:rsidR="00DF6088">
        <w:rPr>
          <w:rFonts w:ascii="Calibri" w:hAnsi="Calibri" w:cs="Calibri"/>
          <w:color w:val="000000" w:themeColor="text1"/>
          <w:sz w:val="22"/>
          <w:szCs w:val="22"/>
        </w:rPr>
        <w:t>to</w:t>
      </w:r>
      <w:r w:rsidR="005A1AA5" w:rsidRPr="00D637BA">
        <w:rPr>
          <w:rFonts w:ascii="Calibri" w:hAnsi="Calibri" w:cs="Calibri"/>
          <w:color w:val="000000" w:themeColor="text1"/>
          <w:sz w:val="22"/>
          <w:szCs w:val="22"/>
        </w:rPr>
        <w:t xml:space="preserve"> modulat</w:t>
      </w:r>
      <w:r w:rsidR="00DF6088">
        <w:rPr>
          <w:rFonts w:ascii="Calibri" w:hAnsi="Calibri" w:cs="Calibri"/>
          <w:color w:val="000000" w:themeColor="text1"/>
          <w:sz w:val="22"/>
          <w:szCs w:val="22"/>
        </w:rPr>
        <w:t>e</w:t>
      </w:r>
      <w:r w:rsidR="005A1AA5" w:rsidRPr="00D637BA">
        <w:rPr>
          <w:rFonts w:ascii="Calibri" w:hAnsi="Calibri" w:cs="Calibri"/>
          <w:color w:val="000000" w:themeColor="text1"/>
          <w:sz w:val="22"/>
          <w:szCs w:val="22"/>
        </w:rPr>
        <w:t xml:space="preserve"> numerous metabolic pathways</w:t>
      </w:r>
      <w:r w:rsidR="00A37710">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{"citationID":"aumre78egk","properties":{"formattedCitation":"\\super 40,215\\nosupersub{}","plainCitation":"40,215","noteIndex":0},"citationItems":[{"id":113,"uris":["http://zotero.org/users/4775618/items/76VTB6AB"],"uri":["http://zotero.org/users/4775618/items/76VTB6AB"],"itemData":{"id":113,"type":"article-journal","title":"Novel drugs that target the metabolic reprogramming in renal cell cancer","container-title":"Cancer &amp; Metabolism","page":"14","volume":"4","source":"BioMed Central","abstract":"Molecular profiling studies of tumor tissue from patients with clear cell renal cell cancer (ccRCC) have revealed extensive metabolic reprogramming in this disease. Associations were found between metabolic reprogramming, histopathologic Fuhrman grade, and overall survival of patients. Large-scale genomics, proteomics, and metabolomic analyses have been performed to identify the molecular players in this process. Genes involved in glycolysis, the pentose phosphate pathway, glutamine metabolism, and lipogenesis were found to be upregulated in renal cell cancer (RCC) specimens as compared to normal tissue. Preclinical research indicates that mutations in VHL, FBP1, and the PI3K-AKT-mTOR pathway drives aerobic glycolysis through transcriptional activation of the hypoxia-inducible factors (HIF). Mechanistic studies revealed glutamine as an important source for de novo fatty acid synthesis through reductive carboxylation. Amplification of MYC drives reductive carboxylation. In this review, we present a detailed overview of the metabolic changes in RCC in conjunction with potential novel therapeutics. We discuss preclinical studies that have investigated targeted agents that interfere with various aspects of tumor cell metabolism and emphasize their impact specifically on glycolysis, lipogenesis, and tumor growth. Furthermore, we describe a number of phase 1 and 2 clinical trials that have been conducted with these agents.","URL":"http://dx.doi.org/10.1186/s40170-016-0154-8","DOI":"10.1186/s40170-016-0154-8","ISSN":"2049-3002","journalAbbreviation":"Cancer &amp; Metabolism","author":[{"family":"Mijn","given":"Johannes C.","non-dropping-particle":"van der"},{"family":"Panka","given":"David J."},{"family":"Geissler","given":"Andrew K."},{"family":"Verheul","given":"Henk. M."},{"family":"Mier","given":"James W."}],"issued":{"date-parts":[["2016"]]},"accessed":{"date-parts":[["2017",4,28]]}}},{"id":2632,"uris":["http://zotero.org/users/4775618/items/A3U3MX79"],"uri":["http://zotero.org/users/4775618/items/A3U3MX79"],"itemData":{"id":2632,"type":"article-journal","title":"Metformin as an Anticancer Agent","container-title":"Trends in Pharmacological Sciences","page":"867-878","volume":"39","issue":"10","source":"ScienceDirect","abstract":"Metformin has been a frontline therapy for type 2 diabetes (T2D) for many years. Its effectiveness in T2D treatment is mostly attributed to its suppression of hepatic gluconeogenesis; however, the mechanistic aspects of metformin action remain elusive. In addition to its glucose-lowering effect, metformin possesses other pleiotropic health-promoting effects that include reduced cancer risk and tumorigenesis. Metformin inhibits the electron transport chain (ETC) and ATP synthesis; however, recent data reveal that metformin regulates AMP-activated protein kinase (AMPK) and the mechanistic target of rapamycin complex 1 (mTORC1) by multiple, mutually nonexclusive mechanisms that do not necessarily depend on the inhibition of ETC and the cellular ATP level. In this review, we discuss recent advances in elucidating the molecular mechanisms that are relevant for metformin use in cancer treatment.","URL":"http://www.sciencedirect.com/science/article/pii/S0165614718301226","DOI":"10.1016/j.tips.2018.07.006","ISSN":"0165-6147","journalAbbreviation":"Trends in Pharmacological Sciences","author":[{"family":"Vancura","given":"Ales"},{"family":"Bu","given":"Pengli"},{"family":"Bhagwat","given":"Madhura"},{"family":"Zeng","given":"Joey"},{"family":"Vancurova","given":"Ivana"}],"issued":{"date-parts":[["2018",10,1]]},"accessed":{"date-parts":[["2019",6,26]]}}}],"schema":"https://github.com/citation-style-language/schema/raw/master/csl-citation.json"} </w:instrText>
      </w:r>
      <w:r w:rsidR="00A37710">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40,215</w:t>
      </w:r>
      <w:r w:rsidR="00A37710">
        <w:rPr>
          <w:rFonts w:ascii="Calibri" w:hAnsi="Calibri" w:cs="Calibri"/>
          <w:color w:val="000000" w:themeColor="text1"/>
          <w:sz w:val="22"/>
          <w:szCs w:val="22"/>
        </w:rPr>
        <w:fldChar w:fldCharType="end"/>
      </w:r>
      <w:r w:rsidR="005A1AA5" w:rsidRPr="00D637BA">
        <w:rPr>
          <w:rFonts w:ascii="Calibri" w:hAnsi="Calibri" w:cs="Calibri"/>
          <w:color w:val="000000" w:themeColor="text1"/>
          <w:sz w:val="22"/>
          <w:szCs w:val="22"/>
        </w:rPr>
        <w:t xml:space="preserve">. </w:t>
      </w:r>
    </w:p>
    <w:p w14:paraId="098A7829" w14:textId="274FF6F6" w:rsidR="004144E4" w:rsidRPr="00D637BA" w:rsidRDefault="004144E4" w:rsidP="004144E4">
      <w:pPr>
        <w:spacing w:line="360" w:lineRule="auto"/>
        <w:jc w:val="both"/>
        <w:rPr>
          <w:rFonts w:ascii="Calibri" w:hAnsi="Calibri" w:cs="Calibri"/>
          <w:color w:val="000000" w:themeColor="text1"/>
          <w:sz w:val="22"/>
          <w:szCs w:val="22"/>
        </w:rPr>
      </w:pPr>
    </w:p>
    <w:p w14:paraId="323BE46B" w14:textId="68EE23BA" w:rsidR="00692D86" w:rsidRPr="00D637BA" w:rsidRDefault="002668C9" w:rsidP="00B946E4">
      <w:pPr>
        <w:spacing w:line="360" w:lineRule="auto"/>
        <w:jc w:val="both"/>
        <w:rPr>
          <w:rFonts w:ascii="Calibri" w:hAnsi="Calibri" w:cs="Calibri"/>
          <w:b/>
          <w:color w:val="000000" w:themeColor="text1"/>
          <w:sz w:val="22"/>
          <w:szCs w:val="22"/>
        </w:rPr>
      </w:pPr>
      <w:r w:rsidRPr="00B946E4">
        <w:rPr>
          <w:rFonts w:ascii="Calibri" w:hAnsi="Calibri" w:cs="Calibri"/>
          <w:b/>
          <w:color w:val="000000" w:themeColor="text1"/>
          <w:sz w:val="22"/>
          <w:szCs w:val="22"/>
        </w:rPr>
        <w:t>[</w:t>
      </w:r>
      <w:r w:rsidR="00692D86" w:rsidRPr="00B946E4">
        <w:rPr>
          <w:rFonts w:ascii="Calibri" w:hAnsi="Calibri" w:cs="Calibri"/>
          <w:b/>
          <w:color w:val="000000" w:themeColor="text1"/>
          <w:sz w:val="22"/>
          <w:szCs w:val="22"/>
        </w:rPr>
        <w:t>H2</w:t>
      </w:r>
      <w:r w:rsidRPr="00B946E4">
        <w:rPr>
          <w:rFonts w:ascii="Calibri" w:hAnsi="Calibri" w:cs="Calibri"/>
          <w:b/>
          <w:color w:val="000000" w:themeColor="text1"/>
          <w:sz w:val="22"/>
          <w:szCs w:val="22"/>
        </w:rPr>
        <w:t xml:space="preserve">] </w:t>
      </w:r>
      <w:r w:rsidR="00A27791" w:rsidRPr="00D637BA">
        <w:rPr>
          <w:rFonts w:ascii="Calibri" w:hAnsi="Calibri" w:cs="Calibri"/>
          <w:b/>
          <w:color w:val="000000" w:themeColor="text1"/>
          <w:sz w:val="22"/>
          <w:szCs w:val="22"/>
        </w:rPr>
        <w:t>D</w:t>
      </w:r>
      <w:r w:rsidR="004144E4" w:rsidRPr="00B946E4">
        <w:rPr>
          <w:rFonts w:ascii="Calibri" w:hAnsi="Calibri" w:cs="Calibri"/>
          <w:b/>
          <w:color w:val="000000" w:themeColor="text1"/>
          <w:sz w:val="22"/>
          <w:szCs w:val="22"/>
        </w:rPr>
        <w:t>ownstream oncometabolite</w:t>
      </w:r>
      <w:r w:rsidR="00A27791" w:rsidRPr="00D637BA">
        <w:rPr>
          <w:rFonts w:ascii="Calibri" w:hAnsi="Calibri" w:cs="Calibri"/>
          <w:b/>
          <w:color w:val="000000" w:themeColor="text1"/>
          <w:sz w:val="22"/>
          <w:szCs w:val="22"/>
        </w:rPr>
        <w:t xml:space="preserve"> </w:t>
      </w:r>
      <w:r w:rsidR="004144E4" w:rsidRPr="00B946E4">
        <w:rPr>
          <w:rFonts w:ascii="Calibri" w:hAnsi="Calibri" w:cs="Calibri"/>
          <w:b/>
          <w:color w:val="000000" w:themeColor="text1"/>
          <w:sz w:val="22"/>
          <w:szCs w:val="22"/>
        </w:rPr>
        <w:t>sequelae</w:t>
      </w:r>
    </w:p>
    <w:p w14:paraId="69D57475" w14:textId="74FBD99B" w:rsidR="009F3012" w:rsidRDefault="00F131BF" w:rsidP="00B946E4">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Potential therapeutic strategies have been developed to tackle broad oncometabolite-induced pathways as well as </w:t>
      </w:r>
      <w:r w:rsidR="00224699" w:rsidRPr="00D637BA">
        <w:rPr>
          <w:rFonts w:ascii="Calibri" w:hAnsi="Calibri" w:cs="Calibri"/>
          <w:color w:val="000000" w:themeColor="text1"/>
          <w:sz w:val="22"/>
          <w:szCs w:val="22"/>
        </w:rPr>
        <w:t>oncometabolite</w:t>
      </w:r>
      <w:r w:rsidR="004B6F79" w:rsidRPr="00D637BA">
        <w:rPr>
          <w:rFonts w:ascii="Calibri" w:hAnsi="Calibri" w:cs="Calibri"/>
          <w:color w:val="000000" w:themeColor="text1"/>
          <w:sz w:val="22"/>
          <w:szCs w:val="22"/>
        </w:rPr>
        <w:t xml:space="preserve">-associated </w:t>
      </w:r>
      <w:r w:rsidR="00B96FF0" w:rsidRPr="00D637BA">
        <w:rPr>
          <w:rFonts w:ascii="Calibri" w:hAnsi="Calibri" w:cs="Calibri"/>
          <w:color w:val="000000" w:themeColor="text1"/>
          <w:sz w:val="22"/>
          <w:szCs w:val="22"/>
        </w:rPr>
        <w:t xml:space="preserve">phenomena observed in specific cancer types </w:t>
      </w:r>
      <w:r w:rsidRPr="00D637BA">
        <w:rPr>
          <w:rFonts w:ascii="Calibri" w:hAnsi="Calibri" w:cs="Calibri"/>
          <w:color w:val="000000" w:themeColor="text1"/>
          <w:sz w:val="22"/>
          <w:szCs w:val="22"/>
        </w:rPr>
        <w:t>(Fig. 3).</w:t>
      </w:r>
      <w:r w:rsidR="000167D7">
        <w:rPr>
          <w:rFonts w:ascii="Calibri" w:hAnsi="Calibri" w:cs="Calibri"/>
          <w:color w:val="000000" w:themeColor="text1"/>
          <w:sz w:val="22"/>
          <w:szCs w:val="22"/>
        </w:rPr>
        <w:t xml:space="preserve"> </w:t>
      </w:r>
      <w:r w:rsidR="000268DC">
        <w:rPr>
          <w:rFonts w:ascii="Calibri" w:hAnsi="Calibri" w:cs="Calibri"/>
          <w:color w:val="000000" w:themeColor="text1"/>
          <w:sz w:val="22"/>
          <w:szCs w:val="22"/>
        </w:rPr>
        <w:t xml:space="preserve">This section will focus on </w:t>
      </w:r>
      <w:r w:rsidR="00A84CF7">
        <w:rPr>
          <w:rFonts w:ascii="Calibri" w:hAnsi="Calibri" w:cs="Calibri"/>
          <w:color w:val="000000" w:themeColor="text1"/>
          <w:sz w:val="22"/>
          <w:szCs w:val="22"/>
        </w:rPr>
        <w:t xml:space="preserve">the </w:t>
      </w:r>
      <w:r w:rsidR="000268DC">
        <w:rPr>
          <w:rFonts w:ascii="Calibri" w:hAnsi="Calibri" w:cs="Calibri"/>
          <w:color w:val="000000" w:themeColor="text1"/>
          <w:sz w:val="22"/>
          <w:szCs w:val="22"/>
        </w:rPr>
        <w:t>common downstream</w:t>
      </w:r>
      <w:r w:rsidR="00A84CF7">
        <w:rPr>
          <w:rFonts w:ascii="Calibri" w:hAnsi="Calibri" w:cs="Calibri"/>
          <w:color w:val="000000" w:themeColor="text1"/>
          <w:sz w:val="22"/>
          <w:szCs w:val="22"/>
        </w:rPr>
        <w:t xml:space="preserve"> </w:t>
      </w:r>
      <w:r w:rsidR="000268DC">
        <w:rPr>
          <w:rFonts w:ascii="Calibri" w:hAnsi="Calibri" w:cs="Calibri"/>
          <w:color w:val="000000" w:themeColor="text1"/>
          <w:sz w:val="22"/>
          <w:szCs w:val="22"/>
        </w:rPr>
        <w:t>oncometabolite</w:t>
      </w:r>
      <w:r w:rsidR="00A84CF7">
        <w:rPr>
          <w:rFonts w:ascii="Calibri" w:hAnsi="Calibri" w:cs="Calibri"/>
          <w:color w:val="000000" w:themeColor="text1"/>
          <w:sz w:val="22"/>
          <w:szCs w:val="22"/>
        </w:rPr>
        <w:t xml:space="preserve">-induced pathways with reference to RCC where applicable. Potential strategies </w:t>
      </w:r>
      <w:r w:rsidR="009F3012">
        <w:rPr>
          <w:rFonts w:ascii="Calibri" w:hAnsi="Calibri" w:cs="Calibri"/>
          <w:color w:val="000000" w:themeColor="text1"/>
          <w:sz w:val="22"/>
          <w:szCs w:val="22"/>
        </w:rPr>
        <w:t>targeting</w:t>
      </w:r>
      <w:r w:rsidR="00A84CF7">
        <w:rPr>
          <w:rFonts w:ascii="Calibri" w:hAnsi="Calibri" w:cs="Calibri"/>
          <w:color w:val="000000" w:themeColor="text1"/>
          <w:sz w:val="22"/>
          <w:szCs w:val="22"/>
        </w:rPr>
        <w:t xml:space="preserve"> individual oncometabolite phenomena discussed in the previous sections are summarised in Table 1</w:t>
      </w:r>
      <w:r w:rsidR="009F3012">
        <w:rPr>
          <w:rFonts w:ascii="Calibri" w:hAnsi="Calibri" w:cs="Calibri"/>
          <w:color w:val="000000" w:themeColor="text1"/>
          <w:sz w:val="22"/>
          <w:szCs w:val="22"/>
        </w:rPr>
        <w:t xml:space="preserve"> and provide a basis for further translational studies</w:t>
      </w:r>
      <w:r w:rsidR="00A84CF7">
        <w:rPr>
          <w:rFonts w:ascii="Calibri" w:hAnsi="Calibri" w:cs="Calibri"/>
          <w:color w:val="000000" w:themeColor="text1"/>
          <w:sz w:val="22"/>
          <w:szCs w:val="22"/>
        </w:rPr>
        <w:t>.</w:t>
      </w:r>
    </w:p>
    <w:p w14:paraId="26D3AF42" w14:textId="01636770" w:rsidR="004B2E37" w:rsidRPr="00D637BA" w:rsidRDefault="00F131BF" w:rsidP="00E37025">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The general convergence of oncometabolites on the inhibition of αKGDD enzymes led to an early and straightforward strategy of overcoming competitive inhibition by administering αKG in excess. </w:t>
      </w:r>
      <w:r w:rsidR="00A0574E" w:rsidRPr="00D637BA">
        <w:rPr>
          <w:rFonts w:ascii="Calibri" w:hAnsi="Calibri" w:cs="Calibri"/>
          <w:color w:val="000000" w:themeColor="text1"/>
          <w:sz w:val="22"/>
          <w:szCs w:val="22"/>
        </w:rPr>
        <w:t>Studies</w:t>
      </w:r>
      <w:r w:rsidRPr="00D637BA">
        <w:rPr>
          <w:rFonts w:ascii="Calibri" w:hAnsi="Calibri" w:cs="Calibri"/>
          <w:color w:val="000000" w:themeColor="text1"/>
          <w:sz w:val="22"/>
          <w:szCs w:val="22"/>
        </w:rPr>
        <w:t xml:space="preserve"> </w:t>
      </w:r>
      <w:r w:rsidR="00A0574E" w:rsidRPr="00D637BA">
        <w:rPr>
          <w:rFonts w:ascii="Calibri" w:hAnsi="Calibri" w:cs="Calibri"/>
          <w:color w:val="000000" w:themeColor="text1"/>
          <w:sz w:val="22"/>
          <w:szCs w:val="22"/>
        </w:rPr>
        <w:t>in</w:t>
      </w:r>
      <w:r w:rsidRPr="00D637BA">
        <w:rPr>
          <w:rFonts w:ascii="Calibri" w:hAnsi="Calibri" w:cs="Calibri"/>
          <w:color w:val="000000" w:themeColor="text1"/>
          <w:sz w:val="22"/>
          <w:szCs w:val="22"/>
        </w:rPr>
        <w:t xml:space="preserve"> </w:t>
      </w:r>
      <w:r w:rsidRPr="00D637BA">
        <w:rPr>
          <w:rFonts w:ascii="Calibri" w:hAnsi="Calibri" w:cs="Calibri"/>
          <w:i/>
          <w:color w:val="000000" w:themeColor="text1"/>
          <w:sz w:val="22"/>
          <w:szCs w:val="22"/>
        </w:rPr>
        <w:t>SDH-</w:t>
      </w:r>
      <w:r w:rsidRPr="00D637BA">
        <w:rPr>
          <w:rFonts w:ascii="Calibri" w:hAnsi="Calibri" w:cs="Calibri"/>
          <w:color w:val="000000" w:themeColor="text1"/>
          <w:sz w:val="22"/>
          <w:szCs w:val="22"/>
        </w:rPr>
        <w:t>deficient cancer cells</w:t>
      </w:r>
      <w:r w:rsidR="00CB42C0" w:rsidRPr="00D637BA">
        <w:rPr>
          <w:rFonts w:ascii="Calibri" w:hAnsi="Calibri" w:cs="Calibri"/>
          <w:color w:val="000000" w:themeColor="text1"/>
          <w:sz w:val="22"/>
          <w:szCs w:val="22"/>
        </w:rPr>
        <w:t xml:space="preserve"> and in RCC cells treated </w:t>
      </w:r>
      <w:r w:rsidR="00051DE8" w:rsidRPr="00D637BA">
        <w:rPr>
          <w:rFonts w:ascii="Calibri" w:hAnsi="Calibri" w:cs="Calibri"/>
          <w:color w:val="000000" w:themeColor="text1"/>
          <w:sz w:val="22"/>
          <w:szCs w:val="22"/>
        </w:rPr>
        <w:t>with exogenous</w:t>
      </w:r>
      <w:r w:rsidR="00CB42C0" w:rsidRPr="00D637BA">
        <w:rPr>
          <w:rFonts w:ascii="Calibri" w:hAnsi="Calibri" w:cs="Calibri"/>
          <w:color w:val="000000" w:themeColor="text1"/>
          <w:sz w:val="22"/>
          <w:szCs w:val="22"/>
        </w:rPr>
        <w:t xml:space="preserve"> fumarate</w:t>
      </w:r>
      <w:r w:rsidR="0031408E" w:rsidRPr="00D637BA">
        <w:rPr>
          <w:rFonts w:ascii="Calibri" w:hAnsi="Calibri" w:cs="Calibri"/>
          <w:color w:val="000000" w:themeColor="text1"/>
          <w:sz w:val="22"/>
          <w:szCs w:val="22"/>
        </w:rPr>
        <w:t xml:space="preserve"> showed that</w:t>
      </w:r>
      <w:r w:rsidRPr="00D637BA">
        <w:rPr>
          <w:rFonts w:ascii="Calibri" w:hAnsi="Calibri" w:cs="Calibri"/>
          <w:color w:val="000000" w:themeColor="text1"/>
          <w:sz w:val="22"/>
          <w:szCs w:val="22"/>
        </w:rPr>
        <w:t xml:space="preserve"> administration of αKG </w:t>
      </w:r>
      <w:r w:rsidR="00CB42C0" w:rsidRPr="00D637BA">
        <w:rPr>
          <w:rFonts w:ascii="Calibri" w:hAnsi="Calibri" w:cs="Calibri"/>
          <w:color w:val="000000" w:themeColor="text1"/>
          <w:sz w:val="22"/>
          <w:szCs w:val="22"/>
        </w:rPr>
        <w:t>led to a</w:t>
      </w:r>
      <w:r w:rsidR="00051DE8" w:rsidRPr="00D637BA">
        <w:rPr>
          <w:rFonts w:ascii="Calibri" w:hAnsi="Calibri" w:cs="Calibri"/>
          <w:color w:val="000000" w:themeColor="text1"/>
          <w:sz w:val="22"/>
          <w:szCs w:val="22"/>
        </w:rPr>
        <w:t xml:space="preserve"> reversal</w:t>
      </w:r>
      <w:r w:rsidRPr="00D637BA">
        <w:rPr>
          <w:rFonts w:ascii="Calibri" w:hAnsi="Calibri" w:cs="Calibri"/>
          <w:color w:val="000000" w:themeColor="text1"/>
          <w:sz w:val="22"/>
          <w:szCs w:val="22"/>
        </w:rPr>
        <w:t xml:space="preserve"> of the HIF pseudohypoxic drive through restoration of PHD activity</w:t>
      </w:r>
      <w:r w:rsidR="008F3950">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{"citationID":"a2ofe6ehfbf","properties":{"formattedCitation":"\\super 216,217\\nosupersub{}","plainCitation":"216,217","noteIndex":0},"citationItems":[{"id":1767,"uris":["http://zotero.org/users/4775618/items/LUF7JSEV"],"uri":["http://zotero.org/users/4775618/items/LUF7JSEV"],"itemData":{"id":1767,"type":"article-journal","title":"Mitochondrial succinate is instrumental for HIF1alpha nuclear translocation in SDHA-mutant fibroblasts under normoxic conditions","container-title":"Human Molecular Genetics","page":"3263-3269","volume":"14","issue":"21","source":"PubMed","abstract":"The genes encoding succinate dehydrogenase (SDH) subunits B, C and D, act as tumour suppressors in neuro-endocrine tissues. Tumour formation has been associated with succinate accumulation. In paraganglioma cells, two forms of SDHA (type I, II) were found which might preclude significant succinate accumulation in the case of a mutation in either form. In fibroblasts only SDHA type I is found. In these cells, SDHA type I mutation leads to SDH deficiency, succinate accumulation and hypoxia-inducible factor 1alpha(HIF1alpha) nuclear translocation. HIF1alpha nuclear translocation was not observed in ATPase-deficient fibroblasts with increased superoxide production and was found to be independent of cellular iron availability in SDHA-mutant cells. This suggests that neither superoxides nor iron were causative of HIF1alpha nuclear translocation. Conversely, alpha-ketoglutarate (alpha-KG) inhibits this nuclear translocation. Therefore, the pseudo-hypoxia pathway in SDH-deficient cells depends on the HIF1alphaprolyl hydroxylase product/substrate (succinate/alpha-KG) equilibrium. In SDH deficiency, organic acids thus appear instrumental in the HIF1alpha-dependent cascade suggesting a direct link between SDH and tumourigenesis.","DOI":"10.1093/hmg/ddi359","ISSN":"0964-6906","note":"PMID: 16195397","journalAbbreviation":"Hum. Mol. Genet.","language":"eng","author":[{"family":"Brière","given":"Jean-Jacques"},{"family":"Favier","given":"Judith"},{"family":"Bénit","given":"Paule"},{"family":"El Ghouzzi","given":"Vincent"},{"family":"Lorenzato","given":"Annalisa"},{"family":"Rabier","given":"Daniel"},{"family":"Di Renzo","given":"Maria Flavia"},{"family":"Gimenez-Roqueplo","given":"Anne-Paule"},{"family":"Rustin","given":"Pierre"}],"issued":{"date-parts":[["2005",11,1]]}}},{"id":1777,"uris":["http://zotero.org/users/4775618/items/6RLXZDVL"],"uri":["http://zotero.org/users/4775618/items/6RLXZDVL"],"itemData":{"id":1777,"type":"article-journal","title":"Cell-permeating alpha-ketoglutarate derivatives alleviate pseudohypoxia in succinate dehydrogenase-deficient cells","container-title":"Molecular and Cellular Biology","page":"3282-3289","volume":"27","issue":"9","source":"PubMed","abstract":"Succinate dehydrogenase (SDH) and fumarate hydratase (FH) are components of the tricarboxylic acid (TCA) cycle and tumor suppressors. Loss of SDH or FH induces pseudohypoxia, a major tumor-supporting event, which is the activation of hypoxia-inducible factor (HIF) under normoxia. In SDH- or FH-deficient cells, HIF activation is due to HIF1alpha stabilization by succinate or fumarate, respectively, either of which, when in excess, inhibits HIFalpha prolyl hydroxylase (PHD). To reactivate PHD, we focused on its substrate, alpha-ketoglutarate. We designed and synthesized cell-permeating alpha-ketoglutarate derivatives, which build up rapidly and preferentially in cells with a dysfunctional TCA cycle. This study shows that succinate- or fumarate-mediated inhibition of PHD is competitive and is reversed by pharmacologically elevating intracellular alpha-ketoglutarate. Introduction of alpha-ketoglutarate derivatives restores normal PHD activity and HIF1alpha levels to SDH-suppressed cells, indicating new therapy possibilities for the cancers associated with TCA cycle dysfunction.","DOI":"10.1128/MCB.01927-06","ISSN":"0270-7306","note":"PMID: 17325041\nPMCID: PMC1899954","journalAbbreviation":"Mol. Cell. Biol.","language":"eng","author":[{"family":"MacKenzie","given":"Elaine D."},{"family":"Selak","given":"Mary A."},{"family":"Tennant","given":"Daniel A."},{"family":"Payne","given":"Lloyd J."},{"family":"Crosby","given":"Stuart"},{"family":"Frederiksen","given":"Casper M."},{"family":"Watson","given":"David G."},{"family":"Gottlieb","given":"Eyal"}],"issued":{"date-parts":[["2007",5]]}}}],"schema":"https://github.com/citation-style-language/schema/raw/master/csl-citation.json"} </w:instrText>
      </w:r>
      <w:r w:rsidR="008F3950">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216,217</w:t>
      </w:r>
      <w:r w:rsidR="008F3950">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as well as reversal of DNA 5mc accumulation, indicative of </w:t>
      </w:r>
      <w:r w:rsidR="00C80A9B" w:rsidRPr="00D637BA">
        <w:rPr>
          <w:rFonts w:ascii="Calibri" w:hAnsi="Calibri" w:cs="Calibri"/>
          <w:color w:val="000000" w:themeColor="text1"/>
          <w:sz w:val="22"/>
          <w:szCs w:val="22"/>
        </w:rPr>
        <w:t xml:space="preserve">restoration of </w:t>
      </w:r>
      <w:r w:rsidRPr="00D637BA">
        <w:rPr>
          <w:rFonts w:ascii="Calibri" w:hAnsi="Calibri" w:cs="Calibri"/>
          <w:color w:val="000000" w:themeColor="text1"/>
          <w:sz w:val="22"/>
          <w:szCs w:val="22"/>
        </w:rPr>
        <w:t>TET activity</w:t>
      </w:r>
      <w:r w:rsidR="008F3950">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{"citationID":"a3kmmv4lgn","properties":{"formattedCitation":"\\super 141\\nosupersub{}","plainCitation":"141","noteIndex":0},"citationItems":[{"id":1510,"uris":["http://zotero.org/users/4775618/items/KQPZH6CD"],"uri":["http://zotero.org/users/4775618/items/KQPZH6CD"],"itemData":{"id":1510,"type":"article-journal","title":"SDH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schema":"https://github.com/citation-style-language/schema/raw/master/csl-citation.json"} </w:instrText>
      </w:r>
      <w:r w:rsidR="008F3950">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141</w:t>
      </w:r>
      <w:r w:rsidR="008F3950">
        <w:rPr>
          <w:rFonts w:ascii="Calibri" w:hAnsi="Calibri" w:cs="Calibri"/>
          <w:color w:val="000000" w:themeColor="text1"/>
          <w:sz w:val="22"/>
          <w:szCs w:val="22"/>
        </w:rPr>
        <w:fldChar w:fldCharType="end"/>
      </w:r>
      <w:r w:rsidRPr="00D637BA">
        <w:rPr>
          <w:rFonts w:ascii="Calibri" w:hAnsi="Calibri" w:cs="Calibri"/>
          <w:i/>
          <w:color w:val="000000" w:themeColor="text1"/>
          <w:sz w:val="22"/>
          <w:szCs w:val="22"/>
        </w:rPr>
        <w:t xml:space="preserve">. </w:t>
      </w:r>
      <w:r w:rsidRPr="00D637BA">
        <w:rPr>
          <w:rFonts w:ascii="Calibri" w:hAnsi="Calibri" w:cs="Calibri"/>
          <w:color w:val="000000" w:themeColor="text1"/>
          <w:sz w:val="22"/>
          <w:szCs w:val="22"/>
        </w:rPr>
        <w:t xml:space="preserve">Dose-dependent suppression of HIF1α and VEGF protein levels by αKG were also observed in lung cancer cells and in hepatocellular carcinoma cells </w:t>
      </w:r>
      <w:r w:rsidRPr="00D637BA">
        <w:rPr>
          <w:rFonts w:ascii="Calibri" w:hAnsi="Calibri" w:cs="Calibri"/>
          <w:i/>
          <w:color w:val="000000" w:themeColor="text1"/>
          <w:sz w:val="22"/>
          <w:szCs w:val="22"/>
        </w:rPr>
        <w:t>in vitro</w:t>
      </w:r>
      <w:r w:rsidR="008F3950">
        <w:rPr>
          <w:rFonts w:ascii="Calibri" w:hAnsi="Calibri" w:cs="Calibri"/>
          <w:i/>
          <w:color w:val="000000" w:themeColor="text1"/>
          <w:sz w:val="22"/>
          <w:szCs w:val="22"/>
        </w:rPr>
        <w:fldChar w:fldCharType="begin"/>
      </w:r>
      <w:r w:rsidR="004E2A88">
        <w:rPr>
          <w:rFonts w:ascii="Calibri" w:hAnsi="Calibri" w:cs="Calibri"/>
          <w:i/>
          <w:color w:val="000000" w:themeColor="text1"/>
          <w:sz w:val="22"/>
          <w:szCs w:val="22"/>
        </w:rPr>
        <w:instrText xml:space="preserve"> ADDIN ZOTERO_ITEM CSL_CITATION {"citationID":"a1s3u5a72sk","properties":{"formattedCitation":"\\super 218,219\\nosupersub{}","plainCitation":"218,219","noteIndex":0},"citationItems":[{"id":1780,"uris":["http://zotero.org/users/4775618/items/R6IFGI29"],"uri":["http://zotero.org/users/4775618/items/R6IFGI29"],"itemData":{"id":1780,"type":"article-journal","title":"2-Oxoglutarate downregulates expression of vascular endothelial growth factor and erythropoietin through decreasing hypoxia-inducible factor-1alpha and inhibits angiogenesis","container-title":"Journal of Cellular Physiology","page":"333-340","volume":"209","issue":"2","source":"PubMed","abstract":"In oxygenated cells, hypoxia-inducible factor-1 (HIF-1) alpha subunits are rapidly degraded by a mechanism that involves ubiquitination by the von Hippel-Lindau tumor suppressor E3 ligase complex using 2-oxoglutarate as a substrate. We examined the effect of 2-oxoglutarate on the production of erythropoietin and vascular endothelial growth factor (VEGF). The expression of erythropoietin and VEGF protein were dose-dependently downregulated in Hep3B cells by the addition of 2-oxoglutarate. The promoter activity of VEGF-luciferase was dose-dependently downregulated by the addition of 2-oxoglutarate. Gel mobility shift assays revealed that the addition of 2-oxoglutarate dose-dependently inhibited HIF-1 binding activity, but did not affect GATA binding activity. Western blot analysis revealed that 2-oxoglutarate dose-dependently inhibited the HIF-1alpha protein level in Hep3B cells in hypoxic conditions. However, MG132 (the proteasome inhibitor) rescued the inhibition of HIF-1alpha protein expression by 2-oxoglutarate. Furthermore, under hypoxic conditions, 2-oxoglutarate dose-dependently inhibited tube formation in in vitro angiogenesis assays. These results indicate that 2-oxoglutarate treatment may be useful for the inhibition of angiogenesis.","DOI":"10.1002/jcp.20733","ISSN":"0021-9541","note":"PMID: 16883594","journalAbbreviation":"J. Cell. Physiol.","language":"eng","author":[{"family":"Matsumoto","given":"Ken"},{"family":"Imagawa","given":"Shigehiko"},{"family":"Obara","given":"Naoshi"},{"family":"Suzuki","given":"Norio"},{"family":"Takahashi","given":"Satoru"},{"family":"Nagasawa","given":"Toshiro"},{"family":"Yamamoto","given":"Masayuki"}],"issued":{"date-parts":[["2006",11]]}}},{"id":396,"uris":["http://zotero.org/users/4775618/items/BXVWSYZY"],"uri":["http://zotero.org/users/4775618/items/BXVWSYZY"],"itemData":{"id":396,"type":"article-journal","title":"Antitumor effects of 2‐oxoglutarate through inhibition of angiogenesis in a murine tumor model","container-title":"Cancer Science","page":"1639-1647","volume":"100","issue":"9","source":"onlinelibrary.wiley.com","URL":"https://onlinelibrary.wiley.com/doi/abs/10.1111/j.1349-7006.2009.01249.x","DOI":"10.1111/j.1349-7006.2009.01249.x","ISSN":"1349-7006","language":"en","author":[{"family":"Matsumoto","given":"Ken"},{"family":"Obara","given":"Naoshi"},{"family":"Ema","given":"Masatsugu"},{"family":"Horie","given":"Masaki"},{"family":"Naka","given":"Ayano"},{"family":"Takahashi","given":"Satoru"},{"family":"Imagawa","given":"Shigehiko"}],"issued":{"date-parts":[["2009",9,1]]},"accessed":{"date-parts":[["2018",4,3]]}}}],"schema":"https://github.com/citation-style-language/schema/raw/master/csl-citation.json"} </w:instrText>
      </w:r>
      <w:r w:rsidR="008F3950">
        <w:rPr>
          <w:rFonts w:ascii="Calibri" w:hAnsi="Calibri" w:cs="Calibri"/>
          <w:i/>
          <w:color w:val="000000" w:themeColor="text1"/>
          <w:sz w:val="22"/>
          <w:szCs w:val="22"/>
        </w:rPr>
        <w:fldChar w:fldCharType="separate"/>
      </w:r>
      <w:r w:rsidR="004E2A88" w:rsidRPr="004E2A88">
        <w:rPr>
          <w:rFonts w:ascii="Calibri" w:hAnsi="Calibri" w:cs="Calibri"/>
          <w:color w:val="000000"/>
          <w:sz w:val="22"/>
          <w:vertAlign w:val="superscript"/>
          <w:lang w:val="en-US"/>
        </w:rPr>
        <w:t>218,219</w:t>
      </w:r>
      <w:r w:rsidR="008F3950">
        <w:rPr>
          <w:rFonts w:ascii="Calibri" w:hAnsi="Calibri" w:cs="Calibri"/>
          <w:i/>
          <w:color w:val="000000" w:themeColor="text1"/>
          <w:sz w:val="22"/>
          <w:szCs w:val="22"/>
        </w:rPr>
        <w:fldChar w:fldCharType="end"/>
      </w:r>
      <w:r w:rsidRPr="00D637BA">
        <w:rPr>
          <w:rFonts w:ascii="Calibri" w:hAnsi="Calibri" w:cs="Calibri"/>
          <w:color w:val="000000" w:themeColor="text1"/>
          <w:sz w:val="22"/>
          <w:szCs w:val="22"/>
        </w:rPr>
        <w:t xml:space="preserve">. Furthermore, </w:t>
      </w:r>
      <w:r w:rsidR="0031408E" w:rsidRPr="00D637BA">
        <w:rPr>
          <w:rFonts w:ascii="Calibri" w:hAnsi="Calibri" w:cs="Calibri"/>
          <w:color w:val="000000" w:themeColor="text1"/>
          <w:sz w:val="22"/>
          <w:szCs w:val="22"/>
        </w:rPr>
        <w:t xml:space="preserve">addition of </w:t>
      </w:r>
      <w:r w:rsidRPr="00D637BA">
        <w:rPr>
          <w:rFonts w:ascii="Calibri" w:hAnsi="Calibri" w:cs="Calibri"/>
          <w:color w:val="000000" w:themeColor="text1"/>
          <w:sz w:val="22"/>
          <w:szCs w:val="22"/>
        </w:rPr>
        <w:t>αKG to</w:t>
      </w:r>
      <w:r w:rsidR="004900FE" w:rsidRPr="00D637BA">
        <w:rPr>
          <w:rFonts w:ascii="Calibri" w:hAnsi="Calibri" w:cs="Calibri"/>
          <w:color w:val="000000" w:themeColor="text1"/>
          <w:sz w:val="22"/>
          <w:szCs w:val="22"/>
        </w:rPr>
        <w:t xml:space="preserve"> human colorectal</w:t>
      </w:r>
      <w:r w:rsidRPr="00D637BA">
        <w:rPr>
          <w:rFonts w:ascii="Calibri" w:hAnsi="Calibri" w:cs="Calibri"/>
          <w:color w:val="000000" w:themeColor="text1"/>
          <w:sz w:val="22"/>
          <w:szCs w:val="22"/>
        </w:rPr>
        <w:t xml:space="preserve"> cancer cells </w:t>
      </w:r>
      <w:r w:rsidR="0031408E" w:rsidRPr="00D637BA">
        <w:rPr>
          <w:rFonts w:ascii="Calibri" w:hAnsi="Calibri" w:cs="Calibri"/>
          <w:color w:val="000000" w:themeColor="text1"/>
          <w:sz w:val="22"/>
          <w:szCs w:val="22"/>
        </w:rPr>
        <w:t xml:space="preserve">in </w:t>
      </w:r>
      <w:r w:rsidRPr="00D637BA">
        <w:rPr>
          <w:rFonts w:ascii="Calibri" w:hAnsi="Calibri" w:cs="Calibri"/>
          <w:color w:val="000000" w:themeColor="text1"/>
          <w:sz w:val="22"/>
          <w:szCs w:val="22"/>
        </w:rPr>
        <w:t>hypoxic conditions led to PHD-induced destabilisation of HIF expression and</w:t>
      </w:r>
      <w:r w:rsidR="004900FE"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PHD-dependent hypoxic cell death</w:t>
      </w:r>
      <w:r w:rsidR="008F3950">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{"citationID":"a1tu1d5bh96","properties":{"formattedCitation":"\\super 220\\nosupersub{}","plainCitation":"220","noteIndex":0},"citationItems":[{"id":399,"uris":["http://zotero.org/users/4775618/items/JM7NP2NV"],"uri":["http://zotero.org/users/4775618/items/JM7NP2NV"],"itemData":{"id":399,"type":"article-journal","title":"Reactivating HIF prolyl hydroxylases under hypoxia results in metabolic catastrophe and cell death","container-title":"Oncogene","page":"4009-4021","volume":"28","issue":"45","source":"www.nature.com","abstract":"Cells exposed to low-oxygen conditions (hypoxia) alter their metabolism to survive. This response, although vital during development and high-altitude survival, is now known to be a major factor in the selection of cells with a transformed metabolic phenotype during tumorigenesis. It is thought that hypoxia-selected cells have increased invasive capacity and resistance to both chemo- and radiotherapies, and therefore represent an attractive target for antitumor therapy. Hypoxia inducible factors (HIFs) are responsible for the majority of gene expression changes under hypoxia, and are themselves controlled by the oxygen-sensing HIF prolyl hydroxylases (PHDs). It was previously shown that mutations in succinate dehydrogenase lead to the inactivation PHDs under normoxic conditions, which can be overcome by treatment with α-ketoglutarate derivatives. Given that solid tumors contain large regions of hypoxia, the reactivation of PHDs in these conditions could induce metabolic catastrophe and therefore prove an effective antitumor therapy. In this report we demonstrate that derivatized α-ketoglutarate can be used as a strategy for maintaining PHD activity under hypoxia. By increasing intracellular α-ketoglutarate and activating PHDs we trigger PHD-dependent reversal of HIF1 activation, and PHD-dependent hypoxic cell death. We also show that derivatized α-ketoglutarate can permeate multiple layers of cells, reducing HIF1α levels and its target genes in vivo.","URL":"https://www.nature.com/articles/onc2009250","DOI":"10.1038/onc.2009.250","ISSN":"1476-5594","language":"en","author":[{"family":"Tennant","given":"D. A."},{"family":"Frezza","given":"C."},{"family":"MacKenzie","given":"E. D."},{"family":"Nguyen","given":"Q. D."},{"family":"Zheng","given":"L."},{"family":"Selak","given":"M. A."},{"family":"Roberts","given":"D. L."},{"family":"Dive","given":"C."},{"family":"Watson","given":"D. G."},{"family":"Aboagye","given":"E. O."},{"family":"Gottlieb","given":"E."}],"issued":{"date-parts":[["2009",11]]},"accessed":{"date-parts":[["2018",4,3]]}}}],"schema":"https://github.com/citation-style-language/schema/raw/master/csl-citation.json"} </w:instrText>
      </w:r>
      <w:r w:rsidR="008F3950">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220</w:t>
      </w:r>
      <w:r w:rsidR="008F3950">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AC0CE2" w:rsidRPr="00D637BA">
        <w:rPr>
          <w:rFonts w:ascii="Calibri" w:hAnsi="Calibri" w:cs="Calibri"/>
          <w:color w:val="000000" w:themeColor="text1"/>
          <w:sz w:val="22"/>
          <w:szCs w:val="22"/>
        </w:rPr>
        <w:t>Consistent with these findings</w:t>
      </w:r>
      <w:r w:rsidRPr="00D637BA">
        <w:rPr>
          <w:rFonts w:ascii="Calibri" w:hAnsi="Calibri" w:cs="Calibri"/>
          <w:color w:val="000000" w:themeColor="text1"/>
          <w:sz w:val="22"/>
          <w:szCs w:val="22"/>
        </w:rPr>
        <w:t xml:space="preserve">, </w:t>
      </w:r>
      <w:r w:rsidR="0031408E" w:rsidRPr="00D637BA">
        <w:rPr>
          <w:rFonts w:ascii="Calibri" w:hAnsi="Calibri" w:cs="Calibri"/>
          <w:color w:val="000000" w:themeColor="text1"/>
          <w:sz w:val="22"/>
          <w:szCs w:val="22"/>
        </w:rPr>
        <w:t xml:space="preserve">treatment with </w:t>
      </w:r>
      <w:r w:rsidRPr="00D637BA">
        <w:rPr>
          <w:rFonts w:ascii="Calibri" w:hAnsi="Calibri" w:cs="Calibri"/>
          <w:color w:val="000000" w:themeColor="text1"/>
          <w:sz w:val="22"/>
          <w:szCs w:val="22"/>
        </w:rPr>
        <w:t xml:space="preserve">αKG </w:t>
      </w:r>
      <w:r w:rsidR="0031408E" w:rsidRPr="00D637BA">
        <w:rPr>
          <w:rFonts w:ascii="Calibri" w:hAnsi="Calibri" w:cs="Calibri"/>
          <w:color w:val="000000" w:themeColor="text1"/>
          <w:sz w:val="22"/>
          <w:szCs w:val="22"/>
        </w:rPr>
        <w:t xml:space="preserve">had </w:t>
      </w:r>
      <w:r w:rsidRPr="00D637BA">
        <w:rPr>
          <w:rFonts w:ascii="Calibri" w:hAnsi="Calibri" w:cs="Calibri"/>
          <w:color w:val="000000" w:themeColor="text1"/>
          <w:sz w:val="22"/>
          <w:szCs w:val="22"/>
        </w:rPr>
        <w:t>anti-</w:t>
      </w:r>
      <w:r w:rsidR="008B0014" w:rsidRPr="00D637BA">
        <w:rPr>
          <w:rFonts w:ascii="Calibri" w:hAnsi="Calibri" w:cs="Calibri"/>
          <w:color w:val="000000" w:themeColor="text1"/>
          <w:sz w:val="22"/>
          <w:szCs w:val="22"/>
        </w:rPr>
        <w:t>tumoural</w:t>
      </w:r>
      <w:r w:rsidRPr="00D637BA">
        <w:rPr>
          <w:rFonts w:ascii="Calibri" w:hAnsi="Calibri" w:cs="Calibri"/>
          <w:color w:val="000000" w:themeColor="text1"/>
          <w:sz w:val="22"/>
          <w:szCs w:val="22"/>
        </w:rPr>
        <w:t xml:space="preserve"> effects </w:t>
      </w:r>
      <w:r w:rsidRPr="00D637BA">
        <w:rPr>
          <w:rFonts w:ascii="Calibri" w:hAnsi="Calibri" w:cs="Calibri"/>
          <w:i/>
          <w:color w:val="000000" w:themeColor="text1"/>
          <w:sz w:val="22"/>
          <w:szCs w:val="22"/>
        </w:rPr>
        <w:t>in vivo</w:t>
      </w:r>
      <w:r w:rsidRPr="00D637BA">
        <w:rPr>
          <w:rFonts w:ascii="Calibri" w:hAnsi="Calibri" w:cs="Calibri"/>
          <w:color w:val="000000" w:themeColor="text1"/>
          <w:sz w:val="22"/>
          <w:szCs w:val="22"/>
        </w:rPr>
        <w:t>, suppressing tumour growth and angiogenesis in a lung cancer xenograft model</w:t>
      </w:r>
      <w:r w:rsidR="008F3950">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{"citationID":"a1urans6qt6","properties":{"formattedCitation":"\\super 219\\nosupersub{}","plainCitation":"219","noteIndex":0},"citationItems":[{"id":396,"uris":["http://zotero.org/users/4775618/items/BXVWSYZY"],"uri":["http://zotero.org/users/4775618/items/BXVWSYZY"],"itemData":{"id":396,"type":"article-journal","title":"Antitumor effects of 2‐oxoglutarate through inhibition of angiogenesis in a murine tumor model","container-title":"Cancer Science","page":"1639-1647","volume":"100","issue":"9","source":"onlinelibrary.wiley.com","URL":"https://onlinelibrary.wiley.com/doi/abs/10.1111/j.1349-7006.2009.01249.x","DOI":"10.1111/j.1349-7006.2009.01249.x","ISSN":"1349-7006","language":"en","author":[{"family":"Matsumoto","given":"Ken"},{"family":"Obara","given":"Naoshi"},{"family":"Ema","given":"Masatsugu"},{"family":"Horie","given":"Masaki"},{"family":"Naka","given":"Ayano"},{"family":"Takahashi","given":"Satoru"},{"family":"Imagawa","given":"Shigehiko"}],"issued":{"date-parts":[["2009",9,1]]},"accessed":{"date-parts":[["2018",4,3]]}}}],"schema":"https://github.com/citation-style-language/schema/raw/master/csl-citation.json"} </w:instrText>
      </w:r>
      <w:r w:rsidR="008F3950">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219</w:t>
      </w:r>
      <w:r w:rsidR="008F3950">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31408E" w:rsidRPr="00D637BA">
        <w:rPr>
          <w:rFonts w:ascii="Calibri" w:hAnsi="Calibri" w:cs="Calibri"/>
          <w:color w:val="000000" w:themeColor="text1"/>
          <w:sz w:val="22"/>
          <w:szCs w:val="22"/>
        </w:rPr>
        <w:t>T</w:t>
      </w:r>
      <w:r w:rsidRPr="00D637BA">
        <w:rPr>
          <w:rFonts w:ascii="Calibri" w:hAnsi="Calibri" w:cs="Calibri"/>
          <w:color w:val="000000" w:themeColor="text1"/>
          <w:sz w:val="22"/>
          <w:szCs w:val="22"/>
        </w:rPr>
        <w:t>hese preclinical studies suggest that utilising αKG can meaningfully reverse oncometabolite-induced αKGDD inhibition at a molecular and phenotypic level</w:t>
      </w:r>
      <w:r w:rsidR="0031408E" w:rsidRPr="00D637BA">
        <w:rPr>
          <w:rFonts w:ascii="Calibri" w:hAnsi="Calibri" w:cs="Calibri"/>
          <w:color w:val="000000" w:themeColor="text1"/>
          <w:sz w:val="22"/>
          <w:szCs w:val="22"/>
        </w:rPr>
        <w:t xml:space="preserve"> in a wide variety of cancer subtypes</w:t>
      </w:r>
      <w:r w:rsidRPr="00D637BA">
        <w:rPr>
          <w:rFonts w:ascii="Calibri" w:hAnsi="Calibri" w:cs="Calibri"/>
          <w:color w:val="000000" w:themeColor="text1"/>
          <w:sz w:val="22"/>
          <w:szCs w:val="22"/>
        </w:rPr>
        <w:t>. As epigenetic dysregulation and pseudohypoxia drive are strongly implicated in the pathogenesis and progression of RCC, broad targeting of αKGDD combating both these elements warrants further investigation.</w:t>
      </w:r>
      <w:r w:rsidR="000113D6" w:rsidRPr="00D637BA">
        <w:rPr>
          <w:rFonts w:ascii="Calibri" w:hAnsi="Calibri" w:cs="Calibri"/>
          <w:color w:val="000000" w:themeColor="text1"/>
          <w:sz w:val="22"/>
          <w:szCs w:val="22"/>
        </w:rPr>
        <w:t xml:space="preserve"> </w:t>
      </w:r>
    </w:p>
    <w:p w14:paraId="499D1857" w14:textId="5AA47BAB" w:rsidR="001B0D46" w:rsidRPr="00D637BA" w:rsidRDefault="004B2E37" w:rsidP="004B2E37">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T</w:t>
      </w:r>
      <w:r w:rsidR="00FF101B" w:rsidRPr="00D637BA">
        <w:rPr>
          <w:rFonts w:ascii="Calibri" w:hAnsi="Calibri" w:cs="Calibri"/>
          <w:color w:val="000000" w:themeColor="text1"/>
          <w:sz w:val="22"/>
          <w:szCs w:val="22"/>
        </w:rPr>
        <w:t xml:space="preserve">argeting HIF transcription factors may be another promising therapeutic approach. Attenuation of tumour growth upon HIF2α inhibition was demonstrated </w:t>
      </w:r>
      <w:r w:rsidR="00FF101B" w:rsidRPr="00D637BA">
        <w:rPr>
          <w:rFonts w:ascii="Calibri" w:hAnsi="Calibri" w:cs="Calibri"/>
          <w:i/>
          <w:color w:val="000000" w:themeColor="text1"/>
          <w:sz w:val="22"/>
          <w:szCs w:val="22"/>
        </w:rPr>
        <w:t xml:space="preserve">in vitro </w:t>
      </w:r>
      <w:r w:rsidR="00FF101B" w:rsidRPr="00D637BA">
        <w:rPr>
          <w:rFonts w:ascii="Calibri" w:hAnsi="Calibri" w:cs="Calibri"/>
          <w:color w:val="000000" w:themeColor="text1"/>
          <w:sz w:val="22"/>
          <w:szCs w:val="22"/>
        </w:rPr>
        <w:t>and in multiple RCC tumourgraft models</w:t>
      </w:r>
      <w:r w:rsidR="00011082">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{"citationID":"a2j30iip9e7","properties":{"formattedCitation":"\\super 221,222\\nosupersub{}","plainCitation":"221,222","noteIndex":0},"citationItems":[{"id":672,"uris":["http://zotero.org/users/4775618/items/59GVWWBY"],"uri":["http://zotero.org/users/4775618/items/59GVWWBY"],"itemData":{"id":672,"type":"article-journal","title":"Targeting renal cell carcinoma with a HIF-2 antagonist","container-title":"Nature","page":"112-117","volume":"539","issue":"7627","source":"PubMed","abstract":"Clear cell renal cell carcinoma (ccRCC) is characterized by inactivation of the von Hippel-Lindau tumour suppressor gene (VHL). Because no other gene is mutated as frequently in ccRCC and VHL mutations are truncal, VHL inactivation is regarded as the governing event. VHL loss activates the HIF-2 transcription factor, and constitutive HIF-2 activity restores tumorigenesis in VHL-reconstituted ccRCC cells. HIF-2 has been implicated in angiogenesis and multiple other processes, but angiogenesis is the main target of drugs such as the tyrosine kinase inhibitor sunitinib. HIF-2 has been regarded as undruggable. Here we use a tumourgraft/patient-derived xenograft platform to evaluate PT2399, a selective HIF-2 antagonist that was identified using a structure-based design approach. PT2399 dissociated HIF-2 (an obligatory heterodimer of HIF-2α-HIF-1β) in human ccRCC cells and suppressed tumorigenesis in 56% (10 out of 18) of such lines. PT2399 had greater activity than sunitinib, was active in sunitinib-progressing tumours, and was better tolerated. Unexpectedly, some VHL-mutant ccRCCs were resistant to PT2399. Resistance occurred despite HIF-2 dissociation in tumours and evidence of Hif-2 inhibition in the mouse, as determined by suppression of circulating erythropoietin, a HIF-2 target and possible pharmacodynamic marker. We identified a HIF-2-dependent gene signature in sensitive tumours. Gene expression was largely unaffected by PT2399 in resistant tumours, illustrating the specificity of the drug. Sensitive tumours exhibited a distinguishing gene expression signature and generally higher levels of HIF-2α. Prolonged PT2399 treatment led to resistance. We identified binding site and second site suppressor mutations in HIF-2α and HIF-1β, respectively. Both mutations preserved HIF-2 dimers despite treatment with PT2399. Finally, an extensively pretreated patient whose tumour had given rise to a sensitive tumourgraft showed disease control for more than 11 months when treated with a close analogue of PT2399, PT2385. We validate HIF-2 as a target in ccRCC, show that some ccRCCs are HIF-2 independent, and set the stage for biomarker-driven clinical trials.","DOI":"10.1038/nature19796","ISSN":"1476-4687","note":"PMID: 27595394\nPMCID: PMC5340502","journalAbbreviation":"Nature","language":"eng","author":[{"family":"Chen","given":"Wenfang"},{"family":"Hill","given":"Haley"},{"family":"Christie","given":"Alana"},{"family":"Kim","given":"Min Soo"},{"family":"Holloman","given":"Eboni"},{"family":"Pavia-Jimenez","given":"Andrea"},{"family":"Homayoun","given":"Farrah"},{"family":"Ma","given":"Yuanqing"},{"family":"Patel","given":"Nirav"},{"family":"Yell","given":"Paul"},{"family":"Hao","given":"Guiyang"},{"family":"Yousuf","given":"Qurratulain"},{"family":"Joyce","given":"Allison"},{"family":"Pedrosa","given":"Ivan"},{"family":"Geiger","given":"Heather"},{"family":"Zhang","given":"He"},{"family":"Chang","given":"Jenny"},{"family":"Gardner","given":"Kevin H."},{"family":"Bruick","given":"Richard K."},{"family":"Reeves","given":"Catherine"},{"family":"Hwang","given":"Tae Hyun"},{"family":"Courtney","given":"Kevin"},{"family":"Frenkel","given":"Eugene"},{"family":"Sun","given":"Xiankai"},{"family":"Zojwalla","given":"Naseem"},{"family":"Wong","given":"Tai"},{"family":"Rizzi","given":"James P."},{"family":"Wallace","given":"Eli M."},{"family":"Josey","given":"John A."},{"family":"Xie","given":"Yang"},{"family":"Xie","given":"Xian-Jin"},{"family":"Kapur","given":"Payal"},{"family":"McKay","given":"Renée M."},{"family":"Brugarolas","given":"James"}],"issued":{"date-parts":[["2016"]],"season":"03"}}},{"id":2712,"uris":["http://zotero.org/users/4775618/items/RQ3FL3XK"],"uri":["http://zotero.org/users/4775618/items/RQ3FL3XK"],"itemData":{"id":2712,"type":"article-journal","title":"On-target efficacy of a HIF-2α antagonist in preclinical kidney cancer models","container-title":"Nature","page":"107-111","volume":"539","issue":"7627","source":"PubMed","abstract":"Clear cell renal cell carcinoma, the most common form of kidney cancer, is usually linked to inactivation of the pVHL tumour suppressor protein and consequent accumulation of the HIF-2α transcription factor (also known as EPAS1). Here we show that a small molecule (PT2399) that directly inhibits HIF-2α causes tumour regression in preclinical mouse models of primary and metastatic pVHL-defective clear cell renal cell carcinoma in an on-target fashion. pVHL-defective clear cell renal cell carcinoma cell lines display unexpectedly variable sensitivity to PT2399, however, suggesting the need for predictive biomarkers to be developed to use this approach optimally in the clinic.","DOI":"10.1038/nature19795","ISSN":"1476-4687","note":"PMID: 27595393\nPMCID: PMC5499381","journalAbbreviation":"Nature","language":"eng","author":[{"family":"Cho","given":"Hyejin"},{"family":"Du","given":"Xinlin"},{"family":"Rizzi","given":"James P."},{"family":"Liberzon","given":"Ella"},{"family":"Chakraborty","given":"Abhishek A."},{"family":"Gao","given":"Wenhua"},{"family":"Carvo","given":"Ingrid"},{"family":"Signoretti","given":"Sabina"},{"family":"Bruick","given":"Richard K."},{"family":"Josey","given":"John A."},{"family":"Wallace","given":"Eli M."},{"family":"Kaelin","given":"William G."}],"issued":{"date-parts":[["2016"]],"season":"03"}}}],"schema":"https://github.com/citation-style-language/schema/raw/master/csl-citation.json"} </w:instrText>
      </w:r>
      <w:r w:rsidR="00011082">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221,222</w:t>
      </w:r>
      <w:r w:rsidR="00011082">
        <w:rPr>
          <w:rFonts w:ascii="Calibri" w:hAnsi="Calibri" w:cs="Calibri"/>
          <w:color w:val="000000" w:themeColor="text1"/>
          <w:sz w:val="22"/>
          <w:szCs w:val="22"/>
        </w:rPr>
        <w:fldChar w:fldCharType="end"/>
      </w:r>
      <w:r w:rsidR="00FF101B" w:rsidRPr="00D637BA">
        <w:rPr>
          <w:rFonts w:ascii="Calibri" w:hAnsi="Calibri" w:cs="Calibri"/>
          <w:color w:val="000000" w:themeColor="text1"/>
          <w:sz w:val="22"/>
          <w:szCs w:val="22"/>
        </w:rPr>
        <w:t xml:space="preserve">. These studies helped lay the foundation for the first human studies and clinical trials </w:t>
      </w:r>
      <w:r w:rsidR="00AC0CE2" w:rsidRPr="00D637BA">
        <w:rPr>
          <w:rFonts w:ascii="Calibri" w:hAnsi="Calibri" w:cs="Calibri"/>
          <w:color w:val="000000" w:themeColor="text1"/>
          <w:sz w:val="22"/>
          <w:szCs w:val="22"/>
        </w:rPr>
        <w:t>of</w:t>
      </w:r>
      <w:r w:rsidR="00FF101B" w:rsidRPr="00D637BA">
        <w:rPr>
          <w:rFonts w:ascii="Calibri" w:hAnsi="Calibri" w:cs="Calibri"/>
          <w:color w:val="000000" w:themeColor="text1"/>
          <w:sz w:val="22"/>
          <w:szCs w:val="22"/>
        </w:rPr>
        <w:t xml:space="preserve"> HIF2α inhibition in patients with locally advanced and metastatic ccRCC</w:t>
      </w:r>
      <w:r w:rsidR="00AC0CE2" w:rsidRPr="00D637BA">
        <w:rPr>
          <w:rFonts w:ascii="Calibri" w:hAnsi="Calibri" w:cs="Calibri"/>
          <w:color w:val="000000" w:themeColor="text1"/>
          <w:sz w:val="22"/>
          <w:szCs w:val="22"/>
        </w:rPr>
        <w:t>. P</w:t>
      </w:r>
      <w:r w:rsidR="00FF101B" w:rsidRPr="00D637BA">
        <w:rPr>
          <w:rFonts w:ascii="Calibri" w:hAnsi="Calibri" w:cs="Calibri"/>
          <w:color w:val="000000" w:themeColor="text1"/>
          <w:sz w:val="22"/>
          <w:szCs w:val="22"/>
        </w:rPr>
        <w:t>romising early results demonstrat</w:t>
      </w:r>
      <w:r w:rsidR="00AC0CE2" w:rsidRPr="00D637BA">
        <w:rPr>
          <w:rFonts w:ascii="Calibri" w:hAnsi="Calibri" w:cs="Calibri"/>
          <w:color w:val="000000" w:themeColor="text1"/>
          <w:sz w:val="22"/>
          <w:szCs w:val="22"/>
        </w:rPr>
        <w:t>ed</w:t>
      </w:r>
      <w:r w:rsidR="00FF101B" w:rsidRPr="00D637BA">
        <w:rPr>
          <w:rFonts w:ascii="Calibri" w:hAnsi="Calibri" w:cs="Calibri"/>
          <w:color w:val="000000" w:themeColor="text1"/>
          <w:sz w:val="22"/>
          <w:szCs w:val="22"/>
        </w:rPr>
        <w:t xml:space="preserve"> complete</w:t>
      </w:r>
      <w:r w:rsidR="0031408E" w:rsidRPr="00B946E4">
        <w:rPr>
          <w:rFonts w:ascii="Calibri" w:hAnsi="Calibri" w:cs="Calibri"/>
          <w:color w:val="000000" w:themeColor="text1"/>
          <w:sz w:val="22"/>
          <w:szCs w:val="22"/>
        </w:rPr>
        <w:t xml:space="preserve"> responses, </w:t>
      </w:r>
      <w:r w:rsidR="00FF101B" w:rsidRPr="00D637BA">
        <w:rPr>
          <w:rFonts w:ascii="Calibri" w:hAnsi="Calibri" w:cs="Calibri"/>
          <w:color w:val="000000" w:themeColor="text1"/>
          <w:sz w:val="22"/>
          <w:szCs w:val="22"/>
        </w:rPr>
        <w:t>partial response</w:t>
      </w:r>
      <w:r w:rsidR="0031408E" w:rsidRPr="00B946E4">
        <w:rPr>
          <w:rFonts w:ascii="Calibri" w:hAnsi="Calibri" w:cs="Calibri"/>
          <w:color w:val="000000" w:themeColor="text1"/>
          <w:sz w:val="22"/>
          <w:szCs w:val="22"/>
        </w:rPr>
        <w:t>s</w:t>
      </w:r>
      <w:r w:rsidR="00FF101B" w:rsidRPr="00D637BA">
        <w:rPr>
          <w:rFonts w:ascii="Calibri" w:hAnsi="Calibri" w:cs="Calibri"/>
          <w:color w:val="000000" w:themeColor="text1"/>
          <w:sz w:val="22"/>
          <w:szCs w:val="22"/>
        </w:rPr>
        <w:t xml:space="preserve"> or stable disease </w:t>
      </w:r>
      <w:r w:rsidR="0031408E" w:rsidRPr="00B946E4">
        <w:rPr>
          <w:rFonts w:ascii="Calibri" w:hAnsi="Calibri" w:cs="Calibri"/>
          <w:color w:val="000000" w:themeColor="text1"/>
          <w:sz w:val="22"/>
          <w:szCs w:val="22"/>
        </w:rPr>
        <w:t>in two-thirds of these patients</w:t>
      </w:r>
      <w:r w:rsidR="00011082">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{"citationID":"aqs3hv01bh","properties":{"formattedCitation":"\\super 221,223\\nosupersub{}","plainCitation":"221,223","noteIndex":0},"citationItems":[{"id":672,"uris":["http://zotero.org/users/4775618/items/59GVWWBY"],"uri":["http://zotero.org/users/4775618/items/59GVWWBY"],"itemData":{"id":672,"type":"article-journal","title":"Targeting renal cell carcinoma with a HIF-2 antagonist","container-title":"Nature","page":"112-117","volume":"539","issue":"7627","source":"PubMed","abstract":"Clear cell renal cell carcinoma (ccRCC) is characterized by inactivation of the von Hippel-Lindau tumour suppressor gene (VHL). Because no other gene is mutated as frequently in ccRCC and VHL mutations are truncal, VHL inactivation is regarded as the governing event. VHL loss activates the HIF-2 transcription factor, and constitutive HIF-2 activity restores tumorigenesis in VHL-reconstituted ccRCC cells. HIF-2 has been implicated in angiogenesis and multiple other processes, but angiogenesis is the main target of drugs such as the tyrosine kinase inhibitor sunitinib. HIF-2 has been regarded as undruggable. Here we use a tumourgraft/patient-derived xenograft platform to evaluate PT2399, a selective HIF-2 antagonist that was identified using a structure-based design approach. PT2399 dissociated HIF-2 (an obligatory heterodimer of HIF-2α-HIF-1β) in human ccRCC cells and suppressed tumorigenesis in 56% (10 out of 18) of such lines. PT2399 had greater activity than sunitinib, was active in sunitinib-progressing tumours, and was better tolerated. Unexpectedly, some VHL-mutant ccRCCs were resistant to PT2399. Resistance occurred despite HIF-2 dissociation in tumours and evidence of Hif-2 inhibition in the mouse, as determined by suppression of circulating erythropoietin, a HIF-2 target and possible pharmacodynamic marker. We identified a HIF-2-dependent gene signature in sensitive tumours. Gene expression was largely unaffected by PT2399 in resistant tumours, illustrating the specificity of the drug. Sensitive tumours exhibited a distinguishing gene expression signature and generally higher levels of HIF-2α. Prolonged PT2399 treatment led to resistance. We identified binding site and second site suppressor mutations in HIF-2α and HIF-1β, respectively. Both mutations preserved HIF-2 dimers despite treatment with PT2399. Finally, an extensively pretreated patient whose tumour had given rise to a sensitive tumourgraft showed disease control for more than 11 months when treated with a close analogue of PT2399, PT2385. We validate HIF-2 as a target in ccRCC, show that some ccRCCs are HIF-2 independent, and set the stage for biomarker-driven clinical trials.","DOI":"10.1038/nature19796","ISSN":"1476-4687","note":"PMID: 27595394\nPMCID: PMC5340502","journalAbbreviation":"Nature","language":"eng","author":[{"family":"Chen","given":"Wenfang"},{"family":"Hill","given":"Haley"},{"family":"Christie","given":"Alana"},{"family":"Kim","given":"Min Soo"},{"family":"Holloman","given":"Eboni"},{"family":"Pavia-Jimenez","given":"Andrea"},{"family":"Homayoun","given":"Farrah"},{"family":"Ma","given":"Yuanqing"},{"family":"Patel","given":"Nirav"},{"family":"Yell","given":"Paul"},{"family":"Hao","given":"Guiyang"},{"family":"Yousuf","given":"Qurratulain"},{"family":"Joyce","given":"Allison"},{"family":"Pedrosa","given":"Ivan"},{"family":"Geiger","given":"Heather"},{"family":"Zhang","given":"He"},{"family":"Chang","given":"Jenny"},{"family":"Gardner","given":"Kevin H."},{"family":"Bruick","given":"Richard K."},{"family":"Reeves","given":"Catherine"},{"family":"Hwang","given":"Tae Hyun"},{"family":"Courtney","given":"Kevin"},{"family":"Frenkel","given":"Eugene"},{"family":"Sun","given":"Xiankai"},{"family":"Zojwalla","given":"Naseem"},{"family":"Wong","given":"Tai"},{"family":"Rizzi","given":"James P."},{"family":"Wallace","given":"Eli M."},{"family":"Josey","given":"John A."},{"family":"Xie","given":"Yang"},{"family":"Xie","given":"Xian-Jin"},{"family":"Kapur","given":"Payal"},{"family":"McKay","given":"Renée M."},{"family":"Brugarolas","given":"James"}],"issued":{"date-parts":[["2016"]],"season":"03"}}},{"id":2646,"uris":["http://zotero.org/users/4775618/items/DU67QRZL"],"uri":["http://zotero.org/users/4775618/items/DU67QRZL"],"itemData":{"id":2646,"type":"article-journal","title":"Phase I Dose-Escalation Trial of PT2385, a First-in-Class Hypoxia-Inducible Factor-2α Antagonist in Patients With Previously Treated Advanced Clear Cell Renal Cell Carcinoma","container-title":"Journal of Clinical Oncology: Official Journal of the American Society of Clinical Oncology","page":"867-874","volume":"36","issue":"9","source":"PubMed","abstract":"Purpose The von Hippel-Lindau tumor suppressor is inactivated in the majority of clear cell renal cell carcinomas (ccRCCs), leading to inappropriate stabilization of hypoxia-inducible factor-2α (HIF-2α). PT2385 is a first-in-class HIF-2α antagonist. Objectives of this first-in-human study were to characterize the safety, pharmacokinetics, pharmacodynamics, and efficacy, and to identify the recommended phase II dose (RP2D) of PT2385. Patients and Methods Eligible patients had locally advanced or metastatic ccRCC that had progressed during one or more prior regimens that included a vascular endothelial growth factor inhibitor. PT2385 was administered orally at twice-per-day doses of 100 to 1,800 mg, according to a 3 + 3 dose-escalation design, followed by an expansion phase at the RP2D. Results The dose-escalation and expansion phases enrolled 26 and 25 patients, respectively. Patients were heavily pretreated, with a median of four (range, one to seven) prior therapies. No dose-limiting toxicity was observed at any dose. On the basis of safety, pharmacokinetic, and pharmacodynamic profiling, the RP2D was defined as 800 mg twice per day. PT2385 was well tolerated, with anemia (grade 1 to 2, 35%; grade 3, 10%), peripheral edema (grade 1 to 2, 37%; grade 3, 2%), and fatigue (grade 1 to 2, 37%; no grade 3 or 4) being the most common treatment-emergent adverse events. No patients discontinued treatment because of adverse events. Complete response, partial response, and stable disease as best response were achieved by 2%, 12%, and 52% of patients, respectively. At data cutoff, eight patients remained in the study, with 13 patients in the study for ≥ 1 year. Conclusion PT2385 has a favorable safety profile and is active in patients with heavily pretreated ccRCC, validating direct HIF-2α antagonism for the treatment of patients with ccRCC.","DOI":"10.1200/JCO.2017.74.2627","ISSN":"1527-7755","note":"PMID: 29257710\nPMCID: PMC5946714","journalAbbreviation":"J. Clin. Oncol.","language":"eng","author":[{"family":"Courtney","given":"Kevin D."},{"family":"Infante","given":"Jeffrey R."},{"family":"Lam","given":"Elaine T."},{"family":"Figlin","given":"Robert A."},{"family":"Rini","given":"Brian I."},{"family":"Brugarolas","given":"James"},{"family":"Zojwalla","given":"Naseem J."},{"family":"Lowe","given":"Ann M."},{"family":"Wang","given":"Keshi"},{"family":"Wallace","given":"Eli M."},{"family":"Josey","given":"John A."},{"family":"Choueiri","given":"Toni K."}],"issued":{"date-parts":[["2018",3,20]]}}}],"schema":"https://github.com/citation-style-language/schema/raw/master/csl-citation.json"} </w:instrText>
      </w:r>
      <w:r w:rsidR="00011082">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221,223</w:t>
      </w:r>
      <w:r w:rsidR="00011082">
        <w:rPr>
          <w:rFonts w:ascii="Calibri" w:hAnsi="Calibri" w:cs="Calibri"/>
          <w:color w:val="000000" w:themeColor="text1"/>
          <w:sz w:val="22"/>
          <w:szCs w:val="22"/>
        </w:rPr>
        <w:fldChar w:fldCharType="end"/>
      </w:r>
      <w:r w:rsidR="00FF101B" w:rsidRPr="00D637BA">
        <w:rPr>
          <w:rFonts w:ascii="Calibri" w:hAnsi="Calibri" w:cs="Calibri"/>
          <w:color w:val="000000" w:themeColor="text1"/>
          <w:sz w:val="22"/>
          <w:szCs w:val="22"/>
        </w:rPr>
        <w:t xml:space="preserve">. Given the robust capability of oncometabolites to induce the HIF-signalling pathway independent of VHL-deficient RCC, these studies </w:t>
      </w:r>
      <w:r w:rsidR="00351243" w:rsidRPr="00B946E4">
        <w:rPr>
          <w:rFonts w:ascii="Calibri" w:hAnsi="Calibri" w:cs="Calibri"/>
          <w:color w:val="000000" w:themeColor="text1"/>
          <w:sz w:val="22"/>
          <w:szCs w:val="22"/>
        </w:rPr>
        <w:t>might lead to improved</w:t>
      </w:r>
      <w:r w:rsidR="00FF101B" w:rsidRPr="00D637BA">
        <w:rPr>
          <w:rFonts w:ascii="Calibri" w:hAnsi="Calibri" w:cs="Calibri"/>
          <w:color w:val="000000" w:themeColor="text1"/>
          <w:sz w:val="22"/>
          <w:szCs w:val="22"/>
        </w:rPr>
        <w:t xml:space="preserve"> management strategies for rare </w:t>
      </w:r>
      <w:r w:rsidR="00351243" w:rsidRPr="00B946E4">
        <w:rPr>
          <w:rFonts w:ascii="Calibri" w:hAnsi="Calibri" w:cs="Calibri"/>
          <w:color w:val="000000" w:themeColor="text1"/>
          <w:sz w:val="22"/>
          <w:szCs w:val="22"/>
        </w:rPr>
        <w:t xml:space="preserve">and </w:t>
      </w:r>
      <w:r w:rsidR="00FF101B" w:rsidRPr="00D637BA">
        <w:rPr>
          <w:rFonts w:ascii="Calibri" w:hAnsi="Calibri" w:cs="Calibri"/>
          <w:color w:val="000000" w:themeColor="text1"/>
          <w:sz w:val="22"/>
          <w:szCs w:val="22"/>
        </w:rPr>
        <w:t>aggressive oncometabolite-associated RCCs.</w:t>
      </w:r>
    </w:p>
    <w:p w14:paraId="2B60A674" w14:textId="2D3F4572" w:rsidR="001B0D46" w:rsidRPr="00D637BA" w:rsidRDefault="00E73BE4" w:rsidP="00537E61">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Treatment with </w:t>
      </w:r>
      <w:r w:rsidR="00DB68DA" w:rsidRPr="00D637BA">
        <w:rPr>
          <w:rFonts w:ascii="Calibri" w:hAnsi="Calibri" w:cs="Calibri"/>
          <w:color w:val="000000" w:themeColor="text1"/>
          <w:sz w:val="22"/>
          <w:szCs w:val="22"/>
        </w:rPr>
        <w:t xml:space="preserve">DNA methyltransferase (DNMT) inhibitors (also known as </w:t>
      </w:r>
      <w:r w:rsidR="00F131BF" w:rsidRPr="00D637BA">
        <w:rPr>
          <w:rFonts w:ascii="Calibri" w:hAnsi="Calibri" w:cs="Calibri"/>
          <w:color w:val="000000" w:themeColor="text1"/>
          <w:sz w:val="22"/>
          <w:szCs w:val="22"/>
        </w:rPr>
        <w:t>DNA hypomethylation agents</w:t>
      </w:r>
      <w:r w:rsidR="00970F62">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such as 5-azacitidine </w:t>
      </w:r>
      <w:r w:rsidR="00F131BF" w:rsidRPr="00D637BA">
        <w:rPr>
          <w:rFonts w:ascii="Calibri" w:hAnsi="Calibri" w:cs="Calibri"/>
          <w:color w:val="000000" w:themeColor="text1"/>
          <w:sz w:val="22"/>
          <w:szCs w:val="22"/>
        </w:rPr>
        <w:t>ha</w:t>
      </w:r>
      <w:r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been shown to </w:t>
      </w:r>
      <w:r w:rsidR="00F131BF" w:rsidRPr="00D637BA">
        <w:rPr>
          <w:rFonts w:ascii="Calibri" w:hAnsi="Calibri" w:cs="Calibri"/>
          <w:color w:val="000000" w:themeColor="text1"/>
          <w:sz w:val="22"/>
          <w:szCs w:val="22"/>
        </w:rPr>
        <w:t>improve outcomes and delay transformation in patients with high-risk myelodysplastic syndrome</w:t>
      </w:r>
      <w:r w:rsidR="00314ECB">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{"citationID":"a1423tmqdq0","properties":{"formattedCitation":"\\super 224,225\\nosupersub{}","plainCitation":"224,225","noteIndex":0},"citationItems":[{"id":1782,"uris":["http://zotero.org/users/4775618/items/GKKZ57DX"],"uri":["http://zotero.org/users/4775618/items/GKKZ57DX"],"itemData":{"id":1782,"type":"article-journal","title":"Efficacy of azacitidine compared with that of conventional care regimens in the treatment of higher-risk myelodysplastic syndromes: a randomised, open-label, phase III study","container-title":"The Lancet. Oncology","page":"223-232","volume":"10","issue":"3","source":"PubMed","abstract":"BACKGROUND: Drug treatments for patients with high-risk myelodysplastic syndromes provide no survival advantage. In this trial, we aimed to assess the effect of azacitidine on overall survival compared with the three commonest conventional care regimens.\nMETHODS: In a phase III, international, multicentre, controlled, parallel-group, open-label trial, patients with higher-risk myelodysplastic syndromes were randomly assigned one-to-one to receive azacitidine (75 mg/m(2) per day for 7 days every 28 days) or conventional care (best supportive care, low-dose cytarabine, or intensive chemotherapy as selected by investigators before randomisation). Patients were stratified by French-American-British and international prognostic scoring system classifications; randomisation was done with a block size of four. The primary endpoint was overall survival. Efficacy analyses were by intention to treat for all patients assigned to receive treatment. This study is registered with ClinicalTrials.gov, number NCT00071799.\nFINDINGS: Between Feb 13, 2004, and Aug 7, 2006, 358 patients were randomly assigned to receive azacitidine (n=179) or conventional care regimens (n=179). Four patients in the azacitidine and 14 in the conventional care groups received no study drugs but were included in the intention-to-treat efficacy analysis. After a median follow-up of 21.1 months (IQR 15.1-26.9), median overall survival was 24.5 months (9.9-not reached) for the azacitidine group versus 15.0 months (5.6-24.1) for the conventional care group (hazard ratio 0.58; 95% CI 0.43-0.77; stratified log-rank p=0.0001). At last follow-up, 82 patients in the azacitidine group had died compared with 113 in the conventional care group. At 2 years, on the basis of Kaplan-Meier estimates, 50.8% (95% CI 42.1-58.8) of patients in the azacitidine group were alive compared with 26.2% (18.7-34.3) in the conventional care group (p&lt;0.0001). Peripheral cytopenias were the most common grade 3-4 adverse events for all treatments.\nINTERPRETATION: Treatment with azacitidine increases overall survival in patients with higher-risk myelodysplastic syndromes relative to conventional care.","DOI":"10.1016/S1470-2045(09)70003-8","ISSN":"1474-5488","note":"PMID: 19230772\nPMCID: PMC4086808","title-short":"Efficacy of azacitidine compared with that of conventional care regimens in the treatment of higher-risk myelodysplastic syndromes","journalAbbreviation":"Lancet Oncol.","language":"eng","author":[{"family":"Fenaux","given":"Pierre"},{"family":"Mufti","given":"Ghulam J."},{"family":"Hellstrom-Lindberg","given":"Eva"},{"family":"Santini","given":"Valeria"},{"family":"Finelli","given":"Carlo"},{"family":"Giagounidis","given":"Aristoteles"},{"family":"Schoch","given":"Robert"},{"family":"Gattermann","given":"Norbert"},{"family":"Sanz","given":"Guillermo"},{"family":"List","given":"Alan"},{"family":"Gore","given":"Steven D."},{"family":"Seymour","given":"John F."},{"family":"Bennett","given":"John M."},{"family":"Byrd","given":"John"},{"family":"Backstrom","given":"Jay"},{"family":"Zimmerman","given":"Linda"},{"family":"McKenzie","given":"David"},{"family":"Beach","given":"Cl"},{"family":"Silverman","given":"Lewis R."},{"literal":"International Vidaza High-Risk MDS Survival Study Group"}],"issued":{"date-parts":[["2009",3]]}}},{"id":1785,"uris":["http://zotero.org/users/4775618/items/B9UPM3XW"],"uri":["http://zotero.org/users/4775618/items/B9UPM3XW"],"itemData":{"id":1785,"type":"article-journal","title":"5-azacitidine prolongs overall survival in patients with myelodysplastic syndrome - a systematic review and meta-analysis","container-title":"Haematologica","page":"303-310","volume":"95","issue":"2","source":"PubMed Central","abstract":"Hypomethylating agents have recently been shown to improve the outcome of patients with myelodysplastic syndrome. A meta-analysis and systematic review was carried out of randomized controlled trials comparing treatment with hypomethylating agents to conventional care, i.e., best supportive care or chemotherapy, in patients with myelodysplastic syndrome. The outcomes assessed were overall survival, time to transformation or death, overall response rate and toxicity. Hazard ratios with 95% confidence intervals were estimated and pooled for time-to-event data. For dichotomous data, relative risks were estimated and pooled. Four trials including 952 patients examined the effect of 5-azacitidine and decitabine. Treatment with hypomethylating agents significantly improved overall survival (hazard ratio 0.72, 95% confidence interval 0.60–0.85, three trials) and time to transformation or death (hazard ratio 0.69, 95% confidence interval 0.58–0.82, four trials). In a subgroup analysis per type of drug, these benefits could be shown for 5-azacitidine but not for decitabine. Both agents favorably influenced response rates. A higher rate of grade 3/4 adverse events was observed with their use. Since 5-azacitidine prolongs overall survival and time to transformation or death it should be highly considered in the treatment of patients with high-risk myelodysplastic syndrome. Further studies are needed to establish the exact role of decitabine compared to 5-azacitidine in these patients.","URL":"https://www.ncbi.nlm.nih.gov/pmc/articles/PMC2817034/","DOI":"10.3324/haematol.2009.010611","ISSN":"0390-6078","note":"PMID: 19773261\nPMCID: PMC2817034","journalAbbreviation":"Haematologica","author":[{"family":"Gurion","given":"Ronit"},{"family":"Vidal","given":"Liat"},{"family":"Gafter-Gvili","given":"Anat"},{"family":"Belnik","given":"Yulia"},{"family":"Yeshurun","given":"Moshe"},{"family":"Raanani","given":"Pia"},{"family":"Shpilberg","given":"Ofer"}],"issued":{"date-parts":[["2010",2]]},"accessed":{"date-parts":[["2019",3,6]]}}}],"schema":"https://github.com/citation-style-language/schema/raw/master/csl-citation.json"} </w:instrText>
      </w:r>
      <w:r w:rsidR="00314ECB">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224,225</w:t>
      </w:r>
      <w:r w:rsidR="00314EC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DNMT inhibitors have </w:t>
      </w:r>
      <w:r w:rsidR="00407C62" w:rsidRPr="00B946E4">
        <w:rPr>
          <w:rFonts w:ascii="Calibri" w:hAnsi="Calibri" w:cs="Calibri"/>
          <w:color w:val="000000" w:themeColor="text1"/>
          <w:sz w:val="22"/>
          <w:szCs w:val="22"/>
        </w:rPr>
        <w:t xml:space="preserve">also </w:t>
      </w:r>
      <w:r w:rsidR="00F131BF" w:rsidRPr="00D637BA">
        <w:rPr>
          <w:rFonts w:ascii="Calibri" w:hAnsi="Calibri" w:cs="Calibri"/>
          <w:color w:val="000000" w:themeColor="text1"/>
          <w:sz w:val="22"/>
          <w:szCs w:val="22"/>
        </w:rPr>
        <w:t xml:space="preserve">demonstrated potential in ameliorating </w:t>
      </w:r>
      <w:r w:rsidR="00407C62" w:rsidRPr="00B946E4">
        <w:rPr>
          <w:rFonts w:ascii="Calibri" w:hAnsi="Calibri" w:cs="Calibri"/>
          <w:color w:val="000000" w:themeColor="text1"/>
          <w:sz w:val="22"/>
          <w:szCs w:val="22"/>
        </w:rPr>
        <w:t>hypermethylation phenotypes in oncometabolite-associated tumours</w:t>
      </w:r>
      <w:r w:rsidR="00314ECB">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{"citationID":"a2esa7tn5de","properties":{"formattedCitation":"\\super 141,153,226\\nosupersub{}","plainCitation":"141,153,226","noteIndex":0},"citationItems":[{"id":1510,"uris":["http://zotero.org/users/4775618/items/KQPZH6CD"],"uri":["http://zotero.org/users/4775618/items/KQPZH6CD"],"itemData":{"id":1510,"type":"article-journal","title":"SDH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id":1526,"uris":["http://zotero.org/users/4775618/items/VJWPJGKC"],"uri":["http://zotero.org/users/4775618/items/VJWPJGKC"],"itemData":{"id":1526,"type":"article-journal","title":"Induction of sarcomas by mutant IDH2","container-title":"Genes &amp; Development","page":"1986-1998","volume":"27","issue":"18","source":"PubMed Central","abstract":"Most chondrosarcoma patients exhibit gain-of-function mutations in either IDH1 or IDH2. Lu et al. found that IDH mutations were associated with DNA hypermethylation at CpG islands in chondrosarcoma biopsies. Regions of hypermethylation were enriched for genes implicated in stem cell maintenance/differentiation and lineage specification. In murine mesenchymal progenitor cells, mutant IDH2 led to DNA hypermethylation and impairment in differentiation, which could be reversed by DNA-hypomethylating agents. Mutant IDH2 also generated undifferentiated sarcomas in vivo. This work demonstrates that neomorphic IDH2 mutations can be oncogenic in mesenchymal cells., More than 50% of patients with chondrosarcomas exhibit gain-of-function mutations in either isocitrate dehydrogenase 1 (IDH1) or IDH2. In this study, we performed genome-wide CpG methylation sequencing of chondrosarcoma biopsies and found that IDH mutations were associated with DNA hypermethylation at CpG islands but not other genomic regions. Regions of CpG island hypermethylation were enriched for genes implicated in stem cell maintenance/differentiation and lineage specification. In murine 10T1/2 mesenchymal progenitor cells, expression of mutant IDH2 led to DNA hypermethylation and an impairment in differentiation that could be reversed by treatment with DNA-hypomethylating agents. Introduction of mutant IDH2 also induced loss of contact inhibition and generated undifferentiated sarcomas in vivo. The oncogenic potential of mutant IDH2 correlated with the ability to produce 2-hydroxyglutarate. Together, these data demonstrate that neomorphic IDH2 mutations can be oncogenic in mesenchymal cells.","URL":"https://www.ncbi.nlm.nih.gov/pmc/articles/PMC3792475/","DOI":"10.1101/gad.226753.113","ISSN":"0890-9369","note":"PMID: 24065766\nPMCID: PMC3792475","journalAbbreviation":"Genes Dev","author":[{"family":"Lu","given":"Chao"},{"family":"Venneti","given":"Sriram"},{"family":"Akalin","given":"Altuna"},{"family":"Fang","given":"Fang"},{"family":"Ward","given":"Patrick S."},{"family":"DeMatteo","given":"Raymond G."},{"family":"Intlekofer","given":"Andrew M."},{"family":"Chen","given":"Chong"},{"family":"Ye","given":"Jiangbin"},{"family":"Hameed","given":"Meera"},{"family":"Nafa","given":"Khedoudja"},{"family":"Agaram","given":"Narasimhan P."},{"family":"Cross","given":"Justin R."},{"family":"Khanin","given":"Raya"},{"family":"Mason","given":"Christopher E."},{"family":"Healey","given":"John H."},{"family":"Lowe","given":"Scott W."},{"family":"Schwartz","given":"Gary K."},{"family":"Melnick","given":"Ari"},{"family":"Thompson","given":"Craig B."}],"issued":{"date-parts":[["2013",9,15]]},"accessed":{"date-parts":[["2019",2,26]]}}},{"id":1791,"uris":["http://zotero.org/users/4775618/items/PVTBINNZ"],"uri":["http://zotero.org/users/4775618/items/PVTBINNZ"],"itemData":{"id":1791,"type":"article-journal","title":"Efficient induction of differentiation and growth inhibition in IDH1 mutant glioma cells by the DNMT Inhibitor Decitabine","container-title":"Oncotarget","page":"1729-1736","volume":"4","issue":"10","source":"PubMed","abstract":"Mutation in the IDH1 or IDH2 genes occurs frequently in gliomas and other human malignancies. In intermediate grade gliomas, IDH1 mutation is found in over 70% of tumors. These mutations impart the mutant IDH enzyme with a neomorphic activity - the ability to synthesize 2-hydroxyglutarate (2-HG). This ability leads to a reprogramming of chromatin state, a block in differentiation, and the establishment of the glioma hypermethylator phenotype (G-CIMP). It has been hypothesized but not proven that the extensive DNA methylation that occurs in G-CIMP tumors helps maintain and \"lock in\" glioma cancer cells in a dedifferentiated state. Here, we tested this hypothesis by treating patient derived IDH1 mutant glioma initiating cells (GIC) with non-cytotoxic, epigenetically targeted doses of the DNMT inhibitor decitabine. Global methylome analysis of treated IDH1 mutant GICs showed that DAC treatment resulted in reversal of DNA methylation marks induced by IDH and the re-expression of genes associated with differentiation. Accordingly, treatment of IDH1 mutant glioma cells resulted in a dramatic loss of stem-like properties and efficient adoption of markers of differentiation, effects not seen in decitabine treated IDH wild-type GICs. Induction of differentiation was much more efficient than that seen following treatment with a specific inhibitor of mutant IDH enzyme (Agios). Decitabine also decreased replicative potential and tumor growth in vivo. Reexpression of polycomb regulated genes accompanied these DAC-induced phenotypes. In total, our data indicates that targeting the pathologic DNA methylation in IDH mutant cells can reverse mutant IDH induced hypermethylation and block in differentiation and promote tumor control. These findings have substantial impact for exploring new treatment strategies for patients with IDH mutant gliomas.","DOI":"10.18632/oncotarget.1412","ISSN":"1949-2553","note":"PMID: 24077826\nPMCID: PMC3858559","journalAbbreviation":"Oncotarget","language":"eng","author":[{"family":"Turcan","given":"Sevin"},{"family":"Fabius","given":"Armida W. M."},{"family":"Borodovsky","given":"Alexandra"},{"family":"Pedraza","given":"Alicia"},{"family":"Brennan","given":"Cameron"},{"family":"Huse","given":"Jason"},{"family":"Viale","given":"Agnes"},{"family":"Riggins","given":"Gregory J."},{"family":"Chan","given":"Timothy A."}],"issued":{"date-parts":[["2013",10]]}}}],"schema":"https://github.com/citation-style-language/schema/raw/master/csl-citation.json"} </w:instrText>
      </w:r>
      <w:r w:rsidR="00314ECB">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141,153,226</w:t>
      </w:r>
      <w:r w:rsidR="00314EC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Studies using low doses of </w:t>
      </w:r>
      <w:r w:rsidR="00F131BF" w:rsidRPr="00D637BA">
        <w:rPr>
          <w:rFonts w:ascii="Calibri" w:hAnsi="Calibri" w:cs="Calibri"/>
          <w:color w:val="000000" w:themeColor="text1"/>
          <w:sz w:val="22"/>
          <w:szCs w:val="22"/>
        </w:rPr>
        <w:lastRenderedPageBreak/>
        <w:t xml:space="preserve">DNMT inhibitors demonstrated impairment in cell growth, reversal of the migratory phenotype and restoration of cell differentiation in a range of </w:t>
      </w:r>
      <w:r w:rsidR="00F131BF" w:rsidRPr="00D637BA">
        <w:rPr>
          <w:rFonts w:ascii="Calibri" w:hAnsi="Calibri" w:cs="Calibri"/>
          <w:i/>
          <w:color w:val="000000" w:themeColor="text1"/>
          <w:sz w:val="22"/>
          <w:szCs w:val="22"/>
        </w:rPr>
        <w:t>SDH-</w:t>
      </w:r>
      <w:r w:rsidR="00F131BF" w:rsidRPr="00D637BA">
        <w:rPr>
          <w:rFonts w:ascii="Calibri" w:hAnsi="Calibri" w:cs="Calibri"/>
          <w:color w:val="000000" w:themeColor="text1"/>
          <w:sz w:val="22"/>
          <w:szCs w:val="22"/>
        </w:rPr>
        <w:t>knockout</w:t>
      </w:r>
      <w:r w:rsidR="006635E7"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w:t>
      </w:r>
      <w:r w:rsidR="00F131BF" w:rsidRPr="00D637BA">
        <w:rPr>
          <w:rFonts w:ascii="Calibri" w:hAnsi="Calibri" w:cs="Calibri"/>
          <w:i/>
          <w:color w:val="000000" w:themeColor="text1"/>
          <w:sz w:val="22"/>
          <w:szCs w:val="22"/>
        </w:rPr>
        <w:t>IDH1</w:t>
      </w:r>
      <w:r w:rsidR="006635E7" w:rsidRPr="00B946E4">
        <w:rPr>
          <w:rFonts w:ascii="Calibri" w:hAnsi="Calibri" w:cs="Calibri"/>
          <w:color w:val="000000" w:themeColor="text1"/>
          <w:sz w:val="22"/>
          <w:szCs w:val="22"/>
        </w:rPr>
        <w:t xml:space="preserve">-mutant and </w:t>
      </w:r>
      <w:r w:rsidR="006635E7" w:rsidRPr="00D637BA">
        <w:rPr>
          <w:rFonts w:ascii="Calibri" w:hAnsi="Calibri" w:cs="Calibri"/>
          <w:i/>
          <w:color w:val="000000" w:themeColor="text1"/>
          <w:sz w:val="22"/>
          <w:szCs w:val="22"/>
        </w:rPr>
        <w:t>IDH</w:t>
      </w:r>
      <w:r w:rsidR="00F131BF" w:rsidRPr="00D637BA">
        <w:rPr>
          <w:rFonts w:ascii="Calibri" w:hAnsi="Calibri" w:cs="Calibri"/>
          <w:i/>
          <w:color w:val="000000" w:themeColor="text1"/>
          <w:sz w:val="22"/>
          <w:szCs w:val="22"/>
        </w:rPr>
        <w:t>2-</w:t>
      </w:r>
      <w:r w:rsidR="00F131BF" w:rsidRPr="00D637BA">
        <w:rPr>
          <w:rFonts w:ascii="Calibri" w:hAnsi="Calibri" w:cs="Calibri"/>
          <w:color w:val="000000" w:themeColor="text1"/>
          <w:sz w:val="22"/>
          <w:szCs w:val="22"/>
        </w:rPr>
        <w:t>mutant cell</w:t>
      </w:r>
      <w:r w:rsidR="00954A2C" w:rsidRPr="00D637BA">
        <w:rPr>
          <w:rFonts w:ascii="Calibri" w:hAnsi="Calibri" w:cs="Calibri"/>
          <w:color w:val="000000" w:themeColor="text1"/>
          <w:sz w:val="22"/>
          <w:szCs w:val="22"/>
        </w:rPr>
        <w:t xml:space="preserve"> lines</w:t>
      </w:r>
      <w:r w:rsidR="000167D7">
        <w:rPr>
          <w:rFonts w:ascii="Calibri" w:hAnsi="Calibri" w:cs="Calibri"/>
          <w:color w:val="000000" w:themeColor="text1"/>
          <w:sz w:val="22"/>
          <w:szCs w:val="22"/>
        </w:rPr>
        <w:t xml:space="preserve"> </w:t>
      </w:r>
      <w:r w:rsidR="00314ECB" w:rsidRPr="00970F62">
        <w:rPr>
          <w:rFonts w:ascii="Calibri" w:hAnsi="Calibri" w:cs="Calibri"/>
          <w:b/>
          <w:color w:val="000000" w:themeColor="text1"/>
          <w:sz w:val="22"/>
          <w:szCs w:val="22"/>
        </w:rPr>
        <w:fldChar w:fldCharType="begin"/>
      </w:r>
      <w:r w:rsidR="004E2A88" w:rsidRPr="00970F62">
        <w:rPr>
          <w:rFonts w:ascii="Calibri" w:hAnsi="Calibri" w:cs="Calibri"/>
          <w:b/>
          <w:color w:val="000000" w:themeColor="text1"/>
          <w:sz w:val="22"/>
          <w:szCs w:val="22"/>
        </w:rPr>
        <w:instrText xml:space="preserve"> ADDIN ZOTERO_ITEM CSL_CITATION {"citationID":"a2c1lrvi959","properties":{"formattedCitation":"\\super 141,153,226\\nosupersub{}","plainCitation":"141,153,226","noteIndex":0},"citationItems":[{"id":1510,"uris":["http://zotero.org/users/4775618/items/KQPZH6CD"],"uri":["http://zotero.org/users/4775618/items/KQPZH6CD"],"itemData":{"id":1510,"type":"article-journal","title":"SDH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id":1526,"uris":["http://zotero.org/users/4775618/items/VJWPJGKC"],"uri":["http://zotero.org/users/4775618/items/VJWPJGKC"],"itemData":{"id":1526,"type":"article-journal","title":"Induction of sarcomas by mutant IDH2","container-title":"Genes &amp; Development","page":"1986-1998","volume":"27","issue":"18","source":"PubMed Central","abstract":"Most chondrosarcoma patients exhibit gain-of-function mutations in either IDH1 or IDH2. Lu et al. found that IDH mutations were associated with DNA hypermethylation at CpG islands in chondrosarcoma biopsies. Regions of hypermethylation were enriched for genes implicated in stem cell maintenance/differentiation and lineage specification. In murine mesenchymal progenitor cells, mutant IDH2 led to DNA hypermethylation and impairment in differentiation, which could be reversed by DNA-hypomethylating agents. Mutant IDH2 also generated undifferentiated sarcomas in vivo. This work demonstrates that neomorphic IDH2 mutations can be oncogenic in mesenchymal cells., More than 50% of patients with chondrosarcomas exhibit gain-of-function mutations in either isocitrate dehydrogenase 1 (IDH1) or IDH2. In this study, we performed genome-wide CpG methylation sequencing of chondrosarcoma biopsies and found that IDH mutations were associated with DNA hypermethylation at CpG islands but not other genomic regions. Regions of CpG island hypermethylation were enriched for genes implicated in stem cell maintenance/differentiation and lineage specification. In murine 10T1/2 mesenchymal progenitor cells, expression of mutant IDH2 led to DNA hypermethylation and an impairment in differentiation that could be reversed by treatment with DNA-hypomethylating agents. Introduction of mutant IDH2 also induced loss of contact inhibition and generated undifferentiated sarcomas in vivo. The oncogenic potential of mutant IDH2 correlated with the ability to produce 2-hydroxyglutarate. Together, these data demonstrate that neomorphic IDH2 mutations can be oncogenic in mesenchymal cells.","URL":"https://www.ncbi.nlm.nih.gov/pmc/articles/PMC3792475/","DOI":"10.1101/gad.226753.113","ISSN":"0890-9369","note":"PMID: 24065766\nPMCID: PMC3792475","journalAbbreviation":"Genes Dev","author":[{"family":"Lu","given":"Chao"},{"family":"Venneti","given":"Sriram"},{"family":"Akalin","given":"Altuna"},{"family":"Fang","given":"Fang"},{"family":"Ward","given":"Patrick S."},{"family":"DeMatteo","given":"Raymond G."},{"family":"Intlekofer","given":"Andrew M."},{"family":"Chen","given":"Chong"},{"family":"Ye","given":"Jiangbin"},{"family":"Hameed","given":"Meera"},{"family":"Nafa","given":"Khedoudja"},{"family":"Agaram","given":"Narasimhan P."},{"family":"Cross","given":"Justin R."},{"family":"Khanin","given":"Raya"},{"family":"Mason","given":"Christopher E."},{"family":"Healey","given":"John H."},{"family":"Lowe","given":"Scott W."},{"family":"Schwartz","given":"Gary K."},{"family":"Melnick","given":"Ari"},{"family":"Thompson","given":"Craig B."}],"issued":{"date-parts":[["2013",9,15]]},"accessed":{"date-parts":[["2019",2,26]]}}},{"id":1791,"uris":["http://zotero.org/users/4775618/items/PVTBINNZ"],"uri":["http://zotero.org/users/4775618/items/PVTBINNZ"],"itemData":{"id":1791,"type":"article-journal","title":"Efficient induction of differentiation and growth inhibition in IDH1 mutant glioma cells by the DNMT Inhibitor Decitabine","container-title":"Oncotarget","page":"1729-1736","volume":"4","issue":"10","source":"PubMed","abstract":"Mutation in the IDH1 or IDH2 genes occurs frequently in gliomas and other human malignancies. In intermediate grade gliomas, IDH1 mutation is found in over 70% of tumors. These mutations impart the mutant IDH enzyme with a neomorphic activity - the ability to synthesize 2-hydroxyglutarate (2-HG). This ability leads to a reprogramming of chromatin state, a block in differentiation, and the establishment of the glioma hypermethylator phenotype (G-CIMP). It has been hypothesized but not proven that the extensive DNA methylation that occurs in G-CIMP tumors helps maintain and \"lock in\" glioma cancer cells in a dedifferentiated state. Here, we tested this hypothesis by treating patient derived IDH1 mutant glioma initiating cells (GIC) with non-cytotoxic, epigenetically targeted doses of the DNMT inhibitor decitabine. Global methylome analysis of treated IDH1 mutant GICs showed that DAC treatment resulted in reversal of DNA methylation marks induced by IDH and the re-expression of genes associated with differentiation. Accordingly, treatment of IDH1 mutant glioma cells resulted in a dramatic loss of stem-like properties and efficient adoption of markers of differentiation, effects not seen in decitabine treated IDH wild-type GICs. Induction of differentiation was much more efficient than that seen following treatment with a specific inhibitor of mutant IDH enzyme (Agios). Decitabine also decreased replicative potential and tumor growth in vivo. Reexpression of polycomb regulated genes accompanied these DAC-induced phenotypes. In total, our data indicates that targeting the pathologic DNA methylation in IDH mutant cells can reverse mutant IDH induced hypermethylation and block in differentiation and promote tumor control. These findings have substantial impact for exploring new treatment strategies for patients with IDH mutant gliomas.","DOI":"10.18632/oncotarget.1412","ISSN":"1949-2553","note":"PMID: 24077826\nPMCID: PMC3858559","journalAbbreviation":"Oncotarget","language":"eng","author":[{"family":"Turcan","given":"Sevin"},{"family":"Fabius","given":"Armida W. M."},{"family":"Borodovsky","given":"Alexandra"},{"family":"Pedraza","given":"Alicia"},{"family":"Brennan","given":"Cameron"},{"family":"Huse","given":"Jason"},{"family":"Viale","given":"Agnes"},{"family":"Riggins","given":"Gregory J."},{"family":"Chan","given":"Timothy A."}],"issued":{"date-parts":[["2013",10]]}}}],"schema":"https://github.com/citation-style-language/schema/raw/master/csl-citation.json"} </w:instrText>
      </w:r>
      <w:r w:rsidR="00314ECB" w:rsidRPr="00970F62">
        <w:rPr>
          <w:rFonts w:ascii="Calibri" w:hAnsi="Calibri" w:cs="Calibri"/>
          <w:b/>
          <w:color w:val="000000" w:themeColor="text1"/>
          <w:sz w:val="22"/>
          <w:szCs w:val="22"/>
        </w:rPr>
        <w:fldChar w:fldCharType="separate"/>
      </w:r>
      <w:r w:rsidR="004E2A88" w:rsidRPr="00970F62">
        <w:rPr>
          <w:rFonts w:ascii="Calibri" w:hAnsi="Calibri" w:cs="Calibri"/>
          <w:color w:val="000000" w:themeColor="text1"/>
          <w:sz w:val="22"/>
          <w:vertAlign w:val="superscript"/>
          <w:lang w:val="en-US"/>
        </w:rPr>
        <w:t>141,153,226</w:t>
      </w:r>
      <w:r w:rsidR="00314ECB" w:rsidRPr="00970F62">
        <w:rPr>
          <w:rFonts w:ascii="Calibri" w:hAnsi="Calibri" w:cs="Calibri"/>
          <w:b/>
          <w:color w:val="000000" w:themeColor="text1"/>
          <w:sz w:val="22"/>
          <w:szCs w:val="22"/>
        </w:rPr>
        <w:fldChar w:fldCharType="end"/>
      </w:r>
      <w:r w:rsidR="000167D7" w:rsidRPr="00970F62">
        <w:rPr>
          <w:rFonts w:ascii="Calibri" w:hAnsi="Calibri" w:cs="Calibri"/>
          <w:color w:val="000000" w:themeColor="text1"/>
          <w:sz w:val="22"/>
          <w:szCs w:val="22"/>
        </w:rPr>
        <w:t>.</w:t>
      </w:r>
      <w:r w:rsidR="006635E7" w:rsidRPr="00970F62">
        <w:rPr>
          <w:rFonts w:ascii="Calibri" w:hAnsi="Calibri" w:cs="Calibri"/>
          <w:color w:val="000000" w:themeColor="text1"/>
          <w:sz w:val="22"/>
          <w:szCs w:val="22"/>
        </w:rPr>
        <w:t xml:space="preserve"> </w:t>
      </w:r>
      <w:r w:rsidR="00600168" w:rsidRPr="00D637BA">
        <w:rPr>
          <w:rFonts w:ascii="Calibri" w:hAnsi="Calibri" w:cs="Calibri"/>
          <w:color w:val="000000" w:themeColor="text1"/>
          <w:sz w:val="22"/>
          <w:szCs w:val="22"/>
        </w:rPr>
        <w:t>Furthermore, the DNMT inhibitor decitabine (a derivative of 5-azacitidine) r</w:t>
      </w:r>
      <w:r w:rsidR="00F131BF" w:rsidRPr="00D637BA">
        <w:rPr>
          <w:rFonts w:ascii="Calibri" w:hAnsi="Calibri" w:cs="Calibri"/>
          <w:color w:val="000000" w:themeColor="text1"/>
          <w:sz w:val="22"/>
          <w:szCs w:val="22"/>
        </w:rPr>
        <w:t>evers</w:t>
      </w:r>
      <w:r w:rsidR="00600168" w:rsidRPr="00D637BA">
        <w:rPr>
          <w:rFonts w:ascii="Calibri" w:hAnsi="Calibri" w:cs="Calibri"/>
          <w:color w:val="000000" w:themeColor="text1"/>
          <w:sz w:val="22"/>
          <w:szCs w:val="22"/>
        </w:rPr>
        <w:t>ed</w:t>
      </w:r>
      <w:r w:rsidR="00F131BF" w:rsidRPr="00D637BA">
        <w:rPr>
          <w:rFonts w:ascii="Calibri" w:hAnsi="Calibri" w:cs="Calibri"/>
          <w:color w:val="000000" w:themeColor="text1"/>
          <w:sz w:val="22"/>
          <w:szCs w:val="22"/>
        </w:rPr>
        <w:t xml:space="preserve"> DNA methylation marks</w:t>
      </w:r>
      <w:r w:rsidR="00600168" w:rsidRPr="00B946E4">
        <w:rPr>
          <w:rFonts w:ascii="Calibri" w:hAnsi="Calibri" w:cs="Calibri"/>
          <w:color w:val="000000" w:themeColor="text1"/>
          <w:sz w:val="22"/>
          <w:szCs w:val="22"/>
        </w:rPr>
        <w:t xml:space="preserve"> in </w:t>
      </w:r>
      <w:r w:rsidR="00600168" w:rsidRPr="00B946E4">
        <w:rPr>
          <w:rFonts w:ascii="Calibri" w:hAnsi="Calibri" w:cs="Calibri"/>
          <w:i/>
          <w:color w:val="000000" w:themeColor="text1"/>
          <w:sz w:val="22"/>
          <w:szCs w:val="22"/>
        </w:rPr>
        <w:t>IDH1</w:t>
      </w:r>
      <w:r w:rsidR="00721978">
        <w:rPr>
          <w:rFonts w:ascii="Calibri" w:hAnsi="Calibri" w:cs="Calibri"/>
          <w:color w:val="000000" w:themeColor="text1"/>
          <w:sz w:val="22"/>
          <w:szCs w:val="22"/>
        </w:rPr>
        <w:t>-</w:t>
      </w:r>
      <w:r w:rsidR="00600168" w:rsidRPr="00B946E4">
        <w:rPr>
          <w:rFonts w:ascii="Calibri" w:hAnsi="Calibri" w:cs="Calibri"/>
          <w:color w:val="000000" w:themeColor="text1"/>
          <w:sz w:val="22"/>
          <w:szCs w:val="22"/>
        </w:rPr>
        <w:t>mutant glioma cells</w:t>
      </w:r>
      <w:r w:rsidR="00600168" w:rsidRPr="00D637BA">
        <w:rPr>
          <w:rFonts w:ascii="Calibri" w:hAnsi="Calibri" w:cs="Calibri"/>
          <w:color w:val="000000" w:themeColor="text1"/>
          <w:sz w:val="22"/>
          <w:szCs w:val="22"/>
        </w:rPr>
        <w:t xml:space="preserve"> </w:t>
      </w:r>
      <w:r w:rsidR="00600168" w:rsidRPr="00B946E4">
        <w:rPr>
          <w:rFonts w:ascii="Calibri" w:hAnsi="Calibri" w:cs="Calibri"/>
          <w:i/>
          <w:color w:val="000000" w:themeColor="text1"/>
          <w:sz w:val="22"/>
          <w:szCs w:val="22"/>
        </w:rPr>
        <w:t>in vitro</w:t>
      </w:r>
      <w:r w:rsidR="00600168" w:rsidRPr="00B946E4">
        <w:rPr>
          <w:rFonts w:ascii="Calibri" w:hAnsi="Calibri" w:cs="Calibri"/>
          <w:color w:val="000000" w:themeColor="text1"/>
          <w:sz w:val="22"/>
          <w:szCs w:val="22"/>
        </w:rPr>
        <w:t xml:space="preserve"> </w:t>
      </w:r>
      <w:r w:rsidR="00600168" w:rsidRPr="00D637BA">
        <w:rPr>
          <w:rFonts w:ascii="Calibri" w:hAnsi="Calibri" w:cs="Calibri"/>
          <w:color w:val="000000" w:themeColor="text1"/>
          <w:sz w:val="22"/>
          <w:szCs w:val="22"/>
        </w:rPr>
        <w:t>and suppressed the growth of</w:t>
      </w:r>
      <w:r w:rsidR="00F131BF" w:rsidRPr="00D637BA">
        <w:rPr>
          <w:rFonts w:ascii="Calibri" w:hAnsi="Calibri" w:cs="Calibri"/>
          <w:color w:val="000000" w:themeColor="text1"/>
          <w:sz w:val="22"/>
          <w:szCs w:val="22"/>
        </w:rPr>
        <w:t xml:space="preserve"> </w:t>
      </w:r>
      <w:r w:rsidR="00600168" w:rsidRPr="00D637BA">
        <w:rPr>
          <w:rFonts w:ascii="Calibri" w:hAnsi="Calibri" w:cs="Calibri"/>
          <w:i/>
          <w:color w:val="000000" w:themeColor="text1"/>
          <w:sz w:val="22"/>
          <w:szCs w:val="22"/>
        </w:rPr>
        <w:t>IDH1-</w:t>
      </w:r>
      <w:r w:rsidR="00600168" w:rsidRPr="00D637BA">
        <w:rPr>
          <w:rFonts w:ascii="Calibri" w:hAnsi="Calibri" w:cs="Calibri"/>
          <w:color w:val="000000" w:themeColor="text1"/>
          <w:sz w:val="22"/>
          <w:szCs w:val="22"/>
        </w:rPr>
        <w:t xml:space="preserve">mutant glioma in a mouse </w:t>
      </w:r>
      <w:r w:rsidR="00600168" w:rsidRPr="00970F62">
        <w:rPr>
          <w:rFonts w:ascii="Calibri" w:hAnsi="Calibri" w:cs="Calibri"/>
          <w:color w:val="000000" w:themeColor="text1"/>
          <w:sz w:val="22"/>
          <w:szCs w:val="22"/>
        </w:rPr>
        <w:t>model</w:t>
      </w:r>
      <w:r w:rsidR="00314ECB" w:rsidRPr="00970F62">
        <w:rPr>
          <w:rFonts w:ascii="Calibri" w:hAnsi="Calibri" w:cs="Calibri"/>
          <w:b/>
          <w:color w:val="000000" w:themeColor="text1"/>
          <w:sz w:val="22"/>
          <w:szCs w:val="22"/>
        </w:rPr>
        <w:fldChar w:fldCharType="begin"/>
      </w:r>
      <w:r w:rsidR="004E2A88" w:rsidRPr="00970F62">
        <w:rPr>
          <w:rFonts w:ascii="Calibri" w:hAnsi="Calibri" w:cs="Calibri"/>
          <w:b/>
          <w:color w:val="000000" w:themeColor="text1"/>
          <w:sz w:val="22"/>
          <w:szCs w:val="22"/>
        </w:rPr>
        <w:instrText xml:space="preserve"> ADDIN ZOTERO_ITEM CSL_CITATION {"citationID":"actib1j1th","properties":{"formattedCitation":"\\super 226\\nosupersub{}","plainCitation":"226","noteIndex":0},"citationItems":[{"id":1791,"uris":["http://zotero.org/users/4775618/items/PVTBINNZ"],"uri":["http://zotero.org/users/4775618/items/PVTBINNZ"],"itemData":{"id":1791,"type":"article-journal","title":"Efficient induction of differentiation and growth inhibition in IDH1 mutant glioma cells by the DNMT Inhibitor Decitabine","container-title":"Oncotarget","page":"1729-1736","volume":"4","issue":"10","source":"PubMed","abstract":"Mutation in the IDH1 or IDH2 genes occurs frequently in gliomas and other human malignancies. In intermediate grade gliomas, IDH1 mutation is found in over 70% of tumors. These mutations impart the mutant IDH enzyme with a neomorphic activity - the ability to synthesize 2-hydroxyglutarate (2-HG). This ability leads to a reprogramming of chromatin state, a block in differentiation, and the establishment of the glioma hypermethylator phenotype (G-CIMP). It has been hypothesized but not proven that the extensive DNA methylation that occurs in G-CIMP tumors helps maintain and \"lock in\" glioma cancer cells in a dedifferentiated state. Here, we tested this hypothesis by treating patient derived IDH1 mutant glioma initiating cells (GIC) with non-cytotoxic, epigenetically targeted doses of the DNMT inhibitor decitabine. Global methylome analysis of treated IDH1 mutant GICs showed that DAC treatment resulted in reversal of DNA methylation marks induced by IDH and the re-expression of genes associated with differentiation. Accordingly, treatment of IDH1 mutant glioma cells resulted in a dramatic loss of stem-like properties and efficient adoption of markers of differentiation, effects not seen in decitabine treated IDH wild-type GICs. Induction of differentiation was much more efficient than that seen following treatment with a specific inhibitor of mutant IDH enzyme (Agios). Decitabine also decreased replicative potential and tumor growth in vivo. Reexpression of polycomb regulated genes accompanied these DAC-induced phenotypes. In total, our data indicates that targeting the pathologic DNA methylation in IDH mutant cells can reverse mutant IDH induced hypermethylation and block in differentiation and promote tumor control. These findings have substantial impact for exploring new treatment strategies for patients with IDH mutant gliomas.","DOI":"10.18632/oncotarget.1412","ISSN":"1949-2553","note":"PMID: 24077826\nPMCID: PMC3858559","journalAbbreviation":"Oncotarget","language":"eng","author":[{"family":"Turcan","given":"Sevin"},{"family":"Fabius","given":"Armida W. M."},{"family":"Borodovsky","given":"Alexandra"},{"family":"Pedraza","given":"Alicia"},{"family":"Brennan","given":"Cameron"},{"family":"Huse","given":"Jason"},{"family":"Viale","given":"Agnes"},{"family":"Riggins","given":"Gregory J."},{"family":"Chan","given":"Timothy A."}],"issued":{"date-parts":[["2013",10]]}}}],"schema":"https://github.com/citation-style-language/schema/raw/master/csl-citation.json"} </w:instrText>
      </w:r>
      <w:r w:rsidR="00314ECB" w:rsidRPr="00970F62">
        <w:rPr>
          <w:rFonts w:ascii="Calibri" w:hAnsi="Calibri" w:cs="Calibri"/>
          <w:b/>
          <w:color w:val="000000" w:themeColor="text1"/>
          <w:sz w:val="22"/>
          <w:szCs w:val="22"/>
        </w:rPr>
        <w:fldChar w:fldCharType="separate"/>
      </w:r>
      <w:r w:rsidR="004E2A88" w:rsidRPr="00970F62">
        <w:rPr>
          <w:rFonts w:ascii="Calibri" w:hAnsi="Calibri" w:cs="Calibri"/>
          <w:color w:val="000000" w:themeColor="text1"/>
          <w:sz w:val="22"/>
          <w:vertAlign w:val="superscript"/>
          <w:lang w:val="en-US"/>
        </w:rPr>
        <w:t>226</w:t>
      </w:r>
      <w:r w:rsidR="00314ECB" w:rsidRPr="00970F62">
        <w:rPr>
          <w:rFonts w:ascii="Calibri" w:hAnsi="Calibri" w:cs="Calibri"/>
          <w:b/>
          <w:color w:val="000000" w:themeColor="text1"/>
          <w:sz w:val="22"/>
          <w:szCs w:val="22"/>
        </w:rPr>
        <w:fldChar w:fldCharType="end"/>
      </w:r>
      <w:r w:rsidR="00F131BF" w:rsidRPr="00970F62">
        <w:rPr>
          <w:rFonts w:ascii="Calibri" w:hAnsi="Calibri" w:cs="Calibri"/>
          <w:color w:val="000000" w:themeColor="text1"/>
          <w:sz w:val="22"/>
          <w:szCs w:val="22"/>
        </w:rPr>
        <w:t xml:space="preserve">. </w:t>
      </w:r>
      <w:r w:rsidR="00600168" w:rsidRPr="00D637BA">
        <w:rPr>
          <w:rFonts w:ascii="Calibri" w:hAnsi="Calibri" w:cs="Calibri"/>
          <w:color w:val="000000" w:themeColor="text1"/>
          <w:sz w:val="22"/>
          <w:szCs w:val="22"/>
        </w:rPr>
        <w:t>T</w:t>
      </w:r>
      <w:r w:rsidR="00F131BF" w:rsidRPr="00D637BA">
        <w:rPr>
          <w:rFonts w:ascii="Calibri" w:hAnsi="Calibri" w:cs="Calibri"/>
          <w:color w:val="000000" w:themeColor="text1"/>
          <w:sz w:val="22"/>
          <w:szCs w:val="22"/>
        </w:rPr>
        <w:t xml:space="preserve">hese studies provide a potential strategy for targeting </w:t>
      </w:r>
      <w:r w:rsidR="00600168" w:rsidRPr="00D637BA">
        <w:rPr>
          <w:rFonts w:ascii="Calibri" w:hAnsi="Calibri" w:cs="Calibri"/>
          <w:color w:val="000000" w:themeColor="text1"/>
          <w:sz w:val="22"/>
          <w:szCs w:val="22"/>
        </w:rPr>
        <w:t xml:space="preserve">oncometabolite-induced </w:t>
      </w:r>
      <w:r w:rsidR="00F131BF" w:rsidRPr="00D637BA">
        <w:rPr>
          <w:rFonts w:ascii="Calibri" w:hAnsi="Calibri" w:cs="Calibri"/>
          <w:color w:val="000000" w:themeColor="text1"/>
          <w:sz w:val="22"/>
          <w:szCs w:val="22"/>
        </w:rPr>
        <w:t>DNA-related epigenetic modifications</w:t>
      </w:r>
      <w:r w:rsidR="0019708A" w:rsidRPr="00D637BA">
        <w:rPr>
          <w:rFonts w:ascii="Calibri" w:hAnsi="Calibri" w:cs="Calibri"/>
          <w:color w:val="000000" w:themeColor="text1"/>
          <w:sz w:val="22"/>
          <w:szCs w:val="22"/>
        </w:rPr>
        <w:t>; however,</w:t>
      </w:r>
      <w:r w:rsidR="00F131BF" w:rsidRPr="00D637BA">
        <w:rPr>
          <w:rFonts w:ascii="Calibri" w:hAnsi="Calibri" w:cs="Calibri"/>
          <w:color w:val="000000" w:themeColor="text1"/>
          <w:sz w:val="22"/>
          <w:szCs w:val="22"/>
        </w:rPr>
        <w:t xml:space="preserve"> histone methylation </w:t>
      </w:r>
      <w:r w:rsidR="00451B4B" w:rsidRPr="00D637BA">
        <w:rPr>
          <w:rFonts w:ascii="Calibri" w:hAnsi="Calibri" w:cs="Calibri"/>
          <w:color w:val="000000" w:themeColor="text1"/>
          <w:sz w:val="22"/>
          <w:szCs w:val="22"/>
        </w:rPr>
        <w:t xml:space="preserve">also has </w:t>
      </w:r>
      <w:r w:rsidR="00F131BF" w:rsidRPr="00D637BA">
        <w:rPr>
          <w:rFonts w:ascii="Calibri" w:hAnsi="Calibri" w:cs="Calibri"/>
          <w:color w:val="000000" w:themeColor="text1"/>
          <w:sz w:val="22"/>
          <w:szCs w:val="22"/>
        </w:rPr>
        <w:t>a role in modulating transcriptional activity</w:t>
      </w:r>
      <w:r w:rsidR="0019708A" w:rsidRPr="00D637BA">
        <w:rPr>
          <w:rFonts w:ascii="Calibri" w:hAnsi="Calibri" w:cs="Calibri"/>
          <w:color w:val="000000" w:themeColor="text1"/>
          <w:sz w:val="22"/>
          <w:szCs w:val="22"/>
        </w:rPr>
        <w:t>. S</w:t>
      </w:r>
      <w:r w:rsidR="00F131BF" w:rsidRPr="00D637BA">
        <w:rPr>
          <w:rFonts w:ascii="Calibri" w:hAnsi="Calibri" w:cs="Calibri"/>
          <w:color w:val="000000" w:themeColor="text1"/>
          <w:sz w:val="22"/>
          <w:szCs w:val="22"/>
        </w:rPr>
        <w:t xml:space="preserve">imultaneous </w:t>
      </w:r>
      <w:r w:rsidR="00F131BF" w:rsidRPr="00970F62">
        <w:rPr>
          <w:rFonts w:ascii="Calibri" w:hAnsi="Calibri" w:cs="Calibri"/>
          <w:color w:val="000000" w:themeColor="text1"/>
          <w:sz w:val="22"/>
          <w:szCs w:val="22"/>
        </w:rPr>
        <w:t xml:space="preserve">targeting of multiple epigenetic modifiers may </w:t>
      </w:r>
      <w:r w:rsidR="0019708A" w:rsidRPr="00970F62">
        <w:rPr>
          <w:rFonts w:ascii="Calibri" w:hAnsi="Calibri" w:cs="Calibri"/>
          <w:color w:val="000000" w:themeColor="text1"/>
          <w:sz w:val="22"/>
          <w:szCs w:val="22"/>
        </w:rPr>
        <w:t xml:space="preserve">therefore </w:t>
      </w:r>
      <w:r w:rsidR="00F131BF" w:rsidRPr="00970F62">
        <w:rPr>
          <w:rFonts w:ascii="Calibri" w:hAnsi="Calibri" w:cs="Calibri"/>
          <w:color w:val="000000" w:themeColor="text1"/>
          <w:sz w:val="22"/>
          <w:szCs w:val="22"/>
        </w:rPr>
        <w:t xml:space="preserve">prove to be more </w:t>
      </w:r>
      <w:r w:rsidR="00451B4B" w:rsidRPr="00970F62">
        <w:rPr>
          <w:rFonts w:ascii="Calibri" w:hAnsi="Calibri" w:cs="Calibri"/>
          <w:color w:val="000000" w:themeColor="text1"/>
          <w:sz w:val="22"/>
          <w:szCs w:val="22"/>
        </w:rPr>
        <w:t>efficacious</w:t>
      </w:r>
      <w:r w:rsidR="0019708A" w:rsidRPr="00970F62">
        <w:rPr>
          <w:rFonts w:ascii="Calibri" w:hAnsi="Calibri" w:cs="Calibri"/>
          <w:color w:val="000000" w:themeColor="text1"/>
          <w:sz w:val="22"/>
          <w:szCs w:val="22"/>
        </w:rPr>
        <w:t xml:space="preserve"> than targeting DNA methylation alone</w:t>
      </w:r>
      <w:r w:rsidR="00314ECB" w:rsidRPr="00970F62">
        <w:rPr>
          <w:rFonts w:ascii="Calibri" w:hAnsi="Calibri" w:cs="Calibri"/>
          <w:b/>
          <w:color w:val="000000" w:themeColor="text1"/>
          <w:sz w:val="22"/>
          <w:szCs w:val="22"/>
        </w:rPr>
        <w:fldChar w:fldCharType="begin"/>
      </w:r>
      <w:r w:rsidR="004E2A88" w:rsidRPr="00970F62">
        <w:rPr>
          <w:rFonts w:ascii="Calibri" w:hAnsi="Calibri" w:cs="Calibri"/>
          <w:b/>
          <w:color w:val="000000" w:themeColor="text1"/>
          <w:sz w:val="22"/>
          <w:szCs w:val="22"/>
        </w:rPr>
        <w:instrText xml:space="preserve"> ADDIN ZOTERO_ITEM CSL_CITATION {"citationID":"a1k335ptke0","properties":{"formattedCitation":"\\super 67\\nosupersub{}","plainCitation":"67","noteIndex":0},"citationItems":[{"id":323,"uris":["http://zotero.org/users/4775618/items/JCMXXDI7"],"uri":["http://zotero.org/users/4775618/items/JCMXXDI7"],"itemData":{"id":323,"type":"article-journal","title":"Oncometabolites‐driven tumorigenesis: From genetics to targeted therapy","container-title":"International Journal of Cancer","page":"2237-2248","volume":"135","issue":"10","source":"onlinelibrary.wiley.com","URL":"https://onlinelibrary.wiley.com/doi/abs/10.1002/ijc.29080","DOI":"10.1002/ijc.29080","ISSN":"1097-0215","title-short":"Oncometabolites‐driven tumorigenesis","language":"en","author":[{"family":"Morin","given":"Aurélie"},{"family":"Letouzé","given":"Eric"},{"family":"Gimenez‐Roqueplo","given":"Anne-Paule"},{"family":"Favier","given":"Judith"}],"issued":{"date-parts":[["2014",11,15]]},"accessed":{"date-parts":[["2018",3,29]]}}}],"schema":"https://github.com/citation-style-language/schema/raw/master/csl-citation.json"} </w:instrText>
      </w:r>
      <w:r w:rsidR="00314ECB" w:rsidRPr="00970F62">
        <w:rPr>
          <w:rFonts w:ascii="Calibri" w:hAnsi="Calibri" w:cs="Calibri"/>
          <w:b/>
          <w:color w:val="000000" w:themeColor="text1"/>
          <w:sz w:val="22"/>
          <w:szCs w:val="22"/>
        </w:rPr>
        <w:fldChar w:fldCharType="separate"/>
      </w:r>
      <w:r w:rsidR="004E2A88" w:rsidRPr="00970F62">
        <w:rPr>
          <w:rFonts w:ascii="Calibri" w:hAnsi="Calibri" w:cs="Calibri"/>
          <w:color w:val="000000" w:themeColor="text1"/>
          <w:sz w:val="22"/>
          <w:vertAlign w:val="superscript"/>
          <w:lang w:val="en-US"/>
        </w:rPr>
        <w:t>67</w:t>
      </w:r>
      <w:r w:rsidR="00314ECB" w:rsidRPr="00970F62">
        <w:rPr>
          <w:rFonts w:ascii="Calibri" w:hAnsi="Calibri" w:cs="Calibri"/>
          <w:b/>
          <w:color w:val="000000" w:themeColor="text1"/>
          <w:sz w:val="22"/>
          <w:szCs w:val="22"/>
        </w:rPr>
        <w:fldChar w:fldCharType="end"/>
      </w:r>
      <w:r w:rsidR="00F131BF" w:rsidRPr="00970F62">
        <w:rPr>
          <w:rFonts w:ascii="Calibri" w:hAnsi="Calibri" w:cs="Calibri"/>
          <w:color w:val="000000" w:themeColor="text1"/>
          <w:sz w:val="22"/>
          <w:szCs w:val="22"/>
        </w:rPr>
        <w:t xml:space="preserve">. </w:t>
      </w:r>
      <w:r w:rsidR="0019708A" w:rsidRPr="00D637BA">
        <w:rPr>
          <w:rFonts w:ascii="Calibri" w:hAnsi="Calibri" w:cs="Calibri"/>
          <w:color w:val="000000" w:themeColor="text1"/>
          <w:sz w:val="22"/>
          <w:szCs w:val="22"/>
        </w:rPr>
        <w:t>As</w:t>
      </w:r>
      <w:r w:rsidR="00F131BF" w:rsidRPr="00D637BA">
        <w:rPr>
          <w:rFonts w:ascii="Calibri" w:hAnsi="Calibri" w:cs="Calibri"/>
          <w:color w:val="000000" w:themeColor="text1"/>
          <w:sz w:val="22"/>
          <w:szCs w:val="22"/>
        </w:rPr>
        <w:t xml:space="preserve"> high doses of decitabine </w:t>
      </w:r>
      <w:r w:rsidR="0019708A" w:rsidRPr="00D637BA">
        <w:rPr>
          <w:rFonts w:ascii="Calibri" w:hAnsi="Calibri" w:cs="Calibri"/>
          <w:color w:val="000000" w:themeColor="text1"/>
          <w:sz w:val="22"/>
          <w:szCs w:val="22"/>
        </w:rPr>
        <w:t>are cytotoxic</w:t>
      </w:r>
      <w:r w:rsidR="00314ECB">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{"citationID":"a2hjtinjaig","properties":{"formattedCitation":"\\super 141\\nosupersub{}","plainCitation":"141","noteIndex":0},"citationItems":[{"id":1510,"uris":["http://zotero.org/users/4775618/items/KQPZH6CD"],"uri":["http://zotero.org/users/4775618/items/KQPZH6CD"],"itemData":{"id":1510,"type":"article-journal","title":"SDH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schema":"https://github.com/citation-style-language/schema/raw/master/csl-citation.json"} </w:instrText>
      </w:r>
      <w:r w:rsidR="00314ECB">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141</w:t>
      </w:r>
      <w:r w:rsidR="00314ECB">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careful characterisation of the desired therapeutic window will be important for future studies.</w:t>
      </w:r>
    </w:p>
    <w:p w14:paraId="0530CB14" w14:textId="44FBAE08" w:rsidR="0080413B" w:rsidRPr="00D637BA" w:rsidRDefault="00574483" w:rsidP="00537E61">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E</w:t>
      </w:r>
      <w:r w:rsidR="00F131BF" w:rsidRPr="00D637BA">
        <w:rPr>
          <w:rFonts w:ascii="Calibri" w:hAnsi="Calibri" w:cs="Calibri"/>
          <w:color w:val="000000" w:themeColor="text1"/>
          <w:sz w:val="22"/>
          <w:szCs w:val="22"/>
        </w:rPr>
        <w:t xml:space="preserve">lucidation of the role of L2HG in RCC epigenetic dysregulation has </w:t>
      </w:r>
      <w:r w:rsidR="00035D13" w:rsidRPr="00B946E4">
        <w:rPr>
          <w:rFonts w:ascii="Calibri" w:hAnsi="Calibri" w:cs="Calibri"/>
          <w:color w:val="000000" w:themeColor="text1"/>
          <w:sz w:val="22"/>
          <w:szCs w:val="22"/>
        </w:rPr>
        <w:t xml:space="preserve">increased understanding of this </w:t>
      </w:r>
      <w:r w:rsidR="00F131BF" w:rsidRPr="00D637BA">
        <w:rPr>
          <w:rFonts w:ascii="Calibri" w:hAnsi="Calibri" w:cs="Calibri"/>
          <w:color w:val="000000" w:themeColor="text1"/>
          <w:sz w:val="22"/>
          <w:szCs w:val="22"/>
        </w:rPr>
        <w:t xml:space="preserve">disease process and </w:t>
      </w:r>
      <w:r w:rsidR="00035D13" w:rsidRPr="00D637BA">
        <w:rPr>
          <w:rFonts w:ascii="Calibri" w:hAnsi="Calibri" w:cs="Calibri"/>
          <w:color w:val="000000" w:themeColor="text1"/>
          <w:sz w:val="22"/>
          <w:szCs w:val="22"/>
        </w:rPr>
        <w:t xml:space="preserve">identified </w:t>
      </w:r>
      <w:r w:rsidR="00F131BF" w:rsidRPr="00D637BA">
        <w:rPr>
          <w:rFonts w:ascii="Calibri" w:hAnsi="Calibri" w:cs="Calibri"/>
          <w:color w:val="000000" w:themeColor="text1"/>
          <w:sz w:val="22"/>
          <w:szCs w:val="22"/>
        </w:rPr>
        <w:t xml:space="preserve">potential therapeutic strategies. Interrogation of the epigenetic effects </w:t>
      </w:r>
      <w:r w:rsidRPr="00D637BA">
        <w:rPr>
          <w:rFonts w:ascii="Calibri" w:hAnsi="Calibri" w:cs="Calibri"/>
          <w:color w:val="000000" w:themeColor="text1"/>
          <w:sz w:val="22"/>
          <w:szCs w:val="22"/>
        </w:rPr>
        <w:t xml:space="preserve">of L2HG </w:t>
      </w:r>
      <w:r w:rsidR="00F131BF" w:rsidRPr="00D637BA">
        <w:rPr>
          <w:rFonts w:ascii="Calibri" w:hAnsi="Calibri" w:cs="Calibri"/>
          <w:color w:val="000000" w:themeColor="text1"/>
          <w:sz w:val="22"/>
          <w:szCs w:val="22"/>
        </w:rPr>
        <w:t>demonstrated elevated levels of the trimethylated histone H3K27Me3</w:t>
      </w:r>
      <w:r w:rsidRPr="00D637BA">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which corresponded with reduced levels of DNA 5hmc suggesting L2HG-induced KDM inhibition in RCC</w:t>
      </w:r>
      <w:r w:rsidR="00EC2058">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{"citationID":"a2magpb4f4q","properties":{"formattedCitation":"\\super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EC2058">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76</w:t>
      </w:r>
      <w:r w:rsidR="00EC205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F57DE0" w:rsidRPr="00D637BA">
        <w:rPr>
          <w:rFonts w:ascii="Calibri" w:hAnsi="Calibri" w:cs="Calibri"/>
          <w:color w:val="000000" w:themeColor="text1"/>
          <w:sz w:val="22"/>
          <w:szCs w:val="22"/>
        </w:rPr>
        <w:t>L</w:t>
      </w:r>
      <w:r w:rsidR="00F131BF" w:rsidRPr="00D637BA">
        <w:rPr>
          <w:rFonts w:ascii="Calibri" w:hAnsi="Calibri" w:cs="Calibri"/>
          <w:color w:val="000000" w:themeColor="text1"/>
          <w:sz w:val="22"/>
          <w:szCs w:val="22"/>
        </w:rPr>
        <w:t xml:space="preserve">owering L2HG levels in these cells leads to the re-expression of </w:t>
      </w:r>
      <w:r w:rsidR="00F131BF" w:rsidRPr="00D637BA">
        <w:rPr>
          <w:rFonts w:ascii="Calibri" w:hAnsi="Calibri" w:cs="Calibri"/>
          <w:i/>
          <w:color w:val="000000" w:themeColor="text1"/>
          <w:sz w:val="22"/>
          <w:szCs w:val="22"/>
        </w:rPr>
        <w:t>H3K27Me3</w:t>
      </w:r>
      <w:r w:rsidR="00F131BF" w:rsidRPr="00D637BA">
        <w:rPr>
          <w:rFonts w:ascii="Calibri" w:hAnsi="Calibri" w:cs="Calibri"/>
          <w:color w:val="000000" w:themeColor="text1"/>
          <w:sz w:val="22"/>
          <w:szCs w:val="22"/>
        </w:rPr>
        <w:t xml:space="preserve"> target genes as well as polycomb repressor complex 2 (</w:t>
      </w:r>
      <w:r w:rsidR="00F131BF" w:rsidRPr="00D637BA">
        <w:rPr>
          <w:rFonts w:ascii="Calibri" w:hAnsi="Calibri" w:cs="Calibri"/>
          <w:i/>
          <w:color w:val="000000" w:themeColor="text1"/>
          <w:sz w:val="22"/>
          <w:szCs w:val="22"/>
        </w:rPr>
        <w:t>PRC2</w:t>
      </w:r>
      <w:r w:rsidR="00F131BF" w:rsidRPr="00D637BA">
        <w:rPr>
          <w:rFonts w:ascii="Calibri" w:hAnsi="Calibri" w:cs="Calibri"/>
          <w:color w:val="000000" w:themeColor="text1"/>
          <w:sz w:val="22"/>
          <w:szCs w:val="22"/>
        </w:rPr>
        <w:t>) target genes, which encode a histone methyltransferase responsible for the repressive trimethylation of H327Me3</w:t>
      </w:r>
      <w:r w:rsidR="00EC2058">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{"citationID":"a13bme01s4b","properties":{"formattedCitation":"\\super 76,227\\nosupersub{}","plainCitation":"76,227","noteIndex":0},"citationItems":[{"id":784,"uris":["http://zotero.org/users/4775618/items/A2JRYGNB"],"uri":["http://zotero.org/users/4775618/items/A2JRYGNB"],"itemData":{"id":784,"type":"article-journal","title":"Biochemical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id":1725,"uris":["http://zotero.org/users/4775618/items/M6ZB3JFB"],"uri":["http://zotero.org/users/4775618/items/M6ZB3JFB"],"itemData":{"id":1725,"type":"article-journal","title":"EZH2 methyltransferase and H3K27 methylation in breast cancer","container-title":"International Journal of Biological Sciences","page":"59-65","volume":"8","issue":"1","source":"PubMed","abstract":"Histone modifications are thought to control the regulation of genetic programs in normal physiology and cancer. Methylation (mono-, di-, and tri-methylation) on histone H3 lysine (K) 27 induces transcriptional repression, and thereby participates in controlling gene expression patterns. Enhancer of zeste (EZH) 2, a methyltransferase and component of the polycomb repressive complex 2 (PRC2), plays an essential role in the epigenetic maintenance of the H3K27me3 repressive chromatin mark. Abnormal EZH2 expression has been associated with various cancers including breast cancer. Here, we discuss the contribution of EZH2 and the PRC2 complex in controlling the H3K27 methylation status and subsequent consequences on genomic instability and the cell cycle in breast cancer cells. We also discuss distinct molecular mechanisms used by EZH2 to suppress BRCA1 functions.","ISSN":"1449-2288","note":"PMID: 22211105\nPMCID: PMC3226033","journalAbbreviation":"Int. J. Biol. Sci.","language":"eng","author":[{"family":"Yoo","given":"Kyung Hyun"},{"family":"Hennighausen","given":"Lothar"}],"issued":{"date-parts":[["2012"]]}}}],"schema":"https://github.com/citation-style-language/schema/raw/master/csl-citation.json"} </w:instrText>
      </w:r>
      <w:r w:rsidR="00EC2058">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76,227</w:t>
      </w:r>
      <w:r w:rsidR="00EC205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Inhibition of PRC2 via knockdown of the PRC2 catalytic subunit, </w:t>
      </w:r>
      <w:r w:rsidR="004946D2" w:rsidRPr="00B946E4">
        <w:rPr>
          <w:rFonts w:ascii="Calibri" w:hAnsi="Calibri" w:cs="Calibri"/>
          <w:i/>
          <w:color w:val="000000" w:themeColor="text1"/>
          <w:sz w:val="22"/>
          <w:szCs w:val="22"/>
        </w:rPr>
        <w:t>EZH</w:t>
      </w:r>
      <w:r w:rsidR="004946D2" w:rsidRPr="00D637BA">
        <w:rPr>
          <w:rFonts w:ascii="Calibri" w:hAnsi="Calibri" w:cs="Calibri"/>
          <w:color w:val="000000" w:themeColor="text1"/>
          <w:sz w:val="22"/>
          <w:szCs w:val="22"/>
        </w:rPr>
        <w:t>2</w:t>
      </w:r>
      <w:r w:rsidR="00F131BF" w:rsidRPr="00D637BA">
        <w:rPr>
          <w:rFonts w:ascii="Calibri" w:hAnsi="Calibri" w:cs="Calibri"/>
          <w:color w:val="000000" w:themeColor="text1"/>
          <w:sz w:val="22"/>
          <w:szCs w:val="22"/>
        </w:rPr>
        <w:t>, in RCC cells with high 2HG-levels, resulted in reduced H3K27Me3 levels as well as reduced migratory abilities</w:t>
      </w:r>
      <w:r w:rsidR="00EC2058">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{"citationID":"a2bomml8f9k","properties":{"formattedCitation":"\\super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EC2058">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76</w:t>
      </w:r>
      <w:r w:rsidR="00EC205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Furthermore, knockdown of </w:t>
      </w:r>
      <w:r w:rsidR="00F131BF" w:rsidRPr="00D637BA">
        <w:rPr>
          <w:rFonts w:ascii="Calibri" w:hAnsi="Calibri" w:cs="Calibri"/>
          <w:i/>
          <w:color w:val="000000" w:themeColor="text1"/>
          <w:sz w:val="22"/>
          <w:szCs w:val="22"/>
        </w:rPr>
        <w:t>KDM6A</w:t>
      </w:r>
      <w:r w:rsidRPr="00D637BA">
        <w:rPr>
          <w:rFonts w:ascii="Calibri" w:hAnsi="Calibri" w:cs="Calibri"/>
          <w:color w:val="000000" w:themeColor="text1"/>
          <w:sz w:val="22"/>
          <w:szCs w:val="22"/>
        </w:rPr>
        <w:t xml:space="preserve"> (also known as UTX)</w:t>
      </w:r>
      <w:r w:rsidR="00F131BF" w:rsidRPr="00D637BA">
        <w:rPr>
          <w:rFonts w:ascii="Calibri" w:hAnsi="Calibri" w:cs="Calibri"/>
          <w:color w:val="000000" w:themeColor="text1"/>
          <w:sz w:val="22"/>
          <w:szCs w:val="22"/>
        </w:rPr>
        <w:t xml:space="preserve">, a known H3K27 demethylase, in </w:t>
      </w:r>
      <w:r w:rsidR="00F131BF" w:rsidRPr="00D637BA">
        <w:rPr>
          <w:rFonts w:ascii="Calibri" w:hAnsi="Calibri" w:cs="Calibri"/>
          <w:i/>
          <w:color w:val="000000" w:themeColor="text1"/>
          <w:sz w:val="22"/>
          <w:szCs w:val="22"/>
        </w:rPr>
        <w:t>L2HGDH-</w:t>
      </w:r>
      <w:r w:rsidR="00F131BF" w:rsidRPr="00D637BA">
        <w:rPr>
          <w:rFonts w:ascii="Calibri" w:hAnsi="Calibri" w:cs="Calibri"/>
          <w:color w:val="000000" w:themeColor="text1"/>
          <w:sz w:val="22"/>
          <w:szCs w:val="22"/>
        </w:rPr>
        <w:t>wild</w:t>
      </w:r>
      <w:r w:rsidR="00035D13"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type</w:t>
      </w:r>
      <w:r w:rsidR="00F131BF" w:rsidRPr="00D637BA">
        <w:rPr>
          <w:rFonts w:ascii="Calibri" w:hAnsi="Calibri" w:cs="Calibri"/>
          <w:i/>
          <w:color w:val="000000" w:themeColor="text1"/>
          <w:sz w:val="22"/>
          <w:szCs w:val="22"/>
        </w:rPr>
        <w:t xml:space="preserve"> </w:t>
      </w:r>
      <w:r w:rsidR="00F131BF" w:rsidRPr="00D637BA">
        <w:rPr>
          <w:rFonts w:ascii="Calibri" w:hAnsi="Calibri" w:cs="Calibri"/>
          <w:color w:val="000000" w:themeColor="text1"/>
          <w:sz w:val="22"/>
          <w:szCs w:val="22"/>
        </w:rPr>
        <w:t xml:space="preserve">RCC phenocopied the enhanced migratory properties of </w:t>
      </w:r>
      <w:r w:rsidR="00035D13" w:rsidRPr="00D637BA">
        <w:rPr>
          <w:rFonts w:ascii="Calibri" w:hAnsi="Calibri" w:cs="Calibri"/>
          <w:color w:val="000000" w:themeColor="text1"/>
          <w:sz w:val="22"/>
          <w:szCs w:val="22"/>
        </w:rPr>
        <w:t xml:space="preserve">RCC cells with </w:t>
      </w:r>
      <w:r w:rsidR="00F131BF" w:rsidRPr="00D637BA">
        <w:rPr>
          <w:rFonts w:ascii="Calibri" w:hAnsi="Calibri" w:cs="Calibri"/>
          <w:color w:val="000000" w:themeColor="text1"/>
          <w:sz w:val="22"/>
          <w:szCs w:val="22"/>
        </w:rPr>
        <w:t>elevated</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L2HG</w:t>
      </w:r>
      <w:r w:rsidR="00035D13" w:rsidRPr="00D637BA">
        <w:rPr>
          <w:rFonts w:ascii="Calibri" w:hAnsi="Calibri" w:cs="Calibri"/>
          <w:color w:val="000000" w:themeColor="text1"/>
          <w:sz w:val="22"/>
          <w:szCs w:val="22"/>
        </w:rPr>
        <w:t xml:space="preserve"> levels</w:t>
      </w:r>
      <w:r w:rsidR="00F131BF" w:rsidRPr="00D637BA">
        <w:rPr>
          <w:rFonts w:ascii="Calibri" w:hAnsi="Calibri" w:cs="Calibri"/>
          <w:color w:val="000000" w:themeColor="text1"/>
          <w:sz w:val="22"/>
          <w:szCs w:val="22"/>
        </w:rPr>
        <w:t xml:space="preserve">, implicating </w:t>
      </w:r>
      <w:r w:rsidR="00F131BF" w:rsidRPr="00D637BA">
        <w:rPr>
          <w:rFonts w:ascii="Calibri" w:hAnsi="Calibri" w:cs="Calibri"/>
          <w:i/>
          <w:color w:val="000000" w:themeColor="text1"/>
          <w:sz w:val="22"/>
          <w:szCs w:val="22"/>
        </w:rPr>
        <w:t>KDM6A</w:t>
      </w:r>
      <w:r w:rsidR="00F131BF" w:rsidRPr="00D637BA">
        <w:rPr>
          <w:rFonts w:ascii="Calibri" w:hAnsi="Calibri" w:cs="Calibri"/>
          <w:color w:val="000000" w:themeColor="text1"/>
          <w:sz w:val="22"/>
          <w:szCs w:val="22"/>
        </w:rPr>
        <w:t xml:space="preserve"> as a specific target for L2HG in RCC</w:t>
      </w:r>
      <w:r w:rsidR="00EC2058">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{"citationID":"a1r6iqalh0q","properties":{"formattedCitation":"\\super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EC2058">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76</w:t>
      </w:r>
      <w:r w:rsidR="00EC205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F57DE0" w:rsidRPr="00D637BA">
        <w:rPr>
          <w:rFonts w:ascii="Calibri" w:hAnsi="Calibri" w:cs="Calibri"/>
          <w:color w:val="000000" w:themeColor="text1"/>
          <w:sz w:val="22"/>
          <w:szCs w:val="22"/>
        </w:rPr>
        <w:t>M</w:t>
      </w:r>
      <w:r w:rsidR="00F131BF" w:rsidRPr="00D637BA">
        <w:rPr>
          <w:rFonts w:ascii="Calibri" w:hAnsi="Calibri" w:cs="Calibri"/>
          <w:color w:val="000000" w:themeColor="text1"/>
          <w:sz w:val="22"/>
          <w:szCs w:val="22"/>
        </w:rPr>
        <w:t xml:space="preserve">utations in </w:t>
      </w:r>
      <w:r w:rsidR="00F131BF" w:rsidRPr="00D637BA">
        <w:rPr>
          <w:rFonts w:ascii="Calibri" w:hAnsi="Calibri" w:cs="Calibri"/>
          <w:i/>
          <w:color w:val="000000" w:themeColor="text1"/>
          <w:sz w:val="22"/>
          <w:szCs w:val="22"/>
        </w:rPr>
        <w:t>KDM6A</w:t>
      </w:r>
      <w:r w:rsidR="00F131BF"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(predominantly somatic) </w:t>
      </w:r>
      <w:r w:rsidR="00F131BF" w:rsidRPr="00D637BA">
        <w:rPr>
          <w:rFonts w:ascii="Calibri" w:hAnsi="Calibri" w:cs="Calibri"/>
          <w:color w:val="000000" w:themeColor="text1"/>
          <w:sz w:val="22"/>
          <w:szCs w:val="22"/>
        </w:rPr>
        <w:t>have been identified in renal cancer</w:t>
      </w:r>
      <w:r w:rsidR="00EC2058">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{"citationID":"a2lnas5fpi8","properties":{"formattedCitation":"\\super 228,229\\nosupersub{}","plainCitation":"228,229","noteIndex":0},"citationItems":[{"id":1143,"uris":["http://zotero.org/users/4775618/items/UI5QYW4J"],"uri":["http://zotero.org/users/4775618/items/UI5QYW4J"],"itemData":{"id":1143,"type":"article-journal","title":"Systematic sequencing of renal carcinoma reveals inactivation of histone modifying genes","container-title":"Nature","page":"360-363","volume":"463","issue":"7279","source":"PubMed","abstract":"Clear cell renal cell carcinoma (ccRCC) is the most common form of adult kidney cancer, characterized by the presence of inactivating mutations in the VHL gene in most cases, and by infrequent somatic mutations in known cancer genes. To determine further the genetics of ccRCC, we have sequenced 101 cases through 3,544 protein-coding genes. Here we report the identification of inactivating mutations in two genes encoding enzymes involved in histone modification-SETD2, a histone H3 lysine 36 methyltransferase, and JARID1C (also known as KDM5C), a histone H3 lysine 4 demethylase-as well as mutations in the histone H3 lysine 27 demethylase, UTX (KMD6A), that we recently reported. The results highlight the role of mutations in components of the chromatin modification machinery in human cancer. Furthermore, NF2 mutations were found in non-VHL mutated ccRCC, and several other probable cancer genes were identified. These results indicate that substantial genetic heterogeneity exists in a cancer type dominated by mutations in a single gene, and that systematic screens will be key to fully determining the somatic genetic architecture of cancer.","DOI":"10.1038/nature08672","ISSN":"1476-4687","note":"PMID: 20054297\nPMCID: PMC2820242","journalAbbreviation":"Nature","language":"eng","author":[{"family":"Dalgliesh","given":"Gillian L."},{"family":"Furge","given":"Kyle"},{"family":"Greenman","given":"Chris"},{"family":"Chen","given":"Lina"},{"family":"Bignell","given":"Graham"},{"family":"Butler","given":"Adam"},{"family":"Davies","given":"Helen"},{"family":"Edkins","given":"Sarah"},{"family":"Hardy","given":"Claire"},{"family":"Latimer","given":"Calli"},{"family":"Teague","given":"Jon"},{"family":"Andrews","given":"Jenny"},{"family":"Barthorpe","given":"Syd"},{"family":"Beare","given":"Dave"},{"family":"Buck","given":"Gemma"},{"family":"Campbell","given":"Peter J."},{"family":"Forbes","given":"Simon"},{"family":"Jia","given":"Mingming"},{"family":"Jones","given":"David"},{"family":"Knott","given":"Henry"},{"family":"Kok","given":"Chai Yin"},{"family":"Lau","given":"King Wai"},{"family":"Leroy","given":"Catherine"},{"family":"Lin","given":"Meng-Lay"},{"family":"McBride","given":"David J."},{"family":"Maddison","given":"Mark"},{"family":"Maguire","given":"Simon"},{"family":"McLay","given":"Kirsten"},{"family":"Menzies","given":"Andrew"},{"family":"Mironenko","given":"Tatiana"},{"family":"Mulderrig","given":"Lee"},{"family":"Mudie","given":"Laura"},{"family":"O'Meara","given":"Sarah"},{"family":"Pleasance","given":"Erin"},{"family":"Rajasingham","given":"Arjunan"},{"family":"Shepherd","given":"Rebecca"},{"family":"Smith","given":"Raffaella"},{"family":"Stebbings","given":"Lucy"},{"family":"Stephens","given":"Philip"},{"family":"Tang","given":"Gurpreet"},{"family":"Tarpey","given":"Patrick S."},{"family":"Turrell","given":"Kelly"},{"family":"Dykema","given":"Karl J."},{"family":"Khoo","given":"Sok Kean"},{"family":"Petillo","given":"David"},{"family":"Wondergem","given":"Bill"},{"family":"Anema","given":"John"},{"family":"Kahnoski","given":"Richard J."},{"family":"Teh","given":"Bin Tean"},{"family":"Stratton","given":"Michael R."},{"family":"Futreal","given":"P. Andrew"}],"issued":{"date-parts":[["2010",1,21]]}}},{"id":1729,"uris":["http://zotero.org/users/4775618/items/H4MSK5FB"],"uri":["http://zotero.org/users/4775618/items/H4MSK5FB"],"itemData":{"id":1729,"type":"article-journal","title":"Somatic mutations of the histone H3K27 demethylase gene UTX in human cancer","container-title":"Nature Genetics","page":"521-523","volume":"41","issue":"5","source":"PubMed","abstract":"Somatically acquired epigenetic changes are present in many cancers. Epigenetic regulation is maintained via post-translational modifications of core histones. Here, we describe inactivating somatic mutations in the histone lysine demethylase gene UTX, pointing to histone H3 lysine methylation deregulation in multiple tumor types. UTX reintroduction into cancer cells with inactivating UTX mutations resulted in slowing of proliferation and marked transcriptional changes. These data identify UTX as a new human cancer gene.","DOI":"10.1038/ng.349","ISSN":"1546-1718","note":"PMID: 19330029\nPMCID: PMC2873835","journalAbbreviation":"Nat. Genet.","language":"eng","author":[{"family":"Haaften","given":"Gijs","non-dropping-particle":"van"},{"family":"Dalgliesh","given":"Gillian L."},{"family":"Davies","given":"Helen"},{"family":"Chen","given":"Lina"},{"family":"Bignell","given":"Graham"},{"family":"Greenman","given":"Chris"},{"family":"Edkins","given":"Sarah"},{"family":"Hardy","given":"Claire"},{"family":"O'Meara","given":"Sarah"},{"family":"Teague","given":"Jon"},{"family":"Butler","given":"Adam"},{"family":"Hinton","given":"Jonathan"},{"family":"Latimer","given":"Calli"},{"family":"Andrews","given":"Jenny"},{"family":"Barthorpe","given":"Syd"},{"family":"Beare","given":"Dave"},{"family":"Buck","given":"Gemma"},{"family":"Campbell","given":"Peter J."},{"family":"Cole","given":"Jennifer"},{"family":"Forbes","given":"Simon"},{"family":"Jia","given":"Mingming"},{"family":"Jones","given":"David"},{"family":"Kok","given":"Chai Yin"},{"family":"Leroy","given":"Catherine"},{"family":"Lin","given":"Meng-Lay"},{"family":"McBride","given":"David J."},{"family":"Maddison","given":"Mark"},{"family":"Maquire","given":"Simon"},{"family":"McLay","given":"Kirsten"},{"family":"Menzies","given":"Andrew"},{"family":"Mironenko","given":"Tatiana"},{"family":"Mulderrig","given":"Lee"},{"family":"Mudie","given":"Laura"},{"family":"Pleasance","given":"Erin"},{"family":"Shepherd","given":"Rebecca"},{"family":"Smith","given":"Raffaella"},{"family":"Stebbings","given":"Lucy"},{"family":"Stephens","given":"Philip"},{"family":"Tang","given":"Gurpreet"},{"family":"Tarpey","given":"Patrick S."},{"family":"Turner","given":"Rachel"},{"family":"Turrell","given":"Kelly"},{"family":"Varian","given":"Jennifer"},{"family":"West","given":"Sofie"},{"family":"Widaa","given":"Sara"},{"family":"Wray","given":"Paul"},{"family":"Collins","given":"V. Peter"},{"family":"Ichimura","given":"Koichi"},{"family":"Law","given":"Simon"},{"family":"Wong","given":"John"},{"family":"Yuen","given":"Siu Tsan"},{"family":"Leung","given":"Suet Yi"},{"family":"Tonon","given":"Giovanni"},{"family":"DePinho","given":"Ronald A."},{"family":"Tai","given":"Yu-Tzu"},{"family":"Anderson","given":"Kenneth C."},{"family":"Kahnoski","given":"Richard J."},{"family":"Massie","given":"Aaron"},{"family":"Khoo","given":"Sok Kean"},{"family":"Teh","given":"Bin Tean"},{"family":"Stratton","given":"Michael R."},{"family":"Futreal","given":"P. Andrew"}],"issued":{"date-parts":[["2009",5]]}}}],"schema":"https://github.com/citation-style-language/schema/raw/master/csl-citation.json"} </w:instrText>
      </w:r>
      <w:r w:rsidR="00EC2058">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228,229</w:t>
      </w:r>
      <w:r w:rsidR="00EC205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suggesting that chromatin </w:t>
      </w:r>
      <w:r w:rsidR="00823B9E" w:rsidRPr="00D637BA">
        <w:rPr>
          <w:rFonts w:ascii="Calibri" w:hAnsi="Calibri" w:cs="Calibri"/>
          <w:color w:val="000000" w:themeColor="text1"/>
          <w:sz w:val="22"/>
          <w:szCs w:val="22"/>
        </w:rPr>
        <w:t>remodelling</w:t>
      </w:r>
      <w:r w:rsidR="00F131BF" w:rsidRPr="00D637BA">
        <w:rPr>
          <w:rFonts w:ascii="Calibri" w:hAnsi="Calibri" w:cs="Calibri"/>
          <w:color w:val="000000" w:themeColor="text1"/>
          <w:sz w:val="22"/>
          <w:szCs w:val="22"/>
        </w:rPr>
        <w:t xml:space="preserve"> via oncometabolites may recapitulate the effects of </w:t>
      </w:r>
      <w:r w:rsidR="00F57DE0" w:rsidRPr="00D637BA">
        <w:rPr>
          <w:rFonts w:ascii="Calibri" w:hAnsi="Calibri" w:cs="Calibri"/>
          <w:color w:val="000000" w:themeColor="text1"/>
          <w:sz w:val="22"/>
          <w:szCs w:val="22"/>
        </w:rPr>
        <w:t xml:space="preserve">mutations in </w:t>
      </w:r>
      <w:r w:rsidR="00F131BF" w:rsidRPr="00D637BA">
        <w:rPr>
          <w:rFonts w:ascii="Calibri" w:hAnsi="Calibri" w:cs="Calibri"/>
          <w:color w:val="000000" w:themeColor="text1"/>
          <w:sz w:val="22"/>
          <w:szCs w:val="22"/>
        </w:rPr>
        <w:t xml:space="preserve">epigenetic modifiers in RCC. In other words, oncometabolites and chromatic modifiers may converge towards the same gene signature. </w:t>
      </w:r>
    </w:p>
    <w:p w14:paraId="7B8F9FFC" w14:textId="202B0502" w:rsidR="008714C1" w:rsidRPr="00D637BA" w:rsidRDefault="0080413B" w:rsidP="00537E61">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Owing to the</w:t>
      </w:r>
      <w:r w:rsidR="00F131BF" w:rsidRPr="00D637BA">
        <w:rPr>
          <w:rFonts w:ascii="Calibri" w:hAnsi="Calibri" w:cs="Calibri"/>
          <w:color w:val="000000" w:themeColor="text1"/>
          <w:sz w:val="22"/>
          <w:szCs w:val="22"/>
        </w:rPr>
        <w:t xml:space="preserve"> identification of mutations in epigenetic regulators, such as KDM6A</w:t>
      </w:r>
      <w:r w:rsidRPr="00B946E4">
        <w:rPr>
          <w:rFonts w:ascii="Calibri" w:hAnsi="Calibri" w:cs="Calibri"/>
          <w:color w:val="000000" w:themeColor="text1"/>
          <w:sz w:val="22"/>
          <w:szCs w:val="22"/>
        </w:rPr>
        <w:t>,</w:t>
      </w:r>
      <w:r w:rsidR="00F131BF" w:rsidRPr="00D637BA">
        <w:rPr>
          <w:rFonts w:ascii="Calibri" w:hAnsi="Calibri" w:cs="Calibri"/>
          <w:color w:val="000000" w:themeColor="text1"/>
          <w:sz w:val="22"/>
          <w:szCs w:val="22"/>
        </w:rPr>
        <w:t xml:space="preserve"> in renal cancer</w:t>
      </w:r>
      <w:r w:rsidR="00811650">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{"citationID":"a2131c3263","properties":{"formattedCitation":"\\super 228,229\\nosupersub{}","plainCitation":"228,229","noteIndex":0},"citationItems":[{"id":1143,"uris":["http://zotero.org/users/4775618/items/UI5QYW4J"],"uri":["http://zotero.org/users/4775618/items/UI5QYW4J"],"itemData":{"id":1143,"type":"article-journal","title":"Systematic sequencing of renal carcinoma reveals inactivation of histone modifying genes","container-title":"Nature","page":"360-363","volume":"463","issue":"7279","source":"PubMed","abstract":"Clear cell renal cell carcinoma (ccRCC) is the most common form of adult kidney cancer, characterized by the presence of inactivating mutations in the VHL gene in most cases, and by infrequent somatic mutations in known cancer genes. To determine further the genetics of ccRCC, we have sequenced 101 cases through 3,544 protein-coding genes. Here we report the identification of inactivating mutations in two genes encoding enzymes involved in histone modification-SETD2, a histone H3 lysine 36 methyltransferase, and JARID1C (also known as KDM5C), a histone H3 lysine 4 demethylase-as well as mutations in the histone H3 lysine 27 demethylase, UTX (KMD6A), that we recently reported. The results highlight the role of mutations in components of the chromatin modification machinery in human cancer. Furthermore, NF2 mutations were found in non-VHL mutated ccRCC, and several other probable cancer genes were identified. These results indicate that substantial genetic heterogeneity exists in a cancer type dominated by mutations in a single gene, and that systematic screens will be key to fully determining the somatic genetic architecture of cancer.","DOI":"10.1038/nature08672","ISSN":"1476-4687","note":"PMID: 20054297\nPMCID: PMC2820242","journalAbbreviation":"Nature","language":"eng","author":[{"family":"Dalgliesh","given":"Gillian L."},{"family":"Furge","given":"Kyle"},{"family":"Greenman","given":"Chris"},{"family":"Chen","given":"Lina"},{"family":"Bignell","given":"Graham"},{"family":"Butler","given":"Adam"},{"family":"Davies","given":"Helen"},{"family":"Edkins","given":"Sarah"},{"family":"Hardy","given":"Claire"},{"family":"Latimer","given":"Calli"},{"family":"Teague","given":"Jon"},{"family":"Andrews","given":"Jenny"},{"family":"Barthorpe","given":"Syd"},{"family":"Beare","given":"Dave"},{"family":"Buck","given":"Gemma"},{"family":"Campbell","given":"Peter J."},{"family":"Forbes","given":"Simon"},{"family":"Jia","given":"Mingming"},{"family":"Jones","given":"David"},{"family":"Knott","given":"Henry"},{"family":"Kok","given":"Chai Yin"},{"family":"Lau","given":"King Wai"},{"family":"Leroy","given":"Catherine"},{"family":"Lin","given":"Meng-Lay"},{"family":"McBride","given":"David J."},{"family":"Maddison","given":"Mark"},{"family":"Maguire","given":"Simon"},{"family":"McLay","given":"Kirsten"},{"family":"Menzies","given":"Andrew"},{"family":"Mironenko","given":"Tatiana"},{"family":"Mulderrig","given":"Lee"},{"family":"Mudie","given":"Laura"},{"family":"O'Meara","given":"Sarah"},{"family":"Pleasance","given":"Erin"},{"family":"Rajasingham","given":"Arjunan"},{"family":"Shepherd","given":"Rebecca"},{"family":"Smith","given":"Raffaella"},{"family":"Stebbings","given":"Lucy"},{"family":"Stephens","given":"Philip"},{"family":"Tang","given":"Gurpreet"},{"family":"Tarpey","given":"Patrick S."},{"family":"Turrell","given":"Kelly"},{"family":"Dykema","given":"Karl J."},{"family":"Khoo","given":"Sok Kean"},{"family":"Petillo","given":"David"},{"family":"Wondergem","given":"Bill"},{"family":"Anema","given":"John"},{"family":"Kahnoski","given":"Richard J."},{"family":"Teh","given":"Bin Tean"},{"family":"Stratton","given":"Michael R."},{"family":"Futreal","given":"P. Andrew"}],"issued":{"date-parts":[["2010",1,21]]}}},{"id":1729,"uris":["http://zotero.org/users/4775618/items/H4MSK5FB"],"uri":["http://zotero.org/users/4775618/items/H4MSK5FB"],"itemData":{"id":1729,"type":"article-journal","title":"Somatic mutations of the histone H3K27 demethylase gene UTX in human cancer","container-title":"Nature Genetics","page":"521-523","volume":"41","issue":"5","source":"PubMed","abstract":"Somatically acquired epigenetic changes are present in many cancers. Epigenetic regulation is maintained via post-translational modifications of core histones. Here, we describe inactivating somatic mutations in the histone lysine demethylase gene UTX, pointing to histone H3 lysine methylation deregulation in multiple tumor types. UTX reintroduction into cancer cells with inactivating UTX mutations resulted in slowing of proliferation and marked transcriptional changes. These data identify UTX as a new human cancer gene.","DOI":"10.1038/ng.349","ISSN":"1546-1718","note":"PMID: 19330029\nPMCID: PMC2873835","journalAbbreviation":"Nat. Genet.","language":"eng","author":[{"family":"Haaften","given":"Gijs","non-dropping-particle":"van"},{"family":"Dalgliesh","given":"Gillian L."},{"family":"Davies","given":"Helen"},{"family":"Chen","given":"Lina"},{"family":"Bignell","given":"Graham"},{"family":"Greenman","given":"Chris"},{"family":"Edkins","given":"Sarah"},{"family":"Hardy","given":"Claire"},{"family":"O'Meara","given":"Sarah"},{"family":"Teague","given":"Jon"},{"family":"Butler","given":"Adam"},{"family":"Hinton","given":"Jonathan"},{"family":"Latimer","given":"Calli"},{"family":"Andrews","given":"Jenny"},{"family":"Barthorpe","given":"Syd"},{"family":"Beare","given":"Dave"},{"family":"Buck","given":"Gemma"},{"family":"Campbell","given":"Peter J."},{"family":"Cole","given":"Jennifer"},{"family":"Forbes","given":"Simon"},{"family":"Jia","given":"Mingming"},{"family":"Jones","given":"David"},{"family":"Kok","given":"Chai Yin"},{"family":"Leroy","given":"Catherine"},{"family":"Lin","given":"Meng-Lay"},{"family":"McBride","given":"David J."},{"family":"Maddison","given":"Mark"},{"family":"Maquire","given":"Simon"},{"family":"McLay","given":"Kirsten"},{"family":"Menzies","given":"Andrew"},{"family":"Mironenko","given":"Tatiana"},{"family":"Mulderrig","given":"Lee"},{"family":"Mudie","given":"Laura"},{"family":"Pleasance","given":"Erin"},{"family":"Shepherd","given":"Rebecca"},{"family":"Smith","given":"Raffaella"},{"family":"Stebbings","given":"Lucy"},{"family":"Stephens","given":"Philip"},{"family":"Tang","given":"Gurpreet"},{"family":"Tarpey","given":"Patrick S."},{"family":"Turner","given":"Rachel"},{"family":"Turrell","given":"Kelly"},{"family":"Varian","given":"Jennifer"},{"family":"West","given":"Sofie"},{"family":"Widaa","given":"Sara"},{"family":"Wray","given":"Paul"},{"family":"Collins","given":"V. Peter"},{"family":"Ichimura","given":"Koichi"},{"family":"Law","given":"Simon"},{"family":"Wong","given":"John"},{"family":"Yuen","given":"Siu Tsan"},{"family":"Leung","given":"Suet Yi"},{"family":"Tonon","given":"Giovanni"},{"family":"DePinho","given":"Ronald A."},{"family":"Tai","given":"Yu-Tzu"},{"family":"Anderson","given":"Kenneth C."},{"family":"Kahnoski","given":"Richard J."},{"family":"Massie","given":"Aaron"},{"family":"Khoo","given":"Sok Kean"},{"family":"Teh","given":"Bin Tean"},{"family":"Stratton","given":"Michael R."},{"family":"Futreal","given":"P. Andrew"}],"issued":{"date-parts":[["2009",5]]}}}],"schema":"https://github.com/citation-style-language/schema/raw/master/csl-citation.json"} </w:instrText>
      </w:r>
      <w:r w:rsidR="00811650">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228,229</w:t>
      </w:r>
      <w:r w:rsidR="00811650">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several studies have investigated the effects of DNMT inhibitors </w:t>
      </w:r>
      <w:r w:rsidRPr="00B946E4">
        <w:rPr>
          <w:rFonts w:ascii="Calibri" w:hAnsi="Calibri" w:cs="Calibri"/>
          <w:color w:val="000000" w:themeColor="text1"/>
          <w:sz w:val="22"/>
          <w:szCs w:val="22"/>
        </w:rPr>
        <w:t>in this setting</w:t>
      </w:r>
      <w:r w:rsidRPr="00D637BA">
        <w:rPr>
          <w:rFonts w:ascii="Calibri" w:hAnsi="Calibri" w:cs="Calibri"/>
          <w:color w:val="000000" w:themeColor="text1"/>
          <w:sz w:val="22"/>
          <w:szCs w:val="22"/>
        </w:rPr>
        <w:t xml:space="preserve"> with encouraging results</w:t>
      </w:r>
      <w:r w:rsidRPr="00B946E4">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For example, DNMT inhibitors inhibit</w:t>
      </w:r>
      <w:r w:rsidR="009347BF">
        <w:rPr>
          <w:rFonts w:ascii="Calibri" w:hAnsi="Calibri" w:cs="Calibri"/>
          <w:color w:val="000000" w:themeColor="text1"/>
          <w:sz w:val="22"/>
          <w:szCs w:val="22"/>
        </w:rPr>
        <w:t>ed</w:t>
      </w:r>
      <w:r w:rsidRPr="00D637BA">
        <w:rPr>
          <w:rFonts w:ascii="Calibri" w:hAnsi="Calibri" w:cs="Calibri"/>
          <w:color w:val="000000" w:themeColor="text1"/>
          <w:sz w:val="22"/>
          <w:szCs w:val="22"/>
        </w:rPr>
        <w:t xml:space="preserve"> the </w:t>
      </w:r>
      <w:r w:rsidR="00F131BF" w:rsidRPr="00D637BA">
        <w:rPr>
          <w:rFonts w:ascii="Calibri" w:hAnsi="Calibri" w:cs="Calibri"/>
          <w:color w:val="000000" w:themeColor="text1"/>
          <w:sz w:val="22"/>
          <w:szCs w:val="22"/>
        </w:rPr>
        <w:t xml:space="preserve">growth </w:t>
      </w:r>
      <w:r w:rsidRPr="00B946E4">
        <w:rPr>
          <w:rFonts w:ascii="Calibri" w:hAnsi="Calibri" w:cs="Calibri"/>
          <w:color w:val="000000" w:themeColor="text1"/>
          <w:sz w:val="22"/>
          <w:szCs w:val="22"/>
        </w:rPr>
        <w:t>of</w:t>
      </w:r>
      <w:r w:rsidR="00F131BF" w:rsidRPr="00D637BA">
        <w:rPr>
          <w:rFonts w:ascii="Calibri" w:hAnsi="Calibri" w:cs="Calibri"/>
          <w:color w:val="000000" w:themeColor="text1"/>
          <w:sz w:val="22"/>
          <w:szCs w:val="22"/>
        </w:rPr>
        <w:t xml:space="preserve"> </w:t>
      </w:r>
      <w:r w:rsidR="00F131BF" w:rsidRPr="00D637BA">
        <w:rPr>
          <w:rFonts w:ascii="Calibri" w:hAnsi="Calibri" w:cs="Calibri"/>
          <w:i/>
          <w:color w:val="000000" w:themeColor="text1"/>
          <w:sz w:val="22"/>
          <w:szCs w:val="22"/>
        </w:rPr>
        <w:t>VHL-</w:t>
      </w:r>
      <w:r w:rsidR="00F131BF" w:rsidRPr="00D637BA">
        <w:rPr>
          <w:rFonts w:ascii="Calibri" w:hAnsi="Calibri" w:cs="Calibri"/>
          <w:color w:val="000000" w:themeColor="text1"/>
          <w:sz w:val="22"/>
          <w:szCs w:val="22"/>
        </w:rPr>
        <w:t xml:space="preserve">mutant and </w:t>
      </w:r>
      <w:r w:rsidR="000F5CD0" w:rsidRPr="00B946E4">
        <w:rPr>
          <w:rFonts w:ascii="Calibri" w:hAnsi="Calibri" w:cs="Calibri"/>
          <w:i/>
          <w:color w:val="000000" w:themeColor="text1"/>
          <w:sz w:val="22"/>
          <w:szCs w:val="22"/>
        </w:rPr>
        <w:t>VHL</w:t>
      </w:r>
      <w:r w:rsidR="00F131BF" w:rsidRPr="00D637BA">
        <w:rPr>
          <w:rFonts w:ascii="Calibri" w:hAnsi="Calibri" w:cs="Calibri"/>
          <w:color w:val="000000" w:themeColor="text1"/>
          <w:sz w:val="22"/>
          <w:szCs w:val="22"/>
        </w:rPr>
        <w:t>-wildtype RCC cell lines</w:t>
      </w:r>
      <w:r w:rsidR="00811650">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{"citationID":"a2ijbq68tcl","properties":{"formattedCitation":"\\super 230\\nosupersub{}","plainCitation":"230","noteIndex":0},"citationItems":[{"id":1800,"uris":["http://zotero.org/users/4775618/items/EFNXBWKZ"],"uri":["http://zotero.org/users/4775618/items/EFNXBWKZ"],"itemData":{"id":1800,"type":"article-journal","title":"Kidney cancer is characterized by aberrant methylation of tissue-specific enhancers that are prognostic for overall survival","container-title":"Clinical Cancer Research: An Official Journal of the American Association for Cancer Research","page":"4349-4360","volume":"20","issue":"16","source":"PubMed","abstract":"PURPOSE: Even though recent studies have shown that genetic changes at enhancers can influence carcinogenesis, most methylomic studies have focused on changes at promoters. We used renal cell carcinoma (RCC), an incurable malignancy associated with mutations in epigenetic regulators, as a model to study genome-wide patterns of DNA methylation at a high resolution.\nEXPERIMENTAL DESIGN: Analysis of cytosine methylation status of 1.3 million CpGs was determined by the HELP assay in RCC and healthy microdissected renal tubular controls.\nRESULTS: We observed that the RCC samples were characterized by widespread hypermethylation that preferentially affected gene bodies. Aberrant methylation was particularly enriched in kidney-specific enhancer regions associated with H3K4Me1 marks. Various important underexpressed genes, such as SMAD6, were associated with aberrantly methylated, intronic enhancers, and these changes were validated in an independent cohort. MOTIF analysis of aberrantly hypermethylated regions revealed enrichment for binding sites of AP2a, AHR, HAIRY, ARNT, and HIF1 transcription factors, reflecting contributions of dysregulated hypoxia signaling pathways in RCC. The functional importance of this aberrant hypermethylation was demonstrated by selective sensitivity of RCC cells to low levels of decitabine. Most importantly, methylation of enhancers was predictive of adverse prognosis in 405 cases of RCC in multivariate analysis. In addition, parallel copy-number analysis from MspI representations demonstrated novel copy-number variations that were validated in an independent cohort of patients.\nCONCLUSIONS: Our study is the first high-resolution methylome analysis of RCC, demonstrates that many kidney-specific enhancers are targeted by aberrant hypermethylation, and reveals the prognostic importance of these epigenetic changes in an independent cohort.","DOI":"10.1158/1078-0432.CCR-14-0494","ISSN":"1078-0432","note":"PMID: 24916699\nPMCID: PMC4424050","journalAbbreviation":"Clin. Cancer Res.","language":"eng","author":[{"family":"Hu","given":"Caroline Y."},{"family":"Mohtat","given":"Davoud"},{"family":"Yu","given":"Yiting"},{"family":"Ko","given":"Yi-An"},{"family":"Shenoy","given":"Niraj"},{"family":"Bhattacharya","given":"Sanchari"},{"family":"Izquierdo","given":"Maria C."},{"family":"Park","given":"Ae Seo Deok"},{"family":"Giricz","given":"Orsolya"},{"family":"Vallumsetla","given":"Nishanth"},{"family":"Gundabolu","given":"Krishna"},{"family":"Ware","given":"Kristin"},{"family":"Bhagat","given":"Tushar D."},{"family":"Suzuki","given":"Masako"},{"family":"Pullman","given":"James"},{"family":"Liu","given":"X. Shirley"},{"family":"Greally","given":"John M."},{"family":"Susztak","given":"Katalin"},{"family":"Verma","given":"Amit"}],"issued":{"date-parts":[["2014",8,15]]}}}],"schema":"https://github.com/citation-style-language/schema/raw/master/csl-citation.json"} </w:instrText>
      </w:r>
      <w:r w:rsidR="00811650">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230</w:t>
      </w:r>
      <w:r w:rsidR="00811650">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D</w:t>
      </w:r>
      <w:r w:rsidRPr="00B946E4">
        <w:rPr>
          <w:rFonts w:ascii="Calibri" w:hAnsi="Calibri" w:cs="Calibri"/>
          <w:color w:val="000000" w:themeColor="text1"/>
          <w:sz w:val="22"/>
          <w:szCs w:val="22"/>
        </w:rPr>
        <w:t xml:space="preserve">ose-dependent </w:t>
      </w:r>
      <w:r w:rsidR="00F131BF" w:rsidRPr="00D637BA">
        <w:rPr>
          <w:rFonts w:ascii="Calibri" w:hAnsi="Calibri" w:cs="Calibri"/>
          <w:color w:val="000000" w:themeColor="text1"/>
          <w:sz w:val="22"/>
          <w:szCs w:val="22"/>
        </w:rPr>
        <w:t xml:space="preserve">re-expression of silenced genes was </w:t>
      </w:r>
      <w:r w:rsidRPr="00D637BA">
        <w:rPr>
          <w:rFonts w:ascii="Calibri" w:hAnsi="Calibri" w:cs="Calibri"/>
          <w:color w:val="000000" w:themeColor="text1"/>
          <w:sz w:val="22"/>
          <w:szCs w:val="22"/>
        </w:rPr>
        <w:t xml:space="preserve">also </w:t>
      </w:r>
      <w:r w:rsidR="00F131BF" w:rsidRPr="00D637BA">
        <w:rPr>
          <w:rFonts w:ascii="Calibri" w:hAnsi="Calibri" w:cs="Calibri"/>
          <w:color w:val="000000" w:themeColor="text1"/>
          <w:sz w:val="22"/>
          <w:szCs w:val="22"/>
        </w:rPr>
        <w:t>observed with DNMT inhibition in several RCC cell lines</w:t>
      </w:r>
      <w:r w:rsidR="00811650">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{"citationID":"anepscv9un","properties":{"formattedCitation":"\\super 230,231\\nosupersub{}","plainCitation":"230,231","noteIndex":0},"citationItems":[{"id":1800,"uris":["http://zotero.org/users/4775618/items/EFNXBWKZ"],"uri":["http://zotero.org/users/4775618/items/EFNXBWKZ"],"itemData":{"id":1800,"type":"article-journal","title":"Kidney cancer is characterized by aberrant methylation of tissue-specific enhancers that are prognostic for overall survival","container-title":"Clinical Cancer Research: An Official Journal of the American Association for Cancer Research","page":"4349-4360","volume":"20","issue":"16","source":"PubMed","abstract":"PURPOSE: Even though recent studies have shown that genetic changes at enhancers can influence carcinogenesis, most methylomic studies have focused on changes at promoters. We used renal cell carcinoma (RCC), an incurable malignancy associated with mutations in epigenetic regulators, as a model to study genome-wide patterns of DNA methylation at a high resolution.\nEXPERIMENTAL DESIGN: Analysis of cytosine methylation status of 1.3 million CpGs was determined by the HELP assay in RCC and healthy microdissected renal tubular controls.\nRESULTS: We observed that the RCC samples were characterized by widespread hypermethylation that preferentially affected gene bodies. Aberrant methylation was particularly enriched in kidney-specific enhancer regions associated with H3K4Me1 marks. Various important underexpressed genes, such as SMAD6, were associated with aberrantly methylated, intronic enhancers, and these changes were validated in an independent cohort. MOTIF analysis of aberrantly hypermethylated regions revealed enrichment for binding sites of AP2a, AHR, HAIRY, ARNT, and HIF1 transcription factors, reflecting contributions of dysregulated hypoxia signaling pathways in RCC. The functional importance of this aberrant hypermethylation was demonstrated by selective sensitivity of RCC cells to low levels of decitabine. Most importantly, methylation of enhancers was predictive of adverse prognosis in 405 cases of RCC in multivariate analysis. In addition, parallel copy-number analysis from MspI representations demonstrated novel copy-number variations that were validated in an independent cohort of patients.\nCONCLUSIONS: Our study is the first high-resolution methylome analysis of RCC, demonstrates that many kidney-specific enhancers are targeted by aberrant hypermethylation, and reveals the prognostic importance of these epigenetic changes in an independent cohort.","DOI":"10.1158/1078-0432.CCR-14-0494","ISSN":"1078-0432","note":"PMID: 24916699\nPMCID: PMC4424050","journalAbbreviation":"Clin. Cancer Res.","language":"eng","author":[{"family":"Hu","given":"Caroline Y."},{"family":"Mohtat","given":"Davoud"},{"family":"Yu","given":"Yiting"},{"family":"Ko","given":"Yi-An"},{"family":"Shenoy","given":"Niraj"},{"family":"Bhattacharya","given":"Sanchari"},{"family":"Izquierdo","given":"Maria C."},{"family":"Park","given":"Ae Seo Deok"},{"family":"Giricz","given":"Orsolya"},{"family":"Vallumsetla","given":"Nishanth"},{"family":"Gundabolu","given":"Krishna"},{"family":"Ware","given":"Kristin"},{"family":"Bhagat","given":"Tushar D."},{"family":"Suzuki","given":"Masako"},{"family":"Pullman","given":"James"},{"family":"Liu","given":"X. Shirley"},{"family":"Greally","given":"John M."},{"family":"Susztak","given":"Katalin"},{"family":"Verma","given":"Amit"}],"issued":{"date-parts":[["2014",8,15]]}}},{"id":1802,"uris":["http://zotero.org/users/4775618/items/6P9KEVLK"],"uri":["http://zotero.org/users/4775618/items/6P9KEVLK"],"itemData":{"id":1802,"type":"article-journal","title":"Aberrant Promoter Methylation of the ABCG2 Gene in Renal Carcinoma","container-title":"Molecular and Cellular Biology","page":"8572-8585","volume":"26","issue":"22","source":"PubMed Central","abstract":"ABCG2 is a ubiquitous ATP-binding cassette transmembrane protein that is important in clinical drug resistance. Little is known about the mechanism(s) regulating the expression of ABCG2. We hypothesized that DNA methylation could play a role in the epigenetic regulation of ABCG2 gene expression. The promoter methylation status of three renal carcinoma cell lines was assessed with restriction enzyme digestion-coupled PCR and bisulfite genomic sequencing. Both UOK121 and UOK143, with known methylation of the VHL promoter, showed induction of ABCG2 expression after 5-aza-2′-deoxycytidine (5-aza-dC) treatment, suggesting that aberrant methylation of the ABCG2 gene was associated with gene silencing. In vitro methylation of the ABCG2 promoter-driven luciferase reporter vector resulted in a significant inhibition of transcription. Our data suggested that the ABCG2 gene is regulated coordinately at both histone and DNA levels. A chromatin immunoprecipitation assay demonstrated that the methylated promoter in UOK121 and UOK143, but not the unmethylated one in UOK181, is associated with the methyl CpG binding domain proteins (MBDs), MBD2 and MeCP2. Histone deacetylase 1 and a corepressor, mSin3A, were identified binding to the promoter region containing the CpG island, thereby suppressing ABCG2 transcription. Reactivation of ABCG2 was achieved by treatment with 5-aza-dC, a demethylating agent, concomitant with the release of MBDs from the promoter. Furthermore, the association of methylated lysine 9 on histone H3, a hallmark of promoter methylation, with the promoter was reduced following 5-aza-dC treatment. These data suggest that DNA methylation-dependent formation of a repressor complex in the CpG island contributes to inactivation of ABCG2.","URL":"https://www.ncbi.nlm.nih.gov/pmc/articles/PMC1636795/","DOI":"10.1128/MCB.00650-06","ISSN":"0270-7306","note":"PMID: 16954373\nPMCID: PMC1636795","journalAbbreviation":"Mol Cell Biol","author":[{"family":"To","given":"Kenneth K. W."},{"family":"Zhan","given":"Z."},{"family":"Bates","given":"Susan E."}],"issued":{"date-parts":[["2006",11]]},"accessed":{"date-parts":[["2019",3,6]]}}}],"schema":"https://github.com/citation-style-language/schema/raw/master/csl-citation.json"} </w:instrText>
      </w:r>
      <w:r w:rsidR="00811650">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230,231</w:t>
      </w:r>
      <w:r w:rsidR="00811650">
        <w:rPr>
          <w:rFonts w:ascii="Calibri" w:hAnsi="Calibri" w:cs="Calibri"/>
          <w:color w:val="000000" w:themeColor="text1"/>
          <w:sz w:val="22"/>
          <w:szCs w:val="22"/>
        </w:rPr>
        <w:fldChar w:fldCharType="end"/>
      </w:r>
      <w:r w:rsidR="000167D7" w:rsidRPr="000167D7">
        <w:rPr>
          <w:rFonts w:ascii="Calibri" w:hAnsi="Calibri" w:cs="Calibri"/>
          <w:sz w:val="22"/>
          <w:szCs w:val="22"/>
        </w:rPr>
        <w:t>.</w:t>
      </w:r>
      <w:r w:rsidR="001950E2" w:rsidRPr="00D637BA">
        <w:rPr>
          <w:rFonts w:ascii="Calibri" w:hAnsi="Calibri" w:cs="Calibri"/>
          <w:color w:val="000000" w:themeColor="text1"/>
          <w:sz w:val="22"/>
          <w:szCs w:val="22"/>
        </w:rPr>
        <w:t xml:space="preserve"> DNMT inhibitor</w:t>
      </w:r>
      <w:r w:rsidRPr="00D637BA">
        <w:rPr>
          <w:rFonts w:ascii="Calibri" w:hAnsi="Calibri" w:cs="Calibri"/>
          <w:color w:val="000000" w:themeColor="text1"/>
          <w:sz w:val="22"/>
          <w:szCs w:val="22"/>
        </w:rPr>
        <w:t>s</w:t>
      </w:r>
      <w:r w:rsidRPr="00B946E4">
        <w:rPr>
          <w:rFonts w:ascii="Calibri" w:hAnsi="Calibri" w:cs="Calibri"/>
          <w:color w:val="000000" w:themeColor="text1"/>
          <w:sz w:val="22"/>
          <w:szCs w:val="22"/>
        </w:rPr>
        <w:t xml:space="preserve"> </w:t>
      </w:r>
      <w:r w:rsidR="001950E2" w:rsidRPr="00D637BA">
        <w:rPr>
          <w:rFonts w:ascii="Calibri" w:hAnsi="Calibri" w:cs="Calibri"/>
          <w:color w:val="000000" w:themeColor="text1"/>
          <w:sz w:val="22"/>
          <w:szCs w:val="22"/>
        </w:rPr>
        <w:t>reverse</w:t>
      </w:r>
      <w:r w:rsidR="009347BF">
        <w:rPr>
          <w:rFonts w:ascii="Calibri" w:hAnsi="Calibri" w:cs="Calibri"/>
          <w:color w:val="000000" w:themeColor="text1"/>
          <w:sz w:val="22"/>
          <w:szCs w:val="22"/>
        </w:rPr>
        <w:t>d</w:t>
      </w:r>
      <w:r w:rsidR="001950E2" w:rsidRPr="00D637BA">
        <w:rPr>
          <w:rFonts w:ascii="Calibri" w:hAnsi="Calibri" w:cs="Calibri"/>
          <w:color w:val="000000" w:themeColor="text1"/>
          <w:sz w:val="22"/>
          <w:szCs w:val="22"/>
        </w:rPr>
        <w:t xml:space="preserve"> the silencing methylation </w:t>
      </w:r>
      <w:r w:rsidR="00F131BF" w:rsidRPr="00D637BA">
        <w:rPr>
          <w:rFonts w:ascii="Calibri" w:hAnsi="Calibri" w:cs="Calibri"/>
          <w:color w:val="000000" w:themeColor="text1"/>
          <w:sz w:val="22"/>
          <w:szCs w:val="22"/>
        </w:rPr>
        <w:t>of interferon (IFN) response genes in RCC cells</w:t>
      </w:r>
      <w:r w:rsidR="001950E2" w:rsidRPr="00D637BA">
        <w:rPr>
          <w:rFonts w:ascii="Calibri" w:hAnsi="Calibri" w:cs="Calibri"/>
          <w:color w:val="000000" w:themeColor="text1"/>
          <w:sz w:val="22"/>
          <w:szCs w:val="22"/>
        </w:rPr>
        <w:t>, enabling their re-expression</w:t>
      </w:r>
      <w:r w:rsidR="00F131BF" w:rsidRPr="00D637BA">
        <w:rPr>
          <w:rFonts w:ascii="Calibri" w:hAnsi="Calibri" w:cs="Calibri"/>
          <w:color w:val="000000" w:themeColor="text1"/>
          <w:sz w:val="22"/>
          <w:szCs w:val="22"/>
        </w:rPr>
        <w:t xml:space="preserve"> </w:t>
      </w:r>
      <w:r w:rsidR="001950E2" w:rsidRPr="00D637BA">
        <w:rPr>
          <w:rFonts w:ascii="Calibri" w:hAnsi="Calibri" w:cs="Calibri"/>
          <w:color w:val="000000" w:themeColor="text1"/>
          <w:sz w:val="22"/>
          <w:szCs w:val="22"/>
        </w:rPr>
        <w:t>and therefore</w:t>
      </w:r>
      <w:r w:rsidR="00F131BF" w:rsidRPr="00D637BA">
        <w:rPr>
          <w:rFonts w:ascii="Calibri" w:hAnsi="Calibri" w:cs="Calibri"/>
          <w:color w:val="000000" w:themeColor="text1"/>
          <w:sz w:val="22"/>
          <w:szCs w:val="22"/>
        </w:rPr>
        <w:t xml:space="preserve"> augment</w:t>
      </w:r>
      <w:r w:rsidR="001950E2" w:rsidRPr="00D637BA">
        <w:rPr>
          <w:rFonts w:ascii="Calibri" w:hAnsi="Calibri" w:cs="Calibri"/>
          <w:color w:val="000000" w:themeColor="text1"/>
          <w:sz w:val="22"/>
          <w:szCs w:val="22"/>
        </w:rPr>
        <w:t>ing</w:t>
      </w:r>
      <w:r w:rsidR="00F131BF"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IFN</w:t>
      </w:r>
      <w:r w:rsidR="00F131BF" w:rsidRPr="00D637BA">
        <w:rPr>
          <w:rFonts w:ascii="Calibri" w:hAnsi="Calibri" w:cs="Calibri"/>
          <w:color w:val="000000" w:themeColor="text1"/>
          <w:sz w:val="22"/>
          <w:szCs w:val="22"/>
        </w:rPr>
        <w:t xml:space="preserve">-induced apoptosis </w:t>
      </w:r>
      <w:r w:rsidR="00F131BF" w:rsidRPr="00D637BA">
        <w:rPr>
          <w:rFonts w:ascii="Calibri" w:hAnsi="Calibri" w:cs="Calibri"/>
          <w:i/>
          <w:color w:val="000000" w:themeColor="text1"/>
          <w:sz w:val="22"/>
          <w:szCs w:val="22"/>
        </w:rPr>
        <w:t>in vitro</w:t>
      </w:r>
      <w:r w:rsidR="00811650">
        <w:rPr>
          <w:rFonts w:ascii="Calibri" w:hAnsi="Calibri" w:cs="Calibri"/>
          <w:i/>
          <w:color w:val="000000" w:themeColor="text1"/>
          <w:sz w:val="22"/>
          <w:szCs w:val="22"/>
        </w:rPr>
        <w:fldChar w:fldCharType="begin"/>
      </w:r>
      <w:r w:rsidR="004E2A88">
        <w:rPr>
          <w:rFonts w:ascii="Calibri" w:hAnsi="Calibri" w:cs="Calibri"/>
          <w:i/>
          <w:color w:val="000000" w:themeColor="text1"/>
          <w:sz w:val="22"/>
          <w:szCs w:val="22"/>
        </w:rPr>
        <w:instrText xml:space="preserve"> ADDIN ZOTERO_ITEM CSL_CITATION {"citationID":"a14hfhvkbt5","properties":{"formattedCitation":"\\super 232\\nosupersub{}","plainCitation":"232","noteIndex":0},"citationItems":[{"id":1809,"uris":["http://zotero.org/users/4775618/items/7RDVK3JS"],"uri":["http://zotero.org/users/4775618/items/7RDVK3JS"],"itemData":{"id":1809,"type":"article-journal","title":"Overcoming resistance to interferon-induced apoptosis of renal carcinoma and melanoma cells by DNA demethylation","container-title":"Journal of Clinical Oncology: Official Journal of the American Society of Clinical Oncology","page":"3771-3779","volume":"24","issue":"23","source":"PubMed","abstract":"Epigenetic editing of gene expression by aberrant methylation of DNA may help tumor cells escape attack from the innate and acquired immune systems. Resistance to antiproliferative effects and apoptosis induction by interferons (IFNs) was postulated to result from silencing of IFN response genes by promoter hypermethylation. Treatment of human ACHN renal cell carcinoma (RCC) and A375 melanoma cells with the DNA demethylating nucleoside analog 5-AZA-2'-deoxycytidine (5-AZA-dC) synergistically augmented antiproliferative effects of IFN- alpha (alpha) 2 and IFN-beta (beta). Either 5-AZA-dC or an antisense to DNA methyltransferase 1 (DNMT1) overcame resistance to apoptosis induction by IFNs with up to 85% apoptotic cells resulting from the combinations. No similar potentiation occurred in normal kidney epithelial cells. IFN response genes were augmented more than 10 times in expression by 5-AZA-dC. Demethylation by 5-AZA-dC of the promoter of the prototypic, apoptosis-associated IFN response gene XAF1 was confirmed by methylation-specific polymerase chain reaction. siRNA to XAF1 inhibited IFN-induced apoptosis; conversely, overexpression of XAF1 overcame resistance to apoptosis induction by IFN-beta. As occurred with apoptosis-resistant melanoma cells in vitro, tumor growth inhibition in the nude mouse of human A375 melanoma xenografts resulted from treatment with 5-AZA-dC in combination with IFN-beta, an effect not resulting from either single agent. The importance of epigenetic remodeling of expression of immune-modifying genes in tumor cells was further suggested by identifying reactivation of the cancer-testis antigens MAGE and RAGE in ACHN cells after DNMT1 depletion. Thus, inhibitors of DNMT1 may have clinical relevance for immune modulation by augmentation of cytokine effects and/or expression of tumor-associated antigens.","DOI":"10.1200/JCO.2005.03.4074","ISSN":"1527-7755","note":"PMID: 16801630","journalAbbreviation":"J. Clin. Oncol.","language":"eng","author":[{"family":"Reu","given":"Frederic J."},{"family":"Bae","given":"Soo In"},{"family":"Cherkassky","given":"Leonid"},{"family":"Leaman","given":"Douglas W."},{"family":"Lindner","given":"Daniel"},{"family":"Beaulieu","given":"Normand"},{"family":"MacLeod","given":"A. Robert"},{"family":"Borden","given":"Ernest C."}],"issued":{"date-parts":[["2006",8,10]]}}}],"schema":"https://github.com/citation-style-language/schema/raw/master/csl-citation.json"} </w:instrText>
      </w:r>
      <w:r w:rsidR="00811650">
        <w:rPr>
          <w:rFonts w:ascii="Calibri" w:hAnsi="Calibri" w:cs="Calibri"/>
          <w:i/>
          <w:color w:val="000000" w:themeColor="text1"/>
          <w:sz w:val="22"/>
          <w:szCs w:val="22"/>
        </w:rPr>
        <w:fldChar w:fldCharType="separate"/>
      </w:r>
      <w:r w:rsidR="004E2A88" w:rsidRPr="004E2A88">
        <w:rPr>
          <w:rFonts w:ascii="Calibri" w:hAnsi="Calibri" w:cs="Calibri"/>
          <w:color w:val="000000"/>
          <w:sz w:val="22"/>
          <w:vertAlign w:val="superscript"/>
          <w:lang w:val="en-US"/>
        </w:rPr>
        <w:t>232</w:t>
      </w:r>
      <w:r w:rsidR="00811650">
        <w:rPr>
          <w:rFonts w:ascii="Calibri" w:hAnsi="Calibri" w:cs="Calibri"/>
          <w:i/>
          <w:color w:val="000000" w:themeColor="text1"/>
          <w:sz w:val="22"/>
          <w:szCs w:val="22"/>
        </w:rPr>
        <w:fldChar w:fldCharType="end"/>
      </w:r>
      <w:r w:rsidR="00F131BF" w:rsidRPr="00D637BA">
        <w:rPr>
          <w:rFonts w:ascii="Calibri" w:hAnsi="Calibri" w:cs="Calibri"/>
          <w:i/>
          <w:color w:val="000000" w:themeColor="text1"/>
          <w:sz w:val="22"/>
          <w:szCs w:val="22"/>
        </w:rPr>
        <w:t>.</w:t>
      </w:r>
      <w:r w:rsidR="000167D7">
        <w:rPr>
          <w:rFonts w:ascii="Calibri" w:hAnsi="Calibri" w:cs="Calibri"/>
          <w:color w:val="000000" w:themeColor="text1"/>
          <w:sz w:val="22"/>
          <w:szCs w:val="22"/>
        </w:rPr>
        <w:t xml:space="preserve"> </w:t>
      </w:r>
      <w:r w:rsidRPr="00B946E4">
        <w:rPr>
          <w:rFonts w:ascii="Calibri" w:hAnsi="Calibri" w:cs="Calibri"/>
          <w:color w:val="000000" w:themeColor="text1"/>
          <w:sz w:val="22"/>
          <w:szCs w:val="22"/>
        </w:rPr>
        <w:t>A</w:t>
      </w:r>
      <w:r w:rsidR="00F131BF" w:rsidRPr="00D637BA">
        <w:rPr>
          <w:rFonts w:ascii="Calibri" w:hAnsi="Calibri" w:cs="Calibri"/>
          <w:color w:val="000000" w:themeColor="text1"/>
          <w:sz w:val="22"/>
          <w:szCs w:val="22"/>
        </w:rPr>
        <w:t>n early clinical study</w:t>
      </w:r>
      <w:r w:rsidRPr="00B946E4">
        <w:rPr>
          <w:rFonts w:ascii="Calibri" w:hAnsi="Calibri" w:cs="Calibri"/>
          <w:color w:val="000000" w:themeColor="text1"/>
          <w:sz w:val="22"/>
          <w:szCs w:val="22"/>
        </w:rPr>
        <w:t xml:space="preserve"> demonstrated potential efficacy of</w:t>
      </w:r>
      <w:r w:rsidR="00F131BF" w:rsidRPr="00D637BA">
        <w:rPr>
          <w:rFonts w:ascii="Calibri" w:hAnsi="Calibri" w:cs="Calibri"/>
          <w:color w:val="000000" w:themeColor="text1"/>
          <w:sz w:val="22"/>
          <w:szCs w:val="22"/>
        </w:rPr>
        <w:t xml:space="preserve"> combined DNMT inhibition and </w:t>
      </w:r>
      <w:r w:rsidR="001950E2" w:rsidRPr="00D637BA">
        <w:rPr>
          <w:rFonts w:ascii="Calibri" w:hAnsi="Calibri" w:cs="Calibri"/>
          <w:color w:val="000000" w:themeColor="text1"/>
          <w:sz w:val="22"/>
          <w:szCs w:val="22"/>
        </w:rPr>
        <w:t xml:space="preserve">IFN </w:t>
      </w:r>
      <w:r w:rsidR="00F131BF" w:rsidRPr="00D637BA">
        <w:rPr>
          <w:rFonts w:ascii="Calibri" w:hAnsi="Calibri" w:cs="Calibri"/>
          <w:color w:val="000000" w:themeColor="text1"/>
          <w:sz w:val="22"/>
          <w:szCs w:val="22"/>
        </w:rPr>
        <w:t xml:space="preserve">therapy in </w:t>
      </w:r>
      <w:r w:rsidRPr="00B946E4">
        <w:rPr>
          <w:rFonts w:ascii="Calibri" w:hAnsi="Calibri" w:cs="Calibri"/>
          <w:color w:val="000000" w:themeColor="text1"/>
          <w:sz w:val="22"/>
          <w:szCs w:val="22"/>
        </w:rPr>
        <w:t>patients with</w:t>
      </w:r>
      <w:r w:rsidR="00F131BF" w:rsidRPr="00D637BA">
        <w:rPr>
          <w:rFonts w:ascii="Calibri" w:hAnsi="Calibri" w:cs="Calibri"/>
          <w:color w:val="000000" w:themeColor="text1"/>
          <w:sz w:val="22"/>
          <w:szCs w:val="22"/>
        </w:rPr>
        <w:t xml:space="preserve"> metastatic RCC</w:t>
      </w:r>
      <w:r w:rsidR="00811650">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{"citationID":"a17942tq6o","properties":{"formattedCitation":"\\super 233\\nosupersub{}","plainCitation":"233","noteIndex":0},"citationItems":[{"id":1812,"uris":["http://zotero.org/users/4775618/items/EN2IQPA7"],"uri":["http://zotero.org/users/4775618/items/EN2IQPA7"],"itemData":{"id":1812,"type":"article-journal","title":"MG98, a second-generation DNMT1 inhibitor, in the treatment of advanced renal cell carcinoma","container-title":"Cancer Investigation","page":"415-421","volume":"30","issue":"5","source":"PubMed","abstract":"BACKGROUND: In carcinogenesis, methylation of DNA promoter regions results in inactivation of tumor-suppressing genes. MG98 was designed to inhibit DNA methyltransferases enzyme 1 production.\nMETHODS: This multicenter study explored two schedules of MG98 with Interferon-α-2β to identify schedule and dose for patients with metastatic RCC.\nRESULTS: Doses of IFN 9 MIU/MG98 125 mg/m(2) for a continuous schedule and IFN 9 MIU/MG98 200 mg/m(2) for an intermittent schedule were considered the MTDs. Treatment resulted in one PR and eight SD.\nCONCLUSION: MG98 combined with IFN was safe and resulted in clinical activity.","DOI":"10.3109/07357907.2012.675381","ISSN":"1532-4192","note":"PMID: 22571342","journalAbbreviation":"Cancer Invest.","language":"eng","author":[{"family":"Amato","given":"Robert J."},{"family":"Stephenson","given":"Joe"},{"family":"Hotte","given":"Sebastien"},{"family":"Nemunaitis","given":"John"},{"family":"Bélanger","given":"Karl"},{"family":"Reid","given":"Gregory"},{"family":"Martell","given":"Robert E."}],"issued":{"date-parts":[["2012",6]]}}}],"schema":"https://github.com/citation-style-language/schema/raw/master/csl-citation.json"} </w:instrText>
      </w:r>
      <w:r w:rsidR="00811650">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233</w:t>
      </w:r>
      <w:r w:rsidR="00811650">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Overall, these studies demonstrate that targeting epigenetic modifiers in RCC has anti-</w:t>
      </w:r>
      <w:r w:rsidR="008B0014" w:rsidRPr="00D637BA">
        <w:rPr>
          <w:rFonts w:ascii="Calibri" w:hAnsi="Calibri" w:cs="Calibri"/>
          <w:color w:val="000000" w:themeColor="text1"/>
          <w:sz w:val="22"/>
          <w:szCs w:val="22"/>
        </w:rPr>
        <w:t>tumoural</w:t>
      </w:r>
      <w:r w:rsidR="00F131BF" w:rsidRPr="00D637BA">
        <w:rPr>
          <w:rFonts w:ascii="Calibri" w:hAnsi="Calibri" w:cs="Calibri"/>
          <w:color w:val="000000" w:themeColor="text1"/>
          <w:sz w:val="22"/>
          <w:szCs w:val="22"/>
        </w:rPr>
        <w:t xml:space="preserve"> effects that may also potentiate and synergise with other adjunctive therapies such as </w:t>
      </w:r>
      <w:r w:rsidR="001950E2" w:rsidRPr="00D637BA">
        <w:rPr>
          <w:rFonts w:ascii="Calibri" w:hAnsi="Calibri" w:cs="Calibri"/>
          <w:color w:val="000000" w:themeColor="text1"/>
          <w:sz w:val="22"/>
          <w:szCs w:val="22"/>
        </w:rPr>
        <w:t xml:space="preserve">IFN </w:t>
      </w:r>
      <w:r w:rsidR="00F131BF" w:rsidRPr="00D637BA">
        <w:rPr>
          <w:rFonts w:ascii="Calibri" w:hAnsi="Calibri" w:cs="Calibri"/>
          <w:color w:val="000000" w:themeColor="text1"/>
          <w:sz w:val="22"/>
          <w:szCs w:val="22"/>
        </w:rPr>
        <w:t>therapy. Given that oncometabolites and other mutated epigenetic modifiers in RCC may converge towards the same gene signature, these studies are especially relevant to therapeutic tactics for targeting aggressive oncometabolite-associated RCC</w:t>
      </w:r>
      <w:r w:rsidR="001950E2" w:rsidRPr="00D637BA">
        <w:rPr>
          <w:rFonts w:ascii="Calibri" w:hAnsi="Calibri" w:cs="Calibri"/>
          <w:color w:val="000000" w:themeColor="text1"/>
          <w:sz w:val="22"/>
          <w:szCs w:val="22"/>
        </w:rPr>
        <w:t>s</w:t>
      </w:r>
      <w:r w:rsidR="00F131BF" w:rsidRPr="00D637BA">
        <w:rPr>
          <w:rFonts w:ascii="Calibri" w:hAnsi="Calibri" w:cs="Calibri"/>
          <w:color w:val="000000" w:themeColor="text1"/>
          <w:sz w:val="22"/>
          <w:szCs w:val="22"/>
        </w:rPr>
        <w:t>.</w:t>
      </w:r>
    </w:p>
    <w:p w14:paraId="5B516DD7" w14:textId="77777777" w:rsidR="00946FFF" w:rsidRPr="00D637BA" w:rsidRDefault="00946FFF" w:rsidP="00F131BF">
      <w:pPr>
        <w:spacing w:line="360" w:lineRule="auto"/>
        <w:jc w:val="both"/>
        <w:rPr>
          <w:rFonts w:ascii="Calibri" w:hAnsi="Calibri" w:cs="Calibri"/>
          <w:b/>
          <w:color w:val="000000" w:themeColor="text1"/>
          <w:sz w:val="22"/>
          <w:szCs w:val="22"/>
        </w:rPr>
      </w:pPr>
    </w:p>
    <w:p w14:paraId="3FC5E5DA" w14:textId="2D6BE762" w:rsidR="004144E4" w:rsidRPr="00B946E4" w:rsidRDefault="00F24289" w:rsidP="00F131BF">
      <w:pPr>
        <w:spacing w:line="360" w:lineRule="auto"/>
        <w:jc w:val="both"/>
        <w:rPr>
          <w:rFonts w:ascii="Calibri" w:hAnsi="Calibri" w:cs="Calibri"/>
          <w:b/>
          <w:color w:val="000000" w:themeColor="text1"/>
          <w:sz w:val="22"/>
          <w:szCs w:val="22"/>
          <w:u w:val="single"/>
        </w:rPr>
      </w:pPr>
      <w:r w:rsidRPr="00D637BA">
        <w:rPr>
          <w:rFonts w:ascii="Calibri" w:hAnsi="Calibri" w:cs="Calibri"/>
          <w:b/>
          <w:color w:val="000000" w:themeColor="text1"/>
          <w:sz w:val="22"/>
          <w:szCs w:val="22"/>
        </w:rPr>
        <w:lastRenderedPageBreak/>
        <w:t>[</w:t>
      </w:r>
      <w:r w:rsidR="00692D86" w:rsidRPr="00D637BA">
        <w:rPr>
          <w:rFonts w:ascii="Calibri" w:hAnsi="Calibri" w:cs="Calibri"/>
          <w:b/>
          <w:color w:val="000000" w:themeColor="text1"/>
          <w:sz w:val="22"/>
          <w:szCs w:val="22"/>
        </w:rPr>
        <w:t>H1</w:t>
      </w:r>
      <w:r w:rsidRPr="00D637BA">
        <w:rPr>
          <w:rFonts w:ascii="Calibri" w:hAnsi="Calibri" w:cs="Calibri"/>
          <w:b/>
          <w:color w:val="000000" w:themeColor="text1"/>
          <w:sz w:val="22"/>
          <w:szCs w:val="22"/>
        </w:rPr>
        <w:t xml:space="preserve">] </w:t>
      </w:r>
      <w:r w:rsidR="00480FD6" w:rsidRPr="00B946E4">
        <w:rPr>
          <w:rFonts w:ascii="Calibri" w:hAnsi="Calibri" w:cs="Calibri"/>
          <w:b/>
          <w:color w:val="000000" w:themeColor="text1"/>
          <w:sz w:val="22"/>
          <w:szCs w:val="22"/>
        </w:rPr>
        <w:t>Use of oncometabolites as b</w:t>
      </w:r>
      <w:r w:rsidR="00F131BF" w:rsidRPr="00D637BA">
        <w:rPr>
          <w:rFonts w:ascii="Calibri" w:hAnsi="Calibri" w:cs="Calibri"/>
          <w:b/>
          <w:color w:val="000000" w:themeColor="text1"/>
          <w:sz w:val="22"/>
          <w:szCs w:val="22"/>
        </w:rPr>
        <w:t>iomarkers</w:t>
      </w:r>
      <w:r w:rsidR="000167D7">
        <w:rPr>
          <w:rFonts w:ascii="Calibri" w:hAnsi="Calibri" w:cs="Calibri"/>
          <w:b/>
          <w:color w:val="000000" w:themeColor="text1"/>
          <w:sz w:val="22"/>
          <w:szCs w:val="22"/>
        </w:rPr>
        <w:t xml:space="preserve"> </w:t>
      </w:r>
    </w:p>
    <w:p w14:paraId="67A5A1CA" w14:textId="2854FFDC" w:rsidR="001E6476" w:rsidRPr="00970F62" w:rsidRDefault="00580FB0" w:rsidP="00F131BF">
      <w:pPr>
        <w:spacing w:line="360" w:lineRule="auto"/>
        <w:jc w:val="both"/>
        <w:rPr>
          <w:rFonts w:ascii="Calibri" w:hAnsi="Calibri" w:cs="Calibri"/>
          <w:color w:val="000000" w:themeColor="text1"/>
          <w:sz w:val="22"/>
          <w:szCs w:val="22"/>
        </w:rPr>
      </w:pPr>
      <w:r w:rsidRPr="00970F62">
        <w:rPr>
          <w:rFonts w:ascii="Calibri" w:hAnsi="Calibri" w:cs="Calibri"/>
          <w:color w:val="000000" w:themeColor="text1"/>
          <w:sz w:val="22"/>
          <w:szCs w:val="22"/>
        </w:rPr>
        <w:t xml:space="preserve">Aside from identifying novel therapeutic targets, oncometabolites and associated phenomena </w:t>
      </w:r>
      <w:r w:rsidR="00CF0CDE" w:rsidRPr="00970F62">
        <w:rPr>
          <w:rFonts w:ascii="Calibri" w:hAnsi="Calibri" w:cs="Calibri"/>
          <w:color w:val="000000" w:themeColor="text1"/>
          <w:sz w:val="22"/>
          <w:szCs w:val="22"/>
        </w:rPr>
        <w:t>can also be</w:t>
      </w:r>
      <w:r w:rsidRPr="00970F62">
        <w:rPr>
          <w:rFonts w:ascii="Calibri" w:hAnsi="Calibri" w:cs="Calibri"/>
          <w:color w:val="000000" w:themeColor="text1"/>
          <w:sz w:val="22"/>
          <w:szCs w:val="22"/>
        </w:rPr>
        <w:t xml:space="preserve"> exploited </w:t>
      </w:r>
      <w:r w:rsidR="00CF0CDE" w:rsidRPr="00970F62">
        <w:rPr>
          <w:rFonts w:ascii="Calibri" w:hAnsi="Calibri" w:cs="Calibri"/>
          <w:color w:val="000000" w:themeColor="text1"/>
          <w:sz w:val="22"/>
          <w:szCs w:val="22"/>
        </w:rPr>
        <w:t>for their potential as biomarkers</w:t>
      </w:r>
      <w:r w:rsidR="00277624" w:rsidRPr="00970F62">
        <w:rPr>
          <w:rFonts w:ascii="Calibri" w:hAnsi="Calibri" w:cs="Calibri"/>
          <w:color w:val="000000" w:themeColor="text1"/>
          <w:sz w:val="22"/>
          <w:szCs w:val="22"/>
        </w:rPr>
        <w:t>. I</w:t>
      </w:r>
      <w:r w:rsidR="00CF0CDE" w:rsidRPr="00970F62">
        <w:rPr>
          <w:rFonts w:ascii="Calibri" w:hAnsi="Calibri" w:cs="Calibri"/>
          <w:color w:val="000000" w:themeColor="text1"/>
          <w:sz w:val="22"/>
          <w:szCs w:val="22"/>
        </w:rPr>
        <w:t xml:space="preserve">n this section, </w:t>
      </w:r>
      <w:r w:rsidR="00B540DC" w:rsidRPr="00970F62">
        <w:rPr>
          <w:rFonts w:ascii="Calibri" w:hAnsi="Calibri" w:cs="Calibri"/>
          <w:color w:val="000000" w:themeColor="text1"/>
          <w:sz w:val="22"/>
          <w:szCs w:val="22"/>
        </w:rPr>
        <w:t xml:space="preserve">we will discuss the potential use of </w:t>
      </w:r>
      <w:r w:rsidR="00CF0CDE" w:rsidRPr="00970F62">
        <w:rPr>
          <w:rFonts w:ascii="Calibri" w:hAnsi="Calibri" w:cs="Calibri"/>
          <w:color w:val="000000" w:themeColor="text1"/>
          <w:sz w:val="22"/>
          <w:szCs w:val="22"/>
        </w:rPr>
        <w:t xml:space="preserve">these biomarkers in conjunction with clinical imaging </w:t>
      </w:r>
      <w:r w:rsidR="00B540DC" w:rsidRPr="00970F62">
        <w:rPr>
          <w:rFonts w:ascii="Calibri" w:hAnsi="Calibri" w:cs="Calibri"/>
          <w:color w:val="000000" w:themeColor="text1"/>
          <w:sz w:val="22"/>
          <w:szCs w:val="22"/>
        </w:rPr>
        <w:t>and</w:t>
      </w:r>
      <w:r w:rsidR="00CF0CDE" w:rsidRPr="00970F62">
        <w:rPr>
          <w:rFonts w:ascii="Calibri" w:hAnsi="Calibri" w:cs="Calibri"/>
          <w:color w:val="000000" w:themeColor="text1"/>
          <w:sz w:val="22"/>
          <w:szCs w:val="22"/>
        </w:rPr>
        <w:t xml:space="preserve"> histology</w:t>
      </w:r>
      <w:r w:rsidR="00B540DC" w:rsidRPr="00970F62">
        <w:rPr>
          <w:rFonts w:ascii="Calibri" w:hAnsi="Calibri" w:cs="Calibri"/>
          <w:color w:val="000000" w:themeColor="text1"/>
          <w:sz w:val="22"/>
          <w:szCs w:val="22"/>
        </w:rPr>
        <w:t xml:space="preserve"> for diagnostic and prognostic assessments</w:t>
      </w:r>
      <w:r w:rsidR="00CF0CDE" w:rsidRPr="00970F62">
        <w:rPr>
          <w:rFonts w:ascii="Calibri" w:hAnsi="Calibri" w:cs="Calibri"/>
          <w:color w:val="000000" w:themeColor="text1"/>
          <w:sz w:val="22"/>
          <w:szCs w:val="22"/>
        </w:rPr>
        <w:t xml:space="preserve">, as well as </w:t>
      </w:r>
      <w:r w:rsidR="00B540DC" w:rsidRPr="00970F62">
        <w:rPr>
          <w:rFonts w:ascii="Calibri" w:hAnsi="Calibri" w:cs="Calibri"/>
          <w:color w:val="000000" w:themeColor="text1"/>
          <w:sz w:val="22"/>
          <w:szCs w:val="22"/>
        </w:rPr>
        <w:t xml:space="preserve">the application in surgery to </w:t>
      </w:r>
      <w:r w:rsidR="00CF0CDE" w:rsidRPr="00970F62">
        <w:rPr>
          <w:rFonts w:ascii="Calibri" w:hAnsi="Calibri" w:cs="Calibri"/>
          <w:color w:val="000000" w:themeColor="text1"/>
          <w:sz w:val="22"/>
          <w:szCs w:val="22"/>
        </w:rPr>
        <w:t>optimis</w:t>
      </w:r>
      <w:r w:rsidR="00B540DC" w:rsidRPr="00970F62">
        <w:rPr>
          <w:rFonts w:ascii="Calibri" w:hAnsi="Calibri" w:cs="Calibri"/>
          <w:color w:val="000000" w:themeColor="text1"/>
          <w:sz w:val="22"/>
          <w:szCs w:val="22"/>
        </w:rPr>
        <w:t>e oncological</w:t>
      </w:r>
      <w:r w:rsidR="00CF0CDE" w:rsidRPr="00970F62">
        <w:rPr>
          <w:rFonts w:ascii="Calibri" w:hAnsi="Calibri" w:cs="Calibri"/>
          <w:color w:val="000000" w:themeColor="text1"/>
          <w:sz w:val="22"/>
          <w:szCs w:val="22"/>
        </w:rPr>
        <w:t xml:space="preserve"> resections</w:t>
      </w:r>
      <w:r w:rsidR="00B540DC" w:rsidRPr="00970F62">
        <w:rPr>
          <w:rFonts w:ascii="Calibri" w:hAnsi="Calibri" w:cs="Calibri"/>
          <w:color w:val="000000" w:themeColor="text1"/>
          <w:sz w:val="22"/>
          <w:szCs w:val="22"/>
        </w:rPr>
        <w:t>.</w:t>
      </w:r>
    </w:p>
    <w:p w14:paraId="56C3DB03" w14:textId="77777777" w:rsidR="00580FB0" w:rsidRPr="00D637BA" w:rsidRDefault="00580FB0" w:rsidP="00F131BF">
      <w:pPr>
        <w:spacing w:line="360" w:lineRule="auto"/>
        <w:jc w:val="both"/>
        <w:rPr>
          <w:rFonts w:ascii="Calibri" w:hAnsi="Calibri" w:cs="Calibri"/>
          <w:b/>
          <w:color w:val="000000" w:themeColor="text1"/>
          <w:sz w:val="22"/>
          <w:szCs w:val="22"/>
          <w:u w:val="single"/>
        </w:rPr>
      </w:pPr>
    </w:p>
    <w:p w14:paraId="51F4BD51" w14:textId="52C8D023" w:rsidR="004144E4" w:rsidRPr="00B946E4" w:rsidRDefault="00F24289" w:rsidP="00F131BF">
      <w:pPr>
        <w:spacing w:line="360" w:lineRule="auto"/>
        <w:jc w:val="both"/>
        <w:rPr>
          <w:rFonts w:ascii="Calibri" w:hAnsi="Calibri" w:cs="Calibri"/>
          <w:b/>
          <w:i/>
          <w:color w:val="000000" w:themeColor="text1"/>
          <w:sz w:val="22"/>
          <w:szCs w:val="22"/>
        </w:rPr>
      </w:pPr>
      <w:r w:rsidRPr="00B946E4">
        <w:rPr>
          <w:rFonts w:ascii="Calibri" w:hAnsi="Calibri" w:cs="Calibri"/>
          <w:b/>
          <w:i/>
          <w:color w:val="000000" w:themeColor="text1"/>
          <w:sz w:val="22"/>
          <w:szCs w:val="22"/>
        </w:rPr>
        <w:t>[</w:t>
      </w:r>
      <w:r w:rsidR="001E6476" w:rsidRPr="00B946E4">
        <w:rPr>
          <w:rFonts w:ascii="Calibri" w:hAnsi="Calibri" w:cs="Calibri"/>
          <w:b/>
          <w:i/>
          <w:color w:val="000000" w:themeColor="text1"/>
          <w:sz w:val="22"/>
          <w:szCs w:val="22"/>
        </w:rPr>
        <w:t>H2</w:t>
      </w:r>
      <w:r w:rsidRPr="00B946E4">
        <w:rPr>
          <w:rFonts w:ascii="Calibri" w:hAnsi="Calibri" w:cs="Calibri"/>
          <w:b/>
          <w:i/>
          <w:color w:val="000000" w:themeColor="text1"/>
          <w:sz w:val="22"/>
          <w:szCs w:val="22"/>
        </w:rPr>
        <w:t xml:space="preserve">] </w:t>
      </w:r>
      <w:r w:rsidR="001E6476" w:rsidRPr="00B946E4">
        <w:rPr>
          <w:rFonts w:ascii="Calibri" w:hAnsi="Calibri" w:cs="Calibri"/>
          <w:b/>
          <w:i/>
          <w:color w:val="000000" w:themeColor="text1"/>
          <w:sz w:val="22"/>
          <w:szCs w:val="22"/>
        </w:rPr>
        <w:t>M</w:t>
      </w:r>
      <w:r w:rsidR="00826EEE" w:rsidRPr="00B946E4">
        <w:rPr>
          <w:rFonts w:ascii="Calibri" w:hAnsi="Calibri" w:cs="Calibri"/>
          <w:b/>
          <w:i/>
          <w:color w:val="000000" w:themeColor="text1"/>
          <w:sz w:val="22"/>
          <w:szCs w:val="22"/>
        </w:rPr>
        <w:t>etabolic imaging</w:t>
      </w:r>
    </w:p>
    <w:p w14:paraId="45887096" w14:textId="3425A257" w:rsidR="005C379F" w:rsidRPr="00D637BA" w:rsidRDefault="009C3957" w:rsidP="00292DFE">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As o</w:t>
      </w:r>
      <w:r w:rsidR="00F131BF" w:rsidRPr="00D637BA">
        <w:rPr>
          <w:rFonts w:ascii="Calibri" w:hAnsi="Calibri" w:cs="Calibri"/>
          <w:color w:val="000000" w:themeColor="text1"/>
          <w:sz w:val="22"/>
          <w:szCs w:val="22"/>
        </w:rPr>
        <w:t xml:space="preserve">ncometabolites accumulate </w:t>
      </w:r>
      <w:r w:rsidR="00884229" w:rsidRPr="00D637BA">
        <w:rPr>
          <w:rFonts w:ascii="Calibri" w:hAnsi="Calibri" w:cs="Calibri"/>
          <w:color w:val="000000" w:themeColor="text1"/>
          <w:sz w:val="22"/>
          <w:szCs w:val="22"/>
        </w:rPr>
        <w:t xml:space="preserve">in tissue </w:t>
      </w:r>
      <w:r w:rsidR="00F131BF" w:rsidRPr="00D637BA">
        <w:rPr>
          <w:rFonts w:ascii="Calibri" w:hAnsi="Calibri" w:cs="Calibri"/>
          <w:color w:val="000000" w:themeColor="text1"/>
          <w:sz w:val="22"/>
          <w:szCs w:val="22"/>
        </w:rPr>
        <w:t>to millimolar levels</w:t>
      </w:r>
      <w:r w:rsidRPr="00D637BA">
        <w:rPr>
          <w:rFonts w:ascii="Calibri" w:hAnsi="Calibri" w:cs="Calibri"/>
          <w:color w:val="000000" w:themeColor="text1"/>
          <w:sz w:val="22"/>
          <w:szCs w:val="22"/>
        </w:rPr>
        <w:t>, t</w:t>
      </w:r>
      <w:r w:rsidR="00F131BF" w:rsidRPr="00D637BA">
        <w:rPr>
          <w:rFonts w:ascii="Calibri" w:hAnsi="Calibri" w:cs="Calibri"/>
          <w:color w:val="000000" w:themeColor="text1"/>
          <w:sz w:val="22"/>
          <w:szCs w:val="22"/>
        </w:rPr>
        <w:t>he</w:t>
      </w:r>
      <w:r w:rsidRPr="00D637BA">
        <w:rPr>
          <w:rFonts w:ascii="Calibri" w:hAnsi="Calibri" w:cs="Calibri"/>
          <w:color w:val="000000" w:themeColor="text1"/>
          <w:sz w:val="22"/>
          <w:szCs w:val="22"/>
        </w:rPr>
        <w:t>ir</w:t>
      </w:r>
      <w:r w:rsidR="00F131BF" w:rsidRPr="00D637BA">
        <w:rPr>
          <w:rFonts w:ascii="Calibri" w:hAnsi="Calibri" w:cs="Calibri"/>
          <w:color w:val="000000" w:themeColor="text1"/>
          <w:sz w:val="22"/>
          <w:szCs w:val="22"/>
        </w:rPr>
        <w:t xml:space="preserve"> accumulation could be exploited to detect tumour masses using </w:t>
      </w:r>
      <w:r w:rsidR="00D138D1" w:rsidRPr="00D637BA">
        <w:rPr>
          <w:rFonts w:ascii="Calibri" w:hAnsi="Calibri" w:cs="Calibri"/>
          <w:color w:val="000000" w:themeColor="text1"/>
          <w:sz w:val="22"/>
          <w:szCs w:val="22"/>
        </w:rPr>
        <w:t xml:space="preserve">multiple </w:t>
      </w:r>
      <w:r w:rsidR="00F131BF" w:rsidRPr="00D637BA">
        <w:rPr>
          <w:rFonts w:ascii="Calibri" w:hAnsi="Calibri" w:cs="Calibri"/>
          <w:color w:val="000000" w:themeColor="text1"/>
          <w:sz w:val="22"/>
          <w:szCs w:val="22"/>
        </w:rPr>
        <w:t>metabolic imaging</w:t>
      </w:r>
      <w:r w:rsidR="00D138D1" w:rsidRPr="00D637BA">
        <w:rPr>
          <w:rFonts w:ascii="Calibri" w:hAnsi="Calibri" w:cs="Calibri"/>
          <w:color w:val="000000" w:themeColor="text1"/>
          <w:sz w:val="22"/>
          <w:szCs w:val="22"/>
        </w:rPr>
        <w:t xml:space="preserve"> modalities. One advance has been the development of</w:t>
      </w:r>
      <w:r w:rsidR="00F131BF" w:rsidRPr="00D637BA">
        <w:rPr>
          <w:rFonts w:ascii="Calibri" w:hAnsi="Calibri" w:cs="Calibri"/>
          <w:color w:val="000000" w:themeColor="text1"/>
          <w:sz w:val="22"/>
          <w:szCs w:val="22"/>
        </w:rPr>
        <w:t xml:space="preserve"> hyperpolarised magnetic resonance imaging (hpMRI)</w:t>
      </w:r>
      <w:r w:rsidR="00750516">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{"citationID":"a2keeoaq6p2","properties":{"formattedCitation":"\\super 234,235\\nosupersub{}","plainCitation":"234,235","noteIndex":0},"citationItems":[{"id":108,"uris":["http://zotero.org/users/4775618/items/DA5V5HVQ"],"uri":["http://zotero.org/users/4775618/items/DA5V5HVQ"],"itemData":{"id":108,"type":"article-journal","title":"Imaging metabolism with hyperpolarized (13)C-labeled cell substrates","container-title":"Journal of the American Chemical Society","page":"6418-6427","volume":"137","issue":"20","source":"PubMed","abstract":"Non-invasive (13)C magnetic resonance spectroscopy measurements of the uptake and subsequent metabolism of (13)C-labeled substrates is a powerful method for studying metabolic fluxes in vivo. However, the technique has been hampered by a lack of sensitivity, which has limited both the spatial and temporal resolution. The introduction of dissolution dynamic nuclear polarization in 2003, which by radically enhancing the nuclear spin polarization of (13)C nuclei in solution can increase their sensitivity to detection by more than 10(4)-fold, revolutionized the study of metabolism using magnetic resonance, with temporal and spatial resolutions in the seconds and millimeter ranges, respectively. The principal limitation of the technique is the short half-life of the polarization, which at </w:instrText>
      </w:r>
      <w:r w:rsidR="004E2A88">
        <w:rPr>
          <w:rFonts w:ascii="Cambria Math" w:hAnsi="Cambria Math" w:cs="Cambria Math"/>
          <w:color w:val="000000" w:themeColor="text1"/>
          <w:sz w:val="22"/>
          <w:szCs w:val="22"/>
        </w:rPr>
        <w:instrText>∼</w:instrText>
      </w:r>
      <w:r w:rsidR="004E2A88">
        <w:rPr>
          <w:rFonts w:ascii="Calibri" w:hAnsi="Calibri" w:cs="Calibri"/>
          <w:color w:val="000000" w:themeColor="text1"/>
          <w:sz w:val="22"/>
          <w:szCs w:val="22"/>
        </w:rPr>
        <w:instrText xml:space="preserve">20-30 s in vivo limits studies to relatively fast metabolic reactions. Nevertheless, pre-clinical studies with a variety of different substrates have demonstrated the potential of the method to provide new insights into tissue metabolism and have paved the way for the first clinical trial of the technique in prostate cancer. The technique now stands on the threshold of more general clinical translation. I consider here what the clinical applications might be, which are the substrates that most likely will be used, how will we analyze the resulting kinetic data, and how we might further increase the levels of polarization and extend polarization lifetime.","DOI":"10.1021/jacs.5b03300","ISSN":"1520-5126","note":"PMID: 25950268","journalAbbreviation":"J. Am. Chem. Soc.","language":"eng","author":[{"family":"Brindle","given":"Kevin M."}],"issued":{"date-parts":[["2015",5,27]]}}},{"id":2653,"uris":["http://zotero.org/users/4775618/items/6CPKK6BE"],"uri":["http://zotero.org/users/4775618/items/6CPKK6BE"],"itemData":{"id":2653,"type":"article-journal","title":"Metabolic and Molecular Imaging with Hyperpolarised Tracers","container-title":"Molecular imaging and biology: MIB: the official publication of the Academy of Molecular Imaging","page":"902-918","volume":"20","issue":"6","source":"PubMed","abstract":"Since reaching the clinic, magnetic resonance imaging (MRI) has become an irreplaceable radiological tool because of the macroscopic information it provides across almost all organs and soft tissues within the human body, all without the need for ionising radiation. The sensitivity of MR, however, is too low to take full advantage of the rich chemical information contained in the MR signal. Hyperpolarisation techniques have recently emerged as methods to overcome the sensitivity limitations by enhancing the MR signal by many orders of magnitude compared to the thermal equilibrium, enabling a new class of metabolic and molecular X-nuclei based MR tracers capable of reporting on metabolic processes at the cellular level. These hyperpolarised (HP) tracers have the potential to elucidate the complex metabolic processes of many organs and pathologies, with studies so far focusing on the fields of oncology and cardiology. This review presents an overview of hyperpolarisation techniques that appear most promising for clinical use today, such as dissolution dynamic nuclear polarisation (d-DNP), parahydrogen-induced hyperpolarisation (PHIP), Brute force hyperpolarisation and spin-exchange optical pumping (SEOP), before discussing methods for tracer detection, emerging metabolic tracers and applications and progress in preclinical and clinical application.","DOI":"10.1007/s11307-018-1265-0","ISSN":"1860-2002","note":"PMID: 30120644","journalAbbreviation":"Mol Imaging Biol","language":"eng","author":[{"family":"Skinner","given":"Jason Graham"},{"family":"Menichetti","given":"Luca"},{"family":"Flori","given":"Alessandra"},{"family":"Dost","given":"Anna"},{"family":"Schmidt","given":"Andreas Benjamin"},{"family":"Plaumann","given":"Markus"},{"family":"Gallagher","given":"Ferdia Aiden"},{"family":"Hövener","given":"Jan-Bernd"}],"issued":{"date-parts":[["2018"]]}}}],"schema":"https://github.com/citation-style-language/schema/raw/master/csl-citation.json"} </w:instrText>
      </w:r>
      <w:r w:rsidR="00750516">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234,235</w:t>
      </w:r>
      <w:r w:rsidR="0075051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CB53E2" w:rsidRPr="00D637BA">
        <w:rPr>
          <w:rFonts w:ascii="Calibri" w:hAnsi="Calibri" w:cs="Calibri"/>
          <w:color w:val="000000" w:themeColor="text1"/>
          <w:sz w:val="22"/>
          <w:szCs w:val="22"/>
        </w:rPr>
        <w:t xml:space="preserve">Use of hpMRI to image </w:t>
      </w:r>
      <w:r w:rsidR="00F131BF" w:rsidRPr="00D637BA">
        <w:rPr>
          <w:rFonts w:ascii="Calibri" w:hAnsi="Calibri" w:cs="Calibri"/>
          <w:color w:val="000000" w:themeColor="text1"/>
          <w:sz w:val="22"/>
          <w:szCs w:val="22"/>
        </w:rPr>
        <w:t xml:space="preserve">isotopically labelled </w:t>
      </w:r>
      <w:r w:rsidR="00F131BF" w:rsidRPr="00D637BA">
        <w:rPr>
          <w:rFonts w:ascii="Calibri" w:hAnsi="Calibri" w:cs="Calibri"/>
          <w:color w:val="000000" w:themeColor="text1"/>
          <w:sz w:val="22"/>
          <w:szCs w:val="22"/>
          <w:vertAlign w:val="superscript"/>
        </w:rPr>
        <w:t>13</w:t>
      </w:r>
      <w:r w:rsidR="00F131BF" w:rsidRPr="00D637BA">
        <w:rPr>
          <w:rFonts w:ascii="Calibri" w:hAnsi="Calibri" w:cs="Calibri"/>
          <w:color w:val="000000" w:themeColor="text1"/>
          <w:sz w:val="22"/>
          <w:szCs w:val="22"/>
        </w:rPr>
        <w:t xml:space="preserve">C-glutamine in an </w:t>
      </w:r>
      <w:r w:rsidR="00F131BF" w:rsidRPr="00D637BA">
        <w:rPr>
          <w:rFonts w:ascii="Calibri" w:hAnsi="Calibri" w:cs="Calibri"/>
          <w:i/>
          <w:color w:val="000000" w:themeColor="text1"/>
          <w:sz w:val="22"/>
          <w:szCs w:val="22"/>
        </w:rPr>
        <w:t>IDH1</w:t>
      </w:r>
      <w:r w:rsidR="00CB53E2" w:rsidRPr="00B946E4">
        <w:rPr>
          <w:rFonts w:ascii="Calibri" w:hAnsi="Calibri" w:cs="Calibri"/>
          <w:color w:val="000000" w:themeColor="text1"/>
          <w:sz w:val="22"/>
          <w:szCs w:val="22"/>
        </w:rPr>
        <w:t xml:space="preserve"> and</w:t>
      </w:r>
      <w:r w:rsidR="00CB53E2" w:rsidRPr="00B946E4">
        <w:rPr>
          <w:rFonts w:ascii="Calibri" w:hAnsi="Calibri" w:cs="Calibri"/>
          <w:i/>
          <w:color w:val="000000" w:themeColor="text1"/>
          <w:sz w:val="22"/>
          <w:szCs w:val="22"/>
        </w:rPr>
        <w:t xml:space="preserve"> IDH</w:t>
      </w:r>
      <w:r w:rsidR="00F131BF" w:rsidRPr="00D637BA">
        <w:rPr>
          <w:rFonts w:ascii="Calibri" w:hAnsi="Calibri" w:cs="Calibri"/>
          <w:color w:val="000000" w:themeColor="text1"/>
          <w:sz w:val="22"/>
          <w:szCs w:val="22"/>
        </w:rPr>
        <w:t xml:space="preserve">2-mutant chondrosarcoma xenograft mouse model </w:t>
      </w:r>
      <w:r w:rsidR="00FE6620" w:rsidRPr="00D637BA">
        <w:rPr>
          <w:rFonts w:ascii="Calibri" w:hAnsi="Calibri" w:cs="Calibri"/>
          <w:color w:val="000000" w:themeColor="text1"/>
          <w:sz w:val="22"/>
          <w:szCs w:val="22"/>
        </w:rPr>
        <w:t xml:space="preserve">enabled the </w:t>
      </w:r>
      <w:r w:rsidR="00F131BF" w:rsidRPr="00D637BA">
        <w:rPr>
          <w:rFonts w:ascii="Calibri" w:hAnsi="Calibri" w:cs="Calibri"/>
          <w:color w:val="000000" w:themeColor="text1"/>
          <w:sz w:val="22"/>
          <w:szCs w:val="22"/>
        </w:rPr>
        <w:t>visualisation of glutamine conversion to 2HG in real-time</w:t>
      </w:r>
      <w:r w:rsidR="00750516">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{"citationID":"a17bgm8mas2","properties":{"formattedCitation":"\\super 209\\nosupersub{}","plainCitation":"209","noteIndex":0},"citationItems":[{"id":1848,"uris":["http://zotero.org/users/4775618/items/XZJPHC67"],"uri":["http://zotero.org/users/4775618/items/XZJPHC67"],"itemData":{"id":1848,"type":"article-journal","title":"In Vivo Imaging of Glutamine Metabolism to the Oncometabolite 2-Hydroxyglutarate in IDH1/2 Mutant Tumors","container-title":"Cell Metabolism","page":"830-841.e3","volume":"26","issue":"6","source":"www.cell.com","abstract":"&lt;h2&gt;Summary&lt;/h2&gt;&lt;p&gt;The oncometabolite 2-hydroxyglutarate (2-HG) is a signature biomarker in various cancers, where it accumulates as a result of mutations in isocitrate dehydrogenase (IDH). The metabolic source of 2-HG, in a wide variety of cancers, dictates both its generation and also potential therapeutic strategies, but this remains difficult to access &lt;i&gt;in vivo&lt;/i&gt;. Here, utilizing patient-derived chondrosarcoma cells harboring endogenous mutations in IDH1 and IDH2, we report that 2-HG can be rapidly generated from glutamine &lt;i&gt;in vitro&lt;/i&gt;. Then, using hyperpolarized magnetic resonance imaging (HP-MRI), we demonstrate that &lt;i&gt;in vivo&lt;/i&gt; HP [1-&lt;sup&gt;13&lt;/sup&gt;C] glutamine can be used to non-invasively measure glutamine-derived HP 2-HG production. This can be readily modulated utilizing a selective IDH1 inhibitor, opening the door to targeting glutamine-derived 2-HG therapeutically. Rapid rates of HP 2-HG generation &lt;i&gt;in vivo&lt;/i&gt; further demonstrate that, in a context-dependent manner, glutamine can be a primary carbon source for 2-HG production in mutant IDH tumors.&lt;/p&gt;","URL":"https://www.cell.com/cell-metabolism/abstract/S1550-4131(17)30613-7","DOI":"10.1016/j.cmet.2017.10.001","ISSN":"1550-4131","note":"PMID: 29056515","journalAbbreviation":"Cell Metabolism","language":"English","author":[{"family":"Salamanca-Cardona","given":"Lucia"},{"family":"Shah","given":"Hardik"},{"family":"Poot","given":"Alex J."},{"family":"Correa","given":"Fabian M."},{"family":"Gialleonardo","given":"Valentina Di"},{"family":"Lui","given":"Hui"},{"family":"Miloushev","given":"Vesselin Z."},{"family":"Granlund","given":"Kristin L."},{"family":"Tee","given":"Sui S."},{"family":"Cross","given":"Justin R."},{"family":"Thompson","given":"Craig B."},{"family":"Keshari","given":"Kayvan R."}],"issued":{"date-parts":[["2017",12,5]]},"accessed":{"date-parts":[["2019",3,6]]}}}],"schema":"https://github.com/citation-style-language/schema/raw/master/csl-citation.json"} </w:instrText>
      </w:r>
      <w:r w:rsidR="00750516">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209</w:t>
      </w:r>
      <w:r w:rsidR="0075051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CB53E2" w:rsidRPr="00D637BA">
        <w:rPr>
          <w:rFonts w:ascii="Calibri" w:hAnsi="Calibri" w:cs="Calibri"/>
          <w:color w:val="000000" w:themeColor="text1"/>
          <w:sz w:val="22"/>
          <w:szCs w:val="22"/>
        </w:rPr>
        <w:t xml:space="preserve">Most </w:t>
      </w:r>
      <w:r w:rsidR="00F131BF" w:rsidRPr="00D637BA">
        <w:rPr>
          <w:rFonts w:ascii="Calibri" w:hAnsi="Calibri" w:cs="Calibri"/>
          <w:color w:val="000000" w:themeColor="text1"/>
          <w:sz w:val="22"/>
          <w:szCs w:val="22"/>
        </w:rPr>
        <w:t>strikingly, hpMRI was able to capture the suppression of 2HG accumulation in response to IDH inhibition</w:t>
      </w:r>
      <w:r w:rsidR="00750516">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{"citationID":"a1trdc8o7lk","properties":{"formattedCitation":"\\super 209\\nosupersub{}","plainCitation":"209","noteIndex":0},"citationItems":[{"id":1848,"uris":["http://zotero.org/users/4775618/items/XZJPHC67"],"uri":["http://zotero.org/users/4775618/items/XZJPHC67"],"itemData":{"id":1848,"type":"article-journal","title":"In Vivo Imaging of Glutamine Metabolism to the Oncometabolite 2-Hydroxyglutarate in IDH1/2 Mutant Tumors","container-title":"Cell Metabolism","page":"830-841.e3","volume":"26","issue":"6","source":"www.cell.com","abstract":"&lt;h2&gt;Summary&lt;/h2&gt;&lt;p&gt;The oncometabolite 2-hydroxyglutarate (2-HG) is a signature biomarker in various cancers, where it accumulates as a result of mutations in isocitrate dehydrogenase (IDH). The metabolic source of 2-HG, in a wide variety of cancers, dictates both its generation and also potential therapeutic strategies, but this remains difficult to access &lt;i&gt;in vivo&lt;/i&gt;. Here, utilizing patient-derived chondrosarcoma cells harboring endogenous mutations in IDH1 and IDH2, we report that 2-HG can be rapidly generated from glutamine &lt;i&gt;in vitro&lt;/i&gt;. Then, using hyperpolarized magnetic resonance imaging (HP-MRI), we demonstrate that &lt;i&gt;in vivo&lt;/i&gt; HP [1-&lt;sup&gt;13&lt;/sup&gt;C] glutamine can be used to non-invasively measure glutamine-derived HP 2-HG production. This can be readily modulated utilizing a selective IDH1 inhibitor, opening the door to targeting glutamine-derived 2-HG therapeutically. Rapid rates of HP 2-HG generation &lt;i&gt;in vivo&lt;/i&gt; further demonstrate that, in a context-dependent manner, glutamine can be a primary carbon source for 2-HG production in mutant IDH tumors.&lt;/p&gt;","URL":"https://www.cell.com/cell-metabolism/abstract/S1550-4131(17)30613-7","DOI":"10.1016/j.cmet.2017.10.001","ISSN":"1550-4131","note":"PMID: 29056515","journalAbbreviation":"Cell Metabolism","language":"English","author":[{"family":"Salamanca-Cardona","given":"Lucia"},{"family":"Shah","given":"Hardik"},{"family":"Poot","given":"Alex J."},{"family":"Correa","given":"Fabian M."},{"family":"Gialleonardo","given":"Valentina Di"},{"family":"Lui","given":"Hui"},{"family":"Miloushev","given":"Vesselin Z."},{"family":"Granlund","given":"Kristin L."},{"family":"Tee","given":"Sui S."},{"family":"Cross","given":"Justin R."},{"family":"Thompson","given":"Craig B."},{"family":"Keshari","given":"Kayvan R."}],"issued":{"date-parts":[["2017",12,5]]},"accessed":{"date-parts":[["2019",3,6]]}}}],"schema":"https://github.com/citation-style-language/schema/raw/master/csl-citation.json"} </w:instrText>
      </w:r>
      <w:r w:rsidR="00750516">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209</w:t>
      </w:r>
      <w:r w:rsidR="0075051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 similar study performed in a ccRCC xenograft model utilised labelled </w:t>
      </w:r>
      <w:r w:rsidR="00F131BF" w:rsidRPr="00D637BA">
        <w:rPr>
          <w:rFonts w:ascii="Calibri" w:hAnsi="Calibri" w:cs="Calibri"/>
          <w:color w:val="000000" w:themeColor="text1"/>
          <w:sz w:val="22"/>
          <w:szCs w:val="22"/>
          <w:vertAlign w:val="superscript"/>
        </w:rPr>
        <w:t>13</w:t>
      </w:r>
      <w:r w:rsidR="00F131BF" w:rsidRPr="00D637BA">
        <w:rPr>
          <w:rFonts w:ascii="Calibri" w:hAnsi="Calibri" w:cs="Calibri"/>
          <w:color w:val="000000" w:themeColor="text1"/>
          <w:sz w:val="22"/>
          <w:szCs w:val="22"/>
        </w:rPr>
        <w:t>C-pyruvate to visualise the metabolic response of the glycolytic flux to lactate in response to mTOR inhibitors</w:t>
      </w:r>
      <w:r w:rsidR="00750516">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{"citationID":"a1g0bnmu3p9","properties":{"formattedCitation":"\\super 236\\nosupersub{}","plainCitation":"236","noteIndex":0},"citationItems":[{"id":821,"uris":["http://zotero.org/users/4775618/items/3LS3BQ2U"],"uri":["http://zotero.org/users/4775618/items/3LS3BQ2U"],"itemData":{"id":821,"type":"article-journal","title":"Hyperpolarized MRI visualizes Warburg effects and predicts treatment response to mTOR inhibitors in patient-derived ccRCC xenograft models","container-title":"Cancer Research","page":"canres.2231.2018","source":"Crossref","abstract":"The ever-changing tumor-microenvironment constantly challenges individual cancer cells to balance supply and demand, presenting tumor vulnerabilities and therapeutic opportunities. Everolimus and temsirolimus are inhibitors of mTOR (mTORi) approved for treating metastatic renal cell carcinoma (mRCC). However, treatment outcome varies greatly among patients. Accordingly, administration of mTORi in mRCC is diminishing, which could potentially result in missing timely delivery of effective treatment for select patients. Here we implemented a clinically applicable, integrated platform encompassing a single dose of [1-13C] pyruvate to visualize the in vivo effect of mTORi on the conversion of pyruvate to lactate using hyperpolarized MRI. A striking difference that predicts treatment benefit was demonstrated using two preclinical models derived from clear cell RCC (ccRCC) patients who exhibited primary resistance to VEGFRi and quickly succumbed to their diseases within 6 months after the diagnosis of metastasis without receiving mTORi. Our findings suggest that hyperpolarized MRI could be further developed to personalize kidney cancer treatment.","URL":"http://cancerres.aacrjournals.org/lookup/doi/10.1158/0008-5472.CAN-18-2231","DOI":"10.1158/0008-5472.CAN-18-2231","ISSN":"0008-5472, 1538-7445","language":"en","author":[{"family":"Dong","given":"Yiyu"},{"family":"Eskandari","given":"Roozbeh"},{"family":"Ray","given":"Chelsea"},{"family":"Granlund","given":"Kristin L"},{"family":"Dos Santos-Cunha","given":"Lidia"},{"family":"Miloushev","given":"Vesselin Z"},{"family":"Tee","given":"Sui Seng"},{"family":"Jeong","given":"Sangmoo"},{"family":"Aras","given":"Omer"},{"family":"Chen","given":"Ying-Bei"},{"family":"Cheng","given":"Emily H"},{"family":"Hsieh","given":"James J"},{"family":"Keshari","given":"Kayvan R."}],"issued":{"date-parts":[["2018",11,20]]},"accessed":{"date-parts":[["2018",11,22]]}}}],"schema":"https://github.com/citation-style-language/schema/raw/master/csl-citation.json"} </w:instrText>
      </w:r>
      <w:r w:rsidR="00750516">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236</w:t>
      </w:r>
      <w:r w:rsidR="0075051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Capitalising on the unique oncometabolite properties in RCC, hpMRI has multiple potential applications. </w:t>
      </w:r>
      <w:r w:rsidR="00FE6620" w:rsidRPr="00D637BA">
        <w:rPr>
          <w:rFonts w:ascii="Calibri" w:hAnsi="Calibri" w:cs="Calibri"/>
          <w:color w:val="000000" w:themeColor="text1"/>
          <w:sz w:val="22"/>
          <w:szCs w:val="22"/>
        </w:rPr>
        <w:t xml:space="preserve">This technology </w:t>
      </w:r>
      <w:r w:rsidR="00F131BF" w:rsidRPr="00D637BA">
        <w:rPr>
          <w:rFonts w:ascii="Calibri" w:hAnsi="Calibri" w:cs="Calibri"/>
          <w:color w:val="000000" w:themeColor="text1"/>
          <w:sz w:val="22"/>
          <w:szCs w:val="22"/>
        </w:rPr>
        <w:t xml:space="preserve">can facilitate the </w:t>
      </w:r>
      <w:r w:rsidR="00FE6620" w:rsidRPr="00D637BA">
        <w:rPr>
          <w:rFonts w:ascii="Calibri" w:hAnsi="Calibri" w:cs="Calibri"/>
          <w:color w:val="000000" w:themeColor="text1"/>
          <w:sz w:val="22"/>
          <w:szCs w:val="22"/>
        </w:rPr>
        <w:t xml:space="preserve">diagnosis </w:t>
      </w:r>
      <w:r w:rsidR="00F131BF" w:rsidRPr="00D637BA">
        <w:rPr>
          <w:rFonts w:ascii="Calibri" w:hAnsi="Calibri" w:cs="Calibri"/>
          <w:color w:val="000000" w:themeColor="text1"/>
          <w:sz w:val="22"/>
          <w:szCs w:val="22"/>
        </w:rPr>
        <w:t>of oncometabolite-associated RCC subtypes such as L2HG-associated RCC, whi</w:t>
      </w:r>
      <w:r w:rsidR="008F3806" w:rsidRPr="00D637BA">
        <w:rPr>
          <w:rFonts w:ascii="Calibri" w:hAnsi="Calibri" w:cs="Calibri"/>
          <w:color w:val="000000" w:themeColor="text1"/>
          <w:sz w:val="22"/>
          <w:szCs w:val="22"/>
        </w:rPr>
        <w:t>lst</w:t>
      </w:r>
      <w:r w:rsidR="00F131BF" w:rsidRPr="00D637BA">
        <w:rPr>
          <w:rFonts w:ascii="Calibri" w:hAnsi="Calibri" w:cs="Calibri"/>
          <w:color w:val="000000" w:themeColor="text1"/>
          <w:sz w:val="22"/>
          <w:szCs w:val="22"/>
        </w:rPr>
        <w:t xml:space="preserve"> concomitantly conferring prognostic information</w:t>
      </w:r>
      <w:r w:rsidR="00FE6620" w:rsidRPr="00D637BA">
        <w:rPr>
          <w:rFonts w:ascii="Calibri" w:hAnsi="Calibri" w:cs="Calibri"/>
          <w:color w:val="000000" w:themeColor="text1"/>
          <w:sz w:val="22"/>
          <w:szCs w:val="22"/>
        </w:rPr>
        <w:t>, for example,</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L2HG is associated with poor patient prognosis and tumour progression</w:t>
      </w:r>
      <w:r w:rsidR="00750516">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{"citationID":"a28s6oeqv27","properties":{"formattedCitation":"\\super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750516">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76</w:t>
      </w:r>
      <w:r w:rsidR="00750516">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w:t>
      </w:r>
      <w:r w:rsidR="00A60417" w:rsidRPr="00D637BA">
        <w:rPr>
          <w:rFonts w:ascii="Calibri" w:hAnsi="Calibri" w:cs="Calibri"/>
          <w:color w:val="000000" w:themeColor="text1"/>
          <w:sz w:val="22"/>
          <w:szCs w:val="22"/>
        </w:rPr>
        <w:t>D</w:t>
      </w:r>
      <w:r w:rsidR="00F131BF" w:rsidRPr="00D637BA">
        <w:rPr>
          <w:rFonts w:ascii="Calibri" w:hAnsi="Calibri" w:cs="Calibri"/>
          <w:color w:val="000000" w:themeColor="text1"/>
          <w:sz w:val="22"/>
          <w:szCs w:val="22"/>
        </w:rPr>
        <w:t xml:space="preserve">ynamic assessment of oncometabolite levels in this setting could </w:t>
      </w:r>
      <w:r w:rsidR="00A60417" w:rsidRPr="00D637BA">
        <w:rPr>
          <w:rFonts w:ascii="Calibri" w:hAnsi="Calibri" w:cs="Calibri"/>
          <w:color w:val="000000" w:themeColor="text1"/>
          <w:sz w:val="22"/>
          <w:szCs w:val="22"/>
        </w:rPr>
        <w:t xml:space="preserve">also </w:t>
      </w:r>
      <w:r w:rsidR="00F131BF" w:rsidRPr="00D637BA">
        <w:rPr>
          <w:rFonts w:ascii="Calibri" w:hAnsi="Calibri" w:cs="Calibri"/>
          <w:color w:val="000000" w:themeColor="text1"/>
          <w:sz w:val="22"/>
          <w:szCs w:val="22"/>
        </w:rPr>
        <w:t xml:space="preserve">be used </w:t>
      </w:r>
      <w:r w:rsidR="00FE6620" w:rsidRPr="00D637BA">
        <w:rPr>
          <w:rFonts w:ascii="Calibri" w:hAnsi="Calibri" w:cs="Calibri"/>
          <w:color w:val="000000" w:themeColor="text1"/>
          <w:sz w:val="22"/>
          <w:szCs w:val="22"/>
        </w:rPr>
        <w:t>to assess</w:t>
      </w:r>
      <w:r w:rsidR="00F131BF" w:rsidRPr="00D637BA">
        <w:rPr>
          <w:rFonts w:ascii="Calibri" w:hAnsi="Calibri" w:cs="Calibri"/>
          <w:color w:val="000000" w:themeColor="text1"/>
          <w:sz w:val="22"/>
          <w:szCs w:val="22"/>
        </w:rPr>
        <w:t xml:space="preserve"> therapeutic efficacy</w:t>
      </w:r>
      <w:r w:rsidR="00FD4B34">
        <w:rPr>
          <w:rFonts w:ascii="Calibri" w:hAnsi="Calibri" w:cs="Calibri"/>
          <w:color w:val="000000" w:themeColor="text1"/>
          <w:sz w:val="22"/>
          <w:szCs w:val="22"/>
        </w:rPr>
        <w:t xml:space="preserve"> as well as </w:t>
      </w:r>
      <w:r w:rsidR="00BA3BD0">
        <w:rPr>
          <w:rFonts w:ascii="Calibri" w:hAnsi="Calibri" w:cs="Calibri"/>
          <w:color w:val="000000" w:themeColor="text1"/>
          <w:sz w:val="22"/>
          <w:szCs w:val="22"/>
        </w:rPr>
        <w:t xml:space="preserve">to </w:t>
      </w:r>
      <w:r w:rsidR="00F131BF" w:rsidRPr="00D637BA">
        <w:rPr>
          <w:rFonts w:ascii="Calibri" w:hAnsi="Calibri" w:cs="Calibri"/>
          <w:color w:val="000000" w:themeColor="text1"/>
          <w:sz w:val="22"/>
          <w:szCs w:val="22"/>
        </w:rPr>
        <w:t xml:space="preserve">monitor </w:t>
      </w:r>
      <w:r w:rsidR="00FD4B34">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progression or recurrence of the disease.</w:t>
      </w:r>
      <w:r w:rsidR="001E6476"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In the wider context, utilising hpMRI</w:t>
      </w:r>
      <w:r w:rsidR="005B1B36"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a</w:t>
      </w:r>
      <w:r w:rsidR="005B1B36" w:rsidRPr="00D637BA">
        <w:rPr>
          <w:rFonts w:ascii="Calibri" w:hAnsi="Calibri" w:cs="Calibri"/>
          <w:color w:val="000000" w:themeColor="text1"/>
          <w:sz w:val="22"/>
          <w:szCs w:val="22"/>
        </w:rPr>
        <w:t>longside</w:t>
      </w:r>
      <w:r w:rsidR="00F131BF" w:rsidRPr="00D637BA">
        <w:rPr>
          <w:rFonts w:ascii="Calibri" w:hAnsi="Calibri" w:cs="Calibri"/>
          <w:color w:val="000000" w:themeColor="text1"/>
          <w:sz w:val="22"/>
          <w:szCs w:val="22"/>
        </w:rPr>
        <w:t xml:space="preserve"> selective tracers to identify malignant metabolic </w:t>
      </w:r>
      <w:r w:rsidR="00E026E6" w:rsidRPr="00D637BA">
        <w:rPr>
          <w:rFonts w:ascii="Calibri" w:hAnsi="Calibri" w:cs="Calibri"/>
          <w:color w:val="000000" w:themeColor="text1"/>
          <w:sz w:val="22"/>
          <w:szCs w:val="22"/>
        </w:rPr>
        <w:t>signatures</w:t>
      </w:r>
      <w:r w:rsidR="00F131BF" w:rsidRPr="00D637BA">
        <w:rPr>
          <w:rFonts w:ascii="Calibri" w:hAnsi="Calibri" w:cs="Calibri"/>
          <w:color w:val="000000" w:themeColor="text1"/>
          <w:sz w:val="22"/>
          <w:szCs w:val="22"/>
        </w:rPr>
        <w:t xml:space="preserve"> would facilitate more robust diagnoses of small and/or indeterminate renal lesions. The largely non-invasive and safe, non-ionising radioactive nature of hpMRI makes this</w:t>
      </w:r>
      <w:r w:rsidR="005C379F" w:rsidRPr="00D637BA">
        <w:rPr>
          <w:rFonts w:ascii="Calibri" w:hAnsi="Calibri" w:cs="Calibri"/>
          <w:color w:val="000000" w:themeColor="text1"/>
          <w:sz w:val="22"/>
          <w:szCs w:val="22"/>
        </w:rPr>
        <w:t xml:space="preserve"> imaging modality</w:t>
      </w:r>
      <w:r w:rsidR="00F131BF" w:rsidRPr="00D637BA">
        <w:rPr>
          <w:rFonts w:ascii="Calibri" w:hAnsi="Calibri" w:cs="Calibri"/>
          <w:color w:val="000000" w:themeColor="text1"/>
          <w:sz w:val="22"/>
          <w:szCs w:val="22"/>
        </w:rPr>
        <w:t xml:space="preserve"> a very attractive tool for development and translation into clinical practice.</w:t>
      </w:r>
      <w:r w:rsidR="00EF2AC0" w:rsidRPr="00D637BA">
        <w:rPr>
          <w:rFonts w:ascii="Calibri" w:hAnsi="Calibri" w:cs="Calibri"/>
          <w:color w:val="000000" w:themeColor="text1"/>
          <w:sz w:val="22"/>
          <w:szCs w:val="22"/>
        </w:rPr>
        <w:t xml:space="preserve"> </w:t>
      </w:r>
    </w:p>
    <w:p w14:paraId="0ABCCBCB" w14:textId="7A5EFFF0" w:rsidR="00E20374" w:rsidRPr="00D637BA" w:rsidRDefault="005C379F" w:rsidP="00B946E4">
      <w:pPr>
        <w:spacing w:line="360" w:lineRule="auto"/>
        <w:ind w:firstLine="454"/>
        <w:jc w:val="both"/>
        <w:rPr>
          <w:rFonts w:ascii="Calibri" w:hAnsi="Calibri" w:cs="Calibri"/>
          <w:color w:val="000000" w:themeColor="text1"/>
          <w:sz w:val="22"/>
          <w:szCs w:val="22"/>
        </w:rPr>
      </w:pPr>
      <w:r w:rsidRPr="00D637BA">
        <w:rPr>
          <w:rFonts w:ascii="Calibri" w:hAnsi="Calibri" w:cs="Calibri"/>
          <w:color w:val="000000" w:themeColor="text1"/>
          <w:sz w:val="22"/>
          <w:szCs w:val="22"/>
        </w:rPr>
        <w:t>O</w:t>
      </w:r>
      <w:r w:rsidR="00EF2AC0" w:rsidRPr="00D637BA">
        <w:rPr>
          <w:rFonts w:ascii="Calibri" w:hAnsi="Calibri" w:cs="Calibri"/>
          <w:color w:val="000000" w:themeColor="text1"/>
          <w:sz w:val="22"/>
          <w:szCs w:val="22"/>
        </w:rPr>
        <w:t xml:space="preserve">ther imaging modalities, such as proton magnetic resonance spectroscopy (1H-MRS) and </w:t>
      </w:r>
      <w:r w:rsidRPr="00D637BA">
        <w:rPr>
          <w:rFonts w:ascii="Calibri" w:hAnsi="Calibri" w:cs="Calibri"/>
          <w:color w:val="000000" w:themeColor="text1"/>
          <w:sz w:val="22"/>
          <w:szCs w:val="22"/>
        </w:rPr>
        <w:t xml:space="preserve">positron emission tomography </w:t>
      </w:r>
      <w:r w:rsidR="00EF2AC0" w:rsidRPr="00D637BA">
        <w:rPr>
          <w:rFonts w:ascii="Calibri" w:hAnsi="Calibri" w:cs="Calibri"/>
          <w:color w:val="000000" w:themeColor="text1"/>
          <w:sz w:val="22"/>
          <w:szCs w:val="22"/>
        </w:rPr>
        <w:t>(PET)</w:t>
      </w:r>
      <w:r w:rsidRPr="00D637BA">
        <w:rPr>
          <w:rFonts w:ascii="Calibri" w:hAnsi="Calibri" w:cs="Calibri"/>
          <w:color w:val="000000" w:themeColor="text1"/>
          <w:sz w:val="22"/>
          <w:szCs w:val="22"/>
        </w:rPr>
        <w:t>, may also prove valuable in the diagnosis and management of oncometabolite-associated RCC</w:t>
      </w:r>
      <w:r w:rsidR="00EF2AC0" w:rsidRPr="00D637BA">
        <w:rPr>
          <w:rFonts w:ascii="Calibri" w:hAnsi="Calibri" w:cs="Calibri"/>
          <w:color w:val="000000" w:themeColor="text1"/>
          <w:sz w:val="22"/>
          <w:szCs w:val="22"/>
        </w:rPr>
        <w:t xml:space="preserve">. Successful detection of succinate </w:t>
      </w:r>
      <w:r w:rsidRPr="00D637BA">
        <w:rPr>
          <w:rFonts w:ascii="Calibri" w:hAnsi="Calibri" w:cs="Calibri"/>
          <w:color w:val="000000" w:themeColor="text1"/>
          <w:sz w:val="22"/>
          <w:szCs w:val="22"/>
        </w:rPr>
        <w:t xml:space="preserve">using 1H-MRS </w:t>
      </w:r>
      <w:r w:rsidR="00EF2AC0" w:rsidRPr="00D637BA">
        <w:rPr>
          <w:rFonts w:ascii="Calibri" w:hAnsi="Calibri" w:cs="Calibri"/>
          <w:color w:val="000000" w:themeColor="text1"/>
          <w:sz w:val="22"/>
          <w:szCs w:val="22"/>
        </w:rPr>
        <w:t>in patients with a variety of SDH-deficient tumours</w:t>
      </w:r>
      <w:r w:rsidR="00BC2CD5">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{"citationID":"a1h7logu5a5","properties":{"formattedCitation":"\\super 237,238\\nosupersub{}","plainCitation":"237,238","noteIndex":0},"citationItems":[{"id":2709,"uris":["http://zotero.org/users/4775618/items/VQDFQH2G"],"uri":["http://zotero.org/users/4775618/items/VQDFQH2G"],"itemData":{"id":2709,"type":"article-journal","title":"Translating in vivo metabolomic analysis of succinate dehydrogenase deficient tumours into clinical utility","container-title":"JCO precision oncology","page":"1-12","volume":"2","source":"PubMed","abstract":"Purpose: Mutations in the mitochondrial enzyme succinate dehydrogenase (SDH) subunit genes are associated with a wide spectrum of tumours including phaeochromocytoma and paraganglioma (PPGL) 1, 2, gastrointestinal stromal tumours (GIST) 3, renal cell carcinoma (RCC) 4 and pituitary adenomas5. SDH-related tumorigenesis is believed to be secondary to accumulation of the oncometabolite succinate. Our aim was to investigate the potential clinical applications of MRI spectroscopy (1H-MRS) in a range of suspected SDH-related tumours.\nPatients and methods: Fifteen patients were recruited to this study. Respiratory-gated single-voxel 1H-MRS was performed at 3T to quantify the content of succinate at 2.4 ppm and choline at 3.22 ppm.\nResults: A succinate peak was seen in six patients, all of whom had a germline SDHx mutation or loss of SDHB by immunohistochemistry. A succinate peak was also detected in two patients with a metastatic wild-type GIST (wtGIST) and no detectable germline SDHx mutation but a somatic epimutation in SDHC. Three patients without a tumour succinate peak retained SDHB expression, consistent with SDH functionality. In six cases with a borderline or absent peak, technical difficulties such as motion artefact rendered 1H-MRS difficult to interpret. Sequential imaging in a patient with a metastatic abdominal paraganglioma demonstrated loss of the succinate peak after four cycles of [177Lu]-DOTATATE, with a corresponding biochemical response in normetanephrine.\nConclusions: This study has demonstrated the translation into clinical practice of in vivo metabolomic analysis using 1H-MRS in patients with SDH-deficient tumours. Potential applications include non-invasive diagnosis and disease stratification, as well as monitoring of tumour response to targeted treatments.","DOI":"10.1200/PO.17.00191","ISSN":"2473-4284","note":"PMID: 30949620\nPMCID: PMC6445359","journalAbbreviation":"JCO Precis Oncol","language":"eng","author":[{"family":"Casey","given":"Ruth T."},{"family":"McLean","given":"Mary A."},{"family":"Madhu","given":"Basetti"},{"family":"Challis","given":"Benjamin G."},{"family":"Ten Hoopen","given":"Rogier"},{"family":"Roberts","given":"Thomas"},{"family":"Clark","given":"Graeme R."},{"family":"Pittfield","given":"Deborah"},{"family":"Simpson","given":"Helen L."},{"family":"Bulusu","given":"Venkata R."},{"family":"Allinson","given":"Kieran"},{"family":"Happerfield","given":"Lisa"},{"family":"Park","given":"Soo-Mi"},{"family":"Marker","given":"Alison"},{"family":"Giger","given":"Olivier"},{"family":"Maher","given":"Eamonn R."},{"family":"Gallagher","given":"Ferdia A."}],"issued":{"date-parts":[["2018",3,29]]}}},{"id":2664,"uris":["http://zotero.org/users/4775618/items/FVSFK8XI"],"uri":["http://zotero.org/users/4775618/items/FVSFK8XI"],"itemData":{"id":2664,"type":"article-journal","title":"In Vivo Detection of Succinate by Magnetic Resonance Spectroscopy as a Hallmark of SDHx Mutations in Paraganglioma","container-title":"Clinical Cancer Research","page":"1120-1129","volume":"22","issue":"5","source":"Crossref","abstract":"Purpose: Germline mutations in genes encoding mitochondrial succinate dehydrogenase (SDH) are found in patients with paragangliomas, pheochromocytomas, gastrointestinal stromal tumors, and renal cancers. SDH inactivation leads to a massive accumulation of succinate, acting as an oncometabolite and which levels, assessed on surgically resected tissue are a highly speciﬁc biomarker of SDHx-mutated tumors. The aim of this study was to address the feasibility of detecting succinate in vivo by magnetic resonance spectroscopy.","URL":"http://clincancerres.aacrjournals.org/cgi/doi/10.1158/1078-0432.CCR-15-1576","DOI":"10.1158/1078-0432.CCR-15-1576","ISSN":"1078-0432, 1557-3265","language":"en","author":[{"family":"Lussey-Lepoutre","given":"C."},{"family":"Bellucci","given":"A."},{"family":"Morin","given":"A."},{"family":"Buffet","given":"A."},{"family":"Amar","given":"L."},{"family":"Janin","given":"M."},{"family":"Ottolenghi","given":"C."},{"family":"Zinzindohoue","given":"F."},{"family":"Autret","given":"G."},{"family":"Burnichon","given":"N."},{"family":"Robidel","given":"E."},{"family":"Banting","given":"B."},{"family":"Fontaine","given":"S."},{"family":"Cuenod","given":"C.-A."},{"family":"Benit","given":"P."},{"family":"Rustin","given":"P."},{"family":"Halimi","given":"P."},{"family":"Fournier","given":"L."},{"family":"Gimenez-Roqueplo","given":"A.-P."},{"family":"Favier","given":"J."},{"family":"Tavitian","given":"B."}],"issued":{"date-parts":[["2016",3,1]]},"accessed":{"date-parts":[["2019",6,26]]}}}],"schema":"https://github.com/citation-style-language/schema/raw/master/csl-citation.json"} </w:instrText>
      </w:r>
      <w:r w:rsidR="00BC2CD5">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237,238</w:t>
      </w:r>
      <w:r w:rsidR="00BC2CD5">
        <w:rPr>
          <w:rFonts w:ascii="Calibri" w:hAnsi="Calibri" w:cs="Calibri"/>
          <w:color w:val="000000" w:themeColor="text1"/>
          <w:sz w:val="22"/>
          <w:szCs w:val="22"/>
        </w:rPr>
        <w:fldChar w:fldCharType="end"/>
      </w:r>
      <w:r w:rsidR="00EF2AC0" w:rsidRPr="00D637BA">
        <w:rPr>
          <w:rFonts w:ascii="Calibri" w:hAnsi="Calibri" w:cs="Calibri"/>
          <w:color w:val="000000" w:themeColor="text1"/>
          <w:sz w:val="22"/>
          <w:szCs w:val="22"/>
        </w:rPr>
        <w:t xml:space="preserve">, and </w:t>
      </w:r>
      <w:r w:rsidRPr="00D637BA">
        <w:rPr>
          <w:rFonts w:ascii="Calibri" w:hAnsi="Calibri" w:cs="Calibri"/>
          <w:color w:val="000000" w:themeColor="text1"/>
          <w:sz w:val="22"/>
          <w:szCs w:val="22"/>
        </w:rPr>
        <w:t xml:space="preserve">of </w:t>
      </w:r>
      <w:r w:rsidR="00EF2AC0" w:rsidRPr="00D637BA">
        <w:rPr>
          <w:rFonts w:ascii="Calibri" w:hAnsi="Calibri" w:cs="Calibri"/>
          <w:color w:val="000000" w:themeColor="text1"/>
          <w:sz w:val="22"/>
          <w:szCs w:val="22"/>
        </w:rPr>
        <w:t>2HG in IDH-mutant gliomas</w:t>
      </w:r>
      <w:r w:rsidR="00BC2CD5">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{"citationID":"a18usl8l2hp","properties":{"formattedCitation":"\\super 239\\uc0\\u8211{}241\\nosupersub{}","plainCitation":"239–241","noteIndex":0},"citationItems":[{"id":2668,"uris":["http://zotero.org/users/4775618/items/8QYDU23I"],"uri":["http://zotero.org/users/4775618/items/8QYDU23I"],"itemData":{"id":2668,"type":"article-journal","title":"MR spectroscopy for in vivo assessment of the oncometabolite 2-hydroxyglutarate and its effects on cellular metabolism in human brain gliomas at 9.4T","container-title":"Journal of magnetic resonance imaging: JMRI","page":"823-833","volume":"44","issue":"4","source":"PubMed","abstract":"PURPOSE: To examine in vivo metabolic alterations in the isocitrate dehydrogenase (IDH) mutated gliomas using magnetic resonance spectroscopy (MRS) at magnetic field 9.4T.\nMATERIALS AND METHODS: Spectra were acquired with a 9.4T whole-body scanner with the use of a custom-built head coil (16 channel transmit and 31 channel receive). A modified stimulated echo acquisition mode (STEAM) sequence was used for localization. Eighteen patients with brain tumors of probable glial origin participated in this study. The study was performed in accordance with the guidelines of the local Ethics Committee.\nRESULTS: The increased spectral resolution allowed us to directly address metabolic alterations caused by the specific pathophysiology of IDH mutations including the presence of the oncometabolite 2-hydroxglutarate (2HG) and a significant decrease of the pooled glutamate and glutamine (20%, P = 0.024), which probably reflects an attempt to replenish α-ketoglutarate lost by conversion to 2HG. We also observed significantly reduced glutathione (GSH) levels (39%, P = 0.019), which could be similarly caused by depletion of dihydronicotinamide-adenine dinucleotide phosphate (NADPH) during this conversion in IDH mutant gliomas.\nCONCLUSION: We demonstrate that MRS at 9.4T provides a noninvasive measure of 2HG in vivo, which may be used for therapy planning and prognostication, and may provide insights into related pathophysiologic metabolic alterations associated with IDH mutations. J. MAGN. RESON. IMAGING 2016;44:823-833.","DOI":"10.1002/jmri.25221","ISSN":"1522-2586","note":"PMID: 26970248","journalAbbreviation":"J Magn Reson Imaging","language":"eng","author":[{"family":"Bisdas","given":"Sotirios"},{"family":"Chadzynski","given":"Grzegorz L."},{"family":"Braun","given":"Christian"},{"family":"Schittenhelm","given":"Jens"},{"family":"Skardelly","given":"Marco"},{"family":"Hagberg","given":"Gisela E."},{"family":"Ethofer","given":"Thomas"},{"family":"Pohmann","given":"Rolf"},{"family":"Shajan","given":"G."},{"family":"Engelmann","given":"Jörn"},{"family":"Tabatabai","given":"Ghazaleh"},{"family":"Ziemann","given":"Ulf"},{"family":"Ernemann","given":"Ulrike"},{"family":"Scheffler","given":"Klaus"}],"issued":{"date-parts":[["2016"]]}}},{"id":2672,"uris":["http://zotero.org/users/4775618/items/QV8CFAN8"],"uri":["http://zotero.org/users/4775618/items/QV8CFAN8"],"itemData":{"id":2672,"type":"article-journal","title":"Integration of 2-hydroxyglutarate-proton magnetic resonance spectroscopy into clinical practice for disease monitoring in isocitrate dehydrogenase-mutant glioma","container-title":"Neuro-Oncology","page":"283-290","volume":"18","issue":"2","source":"academic-oup-com.ezp.lib.cam.ac.uk","abstract":"AbstractBackground.  The majority of WHO grades II and III gliomas harbor a missense mutation in\n                        the metabolic gene isocitrate dehydroge","URL":"https://academic-oup-com.ezp.lib.cam.ac.uk/neuro-oncology/article/18/2/283/2509273","DOI":"10.1093/neuonc/nov307","ISSN":"1522-8517","journalAbbreviation":"Neuro Oncol","language":"en","author":[{"family":"Fuente","given":"Macarena I.","non-dropping-particle":"de la"},{"family":"Young","given":"Robert J."},{"family":"Rubel","given":"Jennifer"},{"family":"Rosenblum","given":"Marc"},{"family":"Tisnado","given":"Jamie"},{"family":"Briggs","given":"Samuel"},{"family":"Arevalo-Perez","given":"Julio"},{"family":"Cross","given":"Justin R."},{"family":"Campos","given":"Carl"},{"family":"Straley","given":"Kimberly"},{"family":"Zhu","given":"Dongwei"},{"family":"Dong","given":"Chuanhui"},{"family":"Thomas","given":"Alissa"},{"family":"Omuro","given":"Antonio A."},{"family":"Nolan","given":"Craig P."},{"family":"Pentsova","given":"Elena"},{"family":"Kaley","given":"Thomas J."},{"family":"Oh","given":"Jung H."},{"family":"Noeske","given":"Ralph"},{"family":"Maher","given":"Elizabeth"},{"family":"Choi","given":"Changho"},{"family":"Gutin","given":"Philip H."},{"family":"Holodny","given":"Andrei I."},{"family":"Yen","given":"Katharine"},{"family":"DeAngelis","given":"Lisa M."},{"family":"Mellinghoff","given":"Ingo K."},{"family":"Thakur","given":"Sunitha B."}],"issued":{"date-parts":[["2016",2,1]]},"accessed":{"date-parts":[["2019",6,26]]}}},{"id":1958,"uris":["http://zotero.org/users/4775618/items/SL8433Z4"],"uri":["http://zotero.org/users/4775618/items/SL8433Z4"],"itemData":{"id":1958,"type":"article-journal","title":"Applications of stable, nonradioactive isotope tracers in in vivo human metabolic research","container-title":"Experimental &amp; Molecular Medicine","page":"e203","volume":"48","issue":"1","source":"PubMed Central","abstract":"The human body is in a constant state of turnover, that is, being synthesized, broken down and/or converted to different compounds. The dynamic nature of in vivo kinetics of human metabolism at rest and in stressed conditions such as exercise and pathophysiological conditions such as diabetes and cancer can be quantitatively assessed with stable, nonradioactive isotope tracers in conjunction with gas or liquid chromatography mass spectrometry and modeling. Although measurements of metabolite concentrations have been useful as general indicators of one's health status, critical information on in vivo kinetics of metabolites such as rates of production, appearance or disappearance of metabolites are not provided. Over the past decades, stable, nonradioactive isotope tracers have been used to provide information on dynamics of specific metabolites. Stable isotope tracers can be used in conjunction with molecular and cellular biology tools, thereby providing an in-depth dynamic assessment of metabolic changes, as well as simultaneous investigation of the molecular basis for the observed kinetic responses. In this review, we will introduce basic principles of stable isotope methodology for tracing in vivo kinetics of human or animal metabolism with examples of quantifying certain aspects of in vivo kinetics of carbohydrate, lipid and protein metabolism.","URL":"http://www.ncbi.nlm.nih.gov/pmc/articles/PMC4686699/","DOI":"10.1038/emm.2015.97","ISSN":"1226-3613","journalAbbreviation":"Exp Mol Med","author":[{"family":"Kim","given":"Il-Young"},{"family":"Suh","given":"Sang-Hoon"},{"family":"Lee","given":"In-Kyu"},{"family":"Wolfe","given":"Robert R"}],"issued":{"date-parts":[["2016",1]]},"accessed":{"date-parts":[["2017",4,16]]}}}],"schema":"https://github.com/citation-style-language/schema/raw/master/csl-citation.json"} </w:instrText>
      </w:r>
      <w:r w:rsidR="00BC2CD5">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239–241</w:t>
      </w:r>
      <w:r w:rsidR="00BC2CD5">
        <w:rPr>
          <w:rFonts w:ascii="Calibri" w:hAnsi="Calibri" w:cs="Calibri"/>
          <w:color w:val="000000" w:themeColor="text1"/>
          <w:sz w:val="22"/>
          <w:szCs w:val="22"/>
        </w:rPr>
        <w:fldChar w:fldCharType="end"/>
      </w:r>
      <w:r w:rsidR="00FF0E5F" w:rsidRPr="00D637BA">
        <w:rPr>
          <w:rFonts w:ascii="Calibri" w:hAnsi="Calibri" w:cs="Calibri"/>
          <w:color w:val="000000" w:themeColor="text1"/>
          <w:sz w:val="22"/>
          <w:szCs w:val="22"/>
        </w:rPr>
        <w:t>,</w:t>
      </w:r>
      <w:r w:rsidR="00EF2AC0" w:rsidRPr="00D637BA">
        <w:rPr>
          <w:rFonts w:ascii="Calibri" w:hAnsi="Calibri" w:cs="Calibri"/>
          <w:color w:val="000000" w:themeColor="text1"/>
          <w:sz w:val="22"/>
          <w:szCs w:val="22"/>
        </w:rPr>
        <w:t xml:space="preserve"> has </w:t>
      </w:r>
      <w:r w:rsidR="00FF0E5F" w:rsidRPr="00D637BA">
        <w:rPr>
          <w:rFonts w:ascii="Calibri" w:hAnsi="Calibri" w:cs="Calibri"/>
          <w:color w:val="000000" w:themeColor="text1"/>
          <w:sz w:val="22"/>
          <w:szCs w:val="22"/>
        </w:rPr>
        <w:t xml:space="preserve">led to use of </w:t>
      </w:r>
      <w:r w:rsidR="00EF2AC0" w:rsidRPr="00D637BA">
        <w:rPr>
          <w:rFonts w:ascii="Calibri" w:hAnsi="Calibri" w:cs="Calibri"/>
          <w:color w:val="000000" w:themeColor="text1"/>
          <w:sz w:val="22"/>
          <w:szCs w:val="22"/>
        </w:rPr>
        <w:t>1H-MRS into clinical practice including in disease monitoring of IDH-mutant gliomas</w:t>
      </w:r>
      <w:r w:rsidR="00BC2CD5">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{"citationID":"a2g0e666412","properties":{"formattedCitation":"\\super 240\\nosupersub{}","plainCitation":"240","noteIndex":0},"citationItems":[{"id":2672,"uris":["http://zotero.org/users/4775618/items/QV8CFAN8"],"uri":["http://zotero.org/users/4775618/items/QV8CFAN8"],"itemData":{"id":2672,"type":"article-journal","title":"Integration of 2-hydroxyglutarate-proton magnetic resonance spectroscopy into clinical practice for disease monitoring in isocitrate dehydrogenase-mutant glioma","container-title":"Neuro-Oncology","page":"283-290","volume":"18","issue":"2","source":"academic-oup-com.ezp.lib.cam.ac.uk","abstract":"AbstractBackground.  The majority of WHO grades II and III gliomas harbor a missense mutation in\n                        the metabolic gene isocitrate dehydroge","URL":"https://academic-oup-com.ezp.lib.cam.ac.uk/neuro-oncology/article/18/2/283/2509273","DOI":"10.1093/neuonc/nov307","ISSN":"1522-8517","journalAbbreviation":"Neuro Oncol","language":"en","author":[{"family":"Fuente","given":"Macarena I.","non-dropping-particle":"de la"},{"family":"Young","given":"Robert J."},{"family":"Rubel","given":"Jennifer"},{"family":"Rosenblum","given":"Marc"},{"family":"Tisnado","given":"Jamie"},{"family":"Briggs","given":"Samuel"},{"family":"Arevalo-Perez","given":"Julio"},{"family":"Cross","given":"Justin R."},{"family":"Campos","given":"Carl"},{"family":"Straley","given":"Kimberly"},{"family":"Zhu","given":"Dongwei"},{"family":"Dong","given":"Chuanhui"},{"family":"Thomas","given":"Alissa"},{"family":"Omuro","given":"Antonio A."},{"family":"Nolan","given":"Craig P."},{"family":"Pentsova","given":"Elena"},{"family":"Kaley","given":"Thomas J."},{"family":"Oh","given":"Jung H."},{"family":"Noeske","given":"Ralph"},{"family":"Maher","given":"Elizabeth"},{"family":"Choi","given":"Changho"},{"family":"Gutin","given":"Philip H."},{"family":"Holodny","given":"Andrei I."},{"family":"Yen","given":"Katharine"},{"family":"DeAngelis","given":"Lisa M."},{"family":"Mellinghoff","given":"Ingo K."},{"family":"Thakur","given":"Sunitha B."}],"issued":{"date-parts":[["2016",2,1]]},"accessed":{"date-parts":[["2019",6,26]]}}}],"schema":"https://github.com/citation-style-language/schema/raw/master/csl-citation.json"} </w:instrText>
      </w:r>
      <w:r w:rsidR="00BC2CD5">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240</w:t>
      </w:r>
      <w:r w:rsidR="00BC2CD5">
        <w:rPr>
          <w:rFonts w:ascii="Calibri" w:hAnsi="Calibri" w:cs="Calibri"/>
          <w:color w:val="000000" w:themeColor="text1"/>
          <w:sz w:val="22"/>
          <w:szCs w:val="22"/>
        </w:rPr>
        <w:fldChar w:fldCharType="end"/>
      </w:r>
      <w:r w:rsidR="00EF2AC0" w:rsidRPr="00D637BA">
        <w:rPr>
          <w:rFonts w:ascii="Calibri" w:hAnsi="Calibri" w:cs="Calibri"/>
          <w:color w:val="000000" w:themeColor="text1"/>
          <w:sz w:val="22"/>
          <w:szCs w:val="22"/>
        </w:rPr>
        <w:t xml:space="preserve">. Although </w:t>
      </w:r>
      <w:r w:rsidRPr="00D637BA">
        <w:rPr>
          <w:rFonts w:ascii="Calibri" w:hAnsi="Calibri" w:cs="Calibri"/>
          <w:color w:val="000000" w:themeColor="text1"/>
          <w:sz w:val="22"/>
          <w:szCs w:val="22"/>
        </w:rPr>
        <w:t xml:space="preserve">the use of </w:t>
      </w:r>
      <w:r w:rsidR="00EF2AC0" w:rsidRPr="00D637BA">
        <w:rPr>
          <w:rFonts w:ascii="Calibri" w:hAnsi="Calibri" w:cs="Calibri"/>
          <w:color w:val="000000" w:themeColor="text1"/>
          <w:sz w:val="22"/>
          <w:szCs w:val="22"/>
        </w:rPr>
        <w:t xml:space="preserve">1H-MRS </w:t>
      </w:r>
      <w:r w:rsidRPr="00D637BA">
        <w:rPr>
          <w:rFonts w:ascii="Calibri" w:hAnsi="Calibri" w:cs="Calibri"/>
          <w:color w:val="000000" w:themeColor="text1"/>
          <w:sz w:val="22"/>
          <w:szCs w:val="22"/>
        </w:rPr>
        <w:t xml:space="preserve">to assess the metabolic profile </w:t>
      </w:r>
      <w:r w:rsidR="00EF2AC0" w:rsidRPr="00D637BA">
        <w:rPr>
          <w:rFonts w:ascii="Calibri" w:hAnsi="Calibri" w:cs="Calibri"/>
          <w:color w:val="000000" w:themeColor="text1"/>
          <w:sz w:val="22"/>
          <w:szCs w:val="22"/>
        </w:rPr>
        <w:t xml:space="preserve">has been explored </w:t>
      </w:r>
      <w:r w:rsidRPr="00D637BA">
        <w:rPr>
          <w:rFonts w:ascii="Calibri" w:hAnsi="Calibri" w:cs="Calibri"/>
          <w:color w:val="000000" w:themeColor="text1"/>
          <w:sz w:val="22"/>
          <w:szCs w:val="22"/>
        </w:rPr>
        <w:t xml:space="preserve">in patients with </w:t>
      </w:r>
      <w:r w:rsidR="00EF2AC0" w:rsidRPr="00D637BA">
        <w:rPr>
          <w:rFonts w:ascii="Calibri" w:hAnsi="Calibri" w:cs="Calibri"/>
          <w:color w:val="000000" w:themeColor="text1"/>
          <w:sz w:val="22"/>
          <w:szCs w:val="22"/>
        </w:rPr>
        <w:t>RCC</w:t>
      </w:r>
      <w:r w:rsidR="00BC2CD5">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{"citationID":"anhfhilb2g","properties":{"formattedCitation":"\\super 242\\nosupersub{}","plainCitation":"242","noteIndex":0},"citationItems":[{"id":2675,"uris":["http://zotero.org/users/4775618/items/9PQ96VUT"],"uri":["http://zotero.org/users/4775618/items/9PQ96VUT"],"itemData":{"id":2675,"type":"article-journal","title":"In Vitro and In Vivo 1H-MR Spectroscopic Examination of the Renal Cell Carcinoma","container-title":"International Journal of Biomedical Science : IJBS","page":"94-108","volume":"8","issue":"2","source":"PubMed Central","abstract":"Background:\nParaneoplastic effects are some of the major side effects of advanced renal cell carcinoma (RCC). Magnetic resonance spectroscopy (MRS) is known as a powerful tool to study cancer cell metabolism and cancer cell – host interactions. Aim of this study was to assess tumor cell metabolism and systemic effects using 1H-MRS.\n\nMethods:\nSpectroscopic analysis of 10 patients with RCC was compared with those of 15 healthy volunteers. Local tumor metabolism was assessed using image-guided 1H-in-vivo-spectroscopy in a 1.5 Tesla MR whole body tomograph. Systemic effects of RCC were measured using 1H-High-Resolution (HR) spectra of blood plasma samples in a 500 MHz Bruker DRX 500 spectrometer.\n\nResults:\nIn-vivo-spectroscopy can significantly differentiate tumor tissue from healthy renal tissue by comparing their lipid composition. Moreover after detailed assignment of the various metabolites in blood plasma in the in-vitro-HR-spectra significant systemic alterations could be identified in patients with RCC especially regarding lipid and amino acid metabolism.\n\nConclusion:\nThis work indicates that using 1H-MRS both changes in tumor metabolism and resulting systemic/paraneoplastic effects can be assessed in patients with RCC. This approach therefore offers scope for diagnosis and therapy evaluation.","URL":"https://www.ncbi.nlm.nih.gov/pmc/articles/PMC3614866/","ISSN":"1550-9702","note":"PMID: 23675262\nPMCID: PMC3614866","journalAbbreviation":"Int J Biomed Sci","author":[{"family":"Süllentrop","given":"F."},{"family":"Hahn","given":"J."},{"family":"Moka","given":"D."}],"issued":{"date-parts":[["2012",6]]},"accessed":{"date-parts":[["2019",6,26]]}},"locator":"2012"}],"schema":"https://github.com/citation-style-language/schema/raw/master/csl-citation.json"} </w:instrText>
      </w:r>
      <w:r w:rsidR="00BC2CD5">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242</w:t>
      </w:r>
      <w:r w:rsidR="00BC2CD5">
        <w:rPr>
          <w:rFonts w:ascii="Calibri" w:hAnsi="Calibri" w:cs="Calibri"/>
          <w:color w:val="000000" w:themeColor="text1"/>
          <w:sz w:val="22"/>
          <w:szCs w:val="22"/>
        </w:rPr>
        <w:fldChar w:fldCharType="end"/>
      </w:r>
      <w:r w:rsidR="00EF2AC0" w:rsidRPr="00D637BA">
        <w:rPr>
          <w:rFonts w:ascii="Calibri" w:hAnsi="Calibri" w:cs="Calibri"/>
          <w:color w:val="000000" w:themeColor="text1"/>
          <w:sz w:val="22"/>
          <w:szCs w:val="22"/>
        </w:rPr>
        <w:t>, the knowledge that the majority of oncometabolites have been implicated in RCC provides strong evidence for further investigation and may hold promise for patients with rare and aggressive RCC subtypes such as SDH-deficien</w:t>
      </w:r>
      <w:r w:rsidR="00FF0E5F" w:rsidRPr="00D637BA">
        <w:rPr>
          <w:rFonts w:ascii="Calibri" w:hAnsi="Calibri" w:cs="Calibri"/>
          <w:color w:val="000000" w:themeColor="text1"/>
          <w:sz w:val="22"/>
          <w:szCs w:val="22"/>
        </w:rPr>
        <w:t>t tumours</w:t>
      </w:r>
      <w:r w:rsidR="00EF2AC0" w:rsidRPr="00D637BA">
        <w:rPr>
          <w:rFonts w:ascii="Calibri" w:hAnsi="Calibri" w:cs="Calibri"/>
          <w:color w:val="000000" w:themeColor="text1"/>
          <w:sz w:val="22"/>
          <w:szCs w:val="22"/>
        </w:rPr>
        <w:t xml:space="preserve">. In addition, a pre-clinical study capitalising on glutamine reliance in several RCC subtypes demonstrated the ability to dynamically assess ccRCC metabolism </w:t>
      </w:r>
      <w:r w:rsidR="00EF2AC0" w:rsidRPr="00D637BA">
        <w:rPr>
          <w:rFonts w:ascii="Calibri" w:hAnsi="Calibri" w:cs="Calibri"/>
          <w:i/>
          <w:color w:val="000000" w:themeColor="text1"/>
          <w:sz w:val="22"/>
          <w:szCs w:val="22"/>
        </w:rPr>
        <w:t>in vivo</w:t>
      </w:r>
      <w:r w:rsidR="00EF2AC0" w:rsidRPr="00D637BA">
        <w:rPr>
          <w:rFonts w:ascii="Calibri" w:hAnsi="Calibri" w:cs="Calibri"/>
          <w:color w:val="000000" w:themeColor="text1"/>
          <w:sz w:val="22"/>
          <w:szCs w:val="22"/>
        </w:rPr>
        <w:t xml:space="preserve"> using</w:t>
      </w:r>
      <w:r w:rsidR="00EF2AC0" w:rsidRPr="00D637BA">
        <w:rPr>
          <w:rFonts w:ascii="Calibri" w:hAnsi="Calibri" w:cs="Calibri"/>
          <w:i/>
          <w:color w:val="000000" w:themeColor="text1"/>
          <w:sz w:val="22"/>
          <w:szCs w:val="22"/>
        </w:rPr>
        <w:t xml:space="preserve"> </w:t>
      </w:r>
      <w:r w:rsidR="00EF2AC0" w:rsidRPr="00D637BA">
        <w:rPr>
          <w:rFonts w:ascii="Calibri" w:hAnsi="Calibri" w:cs="Calibri"/>
          <w:color w:val="000000" w:themeColor="text1"/>
          <w:sz w:val="22"/>
          <w:szCs w:val="22"/>
        </w:rPr>
        <w:t xml:space="preserve">PET imaging with the radiotracer </w:t>
      </w:r>
      <w:r w:rsidR="00EF2AC0" w:rsidRPr="00D637BA">
        <w:rPr>
          <w:rFonts w:ascii="Calibri" w:hAnsi="Calibri" w:cs="Calibri"/>
          <w:color w:val="000000" w:themeColor="text1"/>
          <w:sz w:val="22"/>
          <w:szCs w:val="22"/>
          <w:vertAlign w:val="superscript"/>
        </w:rPr>
        <w:t>18</w:t>
      </w:r>
      <w:r w:rsidR="00EF2AC0" w:rsidRPr="00D637BA">
        <w:rPr>
          <w:rFonts w:ascii="Calibri" w:hAnsi="Calibri" w:cs="Calibri"/>
          <w:color w:val="000000" w:themeColor="text1"/>
          <w:sz w:val="22"/>
          <w:szCs w:val="22"/>
        </w:rPr>
        <w:t>F-(2S,4R)4-fluoroglutamine (18F-FGln)</w:t>
      </w:r>
      <w:r w:rsidR="00BC2CD5">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{"citationID":"a1v0ukou07s","properties":{"formattedCitation":"\\super 210\\nosupersub{}","plainCitation":"210","noteIndex":0},"citationItems":[{"id":2617,"uris":["http://zotero.org/users/4775618/items/834J6ZV5"],"uri":["http://zotero.org/users/4775618/items/834J6ZV5"],"itemData":{"id":2617,"type":"article-journal","title":"Glutamine Addiction in Kidney Cancer Suppresses Oxidative Stress and Can Be Exploited for Real-Time Imaging","container-title":"Cancer Research","page":"6746-6758","volume":"77","issue":"23","source":"PubMed","abstract":"Many cancers appear to activate intrinsic antioxidant systems as a means to counteract oxidative stress. Some cancers, such as clear cell renal cell carcinoma (ccRCC), require exogenous glutamine for growth and exhibit reprogrammed glutamine metabolism, at least in part due to the glutathione pathway, an efficient cellular buffering system that counteracts reactive oxygen species and other oxidants. We show here that ccRCC xenograft tumors under the renal capsule exhibit enhanced oxidative stress compared with adjacent normal tissue and the contralateral kidney. Upon glutaminase inhibition with CB-839 or BPTES, the RCC cell lines SN12PM-6-1 (SN12) and 786-O exhibited decreased survival and pronounced apoptosis associated with a decreased GSH/GSSG ratio, augmented nuclear factor erythroid-related factor 2, and increased 8-oxo-7,8-dihydro-2'-deoxyguanosine, a marker of DNA damage. SN12 tumor xenografts showed decreased growth when treated with CB-839. Furthermore, PET imaging confirmed that ccRCC tumors exhibited increased tumoral uptake of 18F-(2S,4R)4-fluoroglutamine compared with the kidney in the orthotopic mouse model. This technique can be utilized to follow changes in ccRCC metabolism in vivo Further development of these paradigms will lead to new treatment options with glutaminase inhibitors and the utility of PET to identify and manage patients with ccRCC who are likely to respond to glutaminase inhibitors in the clinic. Cancer Res; 77(23); 6746-58. ©2017 AACR.","DOI":"10.1158/0008-5472.CAN-17-0930","ISSN":"1538-7445","note":"PMID: 29021138\nPMCID: PMC5791889","journalAbbreviation":"Cancer Res.","language":"eng","author":[{"family":"Abu Aboud","given":"Omran"},{"family":"Habib","given":"Samy L."},{"family":"Trott","given":"Josephine"},{"family":"Stewart","given":"Benjamin"},{"family":"Liang","given":"Sitai"},{"family":"Chaudhari","given":"Abhijit J."},{"family":"Sutcliffe","given":"Julie"},{"family":"Weiss","given":"Robert H."}],"issued":{"date-parts":[["2017"]],"season":"01"}}}],"schema":"https://github.com/citation-style-language/schema/raw/master/csl-citation.json"} </w:instrText>
      </w:r>
      <w:r w:rsidR="00BC2CD5">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210</w:t>
      </w:r>
      <w:r w:rsidR="00BC2CD5">
        <w:rPr>
          <w:rFonts w:ascii="Calibri" w:hAnsi="Calibri" w:cs="Calibri"/>
          <w:color w:val="000000" w:themeColor="text1"/>
          <w:sz w:val="22"/>
          <w:szCs w:val="22"/>
        </w:rPr>
        <w:fldChar w:fldCharType="end"/>
      </w:r>
      <w:r w:rsidR="00EF2AC0"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This approach</w:t>
      </w:r>
      <w:r w:rsidR="00EF2AC0" w:rsidRPr="00D637BA">
        <w:rPr>
          <w:rFonts w:ascii="Calibri" w:hAnsi="Calibri" w:cs="Calibri"/>
          <w:color w:val="000000" w:themeColor="text1"/>
          <w:sz w:val="22"/>
          <w:szCs w:val="22"/>
        </w:rPr>
        <w:t xml:space="preserve"> </w:t>
      </w:r>
      <w:r w:rsidR="00FF0E5F" w:rsidRPr="00D637BA">
        <w:rPr>
          <w:rFonts w:ascii="Calibri" w:hAnsi="Calibri" w:cs="Calibri"/>
          <w:color w:val="000000" w:themeColor="text1"/>
          <w:sz w:val="22"/>
          <w:szCs w:val="22"/>
        </w:rPr>
        <w:t xml:space="preserve">could </w:t>
      </w:r>
      <w:r w:rsidR="00EF2AC0" w:rsidRPr="00D637BA">
        <w:rPr>
          <w:rFonts w:ascii="Calibri" w:hAnsi="Calibri" w:cs="Calibri"/>
          <w:color w:val="000000" w:themeColor="text1"/>
          <w:sz w:val="22"/>
          <w:szCs w:val="22"/>
        </w:rPr>
        <w:t>potential</w:t>
      </w:r>
      <w:r w:rsidR="00FF0E5F" w:rsidRPr="00D637BA">
        <w:rPr>
          <w:rFonts w:ascii="Calibri" w:hAnsi="Calibri" w:cs="Calibri"/>
          <w:color w:val="000000" w:themeColor="text1"/>
          <w:sz w:val="22"/>
          <w:szCs w:val="22"/>
        </w:rPr>
        <w:t>ly be used to</w:t>
      </w:r>
      <w:r w:rsidR="000167D7">
        <w:rPr>
          <w:rFonts w:ascii="Calibri" w:hAnsi="Calibri" w:cs="Calibri"/>
          <w:color w:val="000000" w:themeColor="text1"/>
          <w:sz w:val="22"/>
          <w:szCs w:val="22"/>
        </w:rPr>
        <w:t xml:space="preserve"> </w:t>
      </w:r>
      <w:r w:rsidR="00EF2AC0" w:rsidRPr="00D637BA">
        <w:rPr>
          <w:rFonts w:ascii="Calibri" w:hAnsi="Calibri" w:cs="Calibri"/>
          <w:color w:val="000000" w:themeColor="text1"/>
          <w:sz w:val="22"/>
          <w:szCs w:val="22"/>
        </w:rPr>
        <w:t>diagnos</w:t>
      </w:r>
      <w:r w:rsidR="00FF0E5F" w:rsidRPr="00D637BA">
        <w:rPr>
          <w:rFonts w:ascii="Calibri" w:hAnsi="Calibri" w:cs="Calibri"/>
          <w:color w:val="000000" w:themeColor="text1"/>
          <w:sz w:val="22"/>
          <w:szCs w:val="22"/>
        </w:rPr>
        <w:t>e</w:t>
      </w:r>
      <w:r w:rsidR="00EF2AC0" w:rsidRPr="00D637BA">
        <w:rPr>
          <w:rFonts w:ascii="Calibri" w:hAnsi="Calibri" w:cs="Calibri"/>
          <w:color w:val="000000" w:themeColor="text1"/>
          <w:sz w:val="22"/>
          <w:szCs w:val="22"/>
        </w:rPr>
        <w:t xml:space="preserve"> and stag</w:t>
      </w:r>
      <w:r w:rsidR="00FF0E5F" w:rsidRPr="00D637BA">
        <w:rPr>
          <w:rFonts w:ascii="Calibri" w:hAnsi="Calibri" w:cs="Calibri"/>
          <w:color w:val="000000" w:themeColor="text1"/>
          <w:sz w:val="22"/>
          <w:szCs w:val="22"/>
        </w:rPr>
        <w:t>e</w:t>
      </w:r>
      <w:r w:rsidR="00EF2AC0" w:rsidRPr="00D637BA">
        <w:rPr>
          <w:rFonts w:ascii="Calibri" w:hAnsi="Calibri" w:cs="Calibri"/>
          <w:color w:val="000000" w:themeColor="text1"/>
          <w:sz w:val="22"/>
          <w:szCs w:val="22"/>
        </w:rPr>
        <w:t xml:space="preserve"> RCCs as well as</w:t>
      </w:r>
      <w:r w:rsidR="00FF0E5F" w:rsidRPr="00D637BA">
        <w:rPr>
          <w:rFonts w:ascii="Calibri" w:hAnsi="Calibri" w:cs="Calibri"/>
          <w:color w:val="000000" w:themeColor="text1"/>
          <w:sz w:val="22"/>
          <w:szCs w:val="22"/>
        </w:rPr>
        <w:t xml:space="preserve"> to</w:t>
      </w:r>
      <w:r w:rsidR="00EF2AC0"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identify </w:t>
      </w:r>
      <w:r w:rsidR="00EF2AC0" w:rsidRPr="00D637BA">
        <w:rPr>
          <w:rFonts w:ascii="Calibri" w:hAnsi="Calibri" w:cs="Calibri"/>
          <w:color w:val="000000" w:themeColor="text1"/>
          <w:sz w:val="22"/>
          <w:szCs w:val="22"/>
        </w:rPr>
        <w:t xml:space="preserve">patients </w:t>
      </w:r>
      <w:r w:rsidRPr="00D637BA">
        <w:rPr>
          <w:rFonts w:ascii="Calibri" w:hAnsi="Calibri" w:cs="Calibri"/>
          <w:color w:val="000000" w:themeColor="text1"/>
          <w:sz w:val="22"/>
          <w:szCs w:val="22"/>
        </w:rPr>
        <w:t xml:space="preserve">who </w:t>
      </w:r>
      <w:r w:rsidR="00EF2AC0" w:rsidRPr="00D637BA">
        <w:rPr>
          <w:rFonts w:ascii="Calibri" w:hAnsi="Calibri" w:cs="Calibri"/>
          <w:color w:val="000000" w:themeColor="text1"/>
          <w:sz w:val="22"/>
          <w:szCs w:val="22"/>
        </w:rPr>
        <w:t>are likely to respond to glutaminase inhibition</w:t>
      </w:r>
      <w:r w:rsidR="00BC2CD5">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{"citationID":"a2bk0951jvf","properties":{"formattedCitation":"\\super 210\\nosupersub{}","plainCitation":"210","noteIndex":0},"citationItems":[{"id":2617,"uris":["http://zotero.org/users/4775618/items/834J6ZV5"],"uri":["http://zotero.org/users/4775618/items/834J6ZV5"],"itemData":{"id":2617,"type":"article-journal","title":"Glutamine Addiction in Kidney Cancer Suppresses Oxidative Stress and Can Be Exploited for Real-Time Imaging","container-title":"Cancer Research","page":"6746-6758","volume":"77","issue":"23","source":"PubMed","abstract":"Many cancers appear to activate intrinsic antioxidant systems as a means to counteract oxidative stress. Some cancers, such as clear cell renal cell carcinoma (ccRCC), require exogenous glutamine for growth and exhibit reprogrammed glutamine metabolism, at least in part due to the glutathione pathway, an efficient cellular buffering system that counteracts reactive oxygen species and other oxidants. We show here that ccRCC xenograft tumors under the renal capsule exhibit enhanced oxidative stress compared with adjacent normal tissue and the contralateral kidney. Upon glutaminase inhibition with CB-839 or BPTES, the RCC cell lines SN12PM-6-1 (SN12) and 786-O exhibited decreased survival and pronounced apoptosis associated with a decreased GSH/GSSG ratio, augmented nuclear factor erythroid-related factor 2, and increased 8-oxo-7,8-dihydro-2'-deoxyguanosine, a marker of DNA damage. SN12 tumor xenografts showed decreased growth when treated with CB-839. Furthermore, PET imaging confirmed that ccRCC tumors exhibited increased tumoral uptake of 18F-(2S,4R)4-fluoroglutamine compared with the kidney in the orthotopic mouse model. This technique can be utilized to follow changes in ccRCC metabolism in vivo Further development of these paradigms will lead to new treatment options with glutaminase inhibitors and the utility of PET to identify and manage patients with ccRCC who are likely to respond to glutaminase inhibitors in the clinic. Cancer Res; 77(23); 6746-58. ©2017 AACR.","DOI":"10.1158/0008-5472.CAN-17-0930","ISSN":"1538-7445","note":"PMID: 29021138\nPMCID: PMC5791889","journalAbbreviation":"Cancer Res.","language":"eng","author":[{"family":"Abu Aboud","given":"Omran"},{"family":"Habib","given":"Samy L."},{"family":"Trott","given":"Josephine"},{"family":"Stewart","given":"Benjamin"},{"family":"Liang","given":"Sitai"},{"family":"Chaudhari","given":"Abhijit J."},{"family":"Sutcliffe","given":"Julie"},{"family":"Weiss","given":"Robert H."}],"issued":{"date-parts":[["2017"]],"season":"01"}}}],"schema":"https://github.com/citation-style-language/schema/raw/master/csl-citation.json"} </w:instrText>
      </w:r>
      <w:r w:rsidR="00BC2CD5">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210</w:t>
      </w:r>
      <w:r w:rsidR="00BC2CD5">
        <w:rPr>
          <w:rFonts w:ascii="Calibri" w:hAnsi="Calibri" w:cs="Calibri"/>
          <w:color w:val="000000" w:themeColor="text1"/>
          <w:sz w:val="22"/>
          <w:szCs w:val="22"/>
        </w:rPr>
        <w:fldChar w:fldCharType="end"/>
      </w:r>
      <w:r w:rsidR="00EF2AC0" w:rsidRPr="00D637BA">
        <w:rPr>
          <w:rFonts w:ascii="Calibri" w:hAnsi="Calibri" w:cs="Calibri"/>
          <w:color w:val="000000" w:themeColor="text1"/>
          <w:sz w:val="22"/>
          <w:szCs w:val="22"/>
        </w:rPr>
        <w:t>.</w:t>
      </w:r>
    </w:p>
    <w:p w14:paraId="284CCCA1" w14:textId="55DFAB3D" w:rsidR="00826EEE" w:rsidRPr="00D637BA" w:rsidRDefault="00826EEE" w:rsidP="00F131BF">
      <w:pPr>
        <w:spacing w:line="360" w:lineRule="auto"/>
        <w:jc w:val="both"/>
        <w:rPr>
          <w:rFonts w:ascii="Calibri" w:hAnsi="Calibri" w:cs="Calibri"/>
          <w:color w:val="000000" w:themeColor="text1"/>
          <w:sz w:val="22"/>
          <w:szCs w:val="22"/>
        </w:rPr>
      </w:pPr>
    </w:p>
    <w:p w14:paraId="00B91C1B" w14:textId="43073156" w:rsidR="00826EEE" w:rsidRPr="00B946E4" w:rsidRDefault="005C379F" w:rsidP="00F131BF">
      <w:pPr>
        <w:spacing w:line="360" w:lineRule="auto"/>
        <w:jc w:val="both"/>
        <w:rPr>
          <w:rFonts w:ascii="Calibri" w:hAnsi="Calibri" w:cs="Calibri"/>
          <w:b/>
          <w:i/>
          <w:color w:val="000000" w:themeColor="text1"/>
          <w:sz w:val="22"/>
          <w:szCs w:val="22"/>
        </w:rPr>
      </w:pPr>
      <w:r w:rsidRPr="00B946E4">
        <w:rPr>
          <w:rFonts w:ascii="Calibri" w:hAnsi="Calibri" w:cs="Calibri"/>
          <w:b/>
          <w:i/>
          <w:color w:val="000000" w:themeColor="text1"/>
          <w:sz w:val="22"/>
          <w:szCs w:val="22"/>
        </w:rPr>
        <w:lastRenderedPageBreak/>
        <w:t>[</w:t>
      </w:r>
      <w:r w:rsidR="001E6476" w:rsidRPr="00B946E4">
        <w:rPr>
          <w:rFonts w:ascii="Calibri" w:hAnsi="Calibri" w:cs="Calibri"/>
          <w:b/>
          <w:i/>
          <w:color w:val="000000" w:themeColor="text1"/>
          <w:sz w:val="22"/>
          <w:szCs w:val="22"/>
        </w:rPr>
        <w:t>H2</w:t>
      </w:r>
      <w:r w:rsidRPr="00B946E4">
        <w:rPr>
          <w:rFonts w:ascii="Calibri" w:hAnsi="Calibri" w:cs="Calibri"/>
          <w:b/>
          <w:i/>
          <w:color w:val="000000" w:themeColor="text1"/>
          <w:sz w:val="22"/>
          <w:szCs w:val="22"/>
        </w:rPr>
        <w:t xml:space="preserve">] </w:t>
      </w:r>
      <w:r w:rsidR="00826EEE" w:rsidRPr="00B946E4">
        <w:rPr>
          <w:rFonts w:ascii="Calibri" w:hAnsi="Calibri" w:cs="Calibri"/>
          <w:b/>
          <w:i/>
          <w:color w:val="000000" w:themeColor="text1"/>
          <w:sz w:val="22"/>
          <w:szCs w:val="22"/>
        </w:rPr>
        <w:t>Optimis</w:t>
      </w:r>
      <w:r w:rsidR="00F90ECF" w:rsidRPr="00D637BA">
        <w:rPr>
          <w:rFonts w:ascii="Calibri" w:hAnsi="Calibri" w:cs="Calibri"/>
          <w:b/>
          <w:i/>
          <w:color w:val="000000" w:themeColor="text1"/>
          <w:sz w:val="22"/>
          <w:szCs w:val="22"/>
        </w:rPr>
        <w:t>ing</w:t>
      </w:r>
      <w:r w:rsidR="00826EEE" w:rsidRPr="00B946E4">
        <w:rPr>
          <w:rFonts w:ascii="Calibri" w:hAnsi="Calibri" w:cs="Calibri"/>
          <w:b/>
          <w:i/>
          <w:color w:val="000000" w:themeColor="text1"/>
          <w:sz w:val="22"/>
          <w:szCs w:val="22"/>
        </w:rPr>
        <w:t xml:space="preserve"> surgical </w:t>
      </w:r>
      <w:r w:rsidR="00F90ECF" w:rsidRPr="00D637BA">
        <w:rPr>
          <w:rFonts w:ascii="Calibri" w:hAnsi="Calibri" w:cs="Calibri"/>
          <w:b/>
          <w:i/>
          <w:color w:val="000000" w:themeColor="text1"/>
          <w:sz w:val="22"/>
          <w:szCs w:val="22"/>
        </w:rPr>
        <w:t>margins</w:t>
      </w:r>
    </w:p>
    <w:p w14:paraId="5D62F63E" w14:textId="32B1A246" w:rsidR="00677B44" w:rsidRPr="00D637BA" w:rsidRDefault="00F131BF" w:rsidP="00B946E4">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Oncometabolite-associated biomarkers may also prove indispensable for optimising surgical oncology. </w:t>
      </w:r>
      <w:r w:rsidR="00B9506F" w:rsidRPr="00D637BA">
        <w:rPr>
          <w:rFonts w:ascii="Calibri" w:hAnsi="Calibri" w:cs="Calibri"/>
          <w:color w:val="000000" w:themeColor="text1"/>
          <w:sz w:val="22"/>
          <w:szCs w:val="22"/>
        </w:rPr>
        <w:t>For example, i</w:t>
      </w:r>
      <w:r w:rsidRPr="00D637BA">
        <w:rPr>
          <w:rFonts w:ascii="Calibri" w:hAnsi="Calibri" w:cs="Calibri"/>
          <w:color w:val="000000" w:themeColor="text1"/>
          <w:sz w:val="22"/>
          <w:szCs w:val="22"/>
        </w:rPr>
        <w:t>ntraoperative mass spectrometry of 2HG has been used to guide brain tumour resections with promising results</w:t>
      </w:r>
      <w:r w:rsidR="0084518B">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{"citationID":"a259r9edabj","properties":{"formattedCitation":"\\super 243\\nosupersub{}","plainCitation":"243","noteIndex":0},"citationItems":[{"id":402,"uris":["http://zotero.org/users/4775618/items/9PCAQ4BZ"],"uri":["http://zotero.org/users/4775618/items/9PCAQ4BZ"],"itemData":{"id":402,"type":"article-journal","title":"Intraoperative mass spectrometry mapping of an onco-metabolite to guide brain tumor surgery","container-title":"Proceedings of the National Academy of Sciences of the United States of America","page":"11121-11126","volume":"111","issue":"30","source":"PubMed","abstract":"For many intraoperative decisions surgeons depend on frozen section pathology, a technique developed over 150 y ago. Technical innovations that permit rapid molecular characterization of tissue samples at the time of surgery are needed. Here, using desorption electrospray ionization (DESI) MS, we rapidly detect the tumor metabolite 2-hydroxyglutarate (2-HG) from tissue sections of surgically resected gliomas, under ambient conditions and without complex or time-consuming preparation. With DESI MS, we identify isocitrate dehydrogenase 1-mutant tumors with both high sensitivity and specificity within minutes, immediately providing critical diagnostic, prognostic, and predictive information. Imaging tissue sections with DESI MS shows that the 2-HG signal overlaps with areas of tumor and that 2-HG levels correlate with tumor content, thereby indicating tumor margins. Mapping the 2-HG signal onto 3D MRI reconstructions of tumors allows the integration of molecular and radiologic information for enhanced clinical decision making. We also validate the methodology and its deployment in the operating room: We have installed a mass spectrometer in our Advanced Multimodality Image Guided Operating (AMIGO) suite and demonstrate the molecular analysis of surgical tissue during brain surgery. This work indicates that metabolite-imaging MS could transform many aspects of surgical care.","DOI":"10.1073/pnas.1404724111","ISSN":"1091-6490","note":"PMID: 24982150\nPMCID: PMC4121790","journalAbbreviation":"Proc. Natl. Acad. Sci. U.S.A.","language":"eng","author":[{"family":"Santagata","given":"Sandro"},{"family":"Eberlin","given":"Livia S."},{"family":"Norton","given":"Isaiah"},{"family":"Calligaris","given":"David"},{"family":"Feldman","given":"Daniel R."},{"family":"Ide","given":"Jennifer L."},{"family":"Liu","given":"Xiaohui"},{"family":"Wiley","given":"Joshua S."},{"family":"Vestal","given":"Matthew L."},{"family":"Ramkissoon","given":"Shakti H."},{"family":"Orringer","given":"Daniel A."},{"family":"Gill","given":"Kristen K."},{"family":"Dunn","given":"Ian F."},{"family":"Dias-Santagata","given":"Dora"},{"family":"Ligon","given":"Keith L."},{"family":"Jolesz","given":"Ferenc A."},{"family":"Golby","given":"Alexandra J."},{"family":"Cooks","given":"R. Graham"},{"family":"Agar","given":"Nathalie Y. R."}],"issued":{"date-parts":[["2014",7,29]]}}}],"schema":"https://github.com/citation-style-language/schema/raw/master/csl-citation.json"} </w:instrText>
      </w:r>
      <w:r w:rsidR="0084518B">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243</w:t>
      </w:r>
      <w:r w:rsidR="0084518B">
        <w:rPr>
          <w:rFonts w:ascii="Calibri" w:hAnsi="Calibri" w:cs="Calibri"/>
          <w:color w:val="000000" w:themeColor="text1"/>
          <w:sz w:val="22"/>
          <w:szCs w:val="22"/>
        </w:rPr>
        <w:fldChar w:fldCharType="end"/>
      </w:r>
      <w:r w:rsidR="0084518B">
        <w:rPr>
          <w:rFonts w:ascii="Calibri" w:hAnsi="Calibri" w:cs="Calibri"/>
          <w:color w:val="000000"/>
          <w:sz w:val="22"/>
          <w:lang w:val="en-US"/>
        </w:rPr>
        <w:t xml:space="preserve">. </w:t>
      </w:r>
      <w:r w:rsidR="00B9506F" w:rsidRPr="00D637BA">
        <w:rPr>
          <w:rFonts w:ascii="Calibri" w:hAnsi="Calibri" w:cs="Calibri"/>
          <w:color w:val="000000" w:themeColor="text1"/>
          <w:sz w:val="22"/>
          <w:szCs w:val="22"/>
        </w:rPr>
        <w:t xml:space="preserve">Detecting </w:t>
      </w:r>
      <w:r w:rsidRPr="00D637BA">
        <w:rPr>
          <w:rFonts w:ascii="Calibri" w:hAnsi="Calibri" w:cs="Calibri"/>
          <w:color w:val="000000" w:themeColor="text1"/>
          <w:sz w:val="22"/>
          <w:szCs w:val="22"/>
        </w:rPr>
        <w:t>oncometabolites at tumour resection margins or “molecular margins” identifies the presence of tumour cells</w:t>
      </w:r>
      <w:r w:rsidR="00B9506F" w:rsidRPr="00D637BA">
        <w:rPr>
          <w:rFonts w:ascii="Calibri" w:hAnsi="Calibri" w:cs="Calibri"/>
          <w:color w:val="000000" w:themeColor="text1"/>
          <w:sz w:val="22"/>
          <w:szCs w:val="22"/>
        </w:rPr>
        <w:t xml:space="preserve"> and </w:t>
      </w:r>
      <w:r w:rsidRPr="00D637BA">
        <w:rPr>
          <w:rFonts w:ascii="Calibri" w:hAnsi="Calibri" w:cs="Calibri"/>
          <w:color w:val="000000" w:themeColor="text1"/>
          <w:sz w:val="22"/>
          <w:szCs w:val="22"/>
        </w:rPr>
        <w:t>thus provid</w:t>
      </w:r>
      <w:r w:rsidR="00B9506F" w:rsidRPr="00D637BA">
        <w:rPr>
          <w:rFonts w:ascii="Calibri" w:hAnsi="Calibri" w:cs="Calibri"/>
          <w:color w:val="000000" w:themeColor="text1"/>
          <w:sz w:val="22"/>
          <w:szCs w:val="22"/>
        </w:rPr>
        <w:t>es</w:t>
      </w:r>
      <w:r w:rsidRPr="00D637BA">
        <w:rPr>
          <w:rFonts w:ascii="Calibri" w:hAnsi="Calibri" w:cs="Calibri"/>
          <w:color w:val="000000" w:themeColor="text1"/>
          <w:sz w:val="22"/>
          <w:szCs w:val="22"/>
        </w:rPr>
        <w:t xml:space="preserve"> a straightforward guide for the need for further resections</w:t>
      </w:r>
      <w:r w:rsidR="0084518B">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{"citationID":"acp0cd2db9","properties":{"formattedCitation":"\\super 243\\nosupersub{}","plainCitation":"243","noteIndex":0},"citationItems":[{"id":402,"uris":["http://zotero.org/users/4775618/items/9PCAQ4BZ"],"uri":["http://zotero.org/users/4775618/items/9PCAQ4BZ"],"itemData":{"id":402,"type":"article-journal","title":"Intraoperative mass spectrometry mapping of an onco-metabolite to guide brain tumor surgery","container-title":"Proceedings of the National Academy of Sciences of the United States of America","page":"11121-11126","volume":"111","issue":"30","source":"PubMed","abstract":"For many intraoperative decisions surgeons depend on frozen section pathology, a technique developed over 150 y ago. Technical innovations that permit rapid molecular characterization of tissue samples at the time of surgery are needed. Here, using desorption electrospray ionization (DESI) MS, we rapidly detect the tumor metabolite 2-hydroxyglutarate (2-HG) from tissue sections of surgically resected gliomas, under ambient conditions and without complex or time-consuming preparation. With DESI MS, we identify isocitrate dehydrogenase 1-mutant tumors with both high sensitivity and specificity within minutes, immediately providing critical diagnostic, prognostic, and predictive information. Imaging tissue sections with DESI MS shows that the 2-HG signal overlaps with areas of tumor and that 2-HG levels correlate with tumor content, thereby indicating tumor margins. Mapping the 2-HG signal onto 3D MRI reconstructions of tumors allows the integration of molecular and radiologic information for enhanced clinical decision making. We also validate the methodology and its deployment in the operating room: We have installed a mass spectrometer in our Advanced Multimodality Image Guided Operating (AMIGO) suite and demonstrate the molecular analysis of surgical tissue during brain surgery. This work indicates that metabolite-imaging MS could transform many aspects of surgical care.","DOI":"10.1073/pnas.1404724111","ISSN":"1091-6490","note":"PMID: 24982150\nPMCID: PMC4121790","journalAbbreviation":"Proc. Natl. Acad. Sci. U.S.A.","language":"eng","author":[{"family":"Santagata","given":"Sandro"},{"family":"Eberlin","given":"Livia S."},{"family":"Norton","given":"Isaiah"},{"family":"Calligaris","given":"David"},{"family":"Feldman","given":"Daniel R."},{"family":"Ide","given":"Jennifer L."},{"family":"Liu","given":"Xiaohui"},{"family":"Wiley","given":"Joshua S."},{"family":"Vestal","given":"Matthew L."},{"family":"Ramkissoon","given":"Shakti H."},{"family":"Orringer","given":"Daniel A."},{"family":"Gill","given":"Kristen K."},{"family":"Dunn","given":"Ian F."},{"family":"Dias-Santagata","given":"Dora"},{"family":"Ligon","given":"Keith L."},{"family":"Jolesz","given":"Ferenc A."},{"family":"Golby","given":"Alexandra J."},{"family":"Cooks","given":"R. Graham"},{"family":"Agar","given":"Nathalie Y. R."}],"issued":{"date-parts":[["2014",7,29]]}}}],"schema":"https://github.com/citation-style-language/schema/raw/master/csl-citation.json"} </w:instrText>
      </w:r>
      <w:r w:rsidR="0084518B">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243</w:t>
      </w:r>
      <w:r w:rsidR="0084518B">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8A75E8" w:rsidRPr="00D637BA">
        <w:rPr>
          <w:rFonts w:ascii="Calibri" w:hAnsi="Calibri" w:cs="Calibri"/>
          <w:color w:val="000000" w:themeColor="text1"/>
          <w:sz w:val="22"/>
          <w:szCs w:val="22"/>
        </w:rPr>
        <w:t>T</w:t>
      </w:r>
      <w:r w:rsidR="00B9506F" w:rsidRPr="00D637BA">
        <w:rPr>
          <w:rFonts w:ascii="Calibri" w:hAnsi="Calibri" w:cs="Calibri"/>
          <w:color w:val="000000" w:themeColor="text1"/>
          <w:sz w:val="22"/>
          <w:szCs w:val="22"/>
        </w:rPr>
        <w:t>his technique</w:t>
      </w:r>
      <w:r w:rsidRPr="00D637BA">
        <w:rPr>
          <w:rFonts w:ascii="Calibri" w:hAnsi="Calibri" w:cs="Calibri"/>
          <w:color w:val="000000" w:themeColor="text1"/>
          <w:sz w:val="22"/>
          <w:szCs w:val="22"/>
        </w:rPr>
        <w:t xml:space="preserve"> provides </w:t>
      </w:r>
      <w:r w:rsidR="00B9506F" w:rsidRPr="00D637BA">
        <w:rPr>
          <w:rFonts w:ascii="Calibri" w:hAnsi="Calibri" w:cs="Calibri"/>
          <w:color w:val="000000" w:themeColor="text1"/>
          <w:sz w:val="22"/>
          <w:szCs w:val="22"/>
        </w:rPr>
        <w:t xml:space="preserve">information on </w:t>
      </w:r>
      <w:r w:rsidRPr="00D637BA">
        <w:rPr>
          <w:rFonts w:ascii="Calibri" w:hAnsi="Calibri" w:cs="Calibri"/>
          <w:color w:val="000000" w:themeColor="text1"/>
          <w:sz w:val="22"/>
          <w:szCs w:val="22"/>
        </w:rPr>
        <w:t>metabolite</w:t>
      </w:r>
      <w:r w:rsidR="00B9506F" w:rsidRPr="00D637BA">
        <w:rPr>
          <w:rFonts w:ascii="Calibri" w:hAnsi="Calibri" w:cs="Calibri"/>
          <w:color w:val="000000" w:themeColor="text1"/>
          <w:sz w:val="22"/>
          <w:szCs w:val="22"/>
        </w:rPr>
        <w:t>s</w:t>
      </w:r>
      <w:r w:rsidRPr="00D637BA">
        <w:rPr>
          <w:rFonts w:ascii="Calibri" w:hAnsi="Calibri" w:cs="Calibri"/>
          <w:color w:val="000000" w:themeColor="text1"/>
          <w:sz w:val="22"/>
          <w:szCs w:val="22"/>
        </w:rPr>
        <w:t xml:space="preserve"> within minutes and concurrently yields information about genotype, tumour classification and potentially </w:t>
      </w:r>
      <w:r w:rsidR="00B9506F" w:rsidRPr="00D637BA">
        <w:rPr>
          <w:rFonts w:ascii="Calibri" w:hAnsi="Calibri" w:cs="Calibri"/>
          <w:color w:val="000000" w:themeColor="text1"/>
          <w:sz w:val="22"/>
          <w:szCs w:val="22"/>
        </w:rPr>
        <w:t xml:space="preserve">also </w:t>
      </w:r>
      <w:r w:rsidRPr="00D637BA">
        <w:rPr>
          <w:rFonts w:ascii="Calibri" w:hAnsi="Calibri" w:cs="Calibri"/>
          <w:color w:val="000000" w:themeColor="text1"/>
          <w:sz w:val="22"/>
          <w:szCs w:val="22"/>
        </w:rPr>
        <w:t>prognosis</w:t>
      </w:r>
      <w:r w:rsidR="0084518B">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{"citationID":"a143lgq7mo8","properties":{"formattedCitation":"\\super 243\\nosupersub{}","plainCitation":"243","noteIndex":0},"citationItems":[{"id":402,"uris":["http://zotero.org/users/4775618/items/9PCAQ4BZ"],"uri":["http://zotero.org/users/4775618/items/9PCAQ4BZ"],"itemData":{"id":402,"type":"article-journal","title":"Intraoperative mass spectrometry mapping of an onco-metabolite to guide brain tumor surgery","container-title":"Proceedings of the National Academy of Sciences of the United States of America","page":"11121-11126","volume":"111","issue":"30","source":"PubMed","abstract":"For many intraoperative decisions surgeons depend on frozen section pathology, a technique developed over 150 y ago. Technical innovations that permit rapid molecular characterization of tissue samples at the time of surgery are needed. Here, using desorption electrospray ionization (DESI) MS, we rapidly detect the tumor metabolite 2-hydroxyglutarate (2-HG) from tissue sections of surgically resected gliomas, under ambient conditions and without complex or time-consuming preparation. With DESI MS, we identify isocitrate dehydrogenase 1-mutant tumors with both high sensitivity and specificity within minutes, immediately providing critical diagnostic, prognostic, and predictive information. Imaging tissue sections with DESI MS shows that the 2-HG signal overlaps with areas of tumor and that 2-HG levels correlate with tumor content, thereby indicating tumor margins. Mapping the 2-HG signal onto 3D MRI reconstructions of tumors allows the integration of molecular and radiologic information for enhanced clinical decision making. We also validate the methodology and its deployment in the operating room: We have installed a mass spectrometer in our Advanced Multimodality Image Guided Operating (AMIGO) suite and demonstrate the molecular analysis of surgical tissue during brain surgery. This work indicates that metabolite-imaging MS could transform many aspects of surgical care.","DOI":"10.1073/pnas.1404724111","ISSN":"1091-6490","note":"PMID: 24982150\nPMCID: PMC4121790","journalAbbreviation":"Proc. Natl. Acad. Sci. U.S.A.","language":"eng","author":[{"family":"Santagata","given":"Sandro"},{"family":"Eberlin","given":"Livia S."},{"family":"Norton","given":"Isaiah"},{"family":"Calligaris","given":"David"},{"family":"Feldman","given":"Daniel R."},{"family":"Ide","given":"Jennifer L."},{"family":"Liu","given":"Xiaohui"},{"family":"Wiley","given":"Joshua S."},{"family":"Vestal","given":"Matthew L."},{"family":"Ramkissoon","given":"Shakti H."},{"family":"Orringer","given":"Daniel A."},{"family":"Gill","given":"Kristen K."},{"family":"Dunn","given":"Ian F."},{"family":"Dias-Santagata","given":"Dora"},{"family":"Ligon","given":"Keith L."},{"family":"Jolesz","given":"Ferenc A."},{"family":"Golby","given":"Alexandra J."},{"family":"Cooks","given":"R. Graham"},{"family":"Agar","given":"Nathalie Y. R."}],"issued":{"date-parts":[["2014",7,29]]}}}],"schema":"https://github.com/citation-style-language/schema/raw/master/csl-citation.json"} </w:instrText>
      </w:r>
      <w:r w:rsidR="0084518B">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243</w:t>
      </w:r>
      <w:r w:rsidR="0084518B">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w:t>
      </w:r>
      <w:r w:rsidR="00B9506F" w:rsidRPr="00D637BA">
        <w:rPr>
          <w:rFonts w:ascii="Calibri" w:hAnsi="Calibri" w:cs="Calibri"/>
          <w:color w:val="000000" w:themeColor="text1"/>
          <w:sz w:val="22"/>
          <w:szCs w:val="22"/>
        </w:rPr>
        <w:t xml:space="preserve">As </w:t>
      </w:r>
      <w:r w:rsidRPr="00D637BA">
        <w:rPr>
          <w:rFonts w:ascii="Calibri" w:hAnsi="Calibri" w:cs="Calibri"/>
          <w:color w:val="000000" w:themeColor="text1"/>
          <w:sz w:val="22"/>
          <w:szCs w:val="22"/>
        </w:rPr>
        <w:t>multiple oncometabolites</w:t>
      </w:r>
      <w:r w:rsidR="00B9506F" w:rsidRPr="00D637BA">
        <w:rPr>
          <w:rFonts w:ascii="Calibri" w:hAnsi="Calibri" w:cs="Calibri"/>
          <w:color w:val="000000" w:themeColor="text1"/>
          <w:sz w:val="22"/>
          <w:szCs w:val="22"/>
        </w:rPr>
        <w:t xml:space="preserve"> have been</w:t>
      </w:r>
      <w:r w:rsidRPr="00D637BA">
        <w:rPr>
          <w:rFonts w:ascii="Calibri" w:hAnsi="Calibri" w:cs="Calibri"/>
          <w:color w:val="000000" w:themeColor="text1"/>
          <w:sz w:val="22"/>
          <w:szCs w:val="22"/>
        </w:rPr>
        <w:t xml:space="preserve"> implicated in numerous RCC subtypes</w:t>
      </w:r>
      <w:r w:rsidR="00B9506F" w:rsidRPr="00D637BA">
        <w:rPr>
          <w:rFonts w:ascii="Calibri" w:hAnsi="Calibri" w:cs="Calibri"/>
          <w:color w:val="000000" w:themeColor="text1"/>
          <w:sz w:val="22"/>
          <w:szCs w:val="22"/>
        </w:rPr>
        <w:t>,</w:t>
      </w:r>
      <w:r w:rsidRPr="00D637BA">
        <w:rPr>
          <w:rFonts w:ascii="Calibri" w:hAnsi="Calibri" w:cs="Calibri"/>
          <w:color w:val="000000" w:themeColor="text1"/>
          <w:sz w:val="22"/>
          <w:szCs w:val="22"/>
        </w:rPr>
        <w:t xml:space="preserve"> including in ccRCC</w:t>
      </w:r>
      <w:r w:rsidR="0084518B">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{"citationID":"a18elfk1heh","properties":{"formattedCitation":"\\super 76\\nosupersub{}","plainCitation":"76","noteIndex":0},"citationItems":[{"id":784,"uris":["http://zotero.org/users/4775618/items/A2JRYGNB"],"uri":["http://zotero.org/users/4775618/items/A2JRYGNB"],"itemData":{"id":784,"type":"article-journal","title":"Biochemical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schema":"https://github.com/citation-style-language/schema/raw/master/csl-citation.json"} </w:instrText>
      </w:r>
      <w:r w:rsidR="0084518B">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76</w:t>
      </w:r>
      <w:r w:rsidR="0084518B">
        <w:rPr>
          <w:rFonts w:ascii="Calibri" w:hAnsi="Calibri" w:cs="Calibri"/>
          <w:color w:val="000000" w:themeColor="text1"/>
          <w:sz w:val="22"/>
          <w:szCs w:val="22"/>
        </w:rPr>
        <w:fldChar w:fldCharType="end"/>
      </w:r>
      <w:r w:rsidR="00B9506F"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and partial nephrectomies</w:t>
      </w:r>
      <w:r w:rsidR="00B9506F" w:rsidRPr="00D637BA">
        <w:rPr>
          <w:rFonts w:ascii="Calibri" w:hAnsi="Calibri" w:cs="Calibri"/>
          <w:color w:val="000000" w:themeColor="text1"/>
          <w:sz w:val="22"/>
          <w:szCs w:val="22"/>
        </w:rPr>
        <w:t xml:space="preserve"> are</w:t>
      </w:r>
      <w:r w:rsidRPr="00D637BA">
        <w:rPr>
          <w:rFonts w:ascii="Calibri" w:hAnsi="Calibri" w:cs="Calibri"/>
          <w:color w:val="000000" w:themeColor="text1"/>
          <w:sz w:val="22"/>
          <w:szCs w:val="22"/>
        </w:rPr>
        <w:t xml:space="preserve"> the gold-standard treatment for localised RCC</w:t>
      </w:r>
      <w:r w:rsidR="0084518B">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{"citationID":"a1pkqu3lg5q","properties":{"formattedCitation":"\\super 244\\nosupersub{}","plainCitation":"244","noteIndex":0},"citationItems":[{"id":1085,"uris":["http://zotero.org/users/4775618/items/5BJVNT7X"],"uri":["http://zotero.org/users/4775618/items/5BJVNT7X"],"itemData":{"id":1085,"type":"article-journal","title":"EAU GUIDELINES ON RENAL CELL CARCINOMA","page":"21","source":"Zotero","language":"en","author":[{"family":"Ljungberg","given":"B"},{"family":"Bensalah","given":"K"},{"family":"Bex","given":"A"},{"family":"Canfield","given":"S"},{"family":"Giles","given":"R H"},{"family":"Kuczyk","given":"M A"},{"family":"Lam","given":"T"},{"family":"Merseburger","given":"A S"},{"family":"Powles","given":"T"},{"family":"Staehler","given":"M"},{"family":"Volpe","given":"A"},{"family":"Hofmann","given":"F"},{"family":"Marconi","given":"L"},{"family":"Tahbaz","given":"R"}]}}],"schema":"https://github.com/citation-style-language/schema/raw/master/csl-citation.json"} </w:instrText>
      </w:r>
      <w:r w:rsidR="0084518B">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244</w:t>
      </w:r>
      <w:r w:rsidR="0084518B">
        <w:rPr>
          <w:rFonts w:ascii="Calibri" w:hAnsi="Calibri" w:cs="Calibri"/>
          <w:color w:val="000000" w:themeColor="text1"/>
          <w:sz w:val="22"/>
          <w:szCs w:val="22"/>
        </w:rPr>
        <w:fldChar w:fldCharType="end"/>
      </w:r>
      <w:r w:rsidR="0084518B">
        <w:rPr>
          <w:rFonts w:ascii="Calibri" w:hAnsi="Calibri" w:cs="Calibri"/>
          <w:color w:val="000000"/>
          <w:sz w:val="22"/>
          <w:lang w:val="en-US"/>
        </w:rPr>
        <w:t xml:space="preserve">, </w:t>
      </w:r>
      <w:r w:rsidRPr="00D637BA">
        <w:rPr>
          <w:rFonts w:ascii="Calibri" w:hAnsi="Calibri" w:cs="Calibri"/>
          <w:color w:val="000000" w:themeColor="text1"/>
          <w:sz w:val="22"/>
          <w:szCs w:val="22"/>
        </w:rPr>
        <w:t xml:space="preserve">utilising these methods may help </w:t>
      </w:r>
      <w:r w:rsidR="00B9506F" w:rsidRPr="00D637BA">
        <w:rPr>
          <w:rFonts w:ascii="Calibri" w:hAnsi="Calibri" w:cs="Calibri"/>
          <w:color w:val="000000" w:themeColor="text1"/>
          <w:sz w:val="22"/>
          <w:szCs w:val="22"/>
        </w:rPr>
        <w:t xml:space="preserve">to </w:t>
      </w:r>
      <w:r w:rsidRPr="00D637BA">
        <w:rPr>
          <w:rFonts w:ascii="Calibri" w:hAnsi="Calibri" w:cs="Calibri"/>
          <w:color w:val="000000" w:themeColor="text1"/>
          <w:sz w:val="22"/>
          <w:szCs w:val="22"/>
        </w:rPr>
        <w:t xml:space="preserve">optimise surgical margins in patients with oncometabolite-associated RCC undergoing partial nephrectomies. </w:t>
      </w:r>
      <w:r w:rsidR="00905C92" w:rsidRPr="00D637BA">
        <w:rPr>
          <w:rFonts w:ascii="Calibri" w:hAnsi="Calibri" w:cs="Calibri"/>
          <w:color w:val="000000" w:themeColor="text1"/>
          <w:sz w:val="22"/>
          <w:szCs w:val="22"/>
        </w:rPr>
        <w:t>Such optimization</w:t>
      </w:r>
      <w:r w:rsidRPr="00D637BA">
        <w:rPr>
          <w:rFonts w:ascii="Calibri" w:hAnsi="Calibri" w:cs="Calibri"/>
          <w:color w:val="000000" w:themeColor="text1"/>
          <w:sz w:val="22"/>
          <w:szCs w:val="22"/>
        </w:rPr>
        <w:t xml:space="preserve"> may prove to be of great benefit </w:t>
      </w:r>
      <w:r w:rsidR="00905C92" w:rsidRPr="00D637BA">
        <w:rPr>
          <w:rFonts w:ascii="Calibri" w:hAnsi="Calibri" w:cs="Calibri"/>
          <w:color w:val="000000" w:themeColor="text1"/>
          <w:sz w:val="22"/>
          <w:szCs w:val="22"/>
        </w:rPr>
        <w:t xml:space="preserve">for patients </w:t>
      </w:r>
      <w:r w:rsidRPr="00D637BA">
        <w:rPr>
          <w:rFonts w:ascii="Calibri" w:hAnsi="Calibri" w:cs="Calibri"/>
          <w:color w:val="000000" w:themeColor="text1"/>
          <w:sz w:val="22"/>
          <w:szCs w:val="22"/>
        </w:rPr>
        <w:t>as positive surgical margins have been demonstrated to correlate with tumour recurrence</w:t>
      </w:r>
      <w:r w:rsidR="0084518B">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{"citationID":"a1ofojtjh0k","properties":{"formattedCitation":"\\super 245\\nosupersub{}","plainCitation":"245","noteIndex":0},"citationItems":[{"id":471,"uris":["http://zotero.org/users/4775618/items/J3YZSTZT"],"uri":["http://zotero.org/users/4775618/items/J3YZSTZT"],"itemData":{"id":471,"type":"article-journal","title":"Oncologic outcomes of patients with positive surgical margin after partial nephrectomy: a 25-year single institution experience","container-title":"World Journal of Urology","page":"1-9","source":"link.springer.com","abstract":"PurposeTo evaluate oncologic outcomes and management of patients with microscopic positive surgical margin (PSM) after partial nephrectomy (PN) for renal cell carcinoma (RCC).MethodsWe reviewed our database to identify patients who underwent PN between 1990 and 2015 for RCC and had PSM on final pathology. A 1:3 matching was performed to a negative surgical margin (NSM) cohort. Kaplan–Meier method and log-rank test were used to estimate survival and differences in outcomes, respectively. Cox proportional hazards models were conducted to estimate the Hazards ratio.ResultsA total of 2297 patients underwent PN at our institution, of which 1863 (81%) had RCC. Microscopic PSM was found in 34 (1.8%) RCC patients who were matched to 100 patients with NSM. Of these 34 patients, local recurrence (n = 4), distant kidney recurrences (n = 4), and metastases (n = 5) developed during a median follow-up of 62 months. Bilateral tumors/tumors in a solitary kidney (n = 12/13, 92%), and multifocal tumors (n = 7/13, 54%) were found in patients who developed recurrence/metastasis. PSM patients were at a higher risk of shorter overall survival (p = 0.001), local recurrence-free survival (p = 0.003), distant recurrence-free survival (p = 0.032) and metastasis-free survival (p = 0.018). There was statistically significant association between PSM and bilateral tumors, prior treated RCC at presentation and higher nephrometry score in multivariable model.ConclusionsThere was a low rate of microscopic PSM in our large cohort of patients undergoing PN despite tumor complexity. Higher nephrometry score, bilateral tumors, and prior treated RCC independently predicted PSM which showed worse survival, recurrence and metastasis compared to patients with NSM.","URL":"https://link.springer.com/article/10.1007/s00345-018-2241-7","DOI":"10.1007/s00345-018-2241-7","ISSN":"0724-4983, 1433-8726","title-short":"Oncologic outcomes of patients with positive surgical margin after partial nephrectomy","journalAbbreviation":"World J Urol","language":"en","author":[{"family":"Petros","given":"Firas G."},{"family":"Metcalfe","given":"Michael J."},{"family":"Yu","given":"Kai-Jie"},{"family":"Keskin","given":"Sarp K."},{"family":"Fellman","given":"Bryan M."},{"family":"Chang","given":"Courtney M."},{"family":"Gu","given":"Cindy"},{"family":"Tamboli","given":"Pheroze"},{"family":"Matin","given":"Surena F."},{"family":"Karam","given":"Jose A."},{"family":"Wood","given":"Christopher G."}],"issued":{"date-parts":[["2018",2,27]]},"accessed":{"date-parts":[["2018",4,10]]}}}],"schema":"https://github.com/citation-style-language/schema/raw/master/csl-citation.json"} </w:instrText>
      </w:r>
      <w:r w:rsidR="0084518B">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245</w:t>
      </w:r>
      <w:r w:rsidR="0084518B">
        <w:rPr>
          <w:rFonts w:ascii="Calibri" w:hAnsi="Calibri" w:cs="Calibri"/>
          <w:color w:val="000000" w:themeColor="text1"/>
          <w:sz w:val="22"/>
          <w:szCs w:val="22"/>
        </w:rPr>
        <w:fldChar w:fldCharType="end"/>
      </w:r>
      <w:r w:rsidRPr="00D637BA">
        <w:rPr>
          <w:rFonts w:ascii="Calibri" w:hAnsi="Calibri" w:cs="Calibri"/>
          <w:color w:val="000000" w:themeColor="text1"/>
          <w:sz w:val="22"/>
          <w:szCs w:val="22"/>
        </w:rPr>
        <w:t xml:space="preserve">. Furthermore, given the highly aggressive phenotypes of </w:t>
      </w:r>
      <w:r w:rsidRPr="00D637BA">
        <w:rPr>
          <w:rFonts w:ascii="Calibri" w:hAnsi="Calibri" w:cs="Calibri"/>
          <w:i/>
          <w:color w:val="000000" w:themeColor="text1"/>
          <w:sz w:val="22"/>
          <w:szCs w:val="22"/>
        </w:rPr>
        <w:t>FH-</w:t>
      </w:r>
      <w:r w:rsidR="00905C92" w:rsidRPr="00D637BA">
        <w:rPr>
          <w:rFonts w:ascii="Calibri" w:hAnsi="Calibri" w:cs="Calibri"/>
          <w:color w:val="000000" w:themeColor="text1"/>
          <w:sz w:val="22"/>
          <w:szCs w:val="22"/>
        </w:rPr>
        <w:t xml:space="preserve">deficient </w:t>
      </w:r>
      <w:r w:rsidRPr="00D637BA">
        <w:rPr>
          <w:rFonts w:ascii="Calibri" w:hAnsi="Calibri" w:cs="Calibri"/>
          <w:color w:val="000000" w:themeColor="text1"/>
          <w:sz w:val="22"/>
          <w:szCs w:val="22"/>
        </w:rPr>
        <w:t xml:space="preserve">and </w:t>
      </w:r>
      <w:r w:rsidRPr="00D637BA">
        <w:rPr>
          <w:rFonts w:ascii="Calibri" w:hAnsi="Calibri" w:cs="Calibri"/>
          <w:i/>
          <w:color w:val="000000" w:themeColor="text1"/>
          <w:sz w:val="22"/>
          <w:szCs w:val="22"/>
        </w:rPr>
        <w:t>SDH-</w:t>
      </w:r>
      <w:r w:rsidRPr="00D637BA">
        <w:rPr>
          <w:rFonts w:ascii="Calibri" w:hAnsi="Calibri" w:cs="Calibri"/>
          <w:color w:val="000000" w:themeColor="text1"/>
          <w:sz w:val="22"/>
          <w:szCs w:val="22"/>
        </w:rPr>
        <w:t xml:space="preserve">deficient RCCs </w:t>
      </w:r>
      <w:r w:rsidR="00905C92" w:rsidRPr="00D637BA">
        <w:rPr>
          <w:rFonts w:ascii="Calibri" w:hAnsi="Calibri" w:cs="Calibri"/>
          <w:color w:val="000000" w:themeColor="text1"/>
          <w:sz w:val="22"/>
          <w:szCs w:val="22"/>
        </w:rPr>
        <w:t xml:space="preserve">and the fact that </w:t>
      </w:r>
      <w:r w:rsidRPr="00D637BA">
        <w:rPr>
          <w:rFonts w:ascii="Calibri" w:hAnsi="Calibri" w:cs="Calibri"/>
          <w:color w:val="000000" w:themeColor="text1"/>
          <w:sz w:val="22"/>
          <w:szCs w:val="22"/>
        </w:rPr>
        <w:t xml:space="preserve">a </w:t>
      </w:r>
      <w:r w:rsidR="008A75E8" w:rsidRPr="00D637BA">
        <w:rPr>
          <w:rFonts w:ascii="Calibri" w:hAnsi="Calibri" w:cs="Calibri"/>
          <w:color w:val="000000" w:themeColor="text1"/>
          <w:sz w:val="22"/>
          <w:szCs w:val="22"/>
        </w:rPr>
        <w:t xml:space="preserve">substantial </w:t>
      </w:r>
      <w:r w:rsidRPr="00D637BA">
        <w:rPr>
          <w:rFonts w:ascii="Calibri" w:hAnsi="Calibri" w:cs="Calibri"/>
          <w:color w:val="000000" w:themeColor="text1"/>
          <w:sz w:val="22"/>
          <w:szCs w:val="22"/>
        </w:rPr>
        <w:t>proportion</w:t>
      </w:r>
      <w:r w:rsidR="00905C92" w:rsidRPr="00D637BA">
        <w:rPr>
          <w:rFonts w:ascii="Calibri" w:hAnsi="Calibri" w:cs="Calibri"/>
          <w:color w:val="000000" w:themeColor="text1"/>
          <w:sz w:val="22"/>
          <w:szCs w:val="22"/>
        </w:rPr>
        <w:t xml:space="preserve"> of patients with these tumours</w:t>
      </w:r>
      <w:r w:rsidRPr="00D637BA">
        <w:rPr>
          <w:rFonts w:ascii="Calibri" w:hAnsi="Calibri" w:cs="Calibri"/>
          <w:color w:val="000000" w:themeColor="text1"/>
          <w:sz w:val="22"/>
          <w:szCs w:val="22"/>
        </w:rPr>
        <w:t xml:space="preserve"> present with bilateral disease, utilising intraoperative mass spectrometry may assist in meticulous tumour resection to help preserve renal function.</w:t>
      </w:r>
    </w:p>
    <w:p w14:paraId="4966C1FA" w14:textId="037224DA" w:rsidR="00826EEE" w:rsidRPr="00D637BA" w:rsidRDefault="00826EEE" w:rsidP="00826EEE">
      <w:pPr>
        <w:spacing w:line="360" w:lineRule="auto"/>
        <w:jc w:val="both"/>
        <w:rPr>
          <w:rFonts w:ascii="Calibri" w:hAnsi="Calibri" w:cs="Calibri"/>
          <w:color w:val="000000" w:themeColor="text1"/>
          <w:sz w:val="22"/>
          <w:szCs w:val="22"/>
        </w:rPr>
      </w:pPr>
    </w:p>
    <w:p w14:paraId="4CFC6496" w14:textId="51C26FD3" w:rsidR="00826EEE" w:rsidRPr="00B946E4" w:rsidRDefault="00905C92" w:rsidP="00826EEE">
      <w:pPr>
        <w:spacing w:line="360" w:lineRule="auto"/>
        <w:jc w:val="both"/>
        <w:rPr>
          <w:rFonts w:ascii="Calibri" w:hAnsi="Calibri" w:cs="Calibri"/>
          <w:b/>
          <w:i/>
          <w:color w:val="000000" w:themeColor="text1"/>
          <w:sz w:val="22"/>
          <w:szCs w:val="22"/>
        </w:rPr>
      </w:pPr>
      <w:r w:rsidRPr="00B946E4">
        <w:rPr>
          <w:rFonts w:ascii="Calibri" w:hAnsi="Calibri" w:cs="Calibri"/>
          <w:b/>
          <w:i/>
          <w:color w:val="000000" w:themeColor="text1"/>
          <w:sz w:val="22"/>
          <w:szCs w:val="22"/>
        </w:rPr>
        <w:t xml:space="preserve">[H3] </w:t>
      </w:r>
      <w:r w:rsidR="007B2345" w:rsidRPr="00B946E4">
        <w:rPr>
          <w:rFonts w:ascii="Calibri" w:hAnsi="Calibri" w:cs="Calibri"/>
          <w:b/>
          <w:i/>
          <w:color w:val="000000" w:themeColor="text1"/>
          <w:sz w:val="22"/>
          <w:szCs w:val="22"/>
        </w:rPr>
        <w:t xml:space="preserve">Diagnostic </w:t>
      </w:r>
      <w:r w:rsidR="007B2345" w:rsidRPr="00D637BA">
        <w:rPr>
          <w:rFonts w:ascii="Calibri" w:hAnsi="Calibri" w:cs="Calibri"/>
          <w:b/>
          <w:i/>
          <w:color w:val="000000" w:themeColor="text1"/>
          <w:sz w:val="22"/>
          <w:szCs w:val="22"/>
        </w:rPr>
        <w:t xml:space="preserve">and </w:t>
      </w:r>
      <w:r w:rsidR="007B2345" w:rsidRPr="00B946E4">
        <w:rPr>
          <w:rFonts w:ascii="Calibri" w:hAnsi="Calibri" w:cs="Calibri"/>
          <w:b/>
          <w:i/>
          <w:color w:val="000000" w:themeColor="text1"/>
          <w:sz w:val="22"/>
          <w:szCs w:val="22"/>
        </w:rPr>
        <w:t xml:space="preserve">prognostic </w:t>
      </w:r>
      <w:r w:rsidR="00826EEE" w:rsidRPr="00B946E4">
        <w:rPr>
          <w:rFonts w:ascii="Calibri" w:hAnsi="Calibri" w:cs="Calibri"/>
          <w:b/>
          <w:i/>
          <w:color w:val="000000" w:themeColor="text1"/>
          <w:sz w:val="22"/>
          <w:szCs w:val="22"/>
        </w:rPr>
        <w:t>biomarkers</w:t>
      </w:r>
    </w:p>
    <w:p w14:paraId="535B5FFC" w14:textId="356F48C8" w:rsidR="00F131BF" w:rsidRPr="00D637BA" w:rsidRDefault="00350596" w:rsidP="00B946E4">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U</w:t>
      </w:r>
      <w:r w:rsidR="00F24023" w:rsidRPr="00D637BA">
        <w:rPr>
          <w:rFonts w:ascii="Calibri" w:hAnsi="Calibri" w:cs="Calibri"/>
          <w:color w:val="000000" w:themeColor="text1"/>
          <w:sz w:val="22"/>
          <w:szCs w:val="22"/>
        </w:rPr>
        <w:t>nique</w:t>
      </w:r>
      <w:r w:rsidR="00677B44"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oncometabolite</w:t>
      </w:r>
      <w:r w:rsidR="00677B44" w:rsidRPr="00D637BA">
        <w:rPr>
          <w:rFonts w:ascii="Calibri" w:hAnsi="Calibri" w:cs="Calibri"/>
          <w:color w:val="000000" w:themeColor="text1"/>
          <w:sz w:val="22"/>
          <w:szCs w:val="22"/>
        </w:rPr>
        <w:t xml:space="preserve"> </w:t>
      </w:r>
      <w:r w:rsidR="00EF4FC6" w:rsidRPr="00D637BA">
        <w:rPr>
          <w:rFonts w:ascii="Calibri" w:hAnsi="Calibri" w:cs="Calibri"/>
          <w:color w:val="000000" w:themeColor="text1"/>
          <w:sz w:val="22"/>
          <w:szCs w:val="22"/>
        </w:rPr>
        <w:t xml:space="preserve">properties </w:t>
      </w:r>
      <w:r w:rsidR="00677B44" w:rsidRPr="00D637BA">
        <w:rPr>
          <w:rFonts w:ascii="Calibri" w:hAnsi="Calibri" w:cs="Calibri"/>
          <w:color w:val="000000" w:themeColor="text1"/>
          <w:sz w:val="22"/>
          <w:szCs w:val="22"/>
        </w:rPr>
        <w:t>such as</w:t>
      </w:r>
      <w:r w:rsidR="00F131BF" w:rsidRPr="00D637BA">
        <w:rPr>
          <w:rFonts w:ascii="Calibri" w:hAnsi="Calibri" w:cs="Calibri"/>
          <w:color w:val="000000" w:themeColor="text1"/>
          <w:sz w:val="22"/>
          <w:szCs w:val="22"/>
        </w:rPr>
        <w:t xml:space="preserve"> post-translational modifications of proteins</w:t>
      </w:r>
      <w:r w:rsidR="00F24023" w:rsidRPr="00D637BA">
        <w:rPr>
          <w:rFonts w:ascii="Calibri" w:hAnsi="Calibri" w:cs="Calibri"/>
          <w:color w:val="000000" w:themeColor="text1"/>
          <w:sz w:val="22"/>
          <w:szCs w:val="22"/>
        </w:rPr>
        <w:t xml:space="preserve"> and metabolic rewiring</w:t>
      </w:r>
      <w:r w:rsidR="00677B44" w:rsidRPr="00D637BA">
        <w:rPr>
          <w:rFonts w:ascii="Calibri" w:hAnsi="Calibri" w:cs="Calibri"/>
          <w:color w:val="000000" w:themeColor="text1"/>
          <w:sz w:val="22"/>
          <w:szCs w:val="22"/>
        </w:rPr>
        <w:t xml:space="preserve"> can </w:t>
      </w:r>
      <w:r w:rsidRPr="00D637BA">
        <w:rPr>
          <w:rFonts w:ascii="Calibri" w:hAnsi="Calibri" w:cs="Calibri"/>
          <w:color w:val="000000" w:themeColor="text1"/>
          <w:sz w:val="22"/>
          <w:szCs w:val="22"/>
        </w:rPr>
        <w:t xml:space="preserve">also </w:t>
      </w:r>
      <w:r w:rsidR="00677B44" w:rsidRPr="00D637BA">
        <w:rPr>
          <w:rFonts w:ascii="Calibri" w:hAnsi="Calibri" w:cs="Calibri"/>
          <w:color w:val="000000" w:themeColor="text1"/>
          <w:sz w:val="22"/>
          <w:szCs w:val="22"/>
        </w:rPr>
        <w:t xml:space="preserve">be exploited for use as </w:t>
      </w:r>
      <w:r w:rsidR="004D13DF" w:rsidRPr="00D637BA">
        <w:rPr>
          <w:rFonts w:ascii="Calibri" w:hAnsi="Calibri" w:cs="Calibri"/>
          <w:color w:val="000000" w:themeColor="text1"/>
          <w:sz w:val="22"/>
          <w:szCs w:val="22"/>
        </w:rPr>
        <w:t>diagnostic</w:t>
      </w:r>
      <w:r w:rsidR="00E25DD4" w:rsidRPr="00D637BA">
        <w:rPr>
          <w:rFonts w:ascii="Calibri" w:hAnsi="Calibri" w:cs="Calibri"/>
          <w:color w:val="000000" w:themeColor="text1"/>
          <w:sz w:val="22"/>
          <w:szCs w:val="22"/>
        </w:rPr>
        <w:t xml:space="preserve"> or </w:t>
      </w:r>
      <w:r w:rsidR="004D13DF" w:rsidRPr="00D637BA">
        <w:rPr>
          <w:rFonts w:ascii="Calibri" w:hAnsi="Calibri" w:cs="Calibri"/>
          <w:color w:val="000000" w:themeColor="text1"/>
          <w:sz w:val="22"/>
          <w:szCs w:val="22"/>
        </w:rPr>
        <w:t xml:space="preserve">prognostic </w:t>
      </w:r>
      <w:r w:rsidR="00F131BF" w:rsidRPr="00D637BA">
        <w:rPr>
          <w:rFonts w:ascii="Calibri" w:hAnsi="Calibri" w:cs="Calibri"/>
          <w:color w:val="000000" w:themeColor="text1"/>
          <w:sz w:val="22"/>
          <w:szCs w:val="22"/>
        </w:rPr>
        <w:t xml:space="preserve">biomarkers. </w:t>
      </w:r>
      <w:r w:rsidR="00EF4FC6" w:rsidRPr="00D637BA">
        <w:rPr>
          <w:rFonts w:ascii="Calibri" w:hAnsi="Calibri" w:cs="Calibri"/>
          <w:color w:val="000000" w:themeColor="text1"/>
          <w:sz w:val="22"/>
          <w:szCs w:val="22"/>
        </w:rPr>
        <w:t>Capitalising on the</w:t>
      </w:r>
      <w:r w:rsidR="00F131BF" w:rsidRPr="00D637BA">
        <w:rPr>
          <w:rFonts w:ascii="Calibri" w:hAnsi="Calibri" w:cs="Calibri"/>
          <w:color w:val="000000" w:themeColor="text1"/>
          <w:sz w:val="22"/>
          <w:szCs w:val="22"/>
        </w:rPr>
        <w:t xml:space="preserve"> </w:t>
      </w:r>
      <w:r w:rsidR="00EF4FC6" w:rsidRPr="00D637BA">
        <w:rPr>
          <w:rFonts w:ascii="Calibri" w:hAnsi="Calibri" w:cs="Calibri"/>
          <w:color w:val="000000" w:themeColor="text1"/>
          <w:sz w:val="22"/>
          <w:szCs w:val="22"/>
        </w:rPr>
        <w:t>ability of</w:t>
      </w:r>
      <w:r w:rsidR="00F131BF" w:rsidRPr="00D637BA">
        <w:rPr>
          <w:rFonts w:ascii="Calibri" w:hAnsi="Calibri" w:cs="Calibri"/>
          <w:color w:val="000000" w:themeColor="text1"/>
          <w:sz w:val="22"/>
          <w:szCs w:val="22"/>
        </w:rPr>
        <w:t xml:space="preserve"> fumarate</w:t>
      </w:r>
      <w:r w:rsidR="00EF4FC6" w:rsidRPr="00D637BA">
        <w:rPr>
          <w:rFonts w:ascii="Calibri" w:hAnsi="Calibri" w:cs="Calibri"/>
          <w:color w:val="000000" w:themeColor="text1"/>
          <w:sz w:val="22"/>
          <w:szCs w:val="22"/>
        </w:rPr>
        <w:t xml:space="preserve"> to induce</w:t>
      </w:r>
      <w:r w:rsidR="00F131BF" w:rsidRPr="00D637BA">
        <w:rPr>
          <w:rFonts w:ascii="Calibri" w:hAnsi="Calibri" w:cs="Calibri"/>
          <w:color w:val="000000" w:themeColor="text1"/>
          <w:sz w:val="22"/>
          <w:szCs w:val="22"/>
        </w:rPr>
        <w:t xml:space="preserve"> protein succination (2SC), </w:t>
      </w:r>
      <w:r w:rsidR="00EF4FC6" w:rsidRPr="00D637BA">
        <w:rPr>
          <w:rFonts w:ascii="Calibri" w:hAnsi="Calibri" w:cs="Calibri"/>
          <w:color w:val="000000" w:themeColor="text1"/>
          <w:sz w:val="22"/>
          <w:szCs w:val="22"/>
        </w:rPr>
        <w:t>detection of the</w:t>
      </w:r>
      <w:r w:rsidR="00F131BF" w:rsidRPr="00D637BA">
        <w:rPr>
          <w:rFonts w:ascii="Calibri" w:hAnsi="Calibri" w:cs="Calibri"/>
          <w:color w:val="000000" w:themeColor="text1"/>
          <w:sz w:val="22"/>
          <w:szCs w:val="22"/>
        </w:rPr>
        <w:t xml:space="preserve"> distinct 2SC protein modification signature on immunohistochemistry or cyst staining</w:t>
      </w:r>
      <w:r w:rsidR="00EF4FC6"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has been </w:t>
      </w:r>
      <w:r w:rsidR="004104D7" w:rsidRPr="00D637BA">
        <w:rPr>
          <w:rFonts w:ascii="Calibri" w:hAnsi="Calibri" w:cs="Calibri"/>
          <w:color w:val="000000" w:themeColor="text1"/>
          <w:sz w:val="22"/>
          <w:szCs w:val="22"/>
        </w:rPr>
        <w:t>corroborated</w:t>
      </w:r>
      <w:r w:rsidR="00F131BF" w:rsidRPr="00D637BA">
        <w:rPr>
          <w:rFonts w:ascii="Calibri" w:hAnsi="Calibri" w:cs="Calibri"/>
          <w:color w:val="000000" w:themeColor="text1"/>
          <w:sz w:val="22"/>
          <w:szCs w:val="22"/>
        </w:rPr>
        <w:t xml:space="preserve"> </w:t>
      </w:r>
      <w:r w:rsidR="004104D7" w:rsidRPr="00D637BA">
        <w:rPr>
          <w:rFonts w:ascii="Calibri" w:hAnsi="Calibri" w:cs="Calibri"/>
          <w:color w:val="000000" w:themeColor="text1"/>
          <w:sz w:val="22"/>
          <w:szCs w:val="22"/>
        </w:rPr>
        <w:t>to be a</w:t>
      </w:r>
      <w:r w:rsidR="00F131BF" w:rsidRPr="00D637BA">
        <w:rPr>
          <w:rFonts w:ascii="Calibri" w:hAnsi="Calibri" w:cs="Calibri"/>
          <w:color w:val="000000" w:themeColor="text1"/>
          <w:sz w:val="22"/>
          <w:szCs w:val="22"/>
        </w:rPr>
        <w:t xml:space="preserve"> robust diagnostic biomarker </w:t>
      </w:r>
      <w:r w:rsidR="004104D7" w:rsidRPr="00D637BA">
        <w:rPr>
          <w:rFonts w:ascii="Calibri" w:hAnsi="Calibri" w:cs="Calibri"/>
          <w:color w:val="000000" w:themeColor="text1"/>
          <w:sz w:val="22"/>
          <w:szCs w:val="22"/>
        </w:rPr>
        <w:t xml:space="preserve">of </w:t>
      </w:r>
      <w:r w:rsidR="00F131BF" w:rsidRPr="00D637BA">
        <w:rPr>
          <w:rFonts w:ascii="Calibri" w:hAnsi="Calibri" w:cs="Calibri"/>
          <w:color w:val="000000" w:themeColor="text1"/>
          <w:sz w:val="22"/>
          <w:szCs w:val="22"/>
        </w:rPr>
        <w:t>FH deficiency</w:t>
      </w:r>
      <w:r w:rsidR="004104D7"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 xml:space="preserve">for example in patients with </w:t>
      </w:r>
      <w:r w:rsidR="00F131BF" w:rsidRPr="00D637BA">
        <w:rPr>
          <w:rFonts w:ascii="Calibri" w:hAnsi="Calibri" w:cs="Calibri"/>
          <w:color w:val="000000" w:themeColor="text1"/>
          <w:sz w:val="22"/>
          <w:szCs w:val="22"/>
        </w:rPr>
        <w:t>HLRCC</w:t>
      </w:r>
      <w:r w:rsidRPr="00D637BA">
        <w:rPr>
          <w:rFonts w:ascii="Calibri" w:hAnsi="Calibri" w:cs="Calibri"/>
          <w:color w:val="000000" w:themeColor="text1"/>
          <w:sz w:val="22"/>
          <w:szCs w:val="22"/>
        </w:rPr>
        <w:t>,</w:t>
      </w:r>
      <w:r w:rsidR="004104D7" w:rsidRPr="00D637BA">
        <w:rPr>
          <w:rFonts w:ascii="Calibri" w:hAnsi="Calibri" w:cs="Calibri"/>
          <w:color w:val="000000" w:themeColor="text1"/>
          <w:sz w:val="22"/>
          <w:szCs w:val="22"/>
        </w:rPr>
        <w:t xml:space="preserve"> with ramifications for genetic testing</w:t>
      </w:r>
      <w:r w:rsidR="005C4571">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{"citationID":"a1ae2r1907g","properties":{"formattedCitation":"\\super 78,246\\nosupersub{}","plainCitation":"78,246","noteIndex":0},"citationItems":[{"id":371,"uris":["http://zotero.org/users/4775618/items/TWDZHBU3"],"uri":["http://zotero.org/users/4775618/items/TWDZHBU3"],"itemData":{"id":371,"type":"article-journal","title":"Aberrant succination of proteins in fumarate hydratase‐deficient mice and HLRCC patients is a robust biomarker of mutation status","container-title":"The Journal of Pathology","page":"4-11","volume":"225","issue":"1","source":"onlinelibrary.wiley.com (Atypon)","abstract":"Abstract Germline mutations in the FH gene encoding the Krebs cycle enzyme fumarate hydratase predispose to hereditary leiomyomatosis and renal cell cancer (HLRCC) syndrome. FH?deficient cells and tissues accumulate high levels of fumarate, which may act as an oncometabolite and contribute to tumourigenesis. A recently proposed role for fumarate in the covalent modification of cysteine residues to S?(2?succinyl) cysteine (2SC) (termed protein succination) prompted us to assess 2SC levels in our existing models of HLRCC. Herein, using a previously characterized antibody against 2SC, we show that genetic ablation of FH causes high levels of protein succination. We next hypothesized that immunohistochemistry for 2SC would serve as a metabolic biomarker for the in situ detection of FH?deficient tissues. Robust detection of 2SC was observed in Fh1 (murine FH)?deficient renal cysts and in a retrospective series of HLRCC tumours (n = 16) with established FH mutations. Importantly, 2SC was undetectable in normal tissues (n = 200) and tumour types not associated with HLRCC (n = 1342). In a prospective evaluation of cases referred for genetic testing for HLRCC, the presence of 2SC?modified proteins (2SCP) correctly predicted genetic alterations in FH in every case. In two series of unselected type II papillary renal cancer (PRCC), prospectively analysed by 2SCP staining followed by genetic analysis, the biomarker accurately identified previously unsuspected FH mutations (2/33 and 1/36). The investigation of whether metabolites in other tumour types produce protein modification signature(s) that can be assayed using similar strategies will be of interest in future studies of cancer. Copyright ? 2011 Pathological Society of Great Britain and Ireland. Published by John Wiley &amp; Sons, Ltd.","URL":"https://onlinelibrary.wiley.com/doi/full/10.1002/path.2932","DOI":"10.1002/path.2932","ISSN":"0022-3417","journalAbbreviation":"The Journal of Pathology","author":[{"literal":"Bardella Chiara"},{"literal":"El‐Bahrawy Mona"},{"literal":"Frizzell Norma"},{"literal":"Adam Julie"},{"literal":"Ternette Nicola"},{"literal":"Hatipoglu Emine"},{"literal":"Howarth Kimberley"},{"literal":"O'Flaherty Linda"},{"literal":"Roberts Ian"},{"literal":"Turner Gareth"},{"literal":"Taylor Jennifer"},{"literal":"Giaslakiotis Konstantinos"},{"literal":"Macaulay Valentine M"},{"literal":"Harris Adrian L"},{"literal":"Chandra Ashish"},{"literal":"Lehtonen Heli J"},{"literal":"Launonen Virpi"},{"literal":"Aaltonen Lauri A"},{"literal":"Pugh Christopher W"},{"literal":"Mihai Radu"},{"literal":"Trudgian David"},{"literal":"Kessler Benedikt"},{"literal":"Baynes John W"},{"literal":"Ratcliffe Peter J"},{"literal":"Tomlinson Ian P"},{"literal":"Pollard Patrick J"}],"issued":{"date-parts":[["2011",5,10]]},"accessed":{"date-parts":[["2018",4,2]]}}},{"id":1820,"uris":["http://zotero.org/users/4775618/items/ADZ5QWQA"],"uri":["http://zotero.org/users/4775618/items/ADZ5QWQA"],"itemData":{"id":1820,"type":"article-journal","title":"Seeing the smoking gun: a sensitive and specific method to visualize loss of the tumour suppressor, fumarate hydratase, in human tissues","container-title":"The Journal of Pathology","page":"1-3","volume":"225","issue":"1","source":"PubMed","abstract":"In this issue of the Journal of Pathology, Bardella et al report a method for identifying tumours that lack fumarate hydratase. The approach they use is immunodetection of proteins that have been modified by a non-enzymatic reaction of thiol groups in proteins with fumarate, which is termed succination. Validation included the use of mice with targeted inactivation of fumarate hydratase in the kidney, extensive studies of normal human tissues and examination of over 1000 specimens from human cancers not associated with FH mutations. Detection of protein succination is likely to provide a sensitive and specific method for pathologists to identify the small proportion of papillary renal cell carcinomas that are associated with germline mutations in the FH gene.","DOI":"10.1002/path.2950","ISSN":"1096-9896","note":"PMID: 21792933","title-short":"Seeing the smoking gun","journalAbbreviation":"J. Pathol.","language":"eng","author":[{"family":"Maxwell","given":"Patrick H."}],"issued":{"date-parts":[["2011",9]]}}}],"schema":"https://github.com/citation-style-language/schema/raw/master/csl-citation.json"} </w:instrText>
      </w:r>
      <w:r w:rsidR="005C4571">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78,246</w:t>
      </w:r>
      <w:r w:rsidR="005C4571">
        <w:rPr>
          <w:rFonts w:ascii="Calibri" w:hAnsi="Calibri" w:cs="Calibri"/>
          <w:color w:val="000000" w:themeColor="text1"/>
          <w:sz w:val="22"/>
          <w:szCs w:val="22"/>
        </w:rPr>
        <w:fldChar w:fldCharType="end"/>
      </w:r>
      <w:r w:rsidR="005C4571">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 xml:space="preserve">In addition, metabolomic analyses of urine from </w:t>
      </w:r>
      <w:r w:rsidR="00F131BF" w:rsidRPr="00D637BA">
        <w:rPr>
          <w:rFonts w:ascii="Calibri" w:hAnsi="Calibri" w:cs="Calibri"/>
          <w:i/>
          <w:color w:val="000000" w:themeColor="text1"/>
          <w:sz w:val="22"/>
          <w:szCs w:val="22"/>
        </w:rPr>
        <w:t>Fh1</w:t>
      </w:r>
      <w:r w:rsidR="00F131BF" w:rsidRPr="00D637BA">
        <w:rPr>
          <w:rFonts w:ascii="Calibri" w:hAnsi="Calibri" w:cs="Calibri"/>
          <w:color w:val="000000" w:themeColor="text1"/>
          <w:sz w:val="22"/>
          <w:szCs w:val="22"/>
        </w:rPr>
        <w:t xml:space="preserve">-deficient mice and growth media of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-deficient cells revealed consistently elevated levels of argininosuccinate</w:t>
      </w:r>
      <w:r w:rsidR="00F926D6" w:rsidRPr="00D637BA">
        <w:rPr>
          <w:rFonts w:ascii="Calibri" w:hAnsi="Calibri" w:cs="Calibri"/>
          <w:color w:val="000000" w:themeColor="text1"/>
          <w:sz w:val="22"/>
          <w:szCs w:val="22"/>
        </w:rPr>
        <w:t xml:space="preserve"> </w:t>
      </w:r>
      <w:r w:rsidR="00F131BF" w:rsidRPr="00D637BA">
        <w:rPr>
          <w:rFonts w:ascii="Calibri" w:hAnsi="Calibri" w:cs="Calibri"/>
          <w:color w:val="000000" w:themeColor="text1"/>
          <w:sz w:val="22"/>
          <w:szCs w:val="22"/>
        </w:rPr>
        <w:t>a</w:t>
      </w:r>
      <w:r w:rsidR="00F926D6" w:rsidRPr="00D637BA">
        <w:rPr>
          <w:rFonts w:ascii="Calibri" w:hAnsi="Calibri" w:cs="Calibri"/>
          <w:color w:val="000000" w:themeColor="text1"/>
          <w:sz w:val="22"/>
          <w:szCs w:val="22"/>
        </w:rPr>
        <w:t>s a</w:t>
      </w:r>
      <w:r w:rsidR="00F131BF" w:rsidRPr="00D637BA">
        <w:rPr>
          <w:rFonts w:ascii="Calibri" w:hAnsi="Calibri" w:cs="Calibri"/>
          <w:color w:val="000000" w:themeColor="text1"/>
          <w:sz w:val="22"/>
          <w:szCs w:val="22"/>
        </w:rPr>
        <w:t xml:space="preserve"> result of fumarate-induced revers</w:t>
      </w:r>
      <w:r w:rsidR="000262DE" w:rsidRPr="00D637BA">
        <w:rPr>
          <w:rFonts w:ascii="Calibri" w:hAnsi="Calibri" w:cs="Calibri"/>
          <w:color w:val="000000" w:themeColor="text1"/>
          <w:sz w:val="22"/>
          <w:szCs w:val="22"/>
        </w:rPr>
        <w:t>al of</w:t>
      </w:r>
      <w:r w:rsidR="00F131BF" w:rsidRPr="00D637BA">
        <w:rPr>
          <w:rFonts w:ascii="Calibri" w:hAnsi="Calibri" w:cs="Calibri"/>
          <w:color w:val="000000" w:themeColor="text1"/>
          <w:sz w:val="22"/>
          <w:szCs w:val="22"/>
        </w:rPr>
        <w:t xml:space="preserve"> ASL activity, raising its potential as a urinary biomarker for the early detection of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-deficient renal cancer</w:t>
      </w:r>
      <w:r w:rsidR="00B57D28">
        <w:rPr>
          <w:rFonts w:ascii="Calibri" w:hAnsi="Calibri" w:cs="Calibri"/>
          <w:color w:val="000000" w:themeColor="text1"/>
          <w:sz w:val="22"/>
          <w:szCs w:val="22"/>
        </w:rPr>
        <w:fldChar w:fldCharType="begin"/>
      </w:r>
      <w:r w:rsidR="004E2A88">
        <w:rPr>
          <w:rFonts w:ascii="Calibri" w:hAnsi="Calibri" w:cs="Calibri"/>
          <w:color w:val="000000" w:themeColor="text1"/>
          <w:sz w:val="22"/>
          <w:szCs w:val="22"/>
        </w:rPr>
        <w:instrText xml:space="preserve"> ADDIN ZOTERO_ITEM CSL_CITATION {"citationID":"a27gcobc9b6","properties":{"formattedCitation":"\\super 102\\nosupersub{}","plainCitation":"102","noteIndex":0},"citationItems":[{"id":763,"uris":["http://zotero.org/users/4775618/items/NM59HM97"],"uri":["http://zotero.org/users/4775618/items/NM59HM97"],"itemData":{"id":763,"type":"article-journal","title":"Reversed argininosuccinate lyase activity in fumarate hydratase-deficient cancer cells","container-title":"Cancer &amp; Metabolism","page":"12","volume":"1","source":"PubMed Central","abstract":"Background\nLoss of function of fumarate hydratase (FH), the mitochondrial tumor suppressor and tricarboxylic acid (TCA) cycle enzyme, is associated with a highly malignant form of papillary and collecting duct renal cell cancer. The accumulation of fumarate in these cells has been linked to the tumorigenic process. However, little is known about the overall effects of the loss of FH on cellular metabolism.\n\nMethods\nWe performed comprehensive metabolomic analyses of urine from Fh1-deficient mice and stable isotopologue tracing from human and mouse FH-deficient cell lines to investigate the biochemical signature of the loss of FH.\n\nResults\nThe metabolomics analysis revealed that the urea cycle metabolite argininosuccinate is a common metabolic biomarker of FH deficiency. Argininosuccinate was found to be produced from arginine and fumarate by the reverse activity of the urea cycle enzyme argininosuccinate lyase (ASL), making these cells auxotrophic for arginine. Depleting arginine from the growth media by the addition of pegylated arginine deiminase (ADI-PEG 20) decreased the production of argininosuccinate in FH-deficient cells and reduced cell survival and proliferation.\n\nConclusions\nThese results unravel a previously unidentified correlation between fumarate accumulation and the urea cycle enzyme ASL in FH-deficient cells. The finding that FH-deficient cells become auxotrophic for arginine opens a new therapeutic perspective for the cure of hereditary leiomyomatosis and renal cell cancer (HLRCC).","URL":"https://www.ncbi.nlm.nih.gov/pmc/articles/PMC4108060/","DOI":"10.1186/2049-3002-1-12","ISSN":"2049-3002","note":"PMID: 24280230\nPMCID: PMC4108060","journalAbbreviation":"Cancer Metab","author":[{"family":"Zheng","given":"Liang"},{"family":"MacKenzie","given":"Elaine D"},{"family":"Karim","given":"Saadia A"},{"family":"Hedley","given":"Ann"},{"family":"Blyth","given":"Karen"},{"family":"Kalna","given":"Gabriela"},{"family":"Watson","given":"David G"},{"family":"Szlosarek","given":"Peter"},{"family":"Frezza","given":"Christian"},{"family":"Gottlieb","given":"Eyal"}],"issued":{"date-parts":[["2013",3,21]]},"accessed":{"date-parts":[["2018",10,30]]}}}],"schema":"https://github.com/citation-style-language/schema/raw/master/csl-citation.json"} </w:instrText>
      </w:r>
      <w:r w:rsidR="00B57D28">
        <w:rPr>
          <w:rFonts w:ascii="Calibri" w:hAnsi="Calibri" w:cs="Calibri"/>
          <w:color w:val="000000" w:themeColor="text1"/>
          <w:sz w:val="22"/>
          <w:szCs w:val="22"/>
        </w:rPr>
        <w:fldChar w:fldCharType="separate"/>
      </w:r>
      <w:r w:rsidR="004E2A88" w:rsidRPr="004E2A88">
        <w:rPr>
          <w:rFonts w:ascii="Calibri" w:hAnsi="Calibri" w:cs="Calibri"/>
          <w:color w:val="000000"/>
          <w:sz w:val="22"/>
          <w:vertAlign w:val="superscript"/>
          <w:lang w:val="en-US"/>
        </w:rPr>
        <w:t>102</w:t>
      </w:r>
      <w:r w:rsidR="00B57D28">
        <w:rPr>
          <w:rFonts w:ascii="Calibri" w:hAnsi="Calibri" w:cs="Calibri"/>
          <w:color w:val="000000" w:themeColor="text1"/>
          <w:sz w:val="22"/>
          <w:szCs w:val="22"/>
        </w:rPr>
        <w:fldChar w:fldCharType="end"/>
      </w:r>
      <w:r w:rsidR="00F131BF" w:rsidRPr="00D637BA">
        <w:rPr>
          <w:rFonts w:ascii="Calibri" w:hAnsi="Calibri" w:cs="Calibri"/>
          <w:color w:val="000000" w:themeColor="text1"/>
          <w:sz w:val="22"/>
          <w:szCs w:val="22"/>
        </w:rPr>
        <w:t xml:space="preserve">. Although this biomarker awaits validation, the non-invasive nature of sampling, the specificity to </w:t>
      </w:r>
      <w:r w:rsidR="00F131BF" w:rsidRPr="00D637BA">
        <w:rPr>
          <w:rFonts w:ascii="Calibri" w:hAnsi="Calibri" w:cs="Calibri"/>
          <w:i/>
          <w:color w:val="000000" w:themeColor="text1"/>
          <w:sz w:val="22"/>
          <w:szCs w:val="22"/>
        </w:rPr>
        <w:t>FH-</w:t>
      </w:r>
      <w:r w:rsidR="00F131BF" w:rsidRPr="00D637BA">
        <w:rPr>
          <w:rFonts w:ascii="Calibri" w:hAnsi="Calibri" w:cs="Calibri"/>
          <w:color w:val="000000" w:themeColor="text1"/>
          <w:sz w:val="22"/>
          <w:szCs w:val="22"/>
        </w:rPr>
        <w:t>deficiency metabolism and the straightforward detection methods make this an exciting and attractive diagnostic biomarker.</w:t>
      </w:r>
    </w:p>
    <w:p w14:paraId="737E1D16" w14:textId="77777777" w:rsidR="00F131BF" w:rsidRPr="00D637BA" w:rsidRDefault="00F131BF" w:rsidP="00F131BF">
      <w:pPr>
        <w:spacing w:line="360" w:lineRule="auto"/>
        <w:jc w:val="both"/>
        <w:rPr>
          <w:rFonts w:ascii="Calibri" w:hAnsi="Calibri" w:cs="Calibri"/>
          <w:b/>
          <w:color w:val="000000" w:themeColor="text1"/>
          <w:sz w:val="22"/>
          <w:szCs w:val="22"/>
        </w:rPr>
      </w:pPr>
    </w:p>
    <w:p w14:paraId="482EDBB7" w14:textId="2CB964C8" w:rsidR="00F131BF" w:rsidRPr="00D637BA" w:rsidRDefault="00167752" w:rsidP="00F131BF">
      <w:pPr>
        <w:spacing w:line="360" w:lineRule="auto"/>
        <w:jc w:val="both"/>
        <w:rPr>
          <w:rFonts w:ascii="Calibri" w:hAnsi="Calibri" w:cs="Calibri"/>
          <w:b/>
          <w:color w:val="000000" w:themeColor="text1"/>
          <w:sz w:val="22"/>
          <w:szCs w:val="22"/>
        </w:rPr>
      </w:pPr>
      <w:r w:rsidRPr="00D637BA">
        <w:rPr>
          <w:rFonts w:ascii="Calibri" w:hAnsi="Calibri" w:cs="Calibri"/>
          <w:b/>
          <w:color w:val="000000" w:themeColor="text1"/>
          <w:szCs w:val="22"/>
        </w:rPr>
        <w:t xml:space="preserve">[H1] </w:t>
      </w:r>
      <w:r w:rsidR="00F131BF" w:rsidRPr="00D637BA">
        <w:rPr>
          <w:rFonts w:ascii="Calibri" w:hAnsi="Calibri" w:cs="Calibri"/>
          <w:b/>
          <w:color w:val="000000" w:themeColor="text1"/>
          <w:szCs w:val="22"/>
        </w:rPr>
        <w:t>Conclusion</w:t>
      </w:r>
      <w:r w:rsidRPr="00D637BA">
        <w:rPr>
          <w:rFonts w:ascii="Calibri" w:hAnsi="Calibri" w:cs="Calibri"/>
          <w:b/>
          <w:color w:val="000000" w:themeColor="text1"/>
          <w:szCs w:val="22"/>
        </w:rPr>
        <w:t>s</w:t>
      </w:r>
    </w:p>
    <w:p w14:paraId="48AFC5BC" w14:textId="3016F07A" w:rsidR="00F131BF" w:rsidRPr="00D637BA" w:rsidRDefault="00F131BF" w:rsidP="00F131BF">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Although in its infancy, the oncometabolite paradigm has been gathering momentum over the last decade with a firm movement away from the traditional view of metabolism as a simple by-product of genetic perturbations that occur in cancer. A growing body of evidence has substantiated the roles of a small group of seemingly innocuous metabolites that when aberrantly accumulated are transformed into oncometabolites that can contribute to tumorigenesis and tumour progression. Given that RCC is an established metabolic disease process, </w:t>
      </w:r>
      <w:r w:rsidR="00745751" w:rsidRPr="00D637BA">
        <w:rPr>
          <w:rFonts w:ascii="Calibri" w:hAnsi="Calibri" w:cs="Calibri"/>
          <w:color w:val="000000" w:themeColor="text1"/>
          <w:sz w:val="22"/>
          <w:szCs w:val="22"/>
        </w:rPr>
        <w:t>the finding</w:t>
      </w:r>
      <w:r w:rsidRPr="00D637BA">
        <w:rPr>
          <w:rFonts w:ascii="Calibri" w:hAnsi="Calibri" w:cs="Calibri"/>
          <w:color w:val="000000" w:themeColor="text1"/>
          <w:sz w:val="22"/>
          <w:szCs w:val="22"/>
        </w:rPr>
        <w:t xml:space="preserve"> that multiple oncometabolites are implicated in renal </w:t>
      </w:r>
      <w:r w:rsidRPr="00D637BA">
        <w:rPr>
          <w:rFonts w:ascii="Calibri" w:hAnsi="Calibri" w:cs="Calibri"/>
          <w:color w:val="000000" w:themeColor="text1"/>
          <w:sz w:val="22"/>
          <w:szCs w:val="22"/>
        </w:rPr>
        <w:lastRenderedPageBreak/>
        <w:t>cancer</w:t>
      </w:r>
      <w:r w:rsidR="00745751" w:rsidRPr="00D637BA">
        <w:rPr>
          <w:rFonts w:ascii="Calibri" w:hAnsi="Calibri" w:cs="Calibri"/>
          <w:color w:val="000000" w:themeColor="text1"/>
          <w:sz w:val="22"/>
          <w:szCs w:val="22"/>
        </w:rPr>
        <w:t xml:space="preserve"> is unsurprising</w:t>
      </w:r>
      <w:r w:rsidRPr="00D637BA">
        <w:rPr>
          <w:rFonts w:ascii="Calibri" w:hAnsi="Calibri" w:cs="Calibri"/>
          <w:color w:val="000000" w:themeColor="text1"/>
          <w:sz w:val="22"/>
          <w:szCs w:val="22"/>
        </w:rPr>
        <w:t xml:space="preserve">. In general, oncometabolites in RCC exert </w:t>
      </w:r>
      <w:r w:rsidR="00880A44" w:rsidRPr="00D637BA">
        <w:rPr>
          <w:rFonts w:ascii="Calibri" w:hAnsi="Calibri" w:cs="Calibri"/>
          <w:color w:val="000000" w:themeColor="text1"/>
          <w:sz w:val="22"/>
          <w:szCs w:val="22"/>
        </w:rPr>
        <w:t xml:space="preserve">important </w:t>
      </w:r>
      <w:r w:rsidRPr="00D637BA">
        <w:rPr>
          <w:rFonts w:ascii="Calibri" w:hAnsi="Calibri" w:cs="Calibri"/>
          <w:color w:val="000000" w:themeColor="text1"/>
          <w:sz w:val="22"/>
          <w:szCs w:val="22"/>
        </w:rPr>
        <w:t xml:space="preserve">effects on chromatin remodelling and epigenetic dysregulation leading to characteristic hypermethylated phenotypes, an EMT phenotypic switch and the propagation of a pseudohypoxic signature </w:t>
      </w:r>
      <w:r w:rsidR="00880A44" w:rsidRPr="00D637BA">
        <w:rPr>
          <w:rFonts w:ascii="Calibri" w:hAnsi="Calibri" w:cs="Calibri"/>
          <w:color w:val="000000" w:themeColor="text1"/>
          <w:sz w:val="22"/>
          <w:szCs w:val="22"/>
        </w:rPr>
        <w:t xml:space="preserve">that </w:t>
      </w:r>
      <w:r w:rsidRPr="00D637BA">
        <w:rPr>
          <w:rFonts w:ascii="Calibri" w:hAnsi="Calibri" w:cs="Calibri"/>
          <w:color w:val="000000" w:themeColor="text1"/>
          <w:sz w:val="22"/>
          <w:szCs w:val="22"/>
        </w:rPr>
        <w:t>contribut</w:t>
      </w:r>
      <w:r w:rsidR="00880A44" w:rsidRPr="00D637BA">
        <w:rPr>
          <w:rFonts w:ascii="Calibri" w:hAnsi="Calibri" w:cs="Calibri"/>
          <w:color w:val="000000" w:themeColor="text1"/>
          <w:sz w:val="22"/>
          <w:szCs w:val="22"/>
        </w:rPr>
        <w:t>es</w:t>
      </w:r>
      <w:r w:rsidRPr="00D637BA">
        <w:rPr>
          <w:rFonts w:ascii="Calibri" w:hAnsi="Calibri" w:cs="Calibri"/>
          <w:color w:val="000000" w:themeColor="text1"/>
          <w:sz w:val="22"/>
          <w:szCs w:val="22"/>
        </w:rPr>
        <w:t xml:space="preserve"> to the aggressive features of these RCC subtypes. </w:t>
      </w:r>
      <w:r w:rsidR="00745751" w:rsidRPr="00D637BA">
        <w:rPr>
          <w:rFonts w:ascii="Calibri" w:hAnsi="Calibri" w:cs="Calibri"/>
          <w:color w:val="000000" w:themeColor="text1"/>
          <w:sz w:val="22"/>
          <w:szCs w:val="22"/>
        </w:rPr>
        <w:t>E</w:t>
      </w:r>
      <w:r w:rsidRPr="00D637BA">
        <w:rPr>
          <w:rFonts w:ascii="Calibri" w:hAnsi="Calibri" w:cs="Calibri"/>
          <w:color w:val="000000" w:themeColor="text1"/>
          <w:sz w:val="22"/>
          <w:szCs w:val="22"/>
        </w:rPr>
        <w:t>lucidating the roles of oncometabolites</w:t>
      </w:r>
      <w:r w:rsidR="009028BB" w:rsidRPr="00B946E4">
        <w:rPr>
          <w:rFonts w:ascii="Calibri" w:hAnsi="Calibri" w:cs="Calibri"/>
          <w:color w:val="000000" w:themeColor="text1"/>
          <w:sz w:val="22"/>
          <w:szCs w:val="22"/>
        </w:rPr>
        <w:t xml:space="preserve"> in oncogenesis will enable</w:t>
      </w:r>
      <w:r w:rsidRPr="00D637BA">
        <w:rPr>
          <w:rFonts w:ascii="Calibri" w:hAnsi="Calibri" w:cs="Calibri"/>
          <w:color w:val="000000" w:themeColor="text1"/>
          <w:sz w:val="22"/>
          <w:szCs w:val="22"/>
        </w:rPr>
        <w:t xml:space="preserve"> the exploitation of these molecules and their associated signalling pathways for multiple clinical applications </w:t>
      </w:r>
      <w:r w:rsidR="009028BB" w:rsidRPr="00B946E4">
        <w:rPr>
          <w:rFonts w:ascii="Calibri" w:hAnsi="Calibri" w:cs="Calibri"/>
          <w:color w:val="000000" w:themeColor="text1"/>
          <w:sz w:val="22"/>
          <w:szCs w:val="22"/>
        </w:rPr>
        <w:t>including</w:t>
      </w:r>
      <w:r w:rsidRPr="00D637BA">
        <w:rPr>
          <w:rFonts w:ascii="Calibri" w:hAnsi="Calibri" w:cs="Calibri"/>
          <w:color w:val="000000" w:themeColor="text1"/>
          <w:sz w:val="22"/>
          <w:szCs w:val="22"/>
        </w:rPr>
        <w:t xml:space="preserve"> the development of novel </w:t>
      </w:r>
      <w:r w:rsidR="009028BB" w:rsidRPr="00B946E4">
        <w:rPr>
          <w:rFonts w:ascii="Calibri" w:hAnsi="Calibri" w:cs="Calibri"/>
          <w:color w:val="000000" w:themeColor="text1"/>
          <w:sz w:val="22"/>
          <w:szCs w:val="22"/>
        </w:rPr>
        <w:t xml:space="preserve">therapies </w:t>
      </w:r>
      <w:r w:rsidR="00F90ECF" w:rsidRPr="00D637BA">
        <w:rPr>
          <w:rFonts w:ascii="Calibri" w:hAnsi="Calibri" w:cs="Calibri"/>
          <w:color w:val="000000" w:themeColor="text1"/>
          <w:sz w:val="22"/>
          <w:szCs w:val="22"/>
        </w:rPr>
        <w:t xml:space="preserve">and oncometabolite-associated </w:t>
      </w:r>
      <w:r w:rsidRPr="00D637BA">
        <w:rPr>
          <w:rFonts w:ascii="Calibri" w:hAnsi="Calibri" w:cs="Calibri"/>
          <w:color w:val="000000" w:themeColor="text1"/>
          <w:sz w:val="22"/>
          <w:szCs w:val="22"/>
        </w:rPr>
        <w:t>biomarkers.</w:t>
      </w:r>
    </w:p>
    <w:p w14:paraId="6028353C" w14:textId="77777777" w:rsidR="00F131BF" w:rsidRPr="00D637BA" w:rsidRDefault="00F131BF" w:rsidP="00F131BF">
      <w:pPr>
        <w:spacing w:line="360" w:lineRule="auto"/>
        <w:jc w:val="both"/>
        <w:rPr>
          <w:rFonts w:ascii="Calibri" w:hAnsi="Calibri" w:cs="Calibri"/>
          <w:color w:val="000000" w:themeColor="text1"/>
          <w:sz w:val="22"/>
          <w:szCs w:val="22"/>
        </w:rPr>
      </w:pPr>
    </w:p>
    <w:p w14:paraId="1851685A" w14:textId="77777777" w:rsidR="00065FAA" w:rsidRPr="00D637BA" w:rsidRDefault="00065FAA" w:rsidP="00065FAA">
      <w:pPr>
        <w:spacing w:line="360" w:lineRule="auto"/>
        <w:jc w:val="both"/>
        <w:rPr>
          <w:rFonts w:ascii="Calibri" w:hAnsi="Calibri" w:cs="Calibri"/>
          <w:b/>
          <w:color w:val="000000" w:themeColor="text1"/>
          <w:szCs w:val="22"/>
        </w:rPr>
      </w:pPr>
      <w:r w:rsidRPr="00D637BA">
        <w:rPr>
          <w:rFonts w:ascii="Calibri" w:hAnsi="Calibri" w:cs="Calibri"/>
          <w:b/>
          <w:color w:val="000000" w:themeColor="text1"/>
          <w:szCs w:val="22"/>
        </w:rPr>
        <w:t>Acknowledgements:</w:t>
      </w:r>
    </w:p>
    <w:p w14:paraId="061D0729" w14:textId="77777777" w:rsidR="00065FAA" w:rsidRPr="00D637BA" w:rsidRDefault="00065FAA" w:rsidP="00065FAA">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C.Y. is funded by the Wellcome Trust and The Urology Foundation. C.F. is supported by the Medical Research Council, grant MRC_MC_UU_12022/6. </w:t>
      </w:r>
    </w:p>
    <w:p w14:paraId="47FE2442" w14:textId="77777777" w:rsidR="00F83768" w:rsidRPr="00D637BA" w:rsidRDefault="00F83768" w:rsidP="00F131BF">
      <w:pPr>
        <w:spacing w:line="360" w:lineRule="auto"/>
        <w:jc w:val="both"/>
        <w:rPr>
          <w:rFonts w:ascii="Calibri" w:hAnsi="Calibri" w:cs="Calibri"/>
          <w:color w:val="000000" w:themeColor="text1"/>
          <w:sz w:val="22"/>
          <w:szCs w:val="22"/>
        </w:rPr>
      </w:pPr>
    </w:p>
    <w:p w14:paraId="5A120AD4" w14:textId="7B143FE0" w:rsidR="00F131BF" w:rsidRPr="00D637BA" w:rsidRDefault="00065FAA" w:rsidP="00F131BF">
      <w:pPr>
        <w:spacing w:line="360" w:lineRule="auto"/>
        <w:jc w:val="both"/>
        <w:rPr>
          <w:rFonts w:ascii="Calibri" w:hAnsi="Calibri" w:cs="Calibri"/>
          <w:b/>
          <w:color w:val="000000" w:themeColor="text1"/>
          <w:szCs w:val="22"/>
        </w:rPr>
      </w:pPr>
      <w:r w:rsidRPr="00D637BA">
        <w:rPr>
          <w:rFonts w:ascii="Calibri" w:hAnsi="Calibri" w:cs="Calibri"/>
          <w:b/>
          <w:color w:val="000000" w:themeColor="text1"/>
          <w:szCs w:val="22"/>
        </w:rPr>
        <w:t>Author c</w:t>
      </w:r>
      <w:r w:rsidR="00F131BF" w:rsidRPr="00D637BA">
        <w:rPr>
          <w:rFonts w:ascii="Calibri" w:hAnsi="Calibri" w:cs="Calibri"/>
          <w:b/>
          <w:color w:val="000000" w:themeColor="text1"/>
          <w:szCs w:val="22"/>
        </w:rPr>
        <w:t>ontributions</w:t>
      </w:r>
    </w:p>
    <w:p w14:paraId="2EA9C85D" w14:textId="117753EA" w:rsidR="00F131BF" w:rsidRPr="00D637BA" w:rsidRDefault="00F131BF" w:rsidP="00F131BF">
      <w:pPr>
        <w:spacing w:line="360" w:lineRule="auto"/>
        <w:jc w:val="both"/>
        <w:rPr>
          <w:rFonts w:ascii="Calibri" w:hAnsi="Calibri" w:cs="Calibri"/>
          <w:color w:val="000000" w:themeColor="text1"/>
          <w:sz w:val="22"/>
          <w:szCs w:val="22"/>
        </w:rPr>
      </w:pPr>
      <w:r w:rsidRPr="00B946E4">
        <w:rPr>
          <w:rFonts w:ascii="Calibri" w:hAnsi="Calibri" w:cs="Calibri"/>
          <w:color w:val="000000" w:themeColor="text1"/>
          <w:sz w:val="22"/>
          <w:szCs w:val="22"/>
        </w:rPr>
        <w:t>C</w:t>
      </w:r>
      <w:r w:rsidR="002E5B5C" w:rsidRPr="00B946E4">
        <w:rPr>
          <w:rFonts w:ascii="Calibri" w:hAnsi="Calibri" w:cs="Calibri"/>
          <w:color w:val="000000" w:themeColor="text1"/>
          <w:sz w:val="22"/>
          <w:szCs w:val="22"/>
        </w:rPr>
        <w:t>.</w:t>
      </w:r>
      <w:r w:rsidRPr="00B946E4">
        <w:rPr>
          <w:rFonts w:ascii="Calibri" w:hAnsi="Calibri" w:cs="Calibri"/>
          <w:color w:val="000000" w:themeColor="text1"/>
          <w:sz w:val="22"/>
          <w:szCs w:val="22"/>
        </w:rPr>
        <w:t>Y</w:t>
      </w:r>
      <w:r w:rsidR="002E5B5C" w:rsidRPr="00B946E4">
        <w:rPr>
          <w:rFonts w:ascii="Calibri" w:hAnsi="Calibri" w:cs="Calibri"/>
          <w:color w:val="000000" w:themeColor="text1"/>
          <w:sz w:val="22"/>
          <w:szCs w:val="22"/>
        </w:rPr>
        <w:t xml:space="preserve">. C.F. </w:t>
      </w:r>
      <w:r w:rsidR="00065FAA" w:rsidRPr="00B946E4">
        <w:rPr>
          <w:rFonts w:ascii="Calibri" w:hAnsi="Calibri" w:cs="Calibri"/>
          <w:color w:val="000000" w:themeColor="text1"/>
          <w:sz w:val="22"/>
          <w:szCs w:val="22"/>
        </w:rPr>
        <w:t xml:space="preserve">and G.D.S. researched the data for the article and made substantial contributions to discussions of the content. </w:t>
      </w:r>
      <w:r w:rsidR="002E5B5C" w:rsidRPr="00B946E4">
        <w:rPr>
          <w:rFonts w:ascii="Calibri" w:hAnsi="Calibri" w:cs="Calibri"/>
          <w:color w:val="000000" w:themeColor="text1"/>
          <w:sz w:val="22"/>
          <w:szCs w:val="22"/>
        </w:rPr>
        <w:t xml:space="preserve">C.Y. </w:t>
      </w:r>
      <w:r w:rsidR="00F926D6" w:rsidRPr="00B946E4">
        <w:rPr>
          <w:rFonts w:ascii="Calibri" w:hAnsi="Calibri" w:cs="Calibri"/>
          <w:color w:val="000000" w:themeColor="text1"/>
          <w:sz w:val="22"/>
          <w:szCs w:val="22"/>
        </w:rPr>
        <w:t>wrote the manuscript</w:t>
      </w:r>
      <w:r w:rsidR="00CD5A0E" w:rsidRPr="00B946E4">
        <w:rPr>
          <w:rFonts w:ascii="Calibri" w:hAnsi="Calibri" w:cs="Calibri"/>
          <w:color w:val="000000" w:themeColor="text1"/>
          <w:sz w:val="22"/>
          <w:szCs w:val="22"/>
        </w:rPr>
        <w:t xml:space="preserve">. </w:t>
      </w:r>
      <w:r w:rsidR="008B37B7">
        <w:rPr>
          <w:rFonts w:ascii="Calibri" w:hAnsi="Calibri" w:cs="Calibri"/>
          <w:color w:val="000000" w:themeColor="text1"/>
          <w:sz w:val="22"/>
          <w:szCs w:val="22"/>
        </w:rPr>
        <w:t xml:space="preserve">C.Y. </w:t>
      </w:r>
      <w:r w:rsidR="002E5B5C" w:rsidRPr="00B946E4">
        <w:rPr>
          <w:rFonts w:ascii="Calibri" w:hAnsi="Calibri" w:cs="Calibri"/>
          <w:color w:val="000000" w:themeColor="text1"/>
          <w:sz w:val="22"/>
          <w:szCs w:val="22"/>
        </w:rPr>
        <w:t xml:space="preserve">G.D.S. and C.F. </w:t>
      </w:r>
      <w:r w:rsidR="00065FAA" w:rsidRPr="00B946E4">
        <w:rPr>
          <w:rFonts w:ascii="Calibri" w:hAnsi="Calibri" w:cs="Calibri"/>
          <w:color w:val="000000" w:themeColor="text1"/>
          <w:sz w:val="22"/>
          <w:szCs w:val="22"/>
        </w:rPr>
        <w:t>reviewed and edited the manuscript before submission</w:t>
      </w:r>
      <w:r w:rsidR="00E25DD4" w:rsidRPr="00B946E4">
        <w:rPr>
          <w:rFonts w:ascii="Calibri" w:hAnsi="Calibri" w:cs="Calibri"/>
          <w:color w:val="000000" w:themeColor="text1"/>
          <w:sz w:val="22"/>
          <w:szCs w:val="22"/>
        </w:rPr>
        <w:t>.</w:t>
      </w:r>
    </w:p>
    <w:p w14:paraId="24195E6C" w14:textId="77777777" w:rsidR="00065FAA" w:rsidRPr="00D637BA" w:rsidRDefault="00065FAA" w:rsidP="00065FAA">
      <w:pPr>
        <w:spacing w:line="360" w:lineRule="auto"/>
        <w:jc w:val="both"/>
        <w:rPr>
          <w:rFonts w:ascii="Calibri" w:hAnsi="Calibri" w:cs="Calibri"/>
          <w:b/>
          <w:color w:val="000000" w:themeColor="text1"/>
          <w:szCs w:val="22"/>
        </w:rPr>
      </w:pPr>
    </w:p>
    <w:p w14:paraId="23CFD88A" w14:textId="77777777" w:rsidR="00065FAA" w:rsidRPr="00D637BA" w:rsidRDefault="00065FAA" w:rsidP="00065FAA">
      <w:pPr>
        <w:spacing w:line="360" w:lineRule="auto"/>
        <w:jc w:val="both"/>
        <w:rPr>
          <w:rFonts w:ascii="Calibri" w:hAnsi="Calibri" w:cs="Calibri"/>
          <w:b/>
          <w:color w:val="000000" w:themeColor="text1"/>
          <w:szCs w:val="22"/>
        </w:rPr>
      </w:pPr>
      <w:r w:rsidRPr="00D637BA">
        <w:rPr>
          <w:rFonts w:ascii="Calibri" w:hAnsi="Calibri" w:cs="Calibri"/>
          <w:b/>
          <w:color w:val="000000" w:themeColor="text1"/>
          <w:szCs w:val="22"/>
        </w:rPr>
        <w:t>Competing interests statement</w:t>
      </w:r>
    </w:p>
    <w:p w14:paraId="77B2DEC7" w14:textId="57B65674" w:rsidR="00065FAA" w:rsidRPr="00D637BA" w:rsidRDefault="00065FAA" w:rsidP="00065FAA">
      <w:p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The authors declare no competing interests</w:t>
      </w:r>
      <w:r w:rsidR="00BA3BD0" w:rsidRPr="00D637BA">
        <w:rPr>
          <w:rFonts w:ascii="Calibri" w:hAnsi="Calibri" w:cs="Calibri"/>
          <w:color w:val="000000" w:themeColor="text1"/>
          <w:sz w:val="22"/>
          <w:szCs w:val="22"/>
        </w:rPr>
        <w:t>.</w:t>
      </w:r>
      <w:r w:rsidR="00BA3BD0">
        <w:rPr>
          <w:rFonts w:ascii="Calibri" w:hAnsi="Calibri" w:cs="Calibri"/>
          <w:color w:val="000000" w:themeColor="text1"/>
          <w:sz w:val="22"/>
          <w:szCs w:val="22"/>
        </w:rPr>
        <w:t xml:space="preserve"> C.F. is adviser of Istesso Limited, and member of the Scientific Advisory Board of Owlstone Medicals. </w:t>
      </w:r>
      <w:r w:rsidR="00AF65BA">
        <w:rPr>
          <w:rFonts w:ascii="Calibri" w:hAnsi="Calibri" w:cs="Calibri"/>
          <w:color w:val="000000" w:themeColor="text1"/>
          <w:sz w:val="22"/>
          <w:szCs w:val="22"/>
        </w:rPr>
        <w:t xml:space="preserve"> </w:t>
      </w:r>
    </w:p>
    <w:p w14:paraId="42786779" w14:textId="77777777" w:rsidR="00A75A50" w:rsidRPr="00D637BA" w:rsidRDefault="00A75A50" w:rsidP="00F131BF">
      <w:pPr>
        <w:spacing w:line="360" w:lineRule="auto"/>
        <w:jc w:val="both"/>
        <w:rPr>
          <w:rFonts w:ascii="Calibri" w:hAnsi="Calibri" w:cs="Calibri"/>
          <w:color w:val="000000" w:themeColor="text1"/>
          <w:sz w:val="22"/>
          <w:szCs w:val="22"/>
        </w:rPr>
      </w:pPr>
    </w:p>
    <w:p w14:paraId="4FB61BDA" w14:textId="77777777" w:rsidR="00542814" w:rsidRPr="00D637BA" w:rsidRDefault="00542814" w:rsidP="00542814">
      <w:pPr>
        <w:spacing w:line="360" w:lineRule="auto"/>
        <w:jc w:val="both"/>
        <w:rPr>
          <w:rFonts w:ascii="Calibri" w:hAnsi="Calibri" w:cs="Calibri"/>
          <w:b/>
          <w:color w:val="000000" w:themeColor="text1"/>
          <w:szCs w:val="22"/>
        </w:rPr>
      </w:pPr>
      <w:r w:rsidRPr="00D637BA">
        <w:rPr>
          <w:rFonts w:ascii="Calibri" w:hAnsi="Calibri" w:cs="Calibri"/>
          <w:b/>
          <w:color w:val="000000" w:themeColor="text1"/>
          <w:szCs w:val="22"/>
        </w:rPr>
        <w:t>Key points</w:t>
      </w:r>
    </w:p>
    <w:p w14:paraId="18575AA1" w14:textId="7999C15B" w:rsidR="00542814" w:rsidRPr="00D637BA" w:rsidRDefault="00542814" w:rsidP="00542814">
      <w:pPr>
        <w:pStyle w:val="ListParagraph"/>
        <w:numPr>
          <w:ilvl w:val="0"/>
          <w:numId w:val="1"/>
        </w:num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Oncometabolites are aberrantly accumulated metabolites that possess pro-oncogenic capabilities</w:t>
      </w:r>
      <w:r w:rsidR="00076DBC" w:rsidRPr="00B946E4">
        <w:rPr>
          <w:rFonts w:ascii="Calibri" w:hAnsi="Calibri" w:cs="Calibri"/>
          <w:color w:val="000000" w:themeColor="text1"/>
          <w:sz w:val="22"/>
          <w:szCs w:val="22"/>
        </w:rPr>
        <w:t>, they</w:t>
      </w:r>
      <w:r w:rsidRPr="00D637BA">
        <w:rPr>
          <w:rFonts w:ascii="Calibri" w:hAnsi="Calibri" w:cs="Calibri"/>
          <w:color w:val="000000" w:themeColor="text1"/>
          <w:sz w:val="22"/>
          <w:szCs w:val="22"/>
        </w:rPr>
        <w:t xml:space="preserve"> contribute to tumorigenesis via epigenetic dysregulation and can influence tumour progression through phenotypic switches such as epithelial to mesenchymal transition</w:t>
      </w:r>
      <w:r w:rsidR="001364AA">
        <w:rPr>
          <w:rFonts w:ascii="Calibri" w:hAnsi="Calibri" w:cs="Calibri"/>
          <w:color w:val="000000" w:themeColor="text1"/>
          <w:sz w:val="22"/>
          <w:szCs w:val="22"/>
        </w:rPr>
        <w:t>.</w:t>
      </w:r>
    </w:p>
    <w:p w14:paraId="6A3CA38F" w14:textId="5B64BB06" w:rsidR="00542814" w:rsidRPr="00B946E4" w:rsidRDefault="00542814" w:rsidP="00542814">
      <w:pPr>
        <w:pStyle w:val="ListParagraph"/>
        <w:numPr>
          <w:ilvl w:val="0"/>
          <w:numId w:val="1"/>
        </w:num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L-2-hydroxyglutarate, fumarate and succinate are </w:t>
      </w:r>
      <w:r w:rsidRPr="00D637BA">
        <w:rPr>
          <w:rFonts w:ascii="Calibri" w:hAnsi="Calibri" w:cs="Calibri"/>
          <w:i/>
          <w:color w:val="000000" w:themeColor="text1"/>
          <w:sz w:val="22"/>
          <w:szCs w:val="22"/>
        </w:rPr>
        <w:t>bona fide</w:t>
      </w:r>
      <w:r w:rsidRPr="00D637BA">
        <w:rPr>
          <w:rFonts w:ascii="Calibri" w:hAnsi="Calibri" w:cs="Calibri"/>
          <w:color w:val="000000" w:themeColor="text1"/>
          <w:sz w:val="22"/>
          <w:szCs w:val="22"/>
        </w:rPr>
        <w:t xml:space="preserve"> renal cell carcinoma (RCC) oncometabolites; exploitation of these oncometabolites and their downstream signalling effects are attractive targets for novel therapies and as biomarkers of disease</w:t>
      </w:r>
      <w:r w:rsidR="001364AA">
        <w:rPr>
          <w:rFonts w:ascii="Calibri" w:hAnsi="Calibri" w:cs="Calibri"/>
          <w:color w:val="000000" w:themeColor="text1"/>
          <w:sz w:val="22"/>
          <w:szCs w:val="22"/>
        </w:rPr>
        <w:t>.</w:t>
      </w:r>
    </w:p>
    <w:p w14:paraId="3E608A61" w14:textId="60FF0B5F" w:rsidR="000510A2" w:rsidRPr="00970F62" w:rsidRDefault="001364AA" w:rsidP="00542814">
      <w:pPr>
        <w:pStyle w:val="ListParagraph"/>
        <w:numPr>
          <w:ilvl w:val="0"/>
          <w:numId w:val="1"/>
        </w:numPr>
        <w:spacing w:line="360" w:lineRule="auto"/>
        <w:jc w:val="both"/>
        <w:rPr>
          <w:rFonts w:ascii="Calibri" w:hAnsi="Calibri" w:cs="Calibri"/>
          <w:color w:val="000000" w:themeColor="text1"/>
          <w:sz w:val="22"/>
          <w:szCs w:val="22"/>
        </w:rPr>
      </w:pPr>
      <w:r w:rsidRPr="00970F62">
        <w:rPr>
          <w:rFonts w:ascii="Calibri" w:hAnsi="Calibri" w:cs="Calibri"/>
          <w:color w:val="000000" w:themeColor="text1"/>
          <w:sz w:val="22"/>
          <w:szCs w:val="22"/>
        </w:rPr>
        <w:t>O</w:t>
      </w:r>
      <w:r w:rsidR="004D36CE" w:rsidRPr="00970F62">
        <w:rPr>
          <w:rFonts w:ascii="Calibri" w:hAnsi="Calibri" w:cs="Calibri"/>
          <w:color w:val="000000" w:themeColor="text1"/>
          <w:sz w:val="22"/>
          <w:szCs w:val="22"/>
        </w:rPr>
        <w:t>ncometabolite</w:t>
      </w:r>
      <w:r w:rsidRPr="00970F62">
        <w:rPr>
          <w:rFonts w:ascii="Calibri" w:hAnsi="Calibri" w:cs="Calibri"/>
          <w:color w:val="000000" w:themeColor="text1"/>
          <w:sz w:val="22"/>
          <w:szCs w:val="22"/>
        </w:rPr>
        <w:t xml:space="preserve">s have shared pro-oncogenic functions through the inhibition of αKG-dependent dioxygenases as well as individual phenomena associated with specific oncometabolites. </w:t>
      </w:r>
    </w:p>
    <w:p w14:paraId="335B9352" w14:textId="4CCC0B4A" w:rsidR="00542814" w:rsidRPr="00D637BA" w:rsidRDefault="00542814" w:rsidP="00542814">
      <w:pPr>
        <w:pStyle w:val="ListParagraph"/>
        <w:numPr>
          <w:ilvl w:val="0"/>
          <w:numId w:val="1"/>
        </w:num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Chromatin remodelling via oncometabolites may recapitulate the effects of other epigenetic modifiers mutated in RCC thus converging on the same gene signature</w:t>
      </w:r>
      <w:r w:rsidR="00AF684F" w:rsidRPr="00B946E4">
        <w:rPr>
          <w:rFonts w:ascii="Calibri" w:hAnsi="Calibri" w:cs="Calibri"/>
          <w:color w:val="000000" w:themeColor="text1"/>
          <w:sz w:val="22"/>
          <w:szCs w:val="22"/>
        </w:rPr>
        <w:t>; i</w:t>
      </w:r>
      <w:r w:rsidRPr="00D637BA">
        <w:rPr>
          <w:rFonts w:ascii="Calibri" w:hAnsi="Calibri" w:cs="Calibri"/>
          <w:color w:val="000000" w:themeColor="text1"/>
          <w:sz w:val="22"/>
          <w:szCs w:val="22"/>
        </w:rPr>
        <w:t>dentification of the</w:t>
      </w:r>
      <w:r w:rsidR="00AF684F" w:rsidRPr="00B946E4">
        <w:rPr>
          <w:rFonts w:ascii="Calibri" w:hAnsi="Calibri" w:cs="Calibri"/>
          <w:color w:val="000000" w:themeColor="text1"/>
          <w:sz w:val="22"/>
          <w:szCs w:val="22"/>
        </w:rPr>
        <w:t xml:space="preserve"> underlying</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pathways will influence treatment strategy.</w:t>
      </w:r>
    </w:p>
    <w:p w14:paraId="5B2F799E" w14:textId="2DB7C93B" w:rsidR="00542814" w:rsidRPr="00D637BA" w:rsidRDefault="00542814" w:rsidP="00542814">
      <w:pPr>
        <w:pStyle w:val="ListParagraph"/>
        <w:numPr>
          <w:ilvl w:val="0"/>
          <w:numId w:val="1"/>
        </w:numPr>
        <w:spacing w:line="360" w:lineRule="auto"/>
        <w:jc w:val="both"/>
        <w:rPr>
          <w:rFonts w:ascii="Calibri" w:hAnsi="Calibri" w:cs="Calibri"/>
          <w:color w:val="000000" w:themeColor="text1"/>
          <w:sz w:val="22"/>
          <w:szCs w:val="22"/>
        </w:rPr>
      </w:pPr>
      <w:r w:rsidRPr="00D637BA">
        <w:rPr>
          <w:rFonts w:ascii="Calibri" w:hAnsi="Calibri" w:cs="Calibri"/>
          <w:color w:val="000000" w:themeColor="text1"/>
          <w:sz w:val="22"/>
          <w:szCs w:val="22"/>
        </w:rPr>
        <w:t xml:space="preserve">Elucidation of exogenous factors that give rise to oncometabolite production such as hyperglycaemia may prove to be a synergistic strategy </w:t>
      </w:r>
      <w:r w:rsidR="000510A2" w:rsidRPr="00B946E4">
        <w:rPr>
          <w:rFonts w:ascii="Calibri" w:hAnsi="Calibri" w:cs="Calibri"/>
          <w:color w:val="000000" w:themeColor="text1"/>
          <w:sz w:val="22"/>
          <w:szCs w:val="22"/>
        </w:rPr>
        <w:t>to</w:t>
      </w:r>
      <w:r w:rsidR="000510A2" w:rsidRPr="00D637BA">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reduc</w:t>
      </w:r>
      <w:r w:rsidR="000510A2" w:rsidRPr="00B946E4">
        <w:rPr>
          <w:rFonts w:ascii="Calibri" w:hAnsi="Calibri" w:cs="Calibri"/>
          <w:color w:val="000000" w:themeColor="text1"/>
          <w:sz w:val="22"/>
          <w:szCs w:val="22"/>
        </w:rPr>
        <w:t xml:space="preserve">e the levels of </w:t>
      </w:r>
      <w:r w:rsidRPr="00D637BA">
        <w:rPr>
          <w:rFonts w:ascii="Calibri" w:hAnsi="Calibri" w:cs="Calibri"/>
          <w:color w:val="000000" w:themeColor="text1"/>
          <w:sz w:val="22"/>
          <w:szCs w:val="22"/>
        </w:rPr>
        <w:t>oncometabolite</w:t>
      </w:r>
      <w:r w:rsidR="000510A2" w:rsidRPr="00B946E4">
        <w:rPr>
          <w:rFonts w:ascii="Calibri" w:hAnsi="Calibri" w:cs="Calibri"/>
          <w:color w:val="000000" w:themeColor="text1"/>
          <w:sz w:val="22"/>
          <w:szCs w:val="22"/>
        </w:rPr>
        <w:t>s</w:t>
      </w:r>
      <w:r w:rsidR="000167D7">
        <w:rPr>
          <w:rFonts w:ascii="Calibri" w:hAnsi="Calibri" w:cs="Calibri"/>
          <w:color w:val="000000" w:themeColor="text1"/>
          <w:sz w:val="22"/>
          <w:szCs w:val="22"/>
        </w:rPr>
        <w:t xml:space="preserve"> </w:t>
      </w:r>
      <w:r w:rsidRPr="00D637BA">
        <w:rPr>
          <w:rFonts w:ascii="Calibri" w:hAnsi="Calibri" w:cs="Calibri"/>
          <w:color w:val="000000" w:themeColor="text1"/>
          <w:sz w:val="22"/>
          <w:szCs w:val="22"/>
        </w:rPr>
        <w:t>and their subsequent sequelae.</w:t>
      </w:r>
    </w:p>
    <w:p w14:paraId="3EA22CA6" w14:textId="77777777" w:rsidR="00542814" w:rsidRPr="00D637BA" w:rsidRDefault="00542814" w:rsidP="0075772B">
      <w:pPr>
        <w:spacing w:line="360" w:lineRule="auto"/>
        <w:jc w:val="both"/>
        <w:rPr>
          <w:rFonts w:ascii="Calibri" w:hAnsi="Calibri" w:cs="Calibri"/>
          <w:b/>
          <w:bCs/>
          <w:color w:val="000000" w:themeColor="text1"/>
          <w:sz w:val="20"/>
          <w:szCs w:val="20"/>
        </w:rPr>
      </w:pPr>
    </w:p>
    <w:p w14:paraId="23DB58A8" w14:textId="61DBB1C7" w:rsidR="00882B85" w:rsidRPr="00970F62" w:rsidRDefault="0075772B" w:rsidP="0075772B">
      <w:pPr>
        <w:spacing w:line="360" w:lineRule="auto"/>
        <w:jc w:val="both"/>
        <w:rPr>
          <w:rFonts w:ascii="Calibri" w:hAnsi="Calibri" w:cs="Calibri"/>
          <w:b/>
          <w:bCs/>
          <w:color w:val="000000" w:themeColor="text1"/>
          <w:sz w:val="20"/>
          <w:szCs w:val="20"/>
        </w:rPr>
      </w:pPr>
      <w:r w:rsidRPr="00D637BA">
        <w:rPr>
          <w:rFonts w:ascii="Calibri" w:hAnsi="Calibri" w:cs="Calibri"/>
          <w:b/>
          <w:bCs/>
          <w:color w:val="000000" w:themeColor="text1"/>
          <w:sz w:val="20"/>
          <w:szCs w:val="20"/>
        </w:rPr>
        <w:t>Table 1: Oncometabolite-associated RCC subtypes, clinical features and potential therapeutic strategies</w:t>
      </w:r>
    </w:p>
    <w:tbl>
      <w:tblPr>
        <w:tblStyle w:val="GridTable1Light-Accent11"/>
        <w:tblpPr w:leftFromText="180" w:rightFromText="180" w:vertAnchor="text" w:tblpX="-494" w:tblpY="56"/>
        <w:tblW w:w="11092" w:type="dxa"/>
        <w:tblLayout w:type="fixed"/>
        <w:tblLook w:val="05A0" w:firstRow="1" w:lastRow="0" w:firstColumn="1" w:lastColumn="1" w:noHBand="0" w:noVBand="1"/>
      </w:tblPr>
      <w:tblGrid>
        <w:gridCol w:w="1844"/>
        <w:gridCol w:w="1569"/>
        <w:gridCol w:w="4135"/>
        <w:gridCol w:w="2801"/>
        <w:gridCol w:w="743"/>
      </w:tblGrid>
      <w:tr w:rsidR="00DD4755" w:rsidRPr="00D637BA" w14:paraId="67CCECF2" w14:textId="77777777" w:rsidTr="00DD4755">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44" w:type="dxa"/>
            <w:shd w:val="clear" w:color="auto" w:fill="DEEAF6" w:themeFill="accent5" w:themeFillTint="33"/>
            <w:hideMark/>
          </w:tcPr>
          <w:p w14:paraId="1751069F" w14:textId="77777777" w:rsidR="0006666E" w:rsidRPr="00B946E4" w:rsidRDefault="0006666E" w:rsidP="00B946E4">
            <w:pPr>
              <w:rPr>
                <w:rFonts w:asciiTheme="minorHAnsi" w:hAnsiTheme="minorHAnsi" w:cs="Arial"/>
                <w:color w:val="000000" w:themeColor="text1"/>
                <w:sz w:val="18"/>
                <w:szCs w:val="18"/>
              </w:rPr>
            </w:pPr>
            <w:r w:rsidRPr="00B946E4">
              <w:rPr>
                <w:rFonts w:asciiTheme="minorHAnsi" w:hAnsiTheme="minorHAnsi" w:cs="Arial"/>
                <w:color w:val="000000" w:themeColor="text1"/>
                <w:kern w:val="24"/>
                <w:sz w:val="18"/>
                <w:szCs w:val="18"/>
              </w:rPr>
              <w:t>Oncometabolite</w:t>
            </w:r>
          </w:p>
        </w:tc>
        <w:tc>
          <w:tcPr>
            <w:tcW w:w="1569" w:type="dxa"/>
            <w:shd w:val="clear" w:color="auto" w:fill="DEEAF6" w:themeFill="accent5" w:themeFillTint="33"/>
            <w:hideMark/>
          </w:tcPr>
          <w:p w14:paraId="1A77AE0C" w14:textId="366647CD" w:rsidR="0006666E" w:rsidRPr="00B946E4" w:rsidRDefault="0006666E" w:rsidP="00B946E4">
            <w:pPr>
              <w:cnfStyle w:val="100000000000" w:firstRow="1"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rPr>
            </w:pPr>
            <w:r w:rsidRPr="00D637BA">
              <w:rPr>
                <w:rFonts w:asciiTheme="minorHAnsi" w:hAnsiTheme="minorHAnsi" w:cs="Arial"/>
                <w:color w:val="000000" w:themeColor="text1"/>
                <w:kern w:val="24"/>
                <w:sz w:val="18"/>
                <w:szCs w:val="18"/>
              </w:rPr>
              <w:t>Mutated g</w:t>
            </w:r>
            <w:r w:rsidRPr="00B946E4">
              <w:rPr>
                <w:rFonts w:asciiTheme="minorHAnsi" w:hAnsiTheme="minorHAnsi" w:cs="Arial"/>
                <w:color w:val="000000" w:themeColor="text1"/>
                <w:kern w:val="24"/>
                <w:sz w:val="18"/>
                <w:szCs w:val="18"/>
              </w:rPr>
              <w:t>ene</w:t>
            </w:r>
            <w:r w:rsidRPr="00D637BA">
              <w:rPr>
                <w:rFonts w:asciiTheme="minorHAnsi" w:hAnsiTheme="minorHAnsi" w:cs="Arial"/>
                <w:color w:val="000000" w:themeColor="text1"/>
                <w:kern w:val="24"/>
                <w:sz w:val="18"/>
                <w:szCs w:val="18"/>
              </w:rPr>
              <w:t>(s)</w:t>
            </w:r>
          </w:p>
        </w:tc>
        <w:tc>
          <w:tcPr>
            <w:tcW w:w="4135" w:type="dxa"/>
            <w:shd w:val="clear" w:color="auto" w:fill="DEEAF6" w:themeFill="accent5" w:themeFillTint="33"/>
            <w:hideMark/>
          </w:tcPr>
          <w:p w14:paraId="7C5CC33E" w14:textId="0CDD4D6E" w:rsidR="0006666E" w:rsidRPr="00B946E4" w:rsidRDefault="0006666E" w:rsidP="00B946E4">
            <w:pPr>
              <w:cnfStyle w:val="100000000000" w:firstRow="1"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rPr>
            </w:pPr>
            <w:r w:rsidRPr="00D637BA">
              <w:rPr>
                <w:rFonts w:asciiTheme="minorHAnsi" w:hAnsiTheme="minorHAnsi" w:cs="Arial"/>
                <w:color w:val="000000" w:themeColor="text1"/>
                <w:kern w:val="24"/>
                <w:sz w:val="18"/>
                <w:szCs w:val="18"/>
              </w:rPr>
              <w:t>Associated RCC subtype(s) and c</w:t>
            </w:r>
            <w:r w:rsidRPr="00B946E4">
              <w:rPr>
                <w:rFonts w:asciiTheme="minorHAnsi" w:hAnsiTheme="minorHAnsi" w:cs="Arial"/>
                <w:color w:val="000000" w:themeColor="text1"/>
                <w:kern w:val="24"/>
                <w:sz w:val="18"/>
                <w:szCs w:val="18"/>
              </w:rPr>
              <w:t>linical features</w:t>
            </w:r>
          </w:p>
        </w:tc>
        <w:tc>
          <w:tcPr>
            <w:tcW w:w="2801" w:type="dxa"/>
            <w:shd w:val="clear" w:color="auto" w:fill="DEEAF6" w:themeFill="accent5" w:themeFillTint="33"/>
            <w:hideMark/>
          </w:tcPr>
          <w:p w14:paraId="0DBB2D45" w14:textId="712E0165" w:rsidR="0006666E" w:rsidRPr="00B946E4" w:rsidRDefault="0006666E" w:rsidP="00B946E4">
            <w:pPr>
              <w:cnfStyle w:val="100000000000" w:firstRow="1"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rPr>
            </w:pPr>
            <w:r w:rsidRPr="00B946E4">
              <w:rPr>
                <w:rFonts w:asciiTheme="minorHAnsi" w:hAnsiTheme="minorHAnsi" w:cs="Arial"/>
                <w:color w:val="000000" w:themeColor="text1"/>
                <w:kern w:val="24"/>
                <w:sz w:val="18"/>
                <w:szCs w:val="18"/>
              </w:rPr>
              <w:t>Potential therapeutic strategies</w:t>
            </w:r>
          </w:p>
        </w:tc>
        <w:tc>
          <w:tcPr>
            <w:cnfStyle w:val="000100000000" w:firstRow="0" w:lastRow="0" w:firstColumn="0" w:lastColumn="1" w:oddVBand="0" w:evenVBand="0" w:oddHBand="0" w:evenHBand="0" w:firstRowFirstColumn="0" w:firstRowLastColumn="0" w:lastRowFirstColumn="0" w:lastRowLastColumn="0"/>
            <w:tcW w:w="743" w:type="dxa"/>
            <w:shd w:val="clear" w:color="auto" w:fill="DEEAF6" w:themeFill="accent5" w:themeFillTint="33"/>
            <w:hideMark/>
          </w:tcPr>
          <w:p w14:paraId="60C45A66" w14:textId="20F03327" w:rsidR="0006666E" w:rsidRPr="00B946E4" w:rsidRDefault="0006666E" w:rsidP="00B946E4">
            <w:pPr>
              <w:rPr>
                <w:rFonts w:asciiTheme="minorHAnsi" w:hAnsiTheme="minorHAnsi" w:cs="Arial"/>
                <w:color w:val="000000" w:themeColor="text1"/>
                <w:sz w:val="18"/>
                <w:szCs w:val="18"/>
              </w:rPr>
            </w:pPr>
            <w:r w:rsidRPr="00B946E4">
              <w:rPr>
                <w:rFonts w:asciiTheme="minorHAnsi" w:hAnsiTheme="minorHAnsi" w:cs="Arial"/>
                <w:color w:val="000000" w:themeColor="text1"/>
                <w:kern w:val="24"/>
                <w:sz w:val="18"/>
                <w:szCs w:val="18"/>
              </w:rPr>
              <w:t>Ref</w:t>
            </w:r>
            <w:r w:rsidRPr="00D637BA">
              <w:rPr>
                <w:rFonts w:asciiTheme="minorHAnsi" w:hAnsiTheme="minorHAnsi" w:cs="Arial"/>
                <w:color w:val="000000" w:themeColor="text1"/>
                <w:kern w:val="24"/>
                <w:sz w:val="18"/>
                <w:szCs w:val="18"/>
              </w:rPr>
              <w:t>s</w:t>
            </w:r>
          </w:p>
        </w:tc>
      </w:tr>
      <w:tr w:rsidR="00DD4755" w:rsidRPr="00D637BA" w14:paraId="7043DE28" w14:textId="77777777" w:rsidTr="00DD4755">
        <w:trPr>
          <w:trHeight w:val="998"/>
        </w:trPr>
        <w:tc>
          <w:tcPr>
            <w:cnfStyle w:val="001000000000" w:firstRow="0" w:lastRow="0" w:firstColumn="1" w:lastColumn="0" w:oddVBand="0" w:evenVBand="0" w:oddHBand="0" w:evenHBand="0" w:firstRowFirstColumn="0" w:firstRowLastColumn="0" w:lastRowFirstColumn="0" w:lastRowLastColumn="0"/>
            <w:tcW w:w="1844" w:type="dxa"/>
            <w:hideMark/>
          </w:tcPr>
          <w:p w14:paraId="3BAADD5A" w14:textId="77777777" w:rsidR="0006666E" w:rsidRPr="00B946E4" w:rsidRDefault="0006666E" w:rsidP="00B946E4">
            <w:pPr>
              <w:rPr>
                <w:rFonts w:asciiTheme="minorHAnsi" w:hAnsiTheme="minorHAnsi" w:cs="Arial"/>
                <w:b w:val="0"/>
                <w:sz w:val="18"/>
                <w:szCs w:val="18"/>
              </w:rPr>
            </w:pPr>
            <w:r w:rsidRPr="00B946E4">
              <w:rPr>
                <w:rFonts w:asciiTheme="minorHAnsi" w:hAnsiTheme="minorHAnsi" w:cs="Arial"/>
                <w:color w:val="000000"/>
                <w:kern w:val="24"/>
                <w:sz w:val="18"/>
                <w:szCs w:val="18"/>
              </w:rPr>
              <w:t>Fumarate</w:t>
            </w:r>
          </w:p>
        </w:tc>
        <w:tc>
          <w:tcPr>
            <w:tcW w:w="1569" w:type="dxa"/>
            <w:hideMark/>
          </w:tcPr>
          <w:p w14:paraId="24FA8C94"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i/>
                <w:sz w:val="18"/>
                <w:szCs w:val="18"/>
              </w:rPr>
            </w:pPr>
            <w:r w:rsidRPr="00B946E4">
              <w:rPr>
                <w:rFonts w:asciiTheme="minorHAnsi" w:hAnsiTheme="minorHAnsi" w:cs="Arial"/>
                <w:i/>
                <w:color w:val="000000"/>
                <w:kern w:val="24"/>
                <w:sz w:val="18"/>
                <w:szCs w:val="18"/>
              </w:rPr>
              <w:t>FH</w:t>
            </w:r>
          </w:p>
          <w:p w14:paraId="3AEFDD29" w14:textId="454F3E52"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p>
          <w:p w14:paraId="1F044E1B" w14:textId="39E72FDE"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p>
        </w:tc>
        <w:tc>
          <w:tcPr>
            <w:tcW w:w="4135" w:type="dxa"/>
            <w:hideMark/>
          </w:tcPr>
          <w:p w14:paraId="03351DFB" w14:textId="7524232C"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 xml:space="preserve">HLRCC-associated RCC </w:t>
            </w:r>
          </w:p>
          <w:p w14:paraId="2CD0730C" w14:textId="443FFD07" w:rsidR="00064646" w:rsidRPr="00E37025" w:rsidRDefault="00064646" w:rsidP="00E37025">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D637BA">
              <w:rPr>
                <w:rFonts w:asciiTheme="minorHAnsi" w:hAnsiTheme="minorHAnsi" w:cs="Arial"/>
                <w:color w:val="000000"/>
                <w:kern w:val="24"/>
                <w:sz w:val="18"/>
                <w:szCs w:val="18"/>
              </w:rPr>
              <w:t xml:space="preserve">14-18% of </w:t>
            </w:r>
            <w:r>
              <w:rPr>
                <w:rFonts w:asciiTheme="minorHAnsi" w:hAnsiTheme="minorHAnsi" w:cs="Arial"/>
                <w:color w:val="000000"/>
                <w:kern w:val="24"/>
                <w:sz w:val="18"/>
                <w:szCs w:val="18"/>
              </w:rPr>
              <w:t xml:space="preserve">HLRCC </w:t>
            </w:r>
            <w:r w:rsidRPr="00D637BA">
              <w:rPr>
                <w:rFonts w:asciiTheme="minorHAnsi" w:hAnsiTheme="minorHAnsi" w:cs="Arial"/>
                <w:color w:val="000000"/>
                <w:kern w:val="24"/>
                <w:sz w:val="18"/>
                <w:szCs w:val="18"/>
              </w:rPr>
              <w:t xml:space="preserve">patients </w:t>
            </w:r>
            <w:r>
              <w:rPr>
                <w:rFonts w:asciiTheme="minorHAnsi" w:hAnsiTheme="minorHAnsi" w:cs="Arial"/>
                <w:color w:val="000000"/>
                <w:kern w:val="24"/>
                <w:sz w:val="18"/>
                <w:szCs w:val="18"/>
              </w:rPr>
              <w:t>will develop</w:t>
            </w:r>
            <w:r w:rsidRPr="00D637BA">
              <w:rPr>
                <w:rFonts w:asciiTheme="minorHAnsi" w:hAnsiTheme="minorHAnsi" w:cs="Arial"/>
                <w:color w:val="000000"/>
                <w:kern w:val="24"/>
                <w:sz w:val="18"/>
                <w:szCs w:val="18"/>
              </w:rPr>
              <w:t xml:space="preserve"> </w:t>
            </w:r>
            <w:r>
              <w:rPr>
                <w:rFonts w:asciiTheme="minorHAnsi" w:hAnsiTheme="minorHAnsi" w:cs="Arial"/>
                <w:color w:val="000000"/>
                <w:kern w:val="24"/>
                <w:sz w:val="18"/>
                <w:szCs w:val="18"/>
              </w:rPr>
              <w:t>p</w:t>
            </w:r>
            <w:r w:rsidRPr="00D637BA">
              <w:rPr>
                <w:rFonts w:asciiTheme="minorHAnsi" w:hAnsiTheme="minorHAnsi" w:cs="Arial"/>
                <w:color w:val="000000"/>
                <w:kern w:val="24"/>
                <w:sz w:val="18"/>
                <w:szCs w:val="18"/>
              </w:rPr>
              <w:t>RCC</w:t>
            </w:r>
            <w:r>
              <w:rPr>
                <w:rFonts w:asciiTheme="minorHAnsi" w:hAnsiTheme="minorHAnsi" w:cs="Arial"/>
                <w:color w:val="000000"/>
                <w:kern w:val="24"/>
                <w:sz w:val="18"/>
                <w:szCs w:val="18"/>
              </w:rPr>
              <w:t xml:space="preserve"> type 2</w:t>
            </w:r>
            <w:r w:rsidRPr="00D637BA">
              <w:rPr>
                <w:rFonts w:asciiTheme="minorHAnsi" w:hAnsiTheme="minorHAnsi" w:cs="Arial"/>
                <w:color w:val="000000"/>
                <w:kern w:val="24"/>
                <w:sz w:val="18"/>
                <w:szCs w:val="18"/>
              </w:rPr>
              <w:t xml:space="preserve"> </w:t>
            </w:r>
            <w:r w:rsidRPr="00D637BA">
              <w:rPr>
                <w:rFonts w:asciiTheme="minorHAnsi" w:hAnsiTheme="minorHAnsi" w:cs="Arial"/>
                <w:b/>
                <w:color w:val="0000FF"/>
                <w:kern w:val="24"/>
                <w:sz w:val="18"/>
                <w:szCs w:val="18"/>
              </w:rPr>
              <w:t xml:space="preserve"> </w:t>
            </w:r>
          </w:p>
          <w:p w14:paraId="58BA015F" w14:textId="4095F3CF" w:rsidR="0006666E" w:rsidRPr="00D637BA" w:rsidRDefault="0006666E" w:rsidP="00DD4755">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D637BA">
              <w:rPr>
                <w:rFonts w:asciiTheme="minorHAnsi" w:hAnsiTheme="minorHAnsi" w:cs="Arial"/>
                <w:color w:val="000000"/>
                <w:kern w:val="24"/>
                <w:sz w:val="18"/>
                <w:szCs w:val="18"/>
              </w:rPr>
              <w:t>Early onset</w:t>
            </w:r>
            <w:r w:rsidR="00DD4755" w:rsidRPr="00D637BA">
              <w:rPr>
                <w:rFonts w:asciiTheme="minorHAnsi" w:hAnsiTheme="minorHAnsi" w:cs="Arial"/>
                <w:color w:val="000000"/>
                <w:kern w:val="24"/>
                <w:sz w:val="18"/>
                <w:szCs w:val="18"/>
              </w:rPr>
              <w:t xml:space="preserve"> (</w:t>
            </w:r>
            <w:r w:rsidR="00F37832">
              <w:rPr>
                <w:rFonts w:asciiTheme="minorHAnsi" w:hAnsiTheme="minorHAnsi" w:cs="Arial"/>
                <w:color w:val="000000"/>
                <w:kern w:val="24"/>
                <w:sz w:val="18"/>
                <w:szCs w:val="18"/>
              </w:rPr>
              <w:t>10-44 years</w:t>
            </w:r>
            <w:r w:rsidR="00970F62">
              <w:rPr>
                <w:rFonts w:asciiTheme="minorHAnsi" w:hAnsiTheme="minorHAnsi" w:cs="Arial"/>
                <w:color w:val="000000"/>
                <w:kern w:val="24"/>
                <w:sz w:val="18"/>
                <w:szCs w:val="18"/>
              </w:rPr>
              <w:t>)</w:t>
            </w:r>
          </w:p>
          <w:p w14:paraId="45E0D8C6" w14:textId="07A2F2A5" w:rsidR="00064646" w:rsidRPr="00E37025" w:rsidRDefault="0006666E" w:rsidP="00B946E4">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Highly aggressive</w:t>
            </w:r>
            <w:r w:rsidR="00064646">
              <w:rPr>
                <w:rFonts w:asciiTheme="minorHAnsi" w:hAnsiTheme="minorHAnsi" w:cs="Arial"/>
                <w:color w:val="000000"/>
                <w:kern w:val="24"/>
                <w:sz w:val="18"/>
                <w:szCs w:val="18"/>
              </w:rPr>
              <w:t xml:space="preserve"> phenotype,</w:t>
            </w:r>
            <w:r w:rsidRPr="00B946E4">
              <w:rPr>
                <w:rFonts w:asciiTheme="minorHAnsi" w:hAnsiTheme="minorHAnsi" w:cs="Arial"/>
                <w:color w:val="000000"/>
                <w:kern w:val="24"/>
                <w:sz w:val="18"/>
                <w:szCs w:val="18"/>
              </w:rPr>
              <w:t xml:space="preserve"> </w:t>
            </w:r>
            <w:r w:rsidR="00064646">
              <w:rPr>
                <w:rFonts w:asciiTheme="minorHAnsi" w:hAnsiTheme="minorHAnsi" w:cs="Arial"/>
                <w:color w:val="000000"/>
                <w:kern w:val="24"/>
                <w:sz w:val="18"/>
                <w:szCs w:val="18"/>
              </w:rPr>
              <w:t>e</w:t>
            </w:r>
            <w:r w:rsidRPr="00D637BA">
              <w:rPr>
                <w:rFonts w:asciiTheme="minorHAnsi" w:hAnsiTheme="minorHAnsi" w:cs="Arial"/>
                <w:color w:val="000000"/>
                <w:kern w:val="24"/>
                <w:sz w:val="18"/>
                <w:szCs w:val="18"/>
              </w:rPr>
              <w:t>arly metastasis</w:t>
            </w:r>
            <w:r w:rsidR="00064646">
              <w:rPr>
                <w:rFonts w:asciiTheme="minorHAnsi" w:hAnsiTheme="minorHAnsi" w:cs="Arial"/>
                <w:color w:val="000000"/>
                <w:kern w:val="24"/>
                <w:sz w:val="18"/>
                <w:szCs w:val="18"/>
              </w:rPr>
              <w:t xml:space="preserve"> </w:t>
            </w:r>
          </w:p>
          <w:p w14:paraId="54971C8D" w14:textId="0E78A865" w:rsidR="0006666E" w:rsidRPr="00B946E4" w:rsidRDefault="0006666E" w:rsidP="00B946E4">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D637BA">
              <w:rPr>
                <w:rFonts w:asciiTheme="minorHAnsi" w:hAnsiTheme="minorHAnsi" w:cs="Arial"/>
                <w:color w:val="000000"/>
                <w:kern w:val="24"/>
                <w:sz w:val="18"/>
                <w:szCs w:val="18"/>
              </w:rPr>
              <w:t>B</w:t>
            </w:r>
            <w:r w:rsidRPr="00B946E4">
              <w:rPr>
                <w:rFonts w:asciiTheme="minorHAnsi" w:hAnsiTheme="minorHAnsi" w:cs="Arial"/>
                <w:color w:val="000000"/>
                <w:kern w:val="24"/>
                <w:sz w:val="18"/>
                <w:szCs w:val="18"/>
              </w:rPr>
              <w:t>ilateral</w:t>
            </w:r>
          </w:p>
          <w:p w14:paraId="55AB8031" w14:textId="022BD04C" w:rsidR="00970F62" w:rsidRPr="00B946E4" w:rsidRDefault="0006666E" w:rsidP="00970F62">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Mainly papillary</w:t>
            </w:r>
            <w:r w:rsidR="00064646">
              <w:rPr>
                <w:rFonts w:asciiTheme="minorHAnsi" w:hAnsiTheme="minorHAnsi" w:cs="Arial"/>
                <w:color w:val="000000"/>
                <w:kern w:val="24"/>
                <w:sz w:val="18"/>
                <w:szCs w:val="18"/>
              </w:rPr>
              <w:t xml:space="preserve"> type 2,</w:t>
            </w:r>
            <w:r w:rsidRPr="00B946E4">
              <w:rPr>
                <w:rFonts w:asciiTheme="minorHAnsi" w:hAnsiTheme="minorHAnsi" w:cs="Arial"/>
                <w:color w:val="000000"/>
                <w:kern w:val="24"/>
                <w:sz w:val="18"/>
                <w:szCs w:val="18"/>
              </w:rPr>
              <w:t xml:space="preserve"> but also described as solid, tubulocystic, cribiform or cystic</w:t>
            </w:r>
            <w:r w:rsidRPr="00E37025">
              <w:rPr>
                <w:rFonts w:asciiTheme="minorHAnsi" w:hAnsiTheme="minorHAnsi" w:cs="Arial"/>
                <w:sz w:val="18"/>
                <w:szCs w:val="18"/>
              </w:rPr>
              <w:t xml:space="preserve"> </w:t>
            </w:r>
          </w:p>
          <w:p w14:paraId="442F1D65" w14:textId="575F0499" w:rsidR="00DD4755" w:rsidRPr="00B946E4" w:rsidRDefault="00DD4755" w:rsidP="00970F62">
            <w:pPr>
              <w:pStyle w:val="ListParagraph"/>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p>
        </w:tc>
        <w:tc>
          <w:tcPr>
            <w:tcW w:w="2801" w:type="dxa"/>
            <w:hideMark/>
          </w:tcPr>
          <w:p w14:paraId="5E87932A" w14:textId="352CAB73"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Arginine deprivation</w:t>
            </w:r>
          </w:p>
          <w:p w14:paraId="1225AC8B"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Haem oxygenase inhibition</w:t>
            </w:r>
          </w:p>
          <w:p w14:paraId="4A5914C1"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ABL1 inactivation</w:t>
            </w:r>
          </w:p>
          <w:p w14:paraId="567E1C29" w14:textId="2C620E41"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Targeting TBK1</w:t>
            </w:r>
            <w:r w:rsidR="00DD4755" w:rsidRPr="00D637BA">
              <w:rPr>
                <w:rFonts w:ascii="Calibri" w:hAnsi="Calibri" w:cs="Arial"/>
                <w:color w:val="000000"/>
                <w:kern w:val="24"/>
                <w:sz w:val="18"/>
                <w:szCs w:val="18"/>
              </w:rPr>
              <w:t>–</w:t>
            </w:r>
            <w:r w:rsidRPr="00B946E4">
              <w:rPr>
                <w:rFonts w:asciiTheme="minorHAnsi" w:hAnsiTheme="minorHAnsi" w:cs="Arial"/>
                <w:color w:val="000000"/>
                <w:kern w:val="24"/>
                <w:sz w:val="18"/>
                <w:szCs w:val="18"/>
              </w:rPr>
              <w:t>p65 axis</w:t>
            </w:r>
          </w:p>
          <w:p w14:paraId="3F0B27E3"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GDH1 inhibition</w:t>
            </w:r>
          </w:p>
          <w:p w14:paraId="3B03C784" w14:textId="77777777" w:rsidR="0006666E"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r w:rsidRPr="00B946E4">
              <w:rPr>
                <w:rFonts w:asciiTheme="minorHAnsi" w:hAnsiTheme="minorHAnsi" w:cs="Arial"/>
                <w:color w:val="000000"/>
                <w:kern w:val="24"/>
                <w:sz w:val="18"/>
                <w:szCs w:val="18"/>
              </w:rPr>
              <w:t>Glutaminase inhibition</w:t>
            </w:r>
          </w:p>
          <w:p w14:paraId="0E3DEAFA" w14:textId="77777777" w:rsidR="001364AA" w:rsidRDefault="001364AA"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p>
          <w:p w14:paraId="44EFD961" w14:textId="78649E83" w:rsidR="001364AA" w:rsidRPr="00E37025" w:rsidRDefault="00B66D59"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b/>
                <w:color w:val="000000"/>
                <w:kern w:val="24"/>
                <w:sz w:val="18"/>
                <w:szCs w:val="18"/>
              </w:rPr>
            </w:pPr>
            <w:r>
              <w:rPr>
                <w:rFonts w:asciiTheme="minorHAnsi" w:hAnsiTheme="minorHAnsi" w:cs="Arial"/>
                <w:b/>
                <w:color w:val="000000"/>
                <w:kern w:val="24"/>
                <w:sz w:val="18"/>
                <w:szCs w:val="18"/>
              </w:rPr>
              <w:t>*</w:t>
            </w:r>
            <w:r w:rsidR="001364AA" w:rsidRPr="00E37025">
              <w:rPr>
                <w:rFonts w:asciiTheme="minorHAnsi" w:hAnsiTheme="minorHAnsi" w:cs="Arial"/>
                <w:b/>
                <w:color w:val="000000"/>
                <w:kern w:val="24"/>
                <w:sz w:val="18"/>
                <w:szCs w:val="18"/>
              </w:rPr>
              <w:t xml:space="preserve">Shared </w:t>
            </w:r>
            <w:r>
              <w:rPr>
                <w:rFonts w:asciiTheme="minorHAnsi" w:hAnsiTheme="minorHAnsi" w:cs="Arial"/>
                <w:b/>
                <w:color w:val="000000"/>
                <w:kern w:val="24"/>
                <w:sz w:val="18"/>
                <w:szCs w:val="18"/>
              </w:rPr>
              <w:t xml:space="preserve">therapeutic </w:t>
            </w:r>
            <w:r w:rsidR="001364AA" w:rsidRPr="00E37025">
              <w:rPr>
                <w:rFonts w:asciiTheme="minorHAnsi" w:hAnsiTheme="minorHAnsi" w:cs="Arial"/>
                <w:b/>
                <w:color w:val="000000"/>
                <w:kern w:val="24"/>
                <w:sz w:val="18"/>
                <w:szCs w:val="18"/>
              </w:rPr>
              <w:t>strategies:</w:t>
            </w:r>
          </w:p>
          <w:p w14:paraId="4FB4DC59" w14:textId="101B5C4A" w:rsidR="001364AA" w:rsidRDefault="001364AA"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r>
              <w:rPr>
                <w:rFonts w:asciiTheme="minorHAnsi" w:hAnsiTheme="minorHAnsi" w:cs="Arial"/>
                <w:color w:val="000000"/>
                <w:kern w:val="24"/>
                <w:sz w:val="18"/>
                <w:szCs w:val="18"/>
              </w:rPr>
              <w:t>DNMT inhibition</w:t>
            </w:r>
          </w:p>
          <w:p w14:paraId="52CACCB8" w14:textId="56416DD5" w:rsidR="001364AA" w:rsidRDefault="001364AA" w:rsidP="001364AA">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r w:rsidRPr="00B946E4">
              <w:rPr>
                <w:rFonts w:asciiTheme="minorHAnsi" w:hAnsiTheme="minorHAnsi" w:cs="Arial"/>
                <w:color w:val="000000"/>
                <w:kern w:val="24"/>
                <w:sz w:val="18"/>
                <w:szCs w:val="18"/>
              </w:rPr>
              <w:t>Glutaminase inhibition</w:t>
            </w:r>
          </w:p>
          <w:p w14:paraId="271F5B26" w14:textId="2FA5C466" w:rsidR="001364AA" w:rsidRDefault="001364AA" w:rsidP="001364AA">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r>
              <w:rPr>
                <w:rFonts w:asciiTheme="minorHAnsi" w:hAnsiTheme="minorHAnsi" w:cs="Arial"/>
                <w:color w:val="000000"/>
                <w:kern w:val="24"/>
                <w:sz w:val="18"/>
                <w:szCs w:val="18"/>
              </w:rPr>
              <w:t xml:space="preserve">Exogenous </w:t>
            </w:r>
            <w:r w:rsidRPr="001364AA">
              <w:rPr>
                <w:rFonts w:asciiTheme="minorHAnsi" w:hAnsiTheme="minorHAnsi" w:cs="Arial"/>
                <w:color w:val="000000"/>
                <w:kern w:val="24"/>
                <w:sz w:val="18"/>
                <w:szCs w:val="18"/>
              </w:rPr>
              <w:t>αKG</w:t>
            </w:r>
          </w:p>
          <w:p w14:paraId="056C4B5C" w14:textId="4EDC75FE" w:rsidR="00B66D59" w:rsidRPr="00B946E4" w:rsidRDefault="00B66D59" w:rsidP="001364AA">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66D59">
              <w:rPr>
                <w:rFonts w:asciiTheme="minorHAnsi" w:hAnsiTheme="minorHAnsi" w:cs="Arial"/>
                <w:sz w:val="18"/>
                <w:szCs w:val="18"/>
              </w:rPr>
              <w:t>HIF2α inhibition</w:t>
            </w:r>
          </w:p>
          <w:p w14:paraId="04B02CD9" w14:textId="77777777" w:rsidR="001364AA" w:rsidRDefault="001364AA"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p>
          <w:p w14:paraId="2A0604E2" w14:textId="233F5537" w:rsidR="001364AA" w:rsidRPr="00B946E4" w:rsidRDefault="001364AA"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p>
        </w:tc>
        <w:tc>
          <w:tcPr>
            <w:cnfStyle w:val="000100000000" w:firstRow="0" w:lastRow="0" w:firstColumn="0" w:lastColumn="1" w:oddVBand="0" w:evenVBand="0" w:oddHBand="0" w:evenHBand="0" w:firstRowFirstColumn="0" w:firstRowLastColumn="0" w:lastRowFirstColumn="0" w:lastRowLastColumn="0"/>
            <w:tcW w:w="743" w:type="dxa"/>
            <w:hideMark/>
          </w:tcPr>
          <w:p w14:paraId="56680991" w14:textId="69B4D865" w:rsidR="0006666E" w:rsidRPr="00B946E4" w:rsidRDefault="008B37B7" w:rsidP="008B37B7">
            <w:pPr>
              <w:rPr>
                <w:rFonts w:asciiTheme="minorHAnsi" w:hAnsiTheme="minorHAnsi" w:cs="Arial"/>
                <w:b w:val="0"/>
                <w:sz w:val="18"/>
                <w:szCs w:val="18"/>
              </w:rPr>
            </w:pPr>
            <w:r>
              <w:rPr>
                <w:rFonts w:asciiTheme="minorHAnsi" w:hAnsiTheme="minorHAnsi" w:cs="Arial"/>
                <w:color w:val="000000"/>
                <w:sz w:val="18"/>
                <w:szCs w:val="18"/>
                <w:lang w:val="en-US"/>
              </w:rPr>
              <w:fldChar w:fldCharType="begin"/>
            </w:r>
            <w:r w:rsidR="004E2A88">
              <w:rPr>
                <w:rFonts w:asciiTheme="minorHAnsi" w:hAnsiTheme="minorHAnsi" w:cs="Arial"/>
                <w:color w:val="000000"/>
                <w:sz w:val="18"/>
                <w:szCs w:val="18"/>
                <w:lang w:val="en-US"/>
              </w:rPr>
              <w:instrText xml:space="preserve"> ADDIN ZOTERO_ITEM CSL_CITATION {"citationID":"at69ofio53","properties":{"formattedCitation":"\\super 4,16,26,95,96,102,162,174,179,201,247\\nosupersub{}","plainCitation":"4,16,26,95,96,102,162,174,179,201,247","noteIndex":0},"citationItems":[{"id":1887,"uris":["http://zotero.org/users/4775618/items/LDFGY2UY"],"uri":["http://zotero.org/users/4775618/items/LDFGY2UY"],"itemData":{"id":1887,"type":"article-journal","title":"A Role for Cytosolic Fumarate Hydratase in Urea Cycle Metabolism and Renal Neoplasia","container-title":"Cell Reports","page":"1440-1448","volume":"3","issue":"5","source":"PubMed Central","abstract":"The identification of mutated metabolic enzymes in hereditary cancer syndromes has established a direct link between metabolic dysregulation and cancer. Mutations in the Krebs cycle enzyme, fumarate hydratase (FH), predispose affected individuals to leiomyomas, renal cysts, and cancers, though the respective pathogenic roles of mitochondrial and cytosolic FH isoforms remain undefined. On the basis of comprehensive metabolomic analyses, we demonstrate that FH1-deficient cells and tissues exhibit defects in the urea cycle/arginine metabolism. Remarkably, transgenic re-expression of cytosolic FH ameliorated both renal cyst development and urea cycle defects associated with renal-specific FH1 deletion in mice. Furthermore, acute arginine depletion significantly reduced the viability of FH1-deficient cells in comparison to controls. Our findings highlight the importance of extramitochondrial metabolic pathways in FH-associated oncogenesis and the urea cycle/arginine metabolism as a potential therapeutic target., \n          \n            \n              •\n              FH-deficient cells accumulate fumarate and urea cycle metabolites\n            \n            \n              •\n              Cytosolic FH is critical for renal cyst development in FH1-deficient mice\n            \n            \n              •\n              Restoration of cytosolic FH activity restores urea cycle defects\n            \n            \n              •\n              Arginine depletion reduces viability of FH1-deficient cells\n            \n          \n        , In this study, Pollard and colleagues demonstrate the importance of cytosolic fumarate hydratase (FH) in renal cyst development in mice. Metabolite analysis of FH-deficient cysts and tumors identified alterations in urea cycle metabolism. re-expression of extramitochondrial FH in mice with renal-specific FH1 deletion was sufficient to ameliorate cyst development and metabolic alterations in the urea cycle. Significantly, FH-deficient cells exhibit increased sensitivity to arginine depletion. Exploitation of this vulnerability may be a potential route for therapy for FH-mutant tumors.","URL":"https://www.ncbi.nlm.nih.gov/pmc/articles/PMC3675675/","DOI":"10.1016/j.celrep.2013.04.006","ISSN":"2211-1247","note":"PMID: 23643539\nPMCID: PMC3675675","journalAbbreviation":"Cell Rep","author":[{"family":"Adam","given":"Julie"},{"family":"Yang","given":"Ming"},{"family":"Bauerschmidt","given":"Christina"},{"family":"Kitagawa","given":"Mitsuhiro"},{"family":"O’Flaherty","given":"Linda"},{"family":"Maheswaran","given":"Pratheesh"},{"family":"Özkan","given":"Gizem"},{"family":"Sahgal","given":"Natasha"},{"family":"Baban","given":"Dilair"},{"family":"Kato","given":"Keiko"},{"family":"Saito","given":"Kaori"},{"family":"Iino","given":"Keiko"},{"family":"Igarashi","given":"Kaori"},{"family":"Stratford","given":"Michael"},{"family":"Pugh","given":"Christopher"},{"family":"Tennant","given":"Daniel A."},{"family":"Ludwig","given":"Christian"},{"family":"Davies","given":"Benjamin"},{"family":"Ratcliffe","given":"Peter J."},{"family":"El-Bahrawy","given":"Mona"},{"family":"Ashrafian","given":"Houman"},{"family":"Soga","given":"Tomoyoshi"},{"family":"Pollard","given":"Patrick J."}],"issued":{"date-parts":[["2013",5,30]]},"accessed":{"date-parts":[["2019",3,21]]}}},{"id":1548,"uris":["http://zotero.org/users/4775618/items/K5KIXGCG"],"uri":["http://zotero.org/users/4775618/items/K5KIXGCG"],"itemData":{"id":1548,"type":"article-journal","title":"Cascade Fumarate Hydratase mutation screening allows early detection of kidney tumour: a case report","container-title":"BMC Medical Genetics","volume":"18","source":"PubMed Central","abstract":"Background\nFumarate hydratase (FH) deficiency is a rare autosomal recessive disorder which results in a major defect in cellular metabolism. It presents in infancy with progressive encephalopathy, hypotonia, seizures and failure to thrive and is often fatal in childhood. It is caused by mutations in the FH gene (1q42.1) that result in deficiency of the citric acid cycle enzyme fumarate hydratase, resulting in accumulation of fumaric acid. Heterozygous germline mutations in the FH gene predispose to an aggressive autosomal dominant inherited early-onset kidney cancer syndrome: hereditary leiomyomatosis and renal cell cancer (HLRCC).\n\nCase presentation\nCascade FH mutation screening enabled the early diagnosis of a renal tumour in an asymptomatic parent of a child with fumarate hydratase deficiency, resulting in timely and possibly life-saving treatment.\n\nConclusion\nWhile the theoretical risk of kidney cancer in parents of children with recessive fumarate hydratase deficiency is well recognized, to our knowledge this is the first report of a kidney tumour being detected in a parent by screening performed for this indication. This underscores the importance of offering lifelong kidney surveillance to such parents and other heterozygous relatives of children born with fumarate hydratase deficiency.","URL":"https://www.ncbi.nlm.nih.gov/pmc/articles/PMC5530463/","DOI":"10.1186/s12881-017-0436-1","ISSN":"1471-2350","note":"PMID: 28747166\nPMCID: PMC5530463","title-short":"Cascade Fumarate Hydratase mutation screening allows early detection of kidney tumour","journalAbbreviation":"BMC Med Genet","author":[{"family":"Chan","given":"Melanie M. Y."},{"family":"Barnicoat","given":"Angela"},{"family":"Mumtaz","given":"Faiz"},{"family":"Aitchison","given":"Michael"},{"family":"Side","given":"Lucy"},{"family":"Brittain","given":"Helen"},{"family":"Bates","given":"Alan W. H."},{"family":"Gale","given":"Daniel P."}],"issued":{"date-parts":[["2017",7,26]]},"accessed":{"date-parts":[["2019",2,26]]}}},{"id":384,"uris":["http://zotero.org/users/4775618/items/UXIM3S3T"],"uri":["http://zotero.org/users/4775618/items/UXIM3S3T"],"itemData":{"id":384,"type":"article-journal","title":"Haem oxygenase is synthetically lethal with the tumour suppressor fumarate hydratase","container-title":"Nature","page":"225-228","volume":"477","issue":"7363","source":"www.nature.com","abstract":"Fumarate hydratase (FH) is an enzyme of the tricarboxylic acid cycle (TCA cycle) that catalyses the hydration of fumarate into malate. Germline mutations of FH are responsible for hereditary leiomyomatosis and renal-cell cancer (HLRCC)1. It has previously been demonstrated that the absence of FH leads to the accumulation of fumarate, which activates hypoxia-inducible factors (HIFs) at normal oxygen tensions2,3,4. However, so far no mechanism that explains the ability of cells to survive without a functional TCA cycle has been provided. Here we use newly characterized genetically modified kidney mouse cells in which Fh1 has been deleted, and apply a newly developed computer model of the metabolism of these cells to predict and experimentally validate a linear metabolic pathway beginning with glutamine uptake and ending with bilirubin excretion from Fh1-deficient cells. This pathway, which involves the biosynthesis and degradation of haem, enables Fh1-deficient cells to use the accumulated TCA cycle metabolites and permits partial mitochondrial NADH production. We predicted and confirmed that targeting this pathway would render Fh1-deficient cells non-viable, while sparing wild-type Fh1-containing cells. This work goes beyond identifying a metabolic pathway that is induced in Fh1-deficient cells to demonstrate that inhibition of haem oxygenation is synthetically lethal when combined with Fh1 deficiency, providing a new potential target for treating HLRCC patients.","URL":"https://www.nature.com/articles/nature10363","DOI":"10.1038/nature10363","ISSN":"1476-4687","language":"en","author":[{"family":"Frezza","given":"Christian"},{"family":"Zheng","given":"Liang"},{"family":"Folger","given":"Ori"},{"family":"Rajagopalan","given":"Kartik N."},{"family":"MacKenzie","given":"Elaine D."},{"family":"Jerby","given":"Livnat"},{"family":"Micaroni","given":"Massimo"},{"family":"Chaneton","given":"Barbara"},{"family":"Adam","given":"Julie"},{"family":"Hedley","given":"Ann"},{"family":"Kalna","given":"Gabriela"},{"family":"Tomlinson","given":"Ian P. M."},{"family":"Pollard","given":"Patrick J."},{"family":"Watson","given":"Dave G."},{"family":"Deberardinis","given":"Ralph J."},{"family":"Shlomi","given":"Tomer"},{"family":"Ruppin","given":"Eytan"},{"family":"Gottlieb","given":"Eyal"}],"issued":{"date-parts":[["2011",9]]},"accessed":{"date-parts":[["2018",4,2]]}}},{"id":367,"uris":["http://zotero.org/users/4775618/items/7IDKHAAU"],"uri":["http://zotero.org/users/4775618/items/7IDKHAAU"],"itemData":{"id":367,"type":"article-journal","title":"HIF overexpression correlates with biallelic loss of fumarate hydratase in renal cancer: Novel role of fumarate in regulation of HIF stability","container-title":"Cancer Cell","page":"143-153","volume":"8","issue":"2","source":"www.cell.com","URL":"http://www.cell.com/cancer-cell/abstract/S1535-6108(05)00226-6","DOI":"10.1016/j.ccr.2005.06.017","ISSN":"1535-6108, 1878-3686","note":"PMID: 16098467","title-short":"HIF overexpression correlates with biallelic loss of fumarate hydratase in renal cancer","journalAbbreviation":"Cancer Cell","language":"English","author":[{"family":"Isaacs","given":"Jennifer S."},{"family":"Jung","given":"Yun Jin"},{"family":"Mole","given":"David R."},{"family":"Lee","given":"Sunmin"},{"family":"Torres-Cabala","given":"Carlos"},{"family":"Chung","given":"Yuen-Li"},{"family":"Merino","given":"Maria"},{"family":"Trepel","given":"Jane"},{"family":"Zbar","given":"Berton"},{"family":"Toro","given":"Jorge"},{"family":"Ratcliffe","given":"Peter J."},{"family":"Linehan","given":"W. Marston"},{"family":"Neckers","given":"Len"}],"issued":{"date-parts":[["2005",8,1]]},"accessed":{"date-parts":[["2018",4,2]]}}},{"id":1578,"uris":["http://zotero.org/users/4775618/items/4Q3E5JT9"],"uri":["http://zotero.org/users/4775618/items/4Q3E5JT9"],"itemData":{"id":1578,"type":"article-journal","title":"Glutamate Dehydrogenase 1 Signals through Antioxidant Glutathione Peroxidase 1 to Regulate Redox Homeostasis and Tumor Growth","container-title":"Cancer Cell","page":"257-270","volume":"27","issue":"2","source":"ScienceDirect","abstract":"Summary\nHow mitochondrial glutaminolysis contributes to redox homeostasis in cancer cells remains unclear. Here we report that the mitochondrial enzyme glutamate dehydrogenase 1 (GDH1) is commonly upregulated in human cancers. GDH1 is important for redox homeostasis in cancer cells by controlling the intracellular levels of its product alpha-ketoglutarate and subsequent metabolite fumarate. Mechanistically, fumarate binds to and activates a reactive oxygen species scavenging enzyme glutathione peroxidase 1. Targeting GDH1 by shRNA or a small molecule inhibitor R162 resulted in imbalanced redox homeostasis, leading to attenuated cancer cell proliferation and tumor growth.","URL":"http://www.sciencedirect.com/science/article/pii/S1535610814005157","DOI":"10.1016/j.ccell.2014.12.006","ISSN":"1535-6108","journalAbbreviation":"Cancer Cell","author":[{"family":"Jin","given":"Lingtao"},{"family":"Li","given":"Dan"},{"family":"Alesi","given":"Gina N."},{"family":"Fan","given":"Jun"},{"family":"Kang","given":"Hee-Bum"},{"family":"Lu","given":"Zhou"},{"family":"Boggon","given":"Titus J."},{"family":"Jin","given":"Peng"},{"family":"Yi","given":"Hong"},{"family":"Wright","given":"Elizabeth R."},{"family":"Duong","given":"Duc"},{"family":"Seyfried","given":"Nicholas T."},{"family":"Egnatchik","given":"Robert"},{"family":"DeBerardinis","given":"Ralph J."},{"family":"Magliocca","given":"Kelly R."},{"family":"He","given":"Chuan"},{"family":"Arellano","given":"Martha L."},{"family":"Khoury","given":"Hanna J."},{"family":"Shin","given":"Dong M."},{"family":"Khuri","given":"Fadlo R."},{"family":"Kang","given":"Sumin"}],"issued":{"date-parts":[["2015",2,9]]},"accessed":{"date-parts":[["2019",2,27]]}}},{"id":343,"uris":["http://zotero.org/users/4775618/items/PBT2YC9V"],"uri":["http://zotero.org/users/4775618/items/PBT2YC9V"],"itemData":{"id":343,"type":"article-journal","title":"Molecular pathways: Fumarate hydratase-deficient kidney cancer--targeting the Warburg effect in cancer","container-title":"Clinical Cancer Research: An Official Journal of the American Association for Cancer Research","page":"3345-3352","volume":"19","issue":"13","source":"PubMed","abstract":"Hereditary leiomyomatosis and renal cell carcinoma (HLRCC) is a hereditary cancer syndrome in which affected individuals are at risk for development of cutaneous and uterine leiomyomas and an aggressive form of type II papillary kidney cancer. HLRCC is characterized by germline mutation of the tricarboxylic acid (TCA) cycle enzyme, fumarate hydratase (FH). FH-deficient kidney cancer is characterized by impaired oxidative phosphorylation and a metabolic shift to aerobic glycolysis, a form of metabolic reprogramming referred to as the Warburg effect. Increased glycolysis generates ATP needed for increased cell proliferation. In FH-deficient kidney cancer, levels of AMP-activated protein kinase (AMPK), a cellular energy sensor, are decreased resulting in diminished p53 levels, decreased expression of the iron importer, DMT1, leading to low cellular iron levels, and to enhanced fatty acid synthesis by diminishing phosphorylation of acetyl CoA carboxylase, a rate-limiting step for fatty acid synthesis. Increased fumarate and decreased iron levels in FH-deficient kidney cancer cells inactivate prolyl hydroxylases, leading to stabilization of hypoxia-inducible factor (HIF)-1α and increased expression of genes such as VEGF and glucose transporter 1 (GLUT1) to provide fuel needed for rapid growth demands. Several therapeutic approaches for targeting the metabolic basis of FH-deficient kidney cancer are under development or are being evaluated in clinical trials, including the use of agents such as metformin, which would reverse the inactivation of AMPK, approaches to inhibit glucose transport, lactate dehydrogenase A (LDHA), the antioxidant response pathway, the heme oxygenase pathway, and approaches to target the tumor vasculature and glucose transport with agents such as bevacizumab and erlotinib. These same types of metabolic shifts, to aerobic glycolysis with decreased oxidative phosphorylation, have been found in a wide variety of other cancer types. Targeting the metabolic basis of a rare cancer such as FH-deficient kidney cancer will hopefully provide insights into the development of effective forms of therapies for other, more common forms of cancer.","DOI":"10.1158/1078-0432.CCR-13-0304","ISSN":"1078-0432","note":"PMID: 23633457\nPMCID: PMC4447120","title-short":"Molecular pathways","journalAbbreviation":"Clin. Cancer Res.","language":"eng","author":[{"family":"Linehan","given":"W. Marston"},{"family":"Rouault","given":"Tracey A."}],"issued":{"date-parts":[["2013",7,1]]}}},{"id":1159,"uris":["http://zotero.org/users/4775618/items/VISJWVXW"],"uri":["http://zotero.org/users/4775618/items/VISJWVXW"],"itemData":{"id":1159,"type":"article-journal","title":"The 2016 WHO Classification of Tumours of the Urinary System and Male Genital Organs—Part A: Renal, Penile, and Testicular Tumours","container-title":"European Urology","page":"93-105","volume":"70","issue":"1","source":"ScienceDirect","abstract":"The fourth edition of the World Health Organization (WHO) classification of urogenital tumours (WHO “blue book”), published in 2016, contains significant revisions. These revisions were performed after consideration by a large international group of pathologists with special expertise in this area. A subgroup of these persons met at the WHO Consensus Conference in Zurich, Switzerland, in 2015 to finalize the revisions. This review summarizes the most significant differences between the newly published classification and the prior version for renal, penile, and testicular tumours. Newly recognized epithelial renal tumours are hereditary leiomyomatosis and renal cell carcinoma (RCC) syndrome–associated RCC, succinate dehydrogenase–deficient RCC, tubulocystic RCC, acquired cystic disease–associated RCC, and clear cell papillary RCC. The WHO/International Society of Urological Pathology renal tumour grading system was recommended, and the definition of renal papillary adenoma was modified. The new WHO classification of penile squamous cell carcinomas is based on the presence of human papillomavirus and defines histologic subtypes accordingly. Germ cell neoplasia in situ (GCNIS) of the testis is the WHO-recommended term for precursor lesions of invasive germ cell tumours, and testicular germ cell tumours are now separated into two fundamentally different groups: those derived from GCNIS and those unrelated to GCNIS. Spermatocytic seminoma has been designated as a spermatocytic tumour and placed within the group of non–GCNIS-related tumours in the 2016 WHO classification.\nPatient summary\nThe 2016 World Health Organization (WHO) classification contains new renal tumour entities. The classification of penile squamous cell carcinomas is based on the presence of human papillomavirus. Germ cell neoplasia in situ of the testis is the WHO-recommended term for precursor lesions of invasive germ cell tumours.","URL":"http://www.sciencedirect.com/science/article/pii/S0302283816002062","DOI":"10.1016/j.eururo.2016.02.029","ISSN":"0302-2838","title-short":"The 2016 WHO Classification of Tumours of the Urinary System and Male Genital Organs—Part A","journalAbbreviation":"European Urology","author":[{"family":"Moch","given":"Holger"},{"family":"Cubilla","given":"Antonio L."},{"family":"Humphrey","given":"Peter A."},{"family":"Reuter","given":"Victor E."},{"family":"Ulbright","given":"Thomas M."}],"issued":{"date-parts":[["2016",7,1]]},"accessed":{"date-parts":[["2019",2,17]]}}},{"id":714,"uris":["http://zotero.org/users/4775618/items/G64B7NRG"],"uri":["http://zotero.org/users/4775618/items/G64B7NRG"],"itemData":{"id":714,"type":"article-journal","title":"Germline mutations in FH predispose to dominantly inherited uterine fibroids, skin leiomyomata and papillary renal cell cancer","container-title":"Nature Genetics","page":"406-410","volume":"30","issue":"4","source":"Crossref","URL":"http://www.nature.com/articles/ng849","DOI":"10.1038/ng849","ISSN":"1061-4036, 1546-1718","language":"en","author":[{"literal":"The Multiple Leiomyoma Consortium"}],"issued":{"date-parts":[["2002",4]]},"accessed":{"date-parts":[["2018",9,2]]}}},{"id":314,"uris":["http://zotero.org/users/4775618/items/RKYZHQCF"],"uri":["http://zotero.org/users/4775618/items/RKYZHQCF"],"itemData":{"id":314,"type":"article-journal","title":"The emerging role of fumarate as an oncometabolite","container-title":"Frontiers in Oncology","page":"85","volume":"2","source":"PubMed","abstract":"The drive to understand how altered cellular metabolism and cancer are linked has caused a paradigm shift in the focus of cancer research. The discovery of a mutated metabolic enzyme, isocitrate dehydrogenase 1, that leads to accumulation of the oncometabolite 2-hydroxyglutarate, provided significant direct evidence that dysfunctional metabolism plays an important role in oncogenesis. Striking parallels exist with the Krebs cycle enzyme fumarate hydratase (FH), a tumor suppressor, whose mutation is associated with the development of leiomyomata, renal cysts, and tumors. Loss of FH enzymatic activity results in accumulation of intracellular fumarate which has been proposed to act as a competitive inhibitor of 2-oxoglutarate-dependent oxygenases including the hypoxia-inducible factor (HIF) hydroxylases, thus activating oncogenic HIF pathways. Interestingly, our studies have questioned the role of HIF and have highlighted other candidate mechanisms, in particular the non-enzymatic modification of cysteine residues (succination) that could lead to disruption or loss of protein functions, dysfunctional cell metabolism and cell signaling. Here, we discuss the evidence for proposing fumarate as an onco-metabolite.","DOI":"10.3389/fonc.2012.00085","ISSN":"2234-943X","note":"PMID: 22866264\nPMCID: PMC3408580","journalAbbreviation":"Front Oncol","language":"eng","author":[{"family":"Yang","given":"Ming"},{"family":"Soga","given":"Tomoyoshi"},{"family":"Pollard","given":"Patrick J."},{"family":"Adam","given":"Julie"}],"issued":{"date-parts":[["2012"]]}}},{"id":763,"uris":["http://zotero.org/users/4775618/items/NM59HM97"],"uri":["http://zotero.org/users/4775618/items/NM59HM97"],"itemData":{"id":763,"type":"article-journal","title":"Reversed argininosuccinate lyase activity in fumarate hydratase-deficient cancer cells","container-title":"Cancer &amp; Metabolism","page":"12","volume":"1","source":"PubMed Central","abstract":"Background\nLoss of function of fumarate hydratase (FH), the mitochondrial tumor suppressor and tricarboxylic acid (TCA) cycle enzyme, is associated with a highly malignant form of papillary and collecting duct renal cell cancer. The accumulation of fumarate in these cells has been linked to the tumorigenic process. However, little is known about the overall effects of the loss of FH on cellular metabolism.\n\nMethods\nWe performed comprehensive metabolomic analyses of urine from Fh1-deficient mice and stable isotopologue tracing from human and mouse FH-deficient cell lines to investigate the biochemical signature of the loss of FH.\n\nResults\nThe metabolomics analysis revealed that the urea cycle metabolite argininosuccinate is a common metabolic biomarker of FH deficiency. Argininosuccinate was found to be produced from arginine and fumarate by the reverse activity of the urea cycle enzyme argininosuccinate lyase (ASL), making these cells auxotrophic for arginine. Depleting arginine from the growth media by the addition of pegylated arginine deiminase (ADI-PEG 20) decreased the production of argininosuccinate in FH-deficient cells and reduced cell survival and proliferation.\n\nConclusions\nThese results unravel a previously unidentified correlation between fumarate accumulation and the urea cycle enzyme ASL in FH-deficient cells. The finding that FH-deficient cells become auxotrophic for arginine opens a new therapeutic perspective for the cure of hereditary leiomyomatosis and renal cell cancer (HLRCC).","URL":"https://www.ncbi.nlm.nih.gov/pmc/articles/PMC4108060/","DOI":"10.1186/2049-3002-1-12","ISSN":"2049-3002","note":"PMID: 24280230\nPMCID: PMC4108060","journalAbbreviation":"Cancer Metab","author":[{"family":"Zheng","given":"Liang"},{"family":"MacKenzie","given":"Elaine D"},{"family":"Karim","given":"Saadia A"},{"family":"Hedley","given":"Ann"},{"family":"Blyth","given":"Karen"},{"family":"Kalna","given":"Gabriela"},{"family":"Watson","given":"David G"},{"family":"Szlosarek","given":"Peter"},{"family":"Frezza","given":"Christian"},{"family":"Gottlieb","given":"Eyal"}],"issued":{"date-parts":[["2013",3,21]]},"accessed":{"date-parts":[["2018",10,30]]}}},{"id":1931,"uris":["http://zotero.org/users/4775618/items/5JRY88DA"],"uri":["http://zotero.org/users/4775618/items/5JRY88DA"],"itemData":{"id":1931,"type":"article-journal","title":"Hereditary leiomyomatosis and renal cell carcinoma","container-title":"International Journal of Nephrology and Renovascular Disease","page":"253-260","volume":"7","source":"PubMed Central","abstract":"Hereditary leiomyomatosis and renal cell carcinoma (HLRCC) is an autosomal-dominant hereditary syndrome, which is caused by germline mutations in the FH gene that encodes the tricarboxylic acid cycle enzyme fumarate hydratase (FH). HLRCC patients are predisposed to develop cutaneous leiomyomas, multiple, symptomatic uterine fibroids in young women resulting in early hysterectomies, and early onset renal tumors with a type 2 papillary morphology that can progress and metastasize, even when small. Since HLRCC-associated renal tumors can be more aggressive than renal tumors in other hereditary renal cancer syndromes, caution is warranted, and surgical intervention is recommended rather than active surveillance. At-risk members of an HLRCC family who test positive for the familial germline FH mutation should undergo surveillance by annual magnetic resonance imaging from the age of 8 years. Biochemical studies have shown that FH-deficient kidney cancer is characterized by a metabolic shift to aerobic glycolysis. It is hoped that through ongoing clinical trials evaluating targeted molecular therapies, an effective form of treatment for HLRCC-associated kidney cancer will be developed that will offer an improved prognosis for individuals affected with HLRCC-associated kidney cancer.","URL":"https://www.ncbi.nlm.nih.gov/pmc/articles/PMC4074185/","DOI":"10.2147/IJNRD.S42097","ISSN":"1178-7058","note":"PMID: 25018647\nPMCID: PMC4074185","journalAbbreviation":"Int J Nephrol Renovasc Dis","author":[{"family":"Schmidt","given":"Laura S"},{"family":"Linehan","given":"W Marston"}],"issued":{"date-parts":[["2014",6,20]]},"accessed":{"date-parts":[["2019",6,19]]}}}],"schema":"https://github.com/citation-style-language/schema/raw/master/csl-citation.json"} </w:instrText>
            </w:r>
            <w:r>
              <w:rPr>
                <w:rFonts w:asciiTheme="minorHAnsi" w:hAnsiTheme="minorHAnsi" w:cs="Arial"/>
                <w:color w:val="000000"/>
                <w:sz w:val="18"/>
                <w:szCs w:val="18"/>
                <w:lang w:val="en-US"/>
              </w:rPr>
              <w:fldChar w:fldCharType="separate"/>
            </w:r>
            <w:r w:rsidR="004E2A88" w:rsidRPr="004E2A88">
              <w:rPr>
                <w:rFonts w:ascii="Calibri" w:hAnsiTheme="minorHAnsi" w:cs="Calibri"/>
                <w:color w:val="000000"/>
                <w:sz w:val="18"/>
                <w:vertAlign w:val="superscript"/>
                <w:lang w:val="en-US"/>
              </w:rPr>
              <w:t>4,16,26,95,96,102,162,174,179,201,247</w:t>
            </w:r>
            <w:r>
              <w:rPr>
                <w:rFonts w:asciiTheme="minorHAnsi" w:hAnsiTheme="minorHAnsi" w:cs="Arial"/>
                <w:color w:val="000000"/>
                <w:sz w:val="18"/>
                <w:szCs w:val="18"/>
                <w:lang w:val="en-US"/>
              </w:rPr>
              <w:fldChar w:fldCharType="end"/>
            </w:r>
            <w:r w:rsidR="00B768D9">
              <w:rPr>
                <w:rFonts w:asciiTheme="minorHAnsi" w:hAnsiTheme="minorHAnsi" w:cs="Arial"/>
                <w:color w:val="000000"/>
                <w:sz w:val="18"/>
                <w:szCs w:val="18"/>
                <w:lang w:val="en-US"/>
              </w:rPr>
              <w:t xml:space="preserve"> </w:t>
            </w:r>
          </w:p>
        </w:tc>
      </w:tr>
      <w:tr w:rsidR="00DD4755" w:rsidRPr="00D637BA" w14:paraId="0E45BE91" w14:textId="77777777" w:rsidTr="00DD4755">
        <w:trPr>
          <w:trHeight w:val="1331"/>
        </w:trPr>
        <w:tc>
          <w:tcPr>
            <w:cnfStyle w:val="001000000000" w:firstRow="0" w:lastRow="0" w:firstColumn="1" w:lastColumn="0" w:oddVBand="0" w:evenVBand="0" w:oddHBand="0" w:evenHBand="0" w:firstRowFirstColumn="0" w:firstRowLastColumn="0" w:lastRowFirstColumn="0" w:lastRowLastColumn="0"/>
            <w:tcW w:w="1844" w:type="dxa"/>
            <w:hideMark/>
          </w:tcPr>
          <w:p w14:paraId="76AEA69B" w14:textId="2F61C74C" w:rsidR="0006666E" w:rsidRPr="00B946E4" w:rsidRDefault="0006666E" w:rsidP="00B946E4">
            <w:pPr>
              <w:rPr>
                <w:rFonts w:asciiTheme="minorHAnsi" w:hAnsiTheme="minorHAnsi" w:cs="Arial"/>
                <w:b w:val="0"/>
                <w:sz w:val="18"/>
                <w:szCs w:val="18"/>
              </w:rPr>
            </w:pPr>
            <w:r w:rsidRPr="00B946E4">
              <w:rPr>
                <w:rFonts w:asciiTheme="minorHAnsi" w:hAnsiTheme="minorHAnsi" w:cs="Arial"/>
                <w:color w:val="000000"/>
                <w:kern w:val="24"/>
                <w:sz w:val="18"/>
                <w:szCs w:val="18"/>
              </w:rPr>
              <w:t>Succinate</w:t>
            </w:r>
          </w:p>
        </w:tc>
        <w:tc>
          <w:tcPr>
            <w:tcW w:w="1569" w:type="dxa"/>
            <w:hideMark/>
          </w:tcPr>
          <w:p w14:paraId="253A6EBD"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i/>
                <w:sz w:val="18"/>
                <w:szCs w:val="18"/>
              </w:rPr>
            </w:pPr>
            <w:r w:rsidRPr="00B946E4">
              <w:rPr>
                <w:rFonts w:asciiTheme="minorHAnsi" w:hAnsiTheme="minorHAnsi" w:cs="Arial"/>
                <w:i/>
                <w:color w:val="000000"/>
                <w:kern w:val="24"/>
                <w:sz w:val="18"/>
                <w:szCs w:val="18"/>
              </w:rPr>
              <w:t>SDHA</w:t>
            </w:r>
          </w:p>
          <w:p w14:paraId="4DB707D3"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i/>
                <w:color w:val="000000"/>
                <w:kern w:val="24"/>
                <w:sz w:val="18"/>
                <w:szCs w:val="18"/>
              </w:rPr>
              <w:t>SDHB</w:t>
            </w:r>
            <w:r w:rsidRPr="00B946E4">
              <w:rPr>
                <w:rFonts w:asciiTheme="minorHAnsi" w:hAnsiTheme="minorHAnsi" w:cs="Arial"/>
                <w:color w:val="000000"/>
                <w:kern w:val="24"/>
                <w:sz w:val="18"/>
                <w:szCs w:val="18"/>
              </w:rPr>
              <w:t xml:space="preserve"> (82%)</w:t>
            </w:r>
          </w:p>
          <w:p w14:paraId="01B40837"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i/>
                <w:sz w:val="18"/>
                <w:szCs w:val="18"/>
              </w:rPr>
            </w:pPr>
            <w:r w:rsidRPr="00B946E4">
              <w:rPr>
                <w:rFonts w:asciiTheme="minorHAnsi" w:hAnsiTheme="minorHAnsi" w:cs="Arial"/>
                <w:i/>
                <w:color w:val="000000"/>
                <w:kern w:val="24"/>
                <w:sz w:val="18"/>
                <w:szCs w:val="18"/>
              </w:rPr>
              <w:t>SDHC</w:t>
            </w:r>
          </w:p>
          <w:p w14:paraId="72ABE24C"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i/>
                <w:sz w:val="18"/>
                <w:szCs w:val="18"/>
              </w:rPr>
            </w:pPr>
            <w:r w:rsidRPr="00B946E4">
              <w:rPr>
                <w:rFonts w:asciiTheme="minorHAnsi" w:hAnsiTheme="minorHAnsi" w:cs="Arial"/>
                <w:i/>
                <w:color w:val="000000"/>
                <w:kern w:val="24"/>
                <w:sz w:val="18"/>
                <w:szCs w:val="18"/>
              </w:rPr>
              <w:t>SDHD</w:t>
            </w:r>
          </w:p>
          <w:p w14:paraId="47155FEB"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i/>
                <w:sz w:val="18"/>
                <w:szCs w:val="18"/>
              </w:rPr>
            </w:pPr>
            <w:r w:rsidRPr="00B946E4">
              <w:rPr>
                <w:rFonts w:asciiTheme="minorHAnsi" w:hAnsiTheme="minorHAnsi" w:cs="Arial"/>
                <w:i/>
                <w:color w:val="000000"/>
                <w:kern w:val="24"/>
                <w:sz w:val="18"/>
                <w:szCs w:val="18"/>
              </w:rPr>
              <w:t>SDHAF2</w:t>
            </w:r>
          </w:p>
          <w:p w14:paraId="1A0D90EA" w14:textId="61DD8ED9"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p>
          <w:p w14:paraId="157D32FB" w14:textId="48C9A8CE"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p>
        </w:tc>
        <w:tc>
          <w:tcPr>
            <w:tcW w:w="4135" w:type="dxa"/>
            <w:hideMark/>
          </w:tcPr>
          <w:p w14:paraId="7354C05E" w14:textId="77777777" w:rsidR="00DD4755" w:rsidRPr="00D637BA"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r w:rsidRPr="00B946E4">
              <w:rPr>
                <w:rFonts w:asciiTheme="minorHAnsi" w:hAnsiTheme="minorHAnsi" w:cs="Arial"/>
                <w:color w:val="000000"/>
                <w:kern w:val="24"/>
                <w:sz w:val="18"/>
                <w:szCs w:val="18"/>
              </w:rPr>
              <w:t>SDH-deficient RCC</w:t>
            </w:r>
          </w:p>
          <w:p w14:paraId="7F199614" w14:textId="6BC0D25E" w:rsidR="0006666E" w:rsidRPr="00B946E4" w:rsidRDefault="00DD4755" w:rsidP="00B946E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Accounts for</w:t>
            </w:r>
            <w:r w:rsidR="000167D7">
              <w:rPr>
                <w:rFonts w:asciiTheme="minorHAnsi" w:hAnsiTheme="minorHAnsi" w:cs="Arial"/>
                <w:color w:val="000000"/>
                <w:kern w:val="24"/>
                <w:sz w:val="18"/>
                <w:szCs w:val="18"/>
              </w:rPr>
              <w:t xml:space="preserve"> </w:t>
            </w:r>
            <w:r w:rsidR="0006666E" w:rsidRPr="00B946E4">
              <w:rPr>
                <w:rFonts w:asciiTheme="minorHAnsi" w:hAnsiTheme="minorHAnsi" w:cs="Arial"/>
                <w:color w:val="000000"/>
                <w:kern w:val="24"/>
                <w:sz w:val="18"/>
                <w:szCs w:val="18"/>
              </w:rPr>
              <w:t>0.2% of all RCC</w:t>
            </w:r>
          </w:p>
          <w:p w14:paraId="139F87BC" w14:textId="5F534D64" w:rsidR="0006666E" w:rsidRPr="00B946E4" w:rsidRDefault="0006666E" w:rsidP="00B946E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Early onset (mean age 37-46</w:t>
            </w:r>
            <w:r w:rsidR="00DD4755" w:rsidRPr="00B946E4">
              <w:rPr>
                <w:rFonts w:asciiTheme="minorHAnsi" w:hAnsiTheme="minorHAnsi" w:cs="Arial"/>
                <w:color w:val="000000"/>
                <w:kern w:val="24"/>
                <w:sz w:val="18"/>
                <w:szCs w:val="18"/>
              </w:rPr>
              <w:t xml:space="preserve"> </w:t>
            </w:r>
            <w:r w:rsidRPr="00B946E4">
              <w:rPr>
                <w:rFonts w:asciiTheme="minorHAnsi" w:hAnsiTheme="minorHAnsi" w:cs="Arial"/>
                <w:color w:val="000000"/>
                <w:kern w:val="24"/>
                <w:sz w:val="18"/>
                <w:szCs w:val="18"/>
              </w:rPr>
              <w:t>y</w:t>
            </w:r>
            <w:r w:rsidR="00DD4755" w:rsidRPr="00B946E4">
              <w:rPr>
                <w:rFonts w:asciiTheme="minorHAnsi" w:hAnsiTheme="minorHAnsi" w:cs="Arial"/>
                <w:color w:val="000000"/>
                <w:kern w:val="24"/>
                <w:sz w:val="18"/>
                <w:szCs w:val="18"/>
              </w:rPr>
              <w:t>ears</w:t>
            </w:r>
            <w:r w:rsidRPr="00B946E4">
              <w:rPr>
                <w:rFonts w:asciiTheme="minorHAnsi" w:hAnsiTheme="minorHAnsi" w:cs="Arial"/>
                <w:color w:val="000000"/>
                <w:kern w:val="24"/>
                <w:sz w:val="18"/>
                <w:szCs w:val="18"/>
              </w:rPr>
              <w:t>)</w:t>
            </w:r>
          </w:p>
          <w:p w14:paraId="6A27048C" w14:textId="19CCEF17" w:rsidR="0006666E" w:rsidRPr="00B946E4" w:rsidRDefault="0006666E" w:rsidP="00B946E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Aggressive phenotype</w:t>
            </w:r>
          </w:p>
          <w:p w14:paraId="75E6531C" w14:textId="65E2B312" w:rsidR="0006666E" w:rsidRPr="00B946E4" w:rsidRDefault="0006666E" w:rsidP="00B946E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 xml:space="preserve">Bilateral </w:t>
            </w:r>
            <w:r w:rsidR="00DD4755" w:rsidRPr="00B946E4">
              <w:rPr>
                <w:rFonts w:asciiTheme="minorHAnsi" w:hAnsiTheme="minorHAnsi" w:cs="Arial"/>
                <w:color w:val="000000"/>
                <w:kern w:val="24"/>
                <w:sz w:val="18"/>
                <w:szCs w:val="18"/>
              </w:rPr>
              <w:t xml:space="preserve">in 26% of patients </w:t>
            </w:r>
          </w:p>
          <w:p w14:paraId="200F5ABA" w14:textId="6B257867" w:rsidR="0006666E" w:rsidRPr="00B946E4" w:rsidRDefault="0006666E" w:rsidP="00B946E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Associated with paraganglioma (25%</w:t>
            </w:r>
            <w:r w:rsidR="00DD4755" w:rsidRPr="00B946E4">
              <w:rPr>
                <w:rFonts w:asciiTheme="minorHAnsi" w:hAnsiTheme="minorHAnsi" w:cs="Arial"/>
                <w:color w:val="000000"/>
                <w:kern w:val="24"/>
                <w:sz w:val="18"/>
                <w:szCs w:val="18"/>
              </w:rPr>
              <w:t xml:space="preserve"> of patients</w:t>
            </w:r>
            <w:r w:rsidRPr="00B946E4">
              <w:rPr>
                <w:rFonts w:asciiTheme="minorHAnsi" w:hAnsiTheme="minorHAnsi" w:cs="Arial"/>
                <w:color w:val="000000"/>
                <w:kern w:val="24"/>
                <w:sz w:val="18"/>
                <w:szCs w:val="18"/>
              </w:rPr>
              <w:t>)</w:t>
            </w:r>
          </w:p>
        </w:tc>
        <w:tc>
          <w:tcPr>
            <w:tcW w:w="2801" w:type="dxa"/>
            <w:hideMark/>
          </w:tcPr>
          <w:p w14:paraId="0818474C" w14:textId="55E71EB2"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SIRT expression</w:t>
            </w:r>
          </w:p>
          <w:p w14:paraId="1D52EB78"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r w:rsidRPr="00B946E4">
              <w:rPr>
                <w:rFonts w:asciiTheme="minorHAnsi" w:hAnsiTheme="minorHAnsi" w:cs="Arial"/>
                <w:color w:val="000000"/>
                <w:kern w:val="24"/>
                <w:sz w:val="18"/>
                <w:szCs w:val="18"/>
              </w:rPr>
              <w:t>Exogenous glycine</w:t>
            </w:r>
          </w:p>
          <w:p w14:paraId="00D8CCFA" w14:textId="77777777" w:rsidR="0006666E"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sz w:val="18"/>
                <w:szCs w:val="18"/>
              </w:rPr>
              <w:t>PC inhibition</w:t>
            </w:r>
          </w:p>
          <w:p w14:paraId="38A91423" w14:textId="77777777" w:rsidR="00B66D59" w:rsidRDefault="00B66D59"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p>
          <w:p w14:paraId="2673EB27" w14:textId="2EB164EB" w:rsidR="00B66D59" w:rsidRPr="00B946E4" w:rsidRDefault="00B66D59"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Pr>
                <w:rFonts w:asciiTheme="minorHAnsi" w:hAnsiTheme="minorHAnsi" w:cs="Arial"/>
                <w:sz w:val="18"/>
                <w:szCs w:val="18"/>
              </w:rPr>
              <w:t>*</w:t>
            </w:r>
          </w:p>
        </w:tc>
        <w:tc>
          <w:tcPr>
            <w:cnfStyle w:val="000100000000" w:firstRow="0" w:lastRow="0" w:firstColumn="0" w:lastColumn="1" w:oddVBand="0" w:evenVBand="0" w:oddHBand="0" w:evenHBand="0" w:firstRowFirstColumn="0" w:firstRowLastColumn="0" w:lastRowFirstColumn="0" w:lastRowLastColumn="0"/>
            <w:tcW w:w="743" w:type="dxa"/>
            <w:hideMark/>
          </w:tcPr>
          <w:p w14:paraId="48110804" w14:textId="3BD326AA" w:rsidR="0006666E" w:rsidRPr="008B37B7" w:rsidRDefault="008B37B7" w:rsidP="00B946E4">
            <w:pPr>
              <w:rPr>
                <w:rFonts w:asciiTheme="minorHAnsi" w:hAnsiTheme="minorHAnsi" w:cs="Arial"/>
                <w:b w:val="0"/>
                <w:bCs w:val="0"/>
                <w:color w:val="000000"/>
                <w:sz w:val="18"/>
                <w:szCs w:val="18"/>
                <w:lang w:val="en-US"/>
              </w:rPr>
            </w:pPr>
            <w:r>
              <w:rPr>
                <w:rFonts w:asciiTheme="minorHAnsi" w:hAnsiTheme="minorHAnsi" w:cs="Arial"/>
                <w:color w:val="000000"/>
                <w:sz w:val="18"/>
                <w:szCs w:val="18"/>
                <w:lang w:val="en-US"/>
              </w:rPr>
              <w:fldChar w:fldCharType="begin"/>
            </w:r>
            <w:r w:rsidR="004E2A88">
              <w:rPr>
                <w:rFonts w:asciiTheme="minorHAnsi" w:hAnsiTheme="minorHAnsi" w:cs="Arial"/>
                <w:color w:val="000000"/>
                <w:sz w:val="18"/>
                <w:szCs w:val="18"/>
                <w:lang w:val="en-US"/>
              </w:rPr>
              <w:instrText xml:space="preserve"> ADDIN ZOTERO_ITEM CSL_CITATION {"citationID":"a25p6cm42pm","properties":{"formattedCitation":"\\super 4,83\\uc0\\u8211{}85,88\\uc0\\u8211{}92,189,191,193,248\\uc0\\u8211{}250\\nosupersub{}","plainCitation":"4,83–85,88–92,189,191,193,248–250","noteIndex":0},"citationItems":[{"id":2703,"uris":["http://zotero.org/users/4775618/items/2W64FVJS"],"uri":["http://zotero.org/users/4775618/items/2W64FVJS"],"itemData":{"id":2703,"type":"article-journal","title":"Pyruvate carboxylation enables growth of SDH-deficient cells by supporting aspartate biosynthesis","container-title":"Nature Cell Biology","page":"1317-1326","volume":"17","issue":"10","source":"PubMed","abstract":"Succinate dehydrogenase (SDH) is a heterotetrameric nuclear-encoded complex responsible for the oxidation of succinate to fumarate in the tricarboxylic acid cycle. Loss-of-function mutations in any of the SDH genes are associated with cancer formation. However, the impact of SDH loss on cell metabolism and the mechanisms enabling growth of SDH-defective cells are largely unknown. Here, we generated Sdhb-ablated kidney mouse cells and used comparative metabolomics and stable-isotope-labelling approaches to identify nutritional requirements and metabolic adaptations to SDH loss. We found that lack of SDH activity commits cells to consume extracellular pyruvate, which sustains Warburg-like bioenergetic features. We further demonstrated that pyruvate carboxylation diverts glucose-derived carbons into aspartate biosynthesis, thus sustaining cell growth. By identifying pyruvate carboxylase as essential for the proliferation and tumorigenic capacity of SDH-deficient cells, this study revealed a metabolic vulnerability for potential future treatment of SDH-associated malignancies.","DOI":"10.1038/ncb3233","ISSN":"1476-4679","note":"PMID: 26302408\nPMCID: PMC4591470","journalAbbreviation":"Nat. Cell Biol.","language":"eng","author":[{"family":"Cardaci","given":"Simone"},{"family":"Zheng","given":"Liang"},{"family":"MacKay","given":"Gillian"},{"family":"Broek","given":"Niels J. F.","non-dropping-particle":"van den"},{"family":"MacKenzie","given":"Elaine D."},{"family":"Nixon","given":"Colin"},{"family":"Stevenson","given":"David"},{"family":"Tumanov","given":"Sergey"},{"family":"Bulusu","given":"Vinay"},{"family":"Kamphorst","given":"Jurre J."},{"family":"Vazquez","given":"Alexei"},{"family":"Fleming","given":"Stewart"},{"family":"Schiavi","given":"Francesca"},{"family":"Kalna","given":"Gabriela"},{"family":"Blyth","given":"Karen"},{"family":"Strathdee","given":"Douglas"},{"family":"Gottlieb","given":"Eyal"}],"issued":{"date-parts":[["2015",10]]}}},{"id":447,"uris":["http://zotero.org/users/4775618/items/H9BZ8TCG"],"uri":["http://zotero.org/users/4775618/items/H9BZ8TCG"],"itemData":{"id":447,"type":"article-journal","title":"Succinate Dehydrogenase (SDH)-deficient Renal Carcinoma: A Morphologically Distinct Entity","container-title":"The American Journal of Surgical Pathology","page":"1588-1602","volume":"38","issue":"12","source":"PubMed Central","abstract":"Supplemental Digital Content is available in the text., Succinate dehydrogenase (SDH)-deficient renal carcinoma has been accepted as a provisional entity in the 2013 International Society of Urological Pathology Vancouver Classification. To further define its morphologic and clinical features, we studied a multi-institutional cohort of 36 SDH-deficient renal carcinomas from 27 patients, including 21 previously unreported cases. We estimate that 0.05% to 0.2% of all renal carcinomas are SDH deficient. Mean patient age at presentation was 37 years (range, 14 to 76 y), with a slight male predominance (M:F=1.7:1). Bilateral tumors were observed in 26% of patients. Thirty-four (94%) tumors demonstrated the previously reported morphology at least focally, which included: solid or focally cystic growth, uniform cytology with eosinophilic flocculent cytoplasm, intracytoplasmic vacuolations and inclusions, and round to oval low-grade nuclei. All 17 patients who underwent genetic testing for mutation in the SDH subunits demonstrated germline mutations (16 in SDHB and 1 in SDHC). Nine of 27 (33%) patients developed metastatic disease, 2 of them after prolonged follow-up (5.5 and 30 y). Seven of 10 patients (70%) with high-grade nuclei metastasized as did all 4 patients with coagulative necrosis. Two of 17 (12%) patients with low-grade nuclei metastasized, and both had unbiopsied contralateral tumors, which may have been the origin of the metastatic disease. In conclusion, SDH-deficient renal carcinoma is a rare and unique type of renal carcinoma, exhibiting stereotypical morphologic features in the great majority of cases and showing a strong relationship with SDH germline mutation. Although this tumor may undergo dedifferentiation and metastasize, sometimes after a prolonged delay, metastatic disease is rare in the absence of high-grade nuclear atypia or coagulative necrosis.","URL":"https://www.ncbi.nlm.nih.gov/pmc/articles/PMC4229399/","DOI":"10.1097/PAS.0000000000000292","ISSN":"0147-5185","note":"PMID: 25025441\nPMCID: PMC4229399","title-short":"Succinate Dehydrogenase (SDH)-deficient Renal Carcinoma","journalAbbreviation":"Am J Surg Pathol","author":[{"family":"Gill","given":"Anthony J."},{"family":"Hes","given":"Ondrej"},{"family":"Papathomas","given":"Thomas"},{"family":"Šedivcová","given":"Monika"},{"family":"Tan","given":"Puay Hoon"},{"family":"Agaimy","given":"Abbas"},{"family":"Andresen","given":"Per Arne"},{"family":"Kedziora","given":"Andrew"},{"family":"Clarkson","given":"Adele"},{"family":"Toon","given":"Christopher W."},{"family":"Sioson","given":"Loretta"},{"family":"Watson","given":"Nicole"},{"family":"Chou","given":"Angela"},{"family":"Paik","given":"Julie"},{"family":"Clifton-Bligh","given":"Roderick J."},{"family":"Robinson","given":"Bruce G."},{"family":"Benn","given":"Diana E."},{"family":"Hills","given":"Kirsten"},{"family":"Maclean","given":"Fiona"},{"family":"Niemeijer","given":"Nicolasine D."},{"family":"Vlatkovic","given":"Ljiljana"},{"family":"Hartmann","given":"Arndt"},{"family":"Corssmit","given":"Eleonora P.M."},{"family":"Leenders","given":"Geert J.L.H.","non-dropping-particle":"van"},{"family":"Przybycin","given":"Christopher"},{"family":"McKenney","given":"Jesse K."},{"family":"Magi-Galluzzi","given":"Cristina"},{"family":"Yilmaz","given":"Asli"},{"family":"Yu","given":"Darryl"},{"family":"Nicoll","given":"Katherine D."},{"family":"Yong","given":"Jim L."},{"family":"Sibony","given":"Mathilde"},{"family":"Yakirevich","given":"Evgeny"},{"family":"Fleming","given":"Stewart"},{"family":"Chow","given":"Chung W."},{"family":"Miettinen","given":"Markku"},{"family":"Michal","given":"Michal"},{"family":"Trpkov","given":"Kiril"}],"issued":{"date-parts":[["2014",12]]},"accessed":{"date-parts":[["2018",4,9]]}}},{"id":1671,"uris":["http://zotero.org/users/4775618/items/9ETEERKX"],"uri":["http://zotero.org/users/4775618/items/9ETEERKX"],"itemData":{"id":1671,"type":"article-journal","title":"Primary Renal Paragangliomas and Renal Neoplasia Associated with Pheochromocytoma/Paraganglioma: Analysis of von Hippel-Lindau (VHL), Succinate Dehydrogenase (SDHX) and Transmembrane Protein 127 (TMEM127)","container-title":"Endocrine Pathology","page":"253-268","volume":"28","issue":"3","source":"PubMed","abstract":"Alterations of von Hippel-Lindau (VHL), succinate dehydrogenase (SDHX), and TMEM127 have been associated with the development of pheochromocytomas (PCs) and paragangliomas (PGLs) and are also associated with the development of renal neoplasms. This study involved 2 primary renal PGL and 12 cases of PC/PGL with associated renal neoplasia with a mean follow up of 74 months. Germline VHL and SDHX mutation status was obtained from the medical record. Immunohistochemistry for SDHB and mutation analysis for TMEM127 was performed, in addition to analysis of The Cancer Genome Atlas datasets for SDHX and TMEM127 mutated renal cell carcinomas (RCCs). The spectrum of renal neoplasia included clear cell and tubulocystic and papillary RCC, as well as a case of multiple papillary adenomas. Three patients had metastatic PC/PGL and three patients had VHL syndrome. Previously unreported TMEM127 alterations were identified in two patients, both without evidence of VHL syndrome or SDH-deficiency, and were classified as variants of uncertain significance. Primary renal PGL and neoplasia was associated with about 2% of 710 cases of PC/PGL. These were diagnosed concurrently or on average 27 months prior to the PC/PGL, and most were low-grade, low-stage clear cell RCCs. Up to half of patients with PC/PGL and renal neoplasia had VHL syndrome, SDH deficiency, or alterations in TMEM127. One (of three) case of metastatic PC/PGL had SDHB mutation and loss of SDHB by immunohistochemistry. The other two cases had retained SDHB expression.","DOI":"10.1007/s12022-017-9489-0","ISSN":"1559-0097","note":"PMID: 28646318","title-short":"Primary Renal Paragangliomas and Renal Neoplasia Associated with Pheochromocytoma/Paraganglioma","journalAbbreviation":"Endocr. Pathol.","language":"eng","author":[{"family":"Gupta","given":"Sounak"},{"family":"Zhang","given":"Jun"},{"family":"Milosevic","given":"Dragana"},{"family":"Mills","given":"John R."},{"family":"Grebe","given":"Stefan K."},{"family":"Smith","given":"Steven C."},{"family":"Erickson","given":"Lori A."}],"issued":{"date-parts":[["2017",9]]}}},{"id":1663,"uris":["http://zotero.org/users/4775618/items/LRB458NE"],"uri":["http://zotero.org/users/4775618/items/LRB458NE"],"itemData":{"id":1663,"type":"article-journal","title":"NADP+-IDH Mutations Promote Hypersuccinylation that Impairs Mitochondria Respiration and Induces Apoptosis Resistance","container-title":"Molecular Cell","page":"661-675","volume":"60","issue":"4","source":"ScienceDirect","abstract":"Summary\nElucidating the tumorigenic mechanism of R-2-hydroxyglutarate (R-2HG) is critical for determining how NADP+-IDH mutations cause cancer. Here we report that R-2HG induces cancerous metabolism and apoptosis resistance through promoting hypersuccinylation. By competitive inhibition of the mitochondrial tricarboxylic acid cycle enzyme succinate dehydrogenase (SDH), R-2HG preferentially induced succinyl-CoA accumulation and hypersuccinylation in the mitochondria. IDH1 mutation-bearing glioma samples and cells were hypersuccinylated in the mitochondria. IDH1 mutation or SDH inactivation resulted in hypersuccinylation, causing respiration inhibition and inducing cancerous metabolism and mitochondrial depolarization. These mitochondrial dysfunctions induced BCL-2 accumulation at the mitochondrial membrane, leading to apoptosis resistance of hypersuccinylated cells. Relief of hypersuccinylation by overexpressing the desuccinylase SIRT5 or supplementing glycine rescued mitochondrial dysfunctions, reversed BCL-2 accumulation, and slowed the oncogenic growth of hypersuccinylated IDH1 R132C-harboring HT1080 cells. Thus, R-2HG-induced hypersuccinylation contributes to the tumorigenicity of NADP+-IDH mutations, suggesting the potential of hypersuccinylation inhibition as an intervention for hypersuccinylation-related tumors.","URL":"http://www.sciencedirect.com/science/article/pii/S1097276515008084","DOI":"10.1016/j.molcel.2015.10.017","ISSN":"1097-2765","journalAbbreviation":"Molecular Cell","author":[{"family":"Li","given":"Feng"},{"family":"He","given":"Xiadi"},{"family":"Ye","given":"Dingwei"},{"family":"Lin","given":"Yan"},{"family":"Yu","given":"Hongxiu"},{"family":"Yao","given":"Cuifang"},{"family":"Huang","given":"Lei"},{"family":"Zhang","given":"Jianong"},{"family":"Wang","given":"Fang"},{"family":"Xu","given":"Sha"},{"family":"Wu","given":"Xiaohui"},{"family":"Liu","given":"Lixia"},{"family":"Yang","given":"Chen"},{"family":"Shi","given":"Jiaqi"},{"family":"He","given":"Xiaoyang"},{"family":"Liu","given":"Jie"},{"family":"Qu","given":"Yuanyuan"},{"family":"Guo","given":"Fushen"},{"family":"Zhao","given":"Jianyuan"},{"family":"Xu","given":"Wei"},{"family":"Zhao","given":"Shimin"}],"issued":{"date-parts":[["2015",11,19]]},"accessed":{"date-parts":[["2019",3,2]]}}},{"id":1331,"uris":["http://zotero.org/users/4775618/items/3WIYKWXM"],"uri":["http://zotero.org/users/4775618/items/3WIYKWXM"],"itemData":{"id":1331,"type":"article-journal","title":"Biallelic inactivation of the SDHC gene in renal carcinoma associated with paraganglioma syndrome type 3","container-title":"Endocrine-Related Cancer","page":"283-290","volume":"19","issue":"3","source":"PubMed","abstract":"The etiology and pathogenesis of renal cell carcinoma (RCC) are only partially understood. Key findings in hereditary RCC, which may be site specific or a component of a syndrome, have contributed to our current understanding. Important heritable syndromes of RCC are those associated with pheochromocytoma, especially von Hippel-Lindau disease (VHL) associated with germline VHL mutations, and pheochromocytoma and paraganglioma syndrome (PGL) associated with mutations in one of the four genes (SDHA-D) encoding succinate dehydrogenase. A subset of individuals with SDHB and SDHD germline DNA mutations and variants develop RCC. RCC has never been described as a component of SDHC-associated PGL3. The European-American Pheochromocytoma and Paraganglioma Registry comprises 35 registrants with germline SDHC mutations. A new registrant had carotid body tumor (CBT) and his mother had CBT and bilateral RCC. Blood DNA, paragangliomas, and RCCs were analyzed for mutations and loss-of-heterozygosity (LOH) in/flanking SDHC and VHL. The proband with unilateral CBT had a germline SDHC c.3G&gt;A (p.M1I) mutation. His mutation-positive mother had CBT at age 42, clear cell RCC (ccRCC) at age 68, and papillary RCC (pRCC) at age 69. Both paraganglial tumors showed somatic LOH of the SDHC locus. Both ccRCC and pRCC did not have a somatic SDHC mutation but showed LOH for intragenic and flanking markers of the SDHC locus. LOH was also present for the VHL locus. Our findings suggest that RCC is a component of PGL3. Biallelic inactivation of the SDHC gene may represent a new pathway of pathogenesis of syndromic and nonsyndromic RCC, perhaps of both clear cell and papillary histologies.","DOI":"10.1530/ERC-11-0324","ISSN":"1479-6821","note":"PMID: 22351710","journalAbbreviation":"Endocr. Relat. Cancer","language":"eng","author":[{"family":"Malinoc","given":"Angelica"},{"family":"Sullivan","given":"Maren"},{"family":"Wiech","given":"Thorsten"},{"family":"Schmid","given":"Kurt Werner"},{"family":"Jilg","given":"Cordula"},{"family":"Straeter","given":"Joern"},{"family":"Deger","given":"Serdar"},{"family":"Hoffmann","given":"Michael M."},{"family":"Bosse","given":"Alexander"},{"family":"Rasp","given":"Gerd"},{"family":"Eng","given":"Charis"},{"family":"Neumann","given":"Hartmut P. H."}],"issued":{"date-parts":[["2012",6]]}}},{"id":1668,"uris":["http://zotero.org/users/4775618/items/YGKWGXX8"],"uri":["http://zotero.org/users/4775618/items/YGKWGXX8"],"itemData":{"id":1668,"type":"article-journal","title":"SDH-deficient renal cell carcinoma associated with biallelic mutation in succinate dehydrogenase A: comprehensive genetic profiling and its relation to therapy response","container-title":"npj Precision Oncology","page":"9","volume":"2","issue":"1","source":"www-nature-com.ezp.lib.cam.ac.uk","abstract":"Succinate dehydrogenase (SDH)-deficient renal cell carcinoma (RCC) is a rare RCC subtype that is caused by biallelic mutation of one of the four subunits of the SDH complex (SDHA, B, C, and D) and results in inactivation of the SDH enzyme. Here we describe a case of genetically characterized SDH-deficient RCC caused by biallelic (germline plus somatic) SDHA mutations. SDHA pathogenic variants were detected using comprehensive genomic profiling and SDH absence was subsequently confirmed by immunohistochemistry. Very little is known regarding the genomic context of SDH-deficient RCC. Interestingly we found genomic amplifications commonly observed in RCC but there was an absence of additional variants in common cancer driver genes. Prior to genetic testing a PD-1 inhibitor treatment was administered. However, following the genetic results a succession of tyrosine kinase inhibitors were administered as targeted treatment options and we highlight how the genetic results provide a rationale for their effectiveness. We also describe how the genetic results benefited the patient by empowering him to adopt dietary and lifestyle changes in accordance with knowledge of the mechanisms of SDH-related tumorigenesis.","URL":"https://www-nature-com.ezp.lib.cam.ac.uk/articles/s41698-018-0053-2","DOI":"10.1038/s41698-018-0053-2","ISSN":"2397-768X","title-short":"SDH-deficient renal cell carcinoma associated with biallelic mutation in succinate dehydrogenase A","language":"En","author":[{"family":"McEvoy","given":"Christopher R."},{"family":"Koe","given":"Lisa"},{"family":"Choong","given":"David Y."},{"family":"Leong","given":"Huei San"},{"family":"Xu","given":"Huiling"},{"family":"Karikios","given":"Deme"},{"family":"Plew","given":"Jeffrey D."},{"family":"Prall","given":"Owen W."},{"family":"Fellowes","given":"Andrew P."},{"family":"Fox","given":"Stephen B."}],"issued":{"date-parts":[["2018",3,20]]},"accessed":{"date-parts":[["2019",3,3]]}}},{"id":1159,"uris":["http://zotero.org/users/4775618/items/VISJWVXW"],"uri":["http://zotero.org/users/4775618/items/VISJWVXW"],"itemData":{"id":1159,"type":"article-journal","title":"The 2016 WHO Classification of Tumours of the Urinary System and Male Genital Organs—Part A: Renal, Penile, and Testicular Tumours","container-title":"European Urology","page":"93-105","volume":"70","issue":"1","source":"ScienceDirect","abstract":"The fourth edition of the World Health Organization (WHO) classification of urogenital tumours (WHO “blue book”), published in 2016, contains significant revisions. These revisions were performed after consideration by a large international group of pathologists with special expertise in this area. A subgroup of these persons met at the WHO Consensus Conference in Zurich, Switzerland, in 2015 to finalize the revisions. This review summarizes the most significant differences between the newly published classification and the prior version for renal, penile, and testicular tumours. Newly recognized epithelial renal tumours are hereditary leiomyomatosis and renal cell carcinoma (RCC) syndrome–associated RCC, succinate dehydrogenase–deficient RCC, tubulocystic RCC, acquired cystic disease–associated RCC, and clear cell papillary RCC. The WHO/International Society of Urological Pathology renal tumour grading system was recommended, and the definition of renal papillary adenoma was modified. The new WHO classification of penile squamous cell carcinomas is based on the presence of human papillomavirus and defines histologic subtypes accordingly. Germ cell neoplasia in situ (GCNIS) of the testis is the WHO-recommended term for precursor lesions of invasive germ cell tumours, and testicular germ cell tumours are now separated into two fundamentally different groups: those derived from GCNIS and those unrelated to GCNIS. Spermatocytic seminoma has been designated as a spermatocytic tumour and placed within the group of non–GCNIS-related tumours in the 2016 WHO classification.\nPatient summary\nThe 2016 World Health Organization (WHO) classification contains new renal tumour entities. The classification of penile squamous cell carcinomas is based on the presence of human papillomavirus. Germ cell neoplasia in situ of the testis is the WHO-recommended term for precursor lesions of invasive germ cell tumours.","URL":"http://www.sciencedirect.com/science/article/pii/S0302283816002062","DOI":"10.1016/j.eururo.2016.02.029","ISSN":"0302-2838","title-short":"The 2016 WHO Classification of Tumours of the Urinary System and Male Genital Organs—Part A","journalAbbreviation":"European Urology","author":[{"family":"Moch","given":"Holger"},{"family":"Cubilla","given":"Antonio L."},{"family":"Humphrey","given":"Peter A."},{"family":"Reuter","given":"Victor E."},{"family":"Ulbright","given":"Thomas M."}],"issued":{"date-parts":[["2016",7,1]]},"accessed":{"date-parts":[["2019",2,17]]}}},{"id":1320,"uris":["http://zotero.org/users/4775618/items/WZACUEGC"],"uri":["http://zotero.org/users/4775618/items/WZACUEGC"],"itemData":{"id":1320,"type":"article-journal","title":"Distinct clinical features of paraganglioma syndromes associated with SDHB and SDHD gene mutations","container-title":"JAMA","page":"943-951","volume":"292","issue":"8","source":"PubMed","abstract":"CONTEXT: Germline mutations of the genes encoding succinate dehydrogenase subunits B (SDHB) and D (SDHD) predispose to paraganglioma syndromes type 4 (PGL-4) and type 1 (PGL-1), respectively. In both syndromes, pheochromocytomas as well as head and neck paragangliomas occur; however, details for individual risks and other clinical characteristics are unknown.\nOBJECTIVE: To determine the differences in clinical features in carriers of SDHB mutations and SDHD mutations.\nDESIGN, SETTING, AND PATIENTS: Population-based genetic screening for SDHB and SDHD germline mutations in 417 unrelated patients with adrenal or extra-adrenal abdominal or thoracic pheochromocytomas (n = 334) or head and neck paragangliomas (n = 83), but without syndromic features, from 2 registries based in Germany and central Poland, conducted from April 1, 2000, until May 15, 2004.\nMAIN OUTCOME MEASURES: Demographic and clinical findings with respect to gene mutation in SDHB vs SDHD compared with nonmutation carriers.\nRESULTS: A total of 49 (12%) of 417 registrants carried SDHB or SDHD mutations. In addition, 28 SDHB and 23 SDHD mutation carriers were newly detected among relatives of these carriers. Comparison of 53 SDHB and 47 SDHD total mutation carriers showed similar ages at diagnosis but differences in penetrance and of tumor manifestations. Head and neck paragangliomas (10/32 vs 27/34, respectively, P&lt;.001) and multifocal (9/32 vs 25/34, respectively, P&lt;.001) tumors were more frequent in carriers of SDHD mutations. In contrast, SDHB mutation carriers have an increased frequency of malignant disease (11/32 vs 0/34, P&lt;.001). Renal cell cancer was observed in 2 SDHB mutation carriers and papillary thyroid cancer in 1 SDHB mutation carrier and 1 SDHD mutation carrier.\nCONCLUSIONS: In contrast with SDHD mutation carriers (PGL-1) who have more frequent multifocal paragangliomas, SDHB mutation carriers (PGL-4) are more likely to develop malignant disease and possibly extraparaganglial neoplasias, including renal cell and thyroid carcinomas. Appropriate and timely clinical screening is recommended in all patients with PGL-1 and PGL-4.","DOI":"10.1001/jama.292.8.943","ISSN":"1538-3598","note":"PMID: 15328326","journalAbbreviation":"JAMA","language":"eng","author":[{"family":"Neumann","given":"Hartmut P. H."},{"family":"Pawlu","given":"Christian"},{"family":"Peczkowska","given":"Mariola"},{"family":"Bausch","given":"Birke"},{"family":"McWhinney","given":"Sarah R."},{"family":"Muresan","given":"Mihaela"},{"family":"Buchta","given":"Mary"},{"family":"Franke","given":"Gerlind"},{"family":"Klisch","given":"Joachim"},{"family":"Bley","given":"Thorsten A."},{"family":"Hoegerle","given":"Stefan"},{"family":"Boedeker","given":"Carsten C."},{"family":"Opocher","given":"Giuseppe"},{"family":"Schipper","given":"Jörg"},{"family":"Januszewicz","given":"Andrzej"},{"family":"Eng","given":"Charis"},{"literal":"European-American Paraganglioma Study Group"}],"issued":{"date-parts":[["2004",8,25]]}}},{"id":1326,"uris":["http://zotero.org/users/4775618/items/WA6VSXZZ"],"uri":["http://zotero.org/users/4775618/items/WA6VSXZZ"],"itemData":{"id":1326,"type":"article-journal","title":"Germline Mutations and Variants in the Succinate Dehydrogenase Genes in Cowden and Cowden-like Syndromes","container-title":"The American Journal of Human Genetics","page":"261-268","volume":"83","issue":"2","source":"ScienceDirect","abstract":"Individuals with PTEN mutations have Cowden syndrome (CS), associated with breast, thyroid, and endometrial neoplasias. Many more patients with features of CS, not meeting diagnostic criteria (termed CS-like), are evaluated by clinicians for CS-related cancer risk. Germline mutations in succinate dehydrogenase subunits SDHB-D cause pheochromocytoma-paraganglioma syndrome. One to five percent of SDHB/SDHD mutation carriers have renal cell or papillary thyroid carcinomas, which are also CS-related features. SDHB-D may be candidate susceptibility genes for some PTEN mutation-negative individuals with CS-like cancers. To address this hypothesis, germline SDHB-D mutation analysis in 375 PTEN mutation-negative CS/CS-like individuals was performed, followed by functional analysis of identified SDH mutations/variants. Of 375 PTEN mutation-negative CS/CS-like individuals, 74 (20%) had increased manganese superoxide dismutase (MnSOD) expression, a manifestation of mitochondrial dysfunction. Among these, 10 (13.5%) had germline mutations/variants in SDHB (n = 3) or SDHD (7), not found in 700 controls (p &lt; 0.001). Compared to PTEN mutation-positive CS/CS-like individuals, those with SDH mutations/variants were enriched for carcinomas of the female breast (6/9 SDH versus 30/107 PTEN, p &lt; 0.001), thyroid (5/10 versus 15/106, p &lt; 0.001), and kidney (2/10 versus 4/230, p = 0.026). In the absence of PTEN alteration, CS/CS-like-related SDH mutations/variants show increased phosphorylation of AKT and/or MAPK, downstream manifestations of PTEN dysfunction. Germline SDH mutations/variants occur in a subset of PTEN mutation-negative CS/CS-like individuals and are associated with increased frequencies of breast, thyroid, and renal cancers beyond those conferred by germline PTEN mutations. SDH testing should be considered for germline PTEN mutation-negative CS/CS-like individuals, especially in the setting of breast, thyroid, and/or renal cancers.","URL":"http://www.sciencedirect.com/science/article/pii/S0002929708004114","DOI":"10.1016/j.ajhg.2008.07.011","ISSN":"0002-9297","journalAbbreviation":"The American Journal of Human Genetics","author":[{"family":"Ni","given":"Ying"},{"family":"Zbuk","given":"Kevin M."},{"family":"Sadler","given":"Tammy"},{"family":"Patocs","given":"Attila"},{"family":"Lobo","given":"Glenn"},{"family":"Edelman","given":"Emily"},{"family":"Platzer","given":"Petra"},{"family":"Orloff","given":"Mohammed S."},{"family":"Waite","given":"Kristin A."},{"family":"Eng","given":"Charis"}],"issued":{"date-parts":[["2008",8,8]]},"accessed":{"date-parts":[["2019",2,22]]}}},{"id":1681,"uris":["http://zotero.org/users/4775618/items/ZJYB6XIJ"],"uri":["http://zotero.org/users/4775618/items/ZJYB6XIJ"],"itemData":{"id":1681,"type":"article-journal","title":"Renal carcinoma associated with a novel succinate dehydrogenase A mutation: a case report and review of literature of a rare subtype of renal carcinoma","container-title":"Human Pathology","page":"1951-1955","volume":"46","issue":"12","source":"PubMed","abstract":"Renal cell carcinoma (RCC) linked to germline mutation of succinate dehydrogenase subunits A, B, C, and D (SDHA, SDHB, SDHC, and SDHD, respectively) has been recently included as a provisional entity in the 2013 International Society of Urological Pathology Vancouver classification. Most SDH-deficient tumors show SDHB mutation, with only a small number of RCC with SDHC or SDHD having been reported to date. Only one case of SDH-deficient renal carcinoma known to be SDHA mutated has been previously reported. Here we report an additional RCC harboring an SDHA mutation occurring in a 62-year-old man with right flank pain and nodal metastasis. The tumor was characterized by an infiltrative pattern with solid, acinar, and papillary components. Loss of SDHA and SDHB protein by immunohistochemistry confirmed the diagnosis. Hybrid capture-based comprehensive genomic profiling identified 3 genomic alterations in tumor tissue: (i) a novel single-nucleotide splice site deletion in SDHA gene, (ii) single-nucleotide deletion in NF2 gene, and (iii) EGFR gene amplification of 19 copies. This is the second report of SDHA-mutated RCC. With increased awareness, this rare tumor can be recognized on the basis of distinctive morphology and confirmation by immunohistochemistry and genomic profiling.","DOI":"10.1016/j.humpath.2015.07.027","ISSN":"1532-8392","note":"PMID: 26476567","title-short":"Renal carcinoma associated with a novel succinate dehydrogenase A mutation","journalAbbreviation":"Hum. Pathol.","language":"eng","author":[{"family":"Ozluk","given":"Yasemin"},{"family":"Taheri","given":"Diana"},{"family":"Matoso","given":"Andres"},{"family":"Sanli","given":"Oner"},{"family":"Berker","given":"Neslihan Kayisoglu"},{"family":"Yakirevich","given":"Evgeny"},{"family":"Balasubramanian","given":"Sohail"},{"family":"Ross","given":"Jeffrey S."},{"family":"Ali","given":"Siraj M."},{"family":"Netto","given":"George J."}],"issued":{"date-parts":[["2015",12]]}}},{"id":1673,"uris":["http://zotero.org/users/4775618/items/YNU2TDQR"],"uri":["http://zotero.org/users/4775618/items/YNU2TDQR"],"itemData":{"id":1673,"type":"article-journal","title":"Tumor risks and genotype–phenotype–proteotype analysis in 358 patients with germline mutations in SDHB and SDHD","container-title":"Human Mutation","page":"41-51","volume":"31","issue":"1","source":"Wiley Online Library","abstract":"Succinate dehydrogenase B (SDHB) and D (SDHD) subunit gene mutations predispose to adrenal and extraadrenal pheochromocytomas, head and neck paragangliomas (HNPGL), and other tumor types. We report tumor risks in 358 patients with SDHB (n=295) and SDHD (n=63) mutations. Risks of HNPGL and pheochromocytoma in SDHB mutation carriers were 29% and 52%, respectively, at age 60 years and 71% and 29%, respectively, in SDHD mutation carriers. Risks of malignant pheochromocytoma and renal tumors (14% at age 70 years) were higher in SDHB mutation carriers; 55 different mutations (including a novel recurrent exon 1 deletion) were identified. No clear genotype–phenotype correlations were detected for SDHB mutations. However, SDHD mutations predicted to result in loss of expression or a truncated or unstable protein were associated with a significantly increased risk of pheochromocytoma compared to missense mutations that were not predicted to impair protein stability (most such cases had the common p.Pro81Leu mutation). Analysis of the largest cohort of SDHB/D mutation carriers has enhanced estimates of penetrance and tumor risk and supports in silicon protein structure prediction analysis for functional assessment of mutations. The differing effect of the SDHD p.Pro81Leu on HNPGL and pheochromocytoma risks suggests differing mechanisms of tumorigenesis in SDH-associated HNPGL and pheochromocytoma. Hum Mutat 31:41–51, 2010. © 2009 Wiley-Liss, Inc.","URL":"http://onlinelibrary.wiley.com/doi/abs/10.1002/humu.21136","DOI":"10.1002/humu.21136","ISSN":"1098-1004","language":"en","author":[{"family":"Ricketts","given":"Christopher J."},{"family":"Forman","given":"Julia R."},{"family":"Rattenberry","given":"Eleanor"},{"family":"Bradshaw","given":"Nicola"},{"family":"Lalloo","given":"Fiona"},{"family":"Izatt","given":"Louise"},{"family":"Cole","given":"Trevor R."},{"family":"Armstrong","given":"Ruth"},{"family":"Kumar","given":"V. K. Ajith"},{"family":"Morrison","given":"Patrick J."},{"family":"Atkinson","given":"A. Brew"},{"family":"Douglas","given":"Fiona"},{"family":"Ball","given":"Steve G."},{"family":"Cook","given":"Jackie"},{"family":"Srirangalingam","given":"Umasuthan"},{"family":"Killick","given":"Pip"},{"family":"Kirby","given":"Gail"},{"family":"Aylwin","given":"Simon"},{"family":"Woodward","given":"Emma R."},{"family":"Evans","given":"D. Gareth R."},{"family":"Hodgson","given":"Shirley V."},{"family":"Murday","given":"Vicky"},{"family":"Chew","given":"Shern L."},{"family":"Connell","given":"John M."},{"family":"Blundell","given":"Tom L."},{"family":"MacDonald","given":"Fiona"},{"family":"Maher","given":"Eamonn R."}],"issued":{"date-parts":[["2010"]]},"accessed":{"date-parts":[["2019",3,3]]}}},{"id":341,"uris":["http://zotero.org/users/4775618/items/8RBT7W6A"],"uri":["http://zotero.org/users/4775618/items/8RBT7W6A"],"itemData":{"id":341,"type":"article-journal","title":"Succinate dehydrogenase kidney cancer: an aggressive example of the Warburg effect in cancer","container-title":"The Journal of Urology","page":"2063-2071","volume":"188","issue":"6","source":"PubMed","abstract":"PURPOSE: Recently, a new renal cell cancer syndrome has been linked to germline mutation of multiple subunits (SDHB/C/D) of the Krebs cycle enzyme, succinate dehydrogenase. We report our experience with the diagnosis, evaluation and treatment of this novel form of hereditary kidney cancer.\nMATERIALS AND METHODS: Patients with suspected hereditary kidney cancer were enrolled on a National Cancer Institute institutional review board approved protocol to study inherited forms of kidney cancer. Individuals from families with germline SDHB, SDHC and SDHD mutations, and kidney cancer underwent comprehensive clinical and genetic evaluation.\nRESULTS: A total of 14 patients from 12 SDHB mutation families were evaluated. Patients presented with renal cell cancer at an early age (33 years, range 15 to 62), metastatic kidney cancer developed in 4 and some families had no manifestation other than kidney tumors. An additional family with 6 individuals found to have clear cell renal cell cancer that presented at a young average age (47 years, range 40 to 53) was identified with a germline SDHC mutation (R133X) Metastatic disease developed in 2 of these family members. A patient with a history of carotid body paragangliomas and an aggressive form of kidney cancer was evaluated from a family with a germline SDHD mutation.\nCONCLUSIONS: SDH mutation associated renal cell carcinoma can be an aggressive type of kidney cancer, especially in younger individuals. Although detection and management of early tumors is most often associated with a good outcome, based on our initial experience with these patients and our long-term experience with hereditary leiomyomatosis and renal cell carcinoma, we recommend careful surveillance of patients at risk for SDH mutation associated renal cell carcinoma and wide surgical excision of renal tumors.","DOI":"10.1016/j.juro.2012.08.030","ISSN":"1527-3792","note":"PMID: 23083876\nPMCID: PMC3856891","title-short":"Succinate dehydrogenase kidney cancer","journalAbbreviation":"J. Urol.","language":"eng","author":[{"family":"Ricketts","given":"Christopher J."},{"family":"Shuch","given":"Brian"},{"family":"Vocke","given":"Cathy D."},{"family":"Metwalli","given":"Adam R."},{"family":"Bratslavsky","given":"Gennady"},{"family":"Middelton","given":"Lindsay"},{"family":"Yang","given":"Youfeng"},{"family":"Wei","given":"Ming-Hui"},{"family":"Pautler","given":"Stephen E."},{"family":"Peterson","given":"James"},{"family":"Stolle","given":"Catherine A."},{"family":"Zbar","given":"Berton"},{"family":"Merino","given":"Maria J."},{"family":"Schmidt","given":"Laura S."},{"family":"Pinto","given":"Peter A."},{"family":"Srinivasan","given":"Ramaprasad"},{"family":"Pacak","given":"Karel"},{"family":"Linehan","given":"W. Marston"}],"issued":{"date-parts":[["2012",12]]}}},{"id":688,"uris":["http://zotero.org/users/4775618/items/H3K5CDMX"],"uri":["http://zotero.org/users/4775618/items/H3K5CDMX"],"itemData":{"id":688,"type":"article-journal","title":"Early-Onset Renal Cell Carcinoma as a Novel Extraparaganglial Component of SDHB-Associated Heritable Paraganglioma","container-title":"American Journal of Human Genetics","page":"153-159","volume":"74","issue":"1","source":"PubMed Central","abstract":"Hereditary paraganglioma syndrome has recently been shown to be caused by germline heterozygous mutations in three (SDHB, SDHC, and SDHD) of the four genes that encode mitochondrial succinate dehydrogenase. Extraparaganglial component neoplasias have never been previously documented. In a population-based registry of symptomatic presentations of phaeochromocytoma/paraganglioma comprising 352 registrants, among whom 16 unrelated registrants were SDHB mutation positive, one family with germline SDHB mutation c.847-50delTCTC had two members with renal cell carcinoma (RCC), of solid histology, at ages 24 and 26 years. Both also had paraganglioma. A registry of early-onset RCCs revealed a family comprising a son with clear-cell RCC and his mother with a cardiac tumor, both with the germline SDHB R27X mutation. The cardiac tumor proved to be a paraganglioma. All RCCs showed loss of the remaining wild-type allele. Our observations suggest that germline SDHB mutations can predispose to early-onset kidney cancers in addition to paragangliomas and carry implications for medical surveillance.","URL":"https://www.ncbi.nlm.nih.gov/pmc/articles/PMC1181902/","ISSN":"0002-9297","note":"PMID: 14685938\nPMCID: PMC1181902","journalAbbreviation":"Am J Hum Genet","author":[{"family":"Vanharanta","given":"Sakari"},{"family":"Buchta","given":"Mary"},{"family":"McWhinney","given":"Sarah R."},{"family":"Virta","given":"Sanna K."},{"family":"Peçzkowska","given":"Mariola"},{"family":"Morrison","given":"Carl D."},{"family":"Lehtonen","given":"Rainer"},{"family":"Januszewicz","given":"Andrzej"},{"family":"Järvinen","given":"Heikki"},{"family":"Juhola","given":"Matti"},{"family":"Mecklin","given":"Jukka-Pekka"},{"family":"Pukkala","given":"Eero"},{"family":"Herva","given":"Riitta"},{"family":"Kiuru","given":"Maija"},{"family":"Nupponen","given":"Nina N."},{"family":"Aaltonen","given":"Lauri A."},{"family":"Neumann","given":"Hartmut P. H."},{"family":"Eng","given":"Charis"}],"issued":{"date-parts":[["2004",1]]},"accessed":{"date-parts":[["2018",9,1]]}}},{"id":1676,"uris":["http://zotero.org/users/4775618/items/TGME5N6U"],"uri":["http://zotero.org/users/4775618/items/TGME5N6U"],"itemData":{"id":1676,"type":"article-journal","title":"Succinate dehydrogenase-deficient renal cell carcinoma: detailed characterization of 11 tumors defining a unique subtype of renal cell carcinoma","container-title":"Modern Pathology","page":"80-94","volume":"28","issue":"1","source":"www-nature-com.ezp.lib.cam.ac.uk","abstract":"Patients with germline mutation of succinate dehydrogenase (SDH) subunit genes are prone to develop paraganglioma, gastrointestinal stromal tumor, and rarely renal cell carcinoma (RCC). However, SDH-deficient RCC is not yet widely recognized. We identified such tumors by distinctive morphology and confirmed absence of immunohistochemical staining for SDHB. Immunohistochemical features were evaluated using a panel of antibodies to renal tumor antigens. Targeted next-generation sequencing was performed on DNA extracted from paraffin-embedded tissue. Eleven tumors were identified from 10 patients, 22–72 years of age (median 40). Two patients had paragangliomas, 1 bilateral SDH-deficient RCC, and 1 contralateral oncocytoma. Grossly, tumors were tan or red–brown, 2–20 cm in diameter (median 4.25 cm). Fuhrman grade was 2 (n=10) or 3 (n=1). Stage was pT1a–pT2b. One patient developed widespread metastases 16 years after nephrectomy and died of disease 6 years later. All tumors were composed of uniform eosinophilic cells containing vacuoles or flocculent cytoplasmic inclusions. Architecture was primarily solid; entrapped renal tubules and intratumoral mast cells were common. By immunohistochemistry, tumor cells were negative for SDHB (11/11) and rarely SDHA (1/11). Labeling was uniformly positive for PAX8 and kidney-specific cadherin and absent for KIT, RCC, and carbonic anhydrase IX. Staining for broad-spectrum epithelial markers was often negative or focal (positive staining for AE1/AE3 in 4/10, CAM5.2 3/7, CK7 1/11, EMA 10/10). By sequencing, SDHB mutation and loss of the second allele were present in 5/6 tumors; the SDHA-deficient tumor showed no SDHB abnormality. SDH-deficient RCC is a unique neoplasm that is capable of progression, often harboring SDHB mutation. A monomorphic oncocytic renal tumor with solid architecture, cytoplasmic inclusions of flocculent material, and intratumoral mast cells should prompt evaluation of SDH status, as it may have implications for screening the patient and relatives. Negative immunohistochemistry for KIT and heterogeneous labeling for epithelial antigens are other supportive features.","URL":"http://www.nature.com/articles/modpathol201486","DOI":"10.1038/modpathol.2014.86","ISSN":"1530-0285","title-short":"Succinate dehydrogenase-deficient renal cell carcinoma","language":"en","author":[{"family":"Williamson","given":"Sean R."},{"family":"Eble","given":"John N."},{"family":"Amin","given":"Mahul B."},{"family":"Gupta","given":"Nilesh S."},{"family":"Smith","given":"Steven C."},{"family":"Sholl","given":"Lynette M."},{"family":"Montironi","given":"Rodolfo"},{"family":"Hirsch","given":"Michelle S."},{"family":"Hornick","given":"Jason L."}],"issued":{"date-parts":[["2015",1]]},"accessed":{"date-parts":[["2019",3,3]]}}},{"id":1657,"uris":["http://zotero.org/users/4775618/items/ZED4IEKM"],"uri":["http://zotero.org/users/4775618/items/ZED4IEKM"],"itemData":{"id":1657,"type":"article-journal","title":"SIRT5-Mediated Lysine Desuccinylation Impacts Diverse Metabolic Pathways","container-title":"Molecular Cell","page":"919-930","volume":"50","issue":"6","source":"ScienceDirect","abstract":"Summary\nProtein function is regulated by diverse posttranslational modifications. The mitochondrial sirtuin SIRT5 removes malonyl and succinyl moieties from target lysines. The spectrum of protein substrates subject to these modifications is unknown. We report systematic profiling of the mammalian succinylome, identifying 2,565 succinylation sites on 779 proteins. Most of these do not overlap with acetylation sites, suggesting differential regulation of succinylation and acetylation. Our analysis reveals potential impacts of lysine succinylation on enzymes involved in mitochondrial metabolism; e.g., amino acid degradation, the tricarboxylic acid cycle (TCA) cycle, and fatty acid metabolism. Lysine succinylation is also present on cytosolic and nuclear proteins; indeed, we show that a substantial fraction of SIRT5 is extramitochondrial. SIRT5 represses biochemical activity of, and cellular respiration through, two protein complexes identified in our analysis, pyruvate dehydrogenase complex and succinate dehydrogenase. Our data reveal widespread roles for lysine succinylation in regulating metabolism and potentially other cellular functions.","URL":"http://www.sciencedirect.com/science/article/pii/S1097276513004383","DOI":"10.1016/j.molcel.2013.06.001","ISSN":"1097-2765","journalAbbreviation":"Molecular Cell","author":[{"family":"Park","given":"Jeongsoon"},{"family":"Chen","given":"Yue"},{"family":"Tishkoff","given":"Daniel X."},{"family":"Peng","given":"Chao"},{"family":"Tan","given":"Minjia"},{"family":"Dai","given":"Lunzhai"},{"family":"Xie","given":"Zhongyu"},{"family":"Zhang","given":"Yi"},{"family":"Zwaans","given":"Bernadette M. M."},{"family":"Skinner","given":"Mary E."},{"family":"Lombard","given":"David B."},{"family":"Zhao","given":"Yingming"}],"issued":{"date-parts":[["2013",6,27]]},"accessed":{"date-parts":[["2019",3,2]]}}}],"schema":"https://github.com/citation-style-language/schema/raw/master/csl-citation.json"} </w:instrText>
            </w:r>
            <w:r>
              <w:rPr>
                <w:rFonts w:asciiTheme="minorHAnsi" w:hAnsiTheme="minorHAnsi" w:cs="Arial"/>
                <w:color w:val="000000"/>
                <w:sz w:val="18"/>
                <w:szCs w:val="18"/>
                <w:lang w:val="en-US"/>
              </w:rPr>
              <w:fldChar w:fldCharType="separate"/>
            </w:r>
            <w:r w:rsidR="004E2A88" w:rsidRPr="004E2A88">
              <w:rPr>
                <w:rFonts w:ascii="Calibri" w:hAnsiTheme="minorHAnsi" w:cs="Calibri"/>
                <w:color w:val="000000"/>
                <w:sz w:val="18"/>
                <w:vertAlign w:val="superscript"/>
                <w:lang w:val="en-US"/>
              </w:rPr>
              <w:t>4,83–85,88–92,189,191,193,248–250</w:t>
            </w:r>
            <w:r>
              <w:rPr>
                <w:rFonts w:asciiTheme="minorHAnsi" w:hAnsiTheme="minorHAnsi" w:cs="Arial"/>
                <w:color w:val="000000"/>
                <w:sz w:val="18"/>
                <w:szCs w:val="18"/>
                <w:lang w:val="en-US"/>
              </w:rPr>
              <w:fldChar w:fldCharType="end"/>
            </w:r>
          </w:p>
          <w:p w14:paraId="506D5AEB" w14:textId="77777777" w:rsidR="0006666E" w:rsidRPr="00B946E4" w:rsidRDefault="0006666E" w:rsidP="00B946E4">
            <w:pPr>
              <w:rPr>
                <w:rFonts w:asciiTheme="minorHAnsi" w:hAnsiTheme="minorHAnsi" w:cs="Arial"/>
                <w:b w:val="0"/>
                <w:sz w:val="18"/>
                <w:szCs w:val="18"/>
              </w:rPr>
            </w:pPr>
          </w:p>
        </w:tc>
      </w:tr>
      <w:tr w:rsidR="00DD4755" w:rsidRPr="00D637BA" w14:paraId="22BC7A7D" w14:textId="77777777" w:rsidTr="00E37025">
        <w:trPr>
          <w:trHeight w:val="1920"/>
        </w:trPr>
        <w:tc>
          <w:tcPr>
            <w:cnfStyle w:val="001000000000" w:firstRow="0" w:lastRow="0" w:firstColumn="1" w:lastColumn="0" w:oddVBand="0" w:evenVBand="0" w:oddHBand="0" w:evenHBand="0" w:firstRowFirstColumn="0" w:firstRowLastColumn="0" w:lastRowFirstColumn="0" w:lastRowLastColumn="0"/>
            <w:tcW w:w="0" w:type="dxa"/>
            <w:hideMark/>
          </w:tcPr>
          <w:p w14:paraId="24AC884F" w14:textId="1A7555D2" w:rsidR="0006666E" w:rsidRPr="00B946E4" w:rsidRDefault="0006666E" w:rsidP="00B946E4">
            <w:pPr>
              <w:rPr>
                <w:rFonts w:asciiTheme="minorHAnsi" w:hAnsiTheme="minorHAnsi" w:cs="Arial"/>
                <w:b w:val="0"/>
                <w:sz w:val="18"/>
                <w:szCs w:val="18"/>
              </w:rPr>
            </w:pPr>
            <w:r w:rsidRPr="00B946E4">
              <w:rPr>
                <w:rFonts w:asciiTheme="minorHAnsi" w:hAnsiTheme="minorHAnsi" w:cs="Arial"/>
                <w:color w:val="000000"/>
                <w:kern w:val="24"/>
                <w:sz w:val="18"/>
                <w:szCs w:val="18"/>
              </w:rPr>
              <w:t>L2</w:t>
            </w:r>
            <w:r w:rsidRPr="006E7C99">
              <w:rPr>
                <w:rFonts w:asciiTheme="minorHAnsi" w:hAnsiTheme="minorHAnsi" w:cs="Arial"/>
                <w:color w:val="000000"/>
                <w:kern w:val="24"/>
                <w:sz w:val="18"/>
                <w:szCs w:val="18"/>
              </w:rPr>
              <w:t>-hydroxyglutarate</w:t>
            </w:r>
          </w:p>
        </w:tc>
        <w:tc>
          <w:tcPr>
            <w:tcW w:w="0" w:type="dxa"/>
            <w:hideMark/>
          </w:tcPr>
          <w:p w14:paraId="09F60B0E"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i/>
                <w:sz w:val="18"/>
                <w:szCs w:val="18"/>
              </w:rPr>
            </w:pPr>
            <w:r w:rsidRPr="00B946E4">
              <w:rPr>
                <w:rFonts w:asciiTheme="minorHAnsi" w:hAnsiTheme="minorHAnsi" w:cs="Arial"/>
                <w:i/>
                <w:color w:val="000000"/>
                <w:kern w:val="24"/>
                <w:sz w:val="18"/>
                <w:szCs w:val="18"/>
              </w:rPr>
              <w:t>L2HGDH</w:t>
            </w:r>
          </w:p>
          <w:p w14:paraId="3F12CF15"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p>
          <w:p w14:paraId="4F9F3EE8" w14:textId="226A20FF"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p>
        </w:tc>
        <w:tc>
          <w:tcPr>
            <w:tcW w:w="0" w:type="dxa"/>
            <w:hideMark/>
          </w:tcPr>
          <w:p w14:paraId="2B3D21CD" w14:textId="1AAD1F72" w:rsidR="0006666E" w:rsidRPr="00D637BA" w:rsidRDefault="00344EDA"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r>
              <w:rPr>
                <w:rFonts w:asciiTheme="minorHAnsi" w:hAnsiTheme="minorHAnsi" w:cs="Arial"/>
                <w:color w:val="000000"/>
                <w:kern w:val="24"/>
                <w:sz w:val="18"/>
                <w:szCs w:val="18"/>
              </w:rPr>
              <w:t>cc</w:t>
            </w:r>
            <w:r w:rsidR="0006666E" w:rsidRPr="00B946E4">
              <w:rPr>
                <w:rFonts w:asciiTheme="minorHAnsi" w:hAnsiTheme="minorHAnsi" w:cs="Arial"/>
                <w:color w:val="000000"/>
                <w:kern w:val="24"/>
                <w:sz w:val="18"/>
                <w:szCs w:val="18"/>
              </w:rPr>
              <w:t>RCC</w:t>
            </w:r>
          </w:p>
          <w:p w14:paraId="6253BE9C" w14:textId="7E9C201E" w:rsidR="0055465D" w:rsidRDefault="00FB0ED7" w:rsidP="00B946E4">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r>
              <w:rPr>
                <w:rFonts w:asciiTheme="minorHAnsi" w:hAnsiTheme="minorHAnsi" w:cs="Arial"/>
                <w:color w:val="000000"/>
                <w:kern w:val="24"/>
                <w:sz w:val="18"/>
                <w:szCs w:val="18"/>
              </w:rPr>
              <w:t>M</w:t>
            </w:r>
            <w:r w:rsidR="00344EDA">
              <w:rPr>
                <w:rFonts w:asciiTheme="minorHAnsi" w:hAnsiTheme="minorHAnsi" w:cs="Arial"/>
                <w:color w:val="000000"/>
                <w:kern w:val="24"/>
                <w:sz w:val="18"/>
                <w:szCs w:val="18"/>
              </w:rPr>
              <w:t>ost common RCC subtype ~70-80%</w:t>
            </w:r>
          </w:p>
          <w:p w14:paraId="180D4168" w14:textId="5C4E229E" w:rsidR="00344EDA" w:rsidRDefault="00FB0ED7" w:rsidP="00B946E4">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r>
              <w:rPr>
                <w:rFonts w:asciiTheme="minorHAnsi" w:hAnsiTheme="minorHAnsi" w:cs="Arial"/>
                <w:color w:val="000000"/>
                <w:kern w:val="24"/>
                <w:sz w:val="18"/>
                <w:szCs w:val="18"/>
              </w:rPr>
              <w:t>Age of onsent (mean 64 years)</w:t>
            </w:r>
          </w:p>
          <w:p w14:paraId="060B05D9" w14:textId="3D41DCAB" w:rsidR="00344EDA" w:rsidRDefault="00344EDA" w:rsidP="00B946E4">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r>
              <w:rPr>
                <w:rFonts w:asciiTheme="minorHAnsi" w:hAnsiTheme="minorHAnsi" w:cs="Arial"/>
                <w:color w:val="000000"/>
                <w:kern w:val="24"/>
                <w:sz w:val="18"/>
                <w:szCs w:val="18"/>
              </w:rPr>
              <w:t>Aggressive phenotype</w:t>
            </w:r>
          </w:p>
          <w:p w14:paraId="4BA6DA54" w14:textId="7D487C22" w:rsidR="0055465D" w:rsidRPr="00970F62" w:rsidRDefault="0055465D" w:rsidP="00B946E4">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kern w:val="24"/>
                <w:sz w:val="18"/>
                <w:szCs w:val="18"/>
              </w:rPr>
            </w:pPr>
            <w:r w:rsidRPr="00970F62">
              <w:rPr>
                <w:rFonts w:asciiTheme="minorHAnsi" w:hAnsiTheme="minorHAnsi" w:cs="Arial"/>
                <w:color w:val="000000" w:themeColor="text1"/>
                <w:kern w:val="24"/>
                <w:sz w:val="18"/>
                <w:szCs w:val="18"/>
              </w:rPr>
              <w:t>Lower L2HGDH expression</w:t>
            </w:r>
            <w:r w:rsidR="00103D3F" w:rsidRPr="00970F62">
              <w:rPr>
                <w:rFonts w:asciiTheme="minorHAnsi" w:hAnsiTheme="minorHAnsi" w:cs="Arial"/>
                <w:color w:val="000000" w:themeColor="text1"/>
                <w:kern w:val="24"/>
                <w:sz w:val="18"/>
                <w:szCs w:val="18"/>
              </w:rPr>
              <w:t xml:space="preserve"> and increased L2HG levels </w:t>
            </w:r>
            <w:r w:rsidRPr="00970F62">
              <w:rPr>
                <w:rFonts w:asciiTheme="minorHAnsi" w:hAnsiTheme="minorHAnsi" w:cs="Arial"/>
                <w:color w:val="000000" w:themeColor="text1"/>
                <w:kern w:val="24"/>
                <w:sz w:val="18"/>
                <w:szCs w:val="18"/>
              </w:rPr>
              <w:t xml:space="preserve"> associated with tumour progression and</w:t>
            </w:r>
            <w:r w:rsidR="00103D3F" w:rsidRPr="00970F62">
              <w:rPr>
                <w:rFonts w:asciiTheme="minorHAnsi" w:hAnsiTheme="minorHAnsi" w:cs="Arial"/>
                <w:color w:val="000000" w:themeColor="text1"/>
                <w:kern w:val="24"/>
                <w:sz w:val="18"/>
                <w:szCs w:val="18"/>
              </w:rPr>
              <w:t>/or</w:t>
            </w:r>
            <w:r w:rsidRPr="00970F62">
              <w:rPr>
                <w:rFonts w:asciiTheme="minorHAnsi" w:hAnsiTheme="minorHAnsi" w:cs="Arial"/>
                <w:color w:val="000000" w:themeColor="text1"/>
                <w:kern w:val="24"/>
                <w:sz w:val="18"/>
                <w:szCs w:val="18"/>
              </w:rPr>
              <w:t xml:space="preserve"> worsened survival</w:t>
            </w:r>
          </w:p>
          <w:p w14:paraId="256DB06A" w14:textId="77777777" w:rsidR="00DD4755" w:rsidRPr="00B946E4" w:rsidRDefault="00DD4755"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p>
          <w:p w14:paraId="63466EF1" w14:textId="77777777" w:rsidR="0006666E" w:rsidRPr="00B946E4"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sidRPr="00B946E4">
              <w:rPr>
                <w:rFonts w:asciiTheme="minorHAnsi" w:hAnsiTheme="minorHAnsi" w:cs="Arial"/>
                <w:color w:val="000000"/>
                <w:kern w:val="24"/>
                <w:sz w:val="18"/>
                <w:szCs w:val="18"/>
              </w:rPr>
              <w:t>Associated with Wilms’ tumour</w:t>
            </w:r>
          </w:p>
        </w:tc>
        <w:tc>
          <w:tcPr>
            <w:tcW w:w="0" w:type="dxa"/>
            <w:hideMark/>
          </w:tcPr>
          <w:p w14:paraId="201AF99B" w14:textId="4D7DDE41" w:rsidR="0006666E" w:rsidRDefault="0006666E"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r w:rsidRPr="00B946E4">
              <w:rPr>
                <w:rFonts w:asciiTheme="minorHAnsi" w:hAnsiTheme="minorHAnsi" w:cs="Arial"/>
                <w:color w:val="000000"/>
                <w:kern w:val="24"/>
                <w:sz w:val="18"/>
                <w:szCs w:val="18"/>
              </w:rPr>
              <w:t>L2HGDH re-expression</w:t>
            </w:r>
          </w:p>
          <w:p w14:paraId="70C44312" w14:textId="126CE0FA" w:rsidR="001364AA" w:rsidRPr="00B946E4" w:rsidRDefault="001364AA"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Pr>
                <w:rFonts w:asciiTheme="minorHAnsi" w:hAnsiTheme="minorHAnsi" w:cs="Arial"/>
                <w:color w:val="000000"/>
                <w:kern w:val="24"/>
                <w:sz w:val="18"/>
                <w:szCs w:val="18"/>
              </w:rPr>
              <w:t>MDH2 inhibition</w:t>
            </w:r>
          </w:p>
          <w:p w14:paraId="4D2FDCDF" w14:textId="77777777" w:rsidR="00B66D59" w:rsidRDefault="00B66D59"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kern w:val="24"/>
                <w:sz w:val="18"/>
                <w:szCs w:val="18"/>
              </w:rPr>
            </w:pPr>
          </w:p>
          <w:p w14:paraId="34AD3092" w14:textId="00101B38" w:rsidR="0006666E" w:rsidRPr="00B946E4" w:rsidRDefault="00B66D59" w:rsidP="00B946E4">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18"/>
                <w:szCs w:val="18"/>
              </w:rPr>
            </w:pPr>
            <w:r>
              <w:rPr>
                <w:rFonts w:asciiTheme="minorHAnsi" w:hAnsiTheme="minorHAnsi" w:cs="Arial"/>
                <w:color w:val="000000"/>
                <w:kern w:val="24"/>
                <w:sz w:val="18"/>
                <w:szCs w:val="18"/>
              </w:rPr>
              <w:t>*</w:t>
            </w:r>
          </w:p>
        </w:tc>
        <w:tc>
          <w:tcPr>
            <w:cnfStyle w:val="000100000000" w:firstRow="0" w:lastRow="0" w:firstColumn="0" w:lastColumn="1" w:oddVBand="0" w:evenVBand="0" w:oddHBand="0" w:evenHBand="0" w:firstRowFirstColumn="0" w:firstRowLastColumn="0" w:lastRowFirstColumn="0" w:lastRowLastColumn="0"/>
            <w:tcW w:w="0" w:type="dxa"/>
            <w:hideMark/>
          </w:tcPr>
          <w:p w14:paraId="51622A59" w14:textId="145E7592" w:rsidR="008B37B7" w:rsidRPr="00B946E4" w:rsidRDefault="008B37B7" w:rsidP="008B37B7">
            <w:pPr>
              <w:rPr>
                <w:rFonts w:asciiTheme="minorHAnsi" w:hAnsiTheme="minorHAnsi" w:cs="Arial"/>
                <w:bCs w:val="0"/>
                <w:sz w:val="18"/>
                <w:szCs w:val="18"/>
              </w:rPr>
            </w:pPr>
            <w:r>
              <w:rPr>
                <w:rFonts w:asciiTheme="minorHAnsi" w:hAnsiTheme="minorHAnsi" w:cs="Arial"/>
                <w:color w:val="000000"/>
                <w:sz w:val="18"/>
                <w:szCs w:val="18"/>
                <w:lang w:val="en-US"/>
              </w:rPr>
              <w:fldChar w:fldCharType="begin"/>
            </w:r>
            <w:r w:rsidR="004E2A88">
              <w:rPr>
                <w:rFonts w:asciiTheme="minorHAnsi" w:hAnsiTheme="minorHAnsi" w:cs="Arial"/>
                <w:color w:val="000000"/>
                <w:sz w:val="18"/>
                <w:szCs w:val="18"/>
                <w:lang w:val="en-US"/>
              </w:rPr>
              <w:instrText xml:space="preserve"> ADDIN ZOTERO_ITEM CSL_CITATION {"citationID":"a4remkomud","properties":{"formattedCitation":"\\super 65,76,110,251,252\\nosupersub{}","plainCitation":"65,76,110,251,252","noteIndex":0},"citationItems":[{"id":450,"uris":["http://zotero.org/users/4775618/items/EMK8I6YE"],"uri":["http://zotero.org/users/4775618/items/EMK8I6YE"],"itemData":{"id":450,"type":"article-journal","title":"Wilms tumor in a child with L-2-hydroxyglutaric aciduria","container-title":"Pediatric and Developmental Pathology: The Official Journal of the Society for Pediatric Pathology and the Paediatric Pathology Society","page":"408-411","volume":"13","issue":"5","source":"PubMed","abstract":"We report a male infant with L-2-hydroxyglutaric aciduria and Wilms tumor. L-2-hydroxyglutaric aciduria is a rare, autosomal-recessive, inborn error of metabolism characterized by a variable degree of progressive encephalopathy. Of the fewer than 100 cases reported in the literature, at least 9 patients have developed tumors of the central nervous system. To our knowledge, the present case is the 1st example of an extracranial tumor associated with L-2-hydroxyglutaric aciduria. This observation potentially widens the tumor spectrum in this metabolic disorder and may lead to further insight into the relationship between L-2-hydroxyglutaric acid and cellular transformation.","DOI":"10.2350/09-12-0768-CR.1","ISSN":"1093-5266","note":"PMID: 20064066","journalAbbreviation":"Pediatr. Dev. Pathol.","language":"eng","author":[{"family":"Rogers","given":"Robert E."},{"family":"Deberardinis","given":"Ralph J."},{"family":"Klesse","given":"Laura J."},{"family":"Boriack","given":"Richard L."},{"family":"Margraf","given":"Linda R."},{"family":"Rakheja","given":"Dinesh"}],"issued":{"date-parts":[["2010",10]]}}},{"id":784,"uris":["http://zotero.org/users/4775618/items/A2JRYGNB"],"uri":["http://zotero.org/users/4775618/items/A2JRYGNB"],"itemData":{"id":784,"type":"article-journal","title":"Biochemical and Epigenetic Insights into L-2-Hydroxyglutarate, a Potential Therapeutic Target in Renal Cancer","container-title":"Clinical Cancer Research: An Official Journal of the American Association for Cancer Research","source":"PubMed","abstract":"Purpose: Elevation of L-2-hydroxylgutarate (L-2-HG) in renal cell carcinoma (RCC) is due in part to reduced expression of L-2-HG dehydrogenase (L2HGDH). However, the contribution of L-2-HG to renal carcinogenesis and insight into the biochemistry and targets of this small molecule remains to be elucidated.Experimental Design: Genetic and pharmacologic approaches to modulate L-2-HG levels were assessed for effects on in vitro and in vivo phenotypes. Metabolomics was used to dissect the biochemical mechanisms that promote L-2-HG accumulation in RCC cells. Transcriptomic analysis was utilized to identify relevant targets of L-2-HG. Finally, bioinformatic and metabolomic analyses were used to assess the L-2-HG/L2HGDH axis as a function of patient outcome and cancer progression.Results: L2HGDH suppresses both in vitro cell migration and in vivo tumor growth and these effects are mediated by L2HGDH's catalytic activity. Biochemical studies indicate that glutamine is the predominant carbon source for L-2-HG via the activity of malate dehydrogenase 2 (MDH2). Inhibition of the glutamine-MDH2 axis suppresses in vitro phenotypes in an L-2-HG-dependent manner. Moreover, in vivo growth of RCC cells with basal elevation of L-2-HG is suppressed by glutaminase inhibition. Transcriptomic and functional analyses demonstrate that the histone demethylase KDM6A is a target of L-2-HG in RCC. Finally, increased L-2-HG levels, L2HGDH copy loss, and lower L2HGDH expression are associated with tumor progression and/or worsened prognosis in patients with RCC.Conclusions: Collectively, our studies provide biochemical and mechanistic insight into the biology of this small molecule and provide new opportunities for treating L-2-HG-driven kidney cancers. Clin Cancer Res; 1-14. ©2018 AACR.","DOI":"10.1158/1078-0432.CCR-18-1727","ISSN":"1078-0432","note":"PMID: 30108105","journalAbbreviation":"Clin. Cancer Res.","language":"eng","author":[{"family":"Shelar","given":"Sandeep"},{"family":"Shim","given":"Eun-Hee"},{"family":"Brinkley","given":"Garrett J."},{"family":"Kundu","given":"Anirban"},{"family":"Carobbio","given":"Francesca"},{"family":"Poston","given":"Tyler"},{"family":"Tan","given":"Jubilee"},{"family":"Parekh","given":"Vishwas"},{"family":"Benson","given":"Daniel"},{"family":"Crossman","given":"David K."},{"family":"Buckhaults","given":"Phillip J."},{"family":"Rakheja","given":"Dinesh"},{"family":"Kirkman","given":"Richard"},{"family":"Sato","given":"Yusuke"},{"family":"Ogawa","given":"Seishi"},{"family":"Dutta","given":"Shilpa"},{"family":"Velu","given":"Sadanandan E."},{"family":"Emberley","given":"Ethan"},{"family":"Pan","given":"Alison"},{"family":"Chen","given":"Jason"},{"family":"Huang","given":"Tony"},{"family":"Absher","given":"Devin"},{"family":"Becker","given":"Anja"},{"family":"Kunick","given":"Conrad"},{"family":"Sudarshan","given":"Sunil"}],"issued":{"date-parts":[["2018",8,14]]}}},{"id":294,"uris":["http://zotero.org/users/4775618/items/KQPSSL3S"],"uri":["http://zotero.org/users/4775618/items/KQPSSL3S"],"itemData":{"id":294,"type":"article-journal","title":"l-2-Hydroxyglutarate: An Epigenetic Modifier and Putative Oncometabolite in Renal Cancer","container-title":"Cancer Discovery","page":"1290-1298","volume":"4","issue":"11","source":"cancerdiscovery.aacrjournals.org","abstract":"Through unbiased metabolomics, we identified elevations of the metabolite 2-hydroxyglutarate (2HG) in renal cell carcinoma (RCC). 2HG can inhibit 2-oxoglutaratre (2-OG)–dependent dioxygenases that mediate epigenetic events, including DNA and histone demethylation. 2HG accumulation, specifically the d enantiomer, can result from gain-of-function mutations of isocitrate dehydrogenase (IDH1, IDH2) found in several different tumors. In contrast, kidney tumors demonstrate elevations of the l enantiomer of 2HG (l-2HG). High-2HG tumors demonstrate reduced DNA levels of 5-hydroxymethylcytosine (5hmC), consistent with 2HG-mediated inhibition of ten-eleven translocation (TET) enzymes, which convert 5-methylcytosine (5mC) to 5hmC. l-2HG elevation is mediated in part by reduced expression of l-2HG dehydrogenase (L2HGDH). L2HGDH reconstitution in RCC cells lowers l-2HG and promotes 5hmC accumulation. In addition, L2HGDH expression in RCC cells reduces histone methylation and suppresses in vitro tumor phenotypes. Our report identifies l-2HG as an epigenetic modifier and putative oncometabolite in kidney cancer.\nSignificance: Here, we report elevations of the putative oncometabolite l-2HG in the most common subtype of kidney cancer and describe a novel mechanism for the regulation of DNA 5hmC levels. Our findings provide new insight into the metabolic basis for the epigenetic landscape of renal cancer. Cancer Discov; 4(11); 1290–8. ©2014 AACR.\nThis article is highlighted in the In This Issue feature, p. 1243","URL":"http://cancerdiscovery.aacrjournals.org/content/4/11/1290","DOI":"10.1158/2159-8290.CD-13-0696","ISSN":"2159-8274, 2159-8290","note":"PMID: 25182153","title-short":"l-2-Hydroxyglutarate","journalAbbreviation":"Cancer Discov","language":"en","author":[{"family":"Shim","given":"Eun-Hee"},{"family":"Livi","given":"Carolina B."},{"family":"Rakheja","given":"Dinesh"},{"family":"Tan","given":"Jubilee"},{"family":"Benson","given":"Daniel"},{"family":"Parekh","given":"Vishwas"},{"family":"Kho","given":"Eun-Young"},{"family":"Ghosh","given":"Arindam P."},{"family":"Kirkman","given":"Richard"},{"family":"Velu","given":"Sadanan"},{"family":"Dutta","given":"Shilpa"},{"family":"Chenna","given":"Balachandra"},{"family":"Rea","given":"Shane L."},{"family":"Mishur","given":"Robert J."},{"family":"Li","given":"Qiuhua"},{"family":"Johnson-Pais","given":"Teresa L."},{"family":"Guo","given":"Lining"},{"family":"Bae","given":"Sejong"},{"family":"Wei","given":"Shi"},{"family":"Block","given":"Karen"},{"family":"Sudarshan","given":"Sunil"}],"issued":{"date-parts":[["2014",11,1]]},"accessed":{"date-parts":[["2018",3,25]]}}},{"id":962,"uris":["http://zotero.org/users/4775618/items/TF3N7UCY"],"uri":["http://zotero.org/users/4775618/items/TF3N7UCY"],"itemData":{"id":962,"type":"article-journal","title":"Genetic and metabolic hallmarks of clear cell renal cell carcinoma","container-title":"Biochimica et Biophysica Acta (BBA) - Reviews on Cancer","collection-title":"Cancer metabolism","page":"23-31","volume":"1870","issue":"1","source":"ScienceDirect","abstract":"Clear cell renal cell carcinoma (ccRCC) is a malignancy characterized by deregulated hypoxia-inducible factor signaling, mutation of several key chromatin modifying enzymes, and numerous alterations in cellular metabolism. Pre-clinical studies have historically been limited to cell culture models, however, the identification of critical tumor suppressors and oncogenes from large-scale patient sequencing data has led to several new genetically engineered mouse models with phenotypes reminiscent of ccRCC. In this review, we summarize recent literature on these topics and discuss how they inform targeted therapeutic approaches for the treatment of ccRCC.","URL":"http://www.sciencedirect.com/science/article/pii/S0304419X18300441","DOI":"10.1016/j.bbcan.2018.06.003","ISSN":"0304-419X","journalAbbreviation":"Biochimica et Biophysica Acta (BBA) - Reviews on Cancer","author":[{"family":"Sanchez","given":"Danielle J."},{"family":"Simon","given":"M. Celeste"}],"issued":{"date-parts":[["2018",8,1]]},"accessed":{"date-parts":[["2019",1,11]]}}},{"id":2820,"uris":["http://zotero.org/users/4775618/items/5ZX5I8WV"],"uri":["http://zotero.org/users/4775618/items/5ZX5I8WV"],"itemData":{"id":2820,"type":"article-journal","title":"Histological subtyping and nuclear grading of renal cell carcinoma and their implications for survival: a retrospective nation-wide study of 629 patients","container-title":"European Urology","page":"593-600","volume":"48","issue":"4","source":"PubMed","abstract":"OBJECTS: The aim of this study was to evaluate the prognostic significance of the current WHO histological subtyping and Fuhrman nuclear grading on the survival of patients with renal cell carcinoma (RCC).\nMATERIALS AND METHODS: A retrospective population-based study was carried out on all patients with a histopathologically confirmed diagnosis of RCC in Iceland between 1971 and 2000. Fuhrman grade, TNM stage, and survival were evaluated and multivariate analysis applied in order to determine prognostic factors.\nRESULTS: Out of 629 patients (387 males, 242 females, mean age 64 years), 558 (88.7%) had clear cell, 53 (8.4%) papillary, and 13 (2.1%) chromophobe RCC. Patient demographics were comparable for the two major subtypes, but chromophobe RCCs were larger in size and were diagnosed at a younger age. Clear cell RCCs were more often of higher grades (G3+G4, 48.4%) and at advanced TNM stages (III+IV, 59.3%) than papillary RCCs (22.6% and 34% respectively, p&lt;0.001). Linear regression analysis showed a strong correlation between grade, tumor size, and stage (p&lt;0.001). Chromophobe RCCs had a better survival in univariate analysis than both papillary and clear cell RCCs (84.6% vs. 66.5% and 54.9% 5-year disease specific survival, p&lt;0.001). However, in the multivariate analysis, only the patient's age, calendar year of diagnosis, TNM stage, and nuclear grade were independent prognostic factors of survival.\nCONCLUSION: In this complete nation-wide series nuclear grading is important in predicting survival of patients with RCC. It is strongly related to both tumor size and stage, with stage being by far the strongest prognostic factor. Different histological subtypes confer different survival. However, in spite of the distinctive cytogenetic and molecular characteristics of the subtypes, the survival difference is to a large extent due to differences in grade and particularly stage.","DOI":"10.1016/j.eururo.2005.04.016","ISSN":"0302-2838","note":"PMID: 15964127","title-short":"Histological subtyping and nuclear grading of renal cell carcinoma and their implications for survival","journalAbbreviation":"Eur. Urol.","language":"eng","author":[{"family":"Gudbjartsson","given":"Tomas"},{"family":"Hardarson","given":"Sverrir"},{"family":"Petursdottir","given":"Vigdis"},{"family":"Thoroddsen","given":"Asgeir"},{"family":"Magnusson","given":"Jonas"},{"family":"Einarsson","given":"Gudmundur V."}],"issued":{"date-parts":[["2005",10]]}}}],"schema":"https://github.com/citation-style-language/schema/raw/master/csl-citation.json"} </w:instrText>
            </w:r>
            <w:r>
              <w:rPr>
                <w:rFonts w:asciiTheme="minorHAnsi" w:hAnsiTheme="minorHAnsi" w:cs="Arial"/>
                <w:color w:val="000000"/>
                <w:sz w:val="18"/>
                <w:szCs w:val="18"/>
                <w:lang w:val="en-US"/>
              </w:rPr>
              <w:fldChar w:fldCharType="separate"/>
            </w:r>
            <w:r w:rsidR="004E2A88" w:rsidRPr="004E2A88">
              <w:rPr>
                <w:rFonts w:ascii="Calibri" w:hAnsiTheme="minorHAnsi" w:cs="Calibri"/>
                <w:color w:val="000000"/>
                <w:sz w:val="18"/>
                <w:vertAlign w:val="superscript"/>
                <w:lang w:val="en-US"/>
              </w:rPr>
              <w:t>65,76,110,251,252</w:t>
            </w:r>
            <w:r>
              <w:rPr>
                <w:rFonts w:asciiTheme="minorHAnsi" w:hAnsiTheme="minorHAnsi" w:cs="Arial"/>
                <w:color w:val="000000"/>
                <w:sz w:val="18"/>
                <w:szCs w:val="18"/>
                <w:lang w:val="en-US"/>
              </w:rPr>
              <w:fldChar w:fldCharType="end"/>
            </w:r>
          </w:p>
          <w:p w14:paraId="732D0F9A" w14:textId="6BB787D4" w:rsidR="00FB0ED7" w:rsidRPr="00B946E4" w:rsidRDefault="00FB0ED7" w:rsidP="00B946E4">
            <w:pPr>
              <w:rPr>
                <w:rFonts w:asciiTheme="minorHAnsi" w:hAnsiTheme="minorHAnsi" w:cs="Arial"/>
                <w:b w:val="0"/>
                <w:sz w:val="18"/>
                <w:szCs w:val="18"/>
              </w:rPr>
            </w:pPr>
          </w:p>
        </w:tc>
      </w:tr>
    </w:tbl>
    <w:p w14:paraId="4A326195" w14:textId="77777777" w:rsidR="00DA2153" w:rsidRPr="00D637BA" w:rsidRDefault="00DA2153" w:rsidP="0075772B">
      <w:pPr>
        <w:spacing w:line="360" w:lineRule="auto"/>
        <w:jc w:val="both"/>
        <w:rPr>
          <w:rFonts w:ascii="Calibri" w:hAnsi="Calibri" w:cs="Calibri"/>
          <w:b/>
          <w:bCs/>
          <w:color w:val="000000" w:themeColor="text1"/>
          <w:sz w:val="18"/>
          <w:szCs w:val="18"/>
        </w:rPr>
      </w:pPr>
    </w:p>
    <w:p w14:paraId="75338F20" w14:textId="3C5A4F53" w:rsidR="0075772B" w:rsidRPr="00D637BA" w:rsidRDefault="0075772B" w:rsidP="0075772B">
      <w:pPr>
        <w:spacing w:line="360" w:lineRule="auto"/>
        <w:jc w:val="both"/>
        <w:rPr>
          <w:rFonts w:ascii="Calibri" w:hAnsi="Calibri" w:cs="Calibri"/>
          <w:color w:val="000000" w:themeColor="text1"/>
          <w:sz w:val="18"/>
          <w:szCs w:val="18"/>
        </w:rPr>
      </w:pPr>
      <w:r w:rsidRPr="00D637BA">
        <w:rPr>
          <w:rFonts w:ascii="Calibri" w:hAnsi="Calibri" w:cs="Calibri"/>
          <w:b/>
          <w:bCs/>
          <w:color w:val="000000" w:themeColor="text1"/>
          <w:sz w:val="18"/>
          <w:szCs w:val="18"/>
        </w:rPr>
        <w:t>Abbreviations</w:t>
      </w:r>
      <w:r w:rsidRPr="00D637BA">
        <w:rPr>
          <w:rFonts w:ascii="Calibri" w:hAnsi="Calibri" w:cs="Calibri"/>
          <w:color w:val="000000" w:themeColor="text1"/>
          <w:sz w:val="18"/>
          <w:szCs w:val="18"/>
        </w:rPr>
        <w:t xml:space="preserve">: ABL1 - Abelson Murine Leukaemia viral oncogene homolog 1, ccRCC – clear cell RCC, FH- fumarate hydratase, GDH – glutamate dehydrogenase, HLRCC – Hereditary Leiomyomatosis and Renal Cell Cancer, L2HG – L-2-hydroxyglutarate, L2HGDH – L2HG dehydrogenase, MDH2 – malate dehydrogenase 2, </w:t>
      </w:r>
      <w:r w:rsidR="00BE048E" w:rsidRPr="00D637BA">
        <w:rPr>
          <w:rFonts w:ascii="Calibri" w:hAnsi="Calibri" w:cs="Calibri"/>
          <w:color w:val="000000" w:themeColor="text1"/>
          <w:sz w:val="18"/>
          <w:szCs w:val="18"/>
        </w:rPr>
        <w:t>PC – pyruvate carboxylase</w:t>
      </w:r>
      <w:r w:rsidR="009929D0" w:rsidRPr="00D637BA">
        <w:rPr>
          <w:rFonts w:ascii="Calibri" w:hAnsi="Calibri" w:cs="Calibri"/>
          <w:color w:val="000000" w:themeColor="text1"/>
          <w:sz w:val="18"/>
          <w:szCs w:val="18"/>
        </w:rPr>
        <w:t xml:space="preserve">, </w:t>
      </w:r>
      <w:r w:rsidRPr="00D637BA">
        <w:rPr>
          <w:rFonts w:ascii="Calibri" w:hAnsi="Calibri" w:cs="Calibri"/>
          <w:color w:val="000000" w:themeColor="text1"/>
          <w:sz w:val="18"/>
          <w:szCs w:val="18"/>
        </w:rPr>
        <w:t>pRCC – papillary RCC, RCC- renal cell carcinoma, SDHAF- succinate dehydrogenase assembly factor, SDH- succinate dehydrogenase, SIRT - silent mating type information regulation 2 homolog, TKB1- tank-binding kinase 1</w:t>
      </w:r>
    </w:p>
    <w:p w14:paraId="4A916628" w14:textId="77777777" w:rsidR="000B35F0" w:rsidRPr="00D637BA" w:rsidRDefault="000B35F0" w:rsidP="0075772B">
      <w:pPr>
        <w:spacing w:line="360" w:lineRule="auto"/>
        <w:jc w:val="both"/>
        <w:rPr>
          <w:rFonts w:ascii="Calibri" w:hAnsi="Calibri" w:cs="Calibri"/>
          <w:color w:val="000000" w:themeColor="text1"/>
          <w:sz w:val="18"/>
          <w:szCs w:val="18"/>
        </w:rPr>
      </w:pPr>
    </w:p>
    <w:p w14:paraId="5C54B44D" w14:textId="77777777" w:rsidR="00FE187C" w:rsidRPr="00B946E4" w:rsidRDefault="00FE187C">
      <w:pPr>
        <w:rPr>
          <w:rFonts w:ascii="Calibri" w:hAnsi="Calibri" w:cs="Calibri"/>
          <w:b/>
          <w:bCs/>
          <w:color w:val="000000" w:themeColor="text1"/>
          <w:sz w:val="20"/>
          <w:szCs w:val="22"/>
        </w:rPr>
      </w:pPr>
      <w:r w:rsidRPr="00B946E4">
        <w:rPr>
          <w:rFonts w:ascii="Calibri" w:hAnsi="Calibri" w:cs="Calibri"/>
          <w:b/>
          <w:bCs/>
          <w:color w:val="000000" w:themeColor="text1"/>
          <w:sz w:val="20"/>
          <w:szCs w:val="22"/>
        </w:rPr>
        <w:br w:type="page"/>
      </w:r>
    </w:p>
    <w:p w14:paraId="67539CB9" w14:textId="7FEEBD8C" w:rsidR="000B35F0" w:rsidRPr="00B946E4" w:rsidRDefault="000B35F0" w:rsidP="000B35F0">
      <w:pPr>
        <w:spacing w:line="360" w:lineRule="auto"/>
        <w:jc w:val="both"/>
        <w:rPr>
          <w:rFonts w:ascii="Calibri" w:hAnsi="Calibri" w:cs="Calibri"/>
          <w:color w:val="000000" w:themeColor="text1"/>
          <w:sz w:val="22"/>
          <w:szCs w:val="22"/>
        </w:rPr>
      </w:pPr>
      <w:r w:rsidRPr="00B946E4">
        <w:rPr>
          <w:rFonts w:ascii="Calibri" w:hAnsi="Calibri" w:cs="Calibri"/>
          <w:b/>
          <w:bCs/>
          <w:color w:val="000000" w:themeColor="text1"/>
          <w:sz w:val="22"/>
          <w:szCs w:val="22"/>
        </w:rPr>
        <w:lastRenderedPageBreak/>
        <w:t xml:space="preserve">Figure 1: </w:t>
      </w:r>
      <w:r w:rsidR="000D3897" w:rsidRPr="00B946E4">
        <w:rPr>
          <w:rFonts w:ascii="Calibri" w:hAnsi="Calibri" w:cs="Calibri"/>
          <w:b/>
          <w:bCs/>
          <w:color w:val="000000" w:themeColor="text1"/>
          <w:sz w:val="22"/>
          <w:szCs w:val="22"/>
        </w:rPr>
        <w:t>K</w:t>
      </w:r>
      <w:r w:rsidRPr="00B946E4">
        <w:rPr>
          <w:rFonts w:ascii="Calibri" w:hAnsi="Calibri" w:cs="Calibri"/>
          <w:b/>
          <w:bCs/>
          <w:color w:val="000000" w:themeColor="text1"/>
          <w:sz w:val="22"/>
          <w:szCs w:val="22"/>
        </w:rPr>
        <w:t xml:space="preserve">ey metabolic pathways in </w:t>
      </w:r>
      <w:r w:rsidR="006672BF" w:rsidRPr="00B946E4">
        <w:rPr>
          <w:rFonts w:ascii="Calibri" w:hAnsi="Calibri" w:cs="Calibri"/>
          <w:b/>
          <w:bCs/>
          <w:color w:val="000000" w:themeColor="text1"/>
          <w:sz w:val="22"/>
          <w:szCs w:val="22"/>
        </w:rPr>
        <w:t>renal cell carcinoma</w:t>
      </w:r>
      <w:r w:rsidRPr="00B946E4">
        <w:rPr>
          <w:rFonts w:ascii="Calibri" w:hAnsi="Calibri" w:cs="Calibri"/>
          <w:b/>
          <w:bCs/>
          <w:color w:val="000000" w:themeColor="text1"/>
          <w:sz w:val="22"/>
          <w:szCs w:val="22"/>
        </w:rPr>
        <w:t>.</w:t>
      </w:r>
      <w:r w:rsidR="000167D7">
        <w:rPr>
          <w:rFonts w:ascii="Calibri" w:hAnsi="Calibri" w:cs="Calibri"/>
          <w:b/>
          <w:bCs/>
          <w:color w:val="000000" w:themeColor="text1"/>
          <w:sz w:val="22"/>
          <w:szCs w:val="22"/>
        </w:rPr>
        <w:t xml:space="preserve"> </w:t>
      </w:r>
      <w:r w:rsidRPr="00B946E4">
        <w:rPr>
          <w:rFonts w:ascii="Calibri" w:eastAsia="+mn-ea" w:hAnsi="Calibri" w:cs="Calibri"/>
          <w:bCs/>
          <w:color w:val="000000"/>
          <w:kern w:val="24"/>
          <w:sz w:val="22"/>
          <w:szCs w:val="22"/>
        </w:rPr>
        <w:t>Glycolysis</w:t>
      </w:r>
      <w:r w:rsidR="00AF684F" w:rsidRPr="00B946E4">
        <w:rPr>
          <w:rFonts w:ascii="Calibri" w:eastAsia="+mn-ea" w:hAnsi="Calibri" w:cs="Calibri"/>
          <w:bCs/>
          <w:color w:val="000000"/>
          <w:kern w:val="24"/>
          <w:sz w:val="22"/>
          <w:szCs w:val="22"/>
        </w:rPr>
        <w:t xml:space="preserve"> </w:t>
      </w:r>
      <w:r w:rsidR="00AF684F" w:rsidRPr="00B946E4">
        <w:rPr>
          <w:rFonts w:ascii="Calibri" w:hAnsi="Calibri" w:cs="Calibri"/>
          <w:bCs/>
          <w:color w:val="000000" w:themeColor="text1"/>
          <w:sz w:val="22"/>
          <w:szCs w:val="22"/>
        </w:rPr>
        <w:t xml:space="preserve">catabolises </w:t>
      </w:r>
      <w:r w:rsidRPr="00B946E4">
        <w:rPr>
          <w:rFonts w:ascii="Calibri" w:eastAsia="+mn-ea" w:hAnsi="Calibri" w:cs="Calibri"/>
          <w:color w:val="000000"/>
          <w:kern w:val="24"/>
          <w:sz w:val="22"/>
          <w:szCs w:val="22"/>
        </w:rPr>
        <w:t xml:space="preserve">glucose to </w:t>
      </w:r>
      <w:r w:rsidR="00AF684F" w:rsidRPr="00B946E4">
        <w:rPr>
          <w:rFonts w:ascii="Calibri" w:eastAsia="+mn-ea" w:hAnsi="Calibri" w:cs="Calibri"/>
          <w:color w:val="000000"/>
          <w:kern w:val="24"/>
          <w:sz w:val="22"/>
          <w:szCs w:val="22"/>
        </w:rPr>
        <w:t xml:space="preserve">form </w:t>
      </w:r>
      <w:r w:rsidRPr="00B946E4">
        <w:rPr>
          <w:rFonts w:ascii="Calibri" w:eastAsia="+mn-ea" w:hAnsi="Calibri" w:cs="Calibri"/>
          <w:color w:val="000000"/>
          <w:kern w:val="24"/>
          <w:sz w:val="22"/>
          <w:szCs w:val="22"/>
        </w:rPr>
        <w:t xml:space="preserve">pyruvate </w:t>
      </w:r>
      <w:r w:rsidR="00AF684F" w:rsidRPr="00B946E4">
        <w:rPr>
          <w:rFonts w:ascii="Calibri" w:eastAsia="+mn-ea" w:hAnsi="Calibri" w:cs="Calibri"/>
          <w:color w:val="000000"/>
          <w:kern w:val="24"/>
          <w:sz w:val="22"/>
          <w:szCs w:val="22"/>
        </w:rPr>
        <w:t xml:space="preserve">and </w:t>
      </w:r>
      <w:r w:rsidRPr="00B946E4">
        <w:rPr>
          <w:rFonts w:ascii="Calibri" w:eastAsia="+mn-ea" w:hAnsi="Calibri" w:cs="Calibri"/>
          <w:color w:val="000000"/>
          <w:kern w:val="24"/>
          <w:sz w:val="22"/>
          <w:szCs w:val="22"/>
        </w:rPr>
        <w:t>yield</w:t>
      </w:r>
      <w:r w:rsidR="00AF684F" w:rsidRPr="00B946E4">
        <w:rPr>
          <w:rFonts w:ascii="Calibri" w:eastAsia="+mn-ea" w:hAnsi="Calibri" w:cs="Calibri"/>
          <w:color w:val="000000"/>
          <w:kern w:val="24"/>
          <w:sz w:val="22"/>
          <w:szCs w:val="22"/>
        </w:rPr>
        <w:t>s</w:t>
      </w:r>
      <w:r w:rsidRPr="00B946E4">
        <w:rPr>
          <w:rFonts w:ascii="Calibri" w:eastAsia="+mn-ea" w:hAnsi="Calibri" w:cs="Calibri"/>
          <w:color w:val="000000"/>
          <w:kern w:val="24"/>
          <w:sz w:val="22"/>
          <w:szCs w:val="22"/>
        </w:rPr>
        <w:t xml:space="preserve"> intermediates for entry into </w:t>
      </w:r>
      <w:r w:rsidR="00AF684F" w:rsidRPr="00B946E4">
        <w:rPr>
          <w:rFonts w:ascii="Calibri" w:eastAsia="+mn-ea" w:hAnsi="Calibri" w:cs="Calibri"/>
          <w:color w:val="000000"/>
          <w:kern w:val="24"/>
          <w:sz w:val="22"/>
          <w:szCs w:val="22"/>
        </w:rPr>
        <w:t>the pentose phosphate pathway</w:t>
      </w:r>
      <w:r w:rsidRPr="00B946E4">
        <w:rPr>
          <w:rFonts w:ascii="Calibri" w:eastAsia="+mn-ea" w:hAnsi="Calibri" w:cs="Calibri"/>
          <w:color w:val="000000"/>
          <w:kern w:val="24"/>
          <w:sz w:val="22"/>
          <w:szCs w:val="22"/>
        </w:rPr>
        <w:t xml:space="preserve">, </w:t>
      </w:r>
      <w:r w:rsidR="00AF684F" w:rsidRPr="00B946E4">
        <w:rPr>
          <w:rFonts w:ascii="Calibri" w:eastAsia="+mn-ea" w:hAnsi="Calibri" w:cs="Calibri"/>
          <w:color w:val="000000"/>
          <w:kern w:val="24"/>
          <w:sz w:val="22"/>
          <w:szCs w:val="22"/>
        </w:rPr>
        <w:t>the tricarboxylic acid (</w:t>
      </w:r>
      <w:r w:rsidRPr="00B946E4">
        <w:rPr>
          <w:rFonts w:ascii="Calibri" w:eastAsia="+mn-ea" w:hAnsi="Calibri" w:cs="Calibri"/>
          <w:color w:val="000000"/>
          <w:kern w:val="24"/>
          <w:sz w:val="22"/>
          <w:szCs w:val="22"/>
        </w:rPr>
        <w:t>TCA</w:t>
      </w:r>
      <w:r w:rsidR="00AF684F" w:rsidRPr="00B946E4">
        <w:rPr>
          <w:rFonts w:ascii="Calibri" w:eastAsia="+mn-ea" w:hAnsi="Calibri" w:cs="Calibri"/>
          <w:color w:val="000000"/>
          <w:kern w:val="24"/>
          <w:sz w:val="22"/>
          <w:szCs w:val="22"/>
        </w:rPr>
        <w:t>)</w:t>
      </w:r>
      <w:r w:rsidRPr="00B946E4">
        <w:rPr>
          <w:rFonts w:ascii="Calibri" w:eastAsia="+mn-ea" w:hAnsi="Calibri" w:cs="Calibri"/>
          <w:color w:val="000000"/>
          <w:kern w:val="24"/>
          <w:sz w:val="22"/>
          <w:szCs w:val="22"/>
        </w:rPr>
        <w:t xml:space="preserve"> cycle and lipid synthesis. </w:t>
      </w:r>
      <w:r w:rsidR="00F061D0" w:rsidRPr="00B946E4">
        <w:rPr>
          <w:rFonts w:ascii="Calibri" w:eastAsia="+mn-ea" w:hAnsi="Calibri" w:cs="Calibri"/>
          <w:color w:val="000000"/>
          <w:kern w:val="24"/>
          <w:sz w:val="22"/>
          <w:szCs w:val="22"/>
        </w:rPr>
        <w:t>T</w:t>
      </w:r>
      <w:r w:rsidRPr="00B946E4">
        <w:rPr>
          <w:rFonts w:ascii="Calibri" w:eastAsia="+mn-ea" w:hAnsi="Calibri" w:cs="Calibri"/>
          <w:color w:val="000000"/>
          <w:kern w:val="24"/>
          <w:sz w:val="22"/>
          <w:szCs w:val="22"/>
        </w:rPr>
        <w:t>he Warburg effect</w:t>
      </w:r>
      <w:r w:rsidR="008148D9" w:rsidRPr="00B946E4">
        <w:rPr>
          <w:rFonts w:ascii="Calibri" w:eastAsia="+mn-ea" w:hAnsi="Calibri" w:cs="Calibri"/>
          <w:color w:val="000000"/>
          <w:kern w:val="24"/>
          <w:sz w:val="22"/>
          <w:szCs w:val="22"/>
        </w:rPr>
        <w:t xml:space="preserve"> – </w:t>
      </w:r>
      <w:r w:rsidRPr="00B946E4">
        <w:rPr>
          <w:rFonts w:ascii="Calibri" w:eastAsia="+mn-ea" w:hAnsi="Calibri" w:cs="Calibri"/>
          <w:color w:val="000000"/>
          <w:kern w:val="24"/>
          <w:sz w:val="22"/>
          <w:szCs w:val="22"/>
        </w:rPr>
        <w:t xml:space="preserve">upregulation of glycolysis </w:t>
      </w:r>
      <w:r w:rsidR="008148D9" w:rsidRPr="00B946E4">
        <w:rPr>
          <w:rFonts w:ascii="Calibri" w:eastAsia="+mn-ea" w:hAnsi="Calibri" w:cs="Calibri"/>
          <w:color w:val="000000"/>
          <w:kern w:val="24"/>
          <w:sz w:val="22"/>
          <w:szCs w:val="22"/>
        </w:rPr>
        <w:t>even in the presence of oxygen—</w:t>
      </w:r>
      <w:r w:rsidR="00AF684F" w:rsidRPr="00B946E4">
        <w:rPr>
          <w:rFonts w:ascii="Calibri" w:eastAsia="+mn-ea" w:hAnsi="Calibri" w:cs="Calibri"/>
          <w:color w:val="000000"/>
          <w:kern w:val="24"/>
          <w:sz w:val="22"/>
          <w:szCs w:val="22"/>
        </w:rPr>
        <w:t xml:space="preserve"> is </w:t>
      </w:r>
      <w:r w:rsidRPr="00B946E4">
        <w:rPr>
          <w:rFonts w:ascii="Calibri" w:eastAsia="+mn-ea" w:hAnsi="Calibri" w:cs="Calibri"/>
          <w:color w:val="000000"/>
          <w:kern w:val="24"/>
          <w:sz w:val="22"/>
          <w:szCs w:val="22"/>
        </w:rPr>
        <w:t>observed in many cancers</w:t>
      </w:r>
      <w:r w:rsidR="008148D9" w:rsidRPr="00B946E4">
        <w:rPr>
          <w:rFonts w:ascii="Calibri" w:eastAsia="+mn-ea" w:hAnsi="Calibri" w:cs="Calibri"/>
          <w:color w:val="000000"/>
          <w:kern w:val="24"/>
          <w:sz w:val="22"/>
          <w:szCs w:val="22"/>
        </w:rPr>
        <w:t xml:space="preserve"> and</w:t>
      </w:r>
      <w:r w:rsidRPr="00B946E4">
        <w:rPr>
          <w:rFonts w:ascii="Calibri" w:eastAsia="+mn-ea" w:hAnsi="Calibri" w:cs="Calibri"/>
          <w:iCs/>
          <w:color w:val="000000"/>
          <w:kern w:val="24"/>
          <w:sz w:val="22"/>
          <w:szCs w:val="22"/>
        </w:rPr>
        <w:t xml:space="preserve"> correlates with poor outcomes in patient</w:t>
      </w:r>
      <w:r w:rsidR="000D3897" w:rsidRPr="00B946E4">
        <w:rPr>
          <w:rFonts w:ascii="Calibri" w:eastAsia="+mn-ea" w:hAnsi="Calibri" w:cs="Calibri"/>
          <w:iCs/>
          <w:color w:val="000000"/>
          <w:kern w:val="24"/>
          <w:sz w:val="22"/>
          <w:szCs w:val="22"/>
        </w:rPr>
        <w:t>s with clear cell renal cell carcinoma (ccRCC)</w:t>
      </w:r>
      <w:r w:rsidR="007946CE">
        <w:rPr>
          <w:rFonts w:ascii="Calibri" w:eastAsia="+mn-ea" w:hAnsi="Calibri" w:cs="Calibri"/>
          <w:iCs/>
          <w:color w:val="000000"/>
          <w:kern w:val="24"/>
          <w:sz w:val="22"/>
          <w:szCs w:val="22"/>
        </w:rPr>
        <w:fldChar w:fldCharType="begin"/>
      </w:r>
      <w:r w:rsidR="004E2A88">
        <w:rPr>
          <w:rFonts w:ascii="Calibri" w:eastAsia="+mn-ea" w:hAnsi="Calibri" w:cs="Calibri"/>
          <w:iCs/>
          <w:color w:val="000000"/>
          <w:kern w:val="24"/>
          <w:sz w:val="22"/>
          <w:szCs w:val="22"/>
        </w:rPr>
        <w:instrText xml:space="preserve"> ADDIN ZOTERO_ITEM CSL_CITATION {"citationID":"a5mb154ups","properties":{"formattedCitation":"\\super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7946CE">
        <w:rPr>
          <w:rFonts w:ascii="Calibri" w:eastAsia="+mn-ea" w:hAnsi="Calibri" w:cs="Calibri"/>
          <w:iCs/>
          <w:color w:val="000000"/>
          <w:kern w:val="24"/>
          <w:sz w:val="22"/>
          <w:szCs w:val="22"/>
        </w:rPr>
        <w:fldChar w:fldCharType="separate"/>
      </w:r>
      <w:r w:rsidR="004E2A88" w:rsidRPr="004E2A88">
        <w:rPr>
          <w:rFonts w:ascii="Calibri" w:hAnsi="Calibri" w:cs="Calibri"/>
          <w:color w:val="000000"/>
          <w:sz w:val="22"/>
          <w:vertAlign w:val="superscript"/>
          <w:lang w:val="en-US"/>
        </w:rPr>
        <w:t>10</w:t>
      </w:r>
      <w:r w:rsidR="007946CE">
        <w:rPr>
          <w:rFonts w:ascii="Calibri" w:eastAsia="+mn-ea" w:hAnsi="Calibri" w:cs="Calibri"/>
          <w:iCs/>
          <w:color w:val="000000"/>
          <w:kern w:val="24"/>
          <w:sz w:val="22"/>
          <w:szCs w:val="22"/>
        </w:rPr>
        <w:fldChar w:fldCharType="end"/>
      </w:r>
      <w:r w:rsidRPr="00B946E4">
        <w:rPr>
          <w:rFonts w:ascii="Calibri" w:eastAsia="+mn-ea" w:hAnsi="Calibri" w:cs="Calibri"/>
          <w:iCs/>
          <w:color w:val="000000"/>
          <w:kern w:val="24"/>
          <w:sz w:val="22"/>
          <w:szCs w:val="22"/>
        </w:rPr>
        <w:t>.</w:t>
      </w:r>
      <w:r w:rsidRPr="00B946E4">
        <w:rPr>
          <w:rFonts w:ascii="Calibri" w:hAnsi="Calibri" w:cs="Calibri"/>
          <w:bCs/>
          <w:color w:val="000000" w:themeColor="text1"/>
          <w:sz w:val="22"/>
          <w:szCs w:val="22"/>
        </w:rPr>
        <w:t xml:space="preserve"> </w:t>
      </w:r>
      <w:r w:rsidR="00363DD4" w:rsidRPr="00B946E4">
        <w:rPr>
          <w:rFonts w:ascii="Calibri" w:hAnsi="Calibri" w:cs="Calibri"/>
          <w:bCs/>
          <w:color w:val="000000" w:themeColor="text1"/>
          <w:sz w:val="22"/>
          <w:szCs w:val="22"/>
        </w:rPr>
        <w:t>The p</w:t>
      </w:r>
      <w:r w:rsidRPr="00B946E4">
        <w:rPr>
          <w:rFonts w:ascii="Calibri" w:eastAsia="+mn-ea" w:hAnsi="Calibri" w:cs="Calibri"/>
          <w:bCs/>
          <w:color w:val="000000"/>
          <w:kern w:val="24"/>
          <w:sz w:val="22"/>
          <w:szCs w:val="22"/>
        </w:rPr>
        <w:t xml:space="preserve">entose </w:t>
      </w:r>
      <w:r w:rsidR="00363DD4" w:rsidRPr="00B946E4">
        <w:rPr>
          <w:rFonts w:ascii="Calibri" w:eastAsia="+mn-ea" w:hAnsi="Calibri" w:cs="Calibri"/>
          <w:bCs/>
          <w:color w:val="000000"/>
          <w:kern w:val="24"/>
          <w:sz w:val="22"/>
          <w:szCs w:val="22"/>
        </w:rPr>
        <w:t>p</w:t>
      </w:r>
      <w:r w:rsidRPr="00B946E4">
        <w:rPr>
          <w:rFonts w:ascii="Calibri" w:eastAsia="+mn-ea" w:hAnsi="Calibri" w:cs="Calibri"/>
          <w:bCs/>
          <w:color w:val="000000"/>
          <w:kern w:val="24"/>
          <w:sz w:val="22"/>
          <w:szCs w:val="22"/>
        </w:rPr>
        <w:t xml:space="preserve">hosphate </w:t>
      </w:r>
      <w:r w:rsidR="00363DD4" w:rsidRPr="00B946E4">
        <w:rPr>
          <w:rFonts w:ascii="Calibri" w:eastAsia="+mn-ea" w:hAnsi="Calibri" w:cs="Calibri"/>
          <w:bCs/>
          <w:color w:val="000000"/>
          <w:kern w:val="24"/>
          <w:sz w:val="22"/>
          <w:szCs w:val="22"/>
        </w:rPr>
        <w:t>pathway</w:t>
      </w:r>
      <w:r w:rsidR="00363DD4" w:rsidRPr="00B946E4">
        <w:rPr>
          <w:rFonts w:ascii="Calibri" w:eastAsia="+mn-ea" w:hAnsi="Calibri" w:cs="Calibri"/>
          <w:b/>
          <w:bCs/>
          <w:color w:val="000000"/>
          <w:kern w:val="24"/>
          <w:sz w:val="22"/>
          <w:szCs w:val="22"/>
        </w:rPr>
        <w:t xml:space="preserve"> </w:t>
      </w:r>
      <w:r w:rsidRPr="00B946E4">
        <w:rPr>
          <w:rFonts w:ascii="Calibri" w:eastAsia="+mn-ea" w:hAnsi="Calibri" w:cs="Calibri"/>
          <w:color w:val="000000"/>
          <w:kern w:val="24"/>
          <w:sz w:val="22"/>
          <w:szCs w:val="22"/>
        </w:rPr>
        <w:t xml:space="preserve">provides reducing equivalents (NADPH) and precursors for nucleotide synthesis. </w:t>
      </w:r>
      <w:r w:rsidRPr="00B946E4">
        <w:rPr>
          <w:rFonts w:ascii="Calibri" w:eastAsia="+mn-ea" w:hAnsi="Calibri" w:cs="Calibri"/>
          <w:iCs/>
          <w:color w:val="000000"/>
          <w:kern w:val="24"/>
          <w:sz w:val="22"/>
          <w:szCs w:val="22"/>
        </w:rPr>
        <w:t xml:space="preserve">Upregulation of </w:t>
      </w:r>
      <w:r w:rsidR="00F061D0" w:rsidRPr="00B946E4">
        <w:rPr>
          <w:rFonts w:ascii="Calibri" w:eastAsia="+mn-ea" w:hAnsi="Calibri" w:cs="Calibri"/>
          <w:iCs/>
          <w:color w:val="000000"/>
          <w:kern w:val="24"/>
          <w:sz w:val="22"/>
          <w:szCs w:val="22"/>
        </w:rPr>
        <w:t>this pathway i</w:t>
      </w:r>
      <w:r w:rsidR="008148D9" w:rsidRPr="00B946E4">
        <w:rPr>
          <w:rFonts w:ascii="Calibri" w:eastAsia="+mn-ea" w:hAnsi="Calibri" w:cs="Calibri"/>
          <w:iCs/>
          <w:color w:val="000000"/>
          <w:kern w:val="24"/>
          <w:sz w:val="22"/>
          <w:szCs w:val="22"/>
        </w:rPr>
        <w:t xml:space="preserve">s </w:t>
      </w:r>
      <w:r w:rsidR="00F061D0" w:rsidRPr="00B946E4">
        <w:rPr>
          <w:rFonts w:ascii="Calibri" w:eastAsia="+mn-ea" w:hAnsi="Calibri" w:cs="Calibri"/>
          <w:iCs/>
          <w:color w:val="000000"/>
          <w:kern w:val="24"/>
          <w:sz w:val="22"/>
          <w:szCs w:val="22"/>
        </w:rPr>
        <w:t xml:space="preserve">associated with </w:t>
      </w:r>
      <w:r w:rsidRPr="00B946E4">
        <w:rPr>
          <w:rFonts w:ascii="Calibri" w:eastAsia="+mn-ea" w:hAnsi="Calibri" w:cs="Calibri"/>
          <w:iCs/>
          <w:color w:val="000000"/>
          <w:kern w:val="24"/>
          <w:sz w:val="22"/>
          <w:szCs w:val="22"/>
        </w:rPr>
        <w:t>aggressive</w:t>
      </w:r>
      <w:r w:rsidR="000167D7">
        <w:rPr>
          <w:rFonts w:ascii="Calibri" w:eastAsia="+mn-ea" w:hAnsi="Calibri" w:cs="Calibri"/>
          <w:iCs/>
          <w:color w:val="000000"/>
          <w:kern w:val="24"/>
          <w:sz w:val="22"/>
          <w:szCs w:val="22"/>
        </w:rPr>
        <w:t xml:space="preserve"> </w:t>
      </w:r>
      <w:r w:rsidRPr="00B946E4">
        <w:rPr>
          <w:rFonts w:ascii="Calibri" w:eastAsia="+mn-ea" w:hAnsi="Calibri" w:cs="Calibri"/>
          <w:iCs/>
          <w:color w:val="000000"/>
          <w:kern w:val="24"/>
          <w:sz w:val="22"/>
          <w:szCs w:val="22"/>
        </w:rPr>
        <w:t xml:space="preserve">ccRCC and poor </w:t>
      </w:r>
      <w:r w:rsidR="00F061D0" w:rsidRPr="00B946E4">
        <w:rPr>
          <w:rFonts w:ascii="Calibri" w:eastAsia="+mn-ea" w:hAnsi="Calibri" w:cs="Calibri"/>
          <w:iCs/>
          <w:color w:val="000000"/>
          <w:kern w:val="24"/>
          <w:sz w:val="22"/>
          <w:szCs w:val="22"/>
        </w:rPr>
        <w:t xml:space="preserve">patient </w:t>
      </w:r>
      <w:r w:rsidRPr="00B946E4">
        <w:rPr>
          <w:rFonts w:ascii="Calibri" w:eastAsia="+mn-ea" w:hAnsi="Calibri" w:cs="Calibri"/>
          <w:iCs/>
          <w:color w:val="000000"/>
          <w:kern w:val="24"/>
          <w:sz w:val="22"/>
          <w:szCs w:val="22"/>
        </w:rPr>
        <w:t>outcomes</w:t>
      </w:r>
      <w:r w:rsidR="00F66676" w:rsidRPr="00B946E4">
        <w:rPr>
          <w:rFonts w:ascii="Calibri" w:eastAsia="+mn-ea" w:hAnsi="Calibri" w:cs="Calibri"/>
          <w:iCs/>
          <w:color w:val="000000"/>
          <w:kern w:val="24"/>
          <w:sz w:val="22"/>
          <w:szCs w:val="22"/>
        </w:rPr>
        <w:t>)</w:t>
      </w:r>
      <w:r w:rsidR="007946CE">
        <w:rPr>
          <w:rFonts w:ascii="Calibri" w:eastAsia="+mn-ea" w:hAnsi="Calibri" w:cs="Calibri"/>
          <w:iCs/>
          <w:color w:val="000000"/>
          <w:kern w:val="24"/>
          <w:sz w:val="22"/>
          <w:szCs w:val="22"/>
        </w:rPr>
        <w:fldChar w:fldCharType="begin"/>
      </w:r>
      <w:r w:rsidR="004E2A88">
        <w:rPr>
          <w:rFonts w:ascii="Calibri" w:eastAsia="+mn-ea" w:hAnsi="Calibri" w:cs="Calibri"/>
          <w:iCs/>
          <w:color w:val="000000"/>
          <w:kern w:val="24"/>
          <w:sz w:val="22"/>
          <w:szCs w:val="22"/>
        </w:rPr>
        <w:instrText xml:space="preserve"> ADDIN ZOTERO_ITEM CSL_CITATION {"citationID":"a24k58kj01v","properties":{"formattedCitation":"\\super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7946CE">
        <w:rPr>
          <w:rFonts w:ascii="Calibri" w:eastAsia="+mn-ea" w:hAnsi="Calibri" w:cs="Calibri"/>
          <w:iCs/>
          <w:color w:val="000000"/>
          <w:kern w:val="24"/>
          <w:sz w:val="22"/>
          <w:szCs w:val="22"/>
        </w:rPr>
        <w:fldChar w:fldCharType="separate"/>
      </w:r>
      <w:r w:rsidR="004E2A88" w:rsidRPr="004E2A88">
        <w:rPr>
          <w:rFonts w:ascii="Calibri" w:hAnsi="Calibri" w:cs="Calibri"/>
          <w:color w:val="000000"/>
          <w:sz w:val="22"/>
          <w:vertAlign w:val="superscript"/>
          <w:lang w:val="en-US"/>
        </w:rPr>
        <w:t>10</w:t>
      </w:r>
      <w:r w:rsidR="007946CE">
        <w:rPr>
          <w:rFonts w:ascii="Calibri" w:eastAsia="+mn-ea" w:hAnsi="Calibri" w:cs="Calibri"/>
          <w:iCs/>
          <w:color w:val="000000"/>
          <w:kern w:val="24"/>
          <w:sz w:val="22"/>
          <w:szCs w:val="22"/>
        </w:rPr>
        <w:fldChar w:fldCharType="end"/>
      </w:r>
      <w:r w:rsidRPr="00B946E4">
        <w:rPr>
          <w:rFonts w:ascii="Calibri" w:hAnsi="Calibri" w:cs="Calibri"/>
          <w:b/>
          <w:bCs/>
          <w:color w:val="000000" w:themeColor="text1"/>
          <w:sz w:val="22"/>
          <w:szCs w:val="22"/>
        </w:rPr>
        <w:t>.</w:t>
      </w:r>
      <w:r w:rsidR="000167D7">
        <w:rPr>
          <w:rFonts w:ascii="Calibri" w:hAnsi="Calibri" w:cs="Calibri"/>
          <w:b/>
          <w:bCs/>
          <w:color w:val="000000" w:themeColor="text1"/>
          <w:sz w:val="22"/>
          <w:szCs w:val="22"/>
        </w:rPr>
        <w:t xml:space="preserve"> </w:t>
      </w:r>
      <w:r w:rsidRPr="00B946E4">
        <w:rPr>
          <w:rFonts w:ascii="Calibri" w:hAnsi="Calibri" w:cs="Calibri"/>
          <w:bCs/>
          <w:color w:val="000000" w:themeColor="text1"/>
          <w:sz w:val="22"/>
          <w:szCs w:val="22"/>
        </w:rPr>
        <w:t xml:space="preserve">The </w:t>
      </w:r>
      <w:r w:rsidRPr="00B946E4">
        <w:rPr>
          <w:rFonts w:ascii="Calibri" w:eastAsia="+mn-ea" w:hAnsi="Calibri" w:cs="Calibri"/>
          <w:bCs/>
          <w:color w:val="000000"/>
          <w:kern w:val="24"/>
          <w:sz w:val="22"/>
          <w:szCs w:val="22"/>
        </w:rPr>
        <w:t>TCA cycle</w:t>
      </w:r>
      <w:r w:rsidRPr="00B946E4">
        <w:rPr>
          <w:rFonts w:ascii="Calibri" w:hAnsi="Calibri" w:cs="Calibri"/>
          <w:bCs/>
          <w:color w:val="000000" w:themeColor="text1"/>
          <w:sz w:val="22"/>
          <w:szCs w:val="22"/>
        </w:rPr>
        <w:t xml:space="preserve"> is a</w:t>
      </w:r>
      <w:r w:rsidRPr="00B946E4">
        <w:rPr>
          <w:rFonts w:ascii="Calibri" w:eastAsia="+mn-ea" w:hAnsi="Calibri" w:cs="Calibri"/>
          <w:color w:val="000000"/>
          <w:kern w:val="24"/>
          <w:sz w:val="22"/>
          <w:szCs w:val="22"/>
        </w:rPr>
        <w:t xml:space="preserve"> series of reactions that fully oxidise carbohydrates, lipids and proteins and generates reducing equivalents (NADH) for the electron transport chain to generate ATP. </w:t>
      </w:r>
      <w:r w:rsidR="00363DD4" w:rsidRPr="00B946E4">
        <w:rPr>
          <w:rFonts w:ascii="Calibri" w:eastAsia="+mn-ea" w:hAnsi="Calibri" w:cs="Calibri"/>
          <w:color w:val="000000"/>
          <w:kern w:val="24"/>
          <w:sz w:val="22"/>
          <w:szCs w:val="22"/>
        </w:rPr>
        <w:t xml:space="preserve">The </w:t>
      </w:r>
      <w:r w:rsidRPr="00B946E4">
        <w:rPr>
          <w:rFonts w:ascii="Calibri" w:eastAsia="+mn-ea" w:hAnsi="Calibri" w:cs="Calibri"/>
          <w:color w:val="000000"/>
          <w:kern w:val="24"/>
          <w:sz w:val="22"/>
          <w:szCs w:val="22"/>
        </w:rPr>
        <w:t xml:space="preserve">TCA cycle intermediates </w:t>
      </w:r>
      <w:r w:rsidR="00363DD4" w:rsidRPr="00B946E4">
        <w:rPr>
          <w:rFonts w:ascii="Calibri" w:eastAsia="+mn-ea" w:hAnsi="Calibri" w:cs="Calibri"/>
          <w:color w:val="000000"/>
          <w:kern w:val="24"/>
          <w:sz w:val="22"/>
          <w:szCs w:val="22"/>
        </w:rPr>
        <w:t xml:space="preserve">are </w:t>
      </w:r>
      <w:r w:rsidR="008148D9" w:rsidRPr="00B946E4">
        <w:rPr>
          <w:rFonts w:ascii="Calibri" w:eastAsia="+mn-ea" w:hAnsi="Calibri" w:cs="Calibri"/>
          <w:color w:val="000000"/>
          <w:kern w:val="24"/>
          <w:sz w:val="22"/>
          <w:szCs w:val="22"/>
        </w:rPr>
        <w:t xml:space="preserve">also </w:t>
      </w:r>
      <w:r w:rsidRPr="00B946E4">
        <w:rPr>
          <w:rFonts w:ascii="Calibri" w:eastAsia="+mn-ea" w:hAnsi="Calibri" w:cs="Calibri"/>
          <w:color w:val="000000"/>
          <w:kern w:val="24"/>
          <w:sz w:val="22"/>
          <w:szCs w:val="22"/>
        </w:rPr>
        <w:t>a source of precursors for lipid and amino acid biosynthesis.</w:t>
      </w:r>
      <w:r w:rsidR="000167D7">
        <w:rPr>
          <w:rFonts w:ascii="Calibri" w:eastAsia="+mn-ea" w:hAnsi="Calibri" w:cs="Calibri"/>
          <w:color w:val="000000"/>
          <w:kern w:val="24"/>
          <w:sz w:val="22"/>
          <w:szCs w:val="22"/>
        </w:rPr>
        <w:t xml:space="preserve"> </w:t>
      </w:r>
      <w:r w:rsidRPr="00B946E4">
        <w:rPr>
          <w:rFonts w:ascii="Calibri" w:eastAsia="+mn-ea" w:hAnsi="Calibri" w:cs="Calibri"/>
          <w:iCs/>
          <w:color w:val="000000"/>
          <w:kern w:val="24"/>
          <w:sz w:val="22"/>
          <w:szCs w:val="22"/>
        </w:rPr>
        <w:t xml:space="preserve">Downregulation of TCA cycle genes correlates with aggressive ccRCC and poor </w:t>
      </w:r>
      <w:r w:rsidR="00F061D0" w:rsidRPr="00B946E4">
        <w:rPr>
          <w:rFonts w:ascii="Calibri" w:eastAsia="+mn-ea" w:hAnsi="Calibri" w:cs="Calibri"/>
          <w:iCs/>
          <w:color w:val="000000"/>
          <w:kern w:val="24"/>
          <w:sz w:val="22"/>
          <w:szCs w:val="22"/>
        </w:rPr>
        <w:t xml:space="preserve">patient </w:t>
      </w:r>
      <w:r w:rsidRPr="00AF2042">
        <w:rPr>
          <w:rFonts w:ascii="Calibri" w:eastAsia="+mn-ea" w:hAnsi="Calibri" w:cs="Calibri"/>
          <w:iCs/>
          <w:color w:val="000000"/>
          <w:kern w:val="24"/>
          <w:sz w:val="22"/>
          <w:szCs w:val="22"/>
        </w:rPr>
        <w:t>outcomes</w:t>
      </w:r>
      <w:r w:rsidR="00F66676" w:rsidRPr="00AF2042">
        <w:rPr>
          <w:rFonts w:ascii="Calibri" w:eastAsia="+mn-ea" w:hAnsi="Calibri" w:cs="Calibri"/>
          <w:iCs/>
          <w:color w:val="000000"/>
          <w:kern w:val="24"/>
          <w:sz w:val="22"/>
          <w:szCs w:val="22"/>
        </w:rPr>
        <w:t>)</w:t>
      </w:r>
      <w:r w:rsidR="007946CE" w:rsidRPr="00AF2042">
        <w:rPr>
          <w:rFonts w:ascii="Calibri" w:eastAsia="+mn-ea" w:hAnsi="Calibri" w:cs="Calibri"/>
          <w:iCs/>
          <w:color w:val="000000"/>
          <w:kern w:val="24"/>
          <w:sz w:val="22"/>
          <w:szCs w:val="22"/>
        </w:rPr>
        <w:fldChar w:fldCharType="begin"/>
      </w:r>
      <w:r w:rsidR="004E2A88" w:rsidRPr="00AF2042">
        <w:rPr>
          <w:rFonts w:ascii="Calibri" w:eastAsia="+mn-ea" w:hAnsi="Calibri" w:cs="Calibri"/>
          <w:iCs/>
          <w:color w:val="000000"/>
          <w:kern w:val="24"/>
          <w:sz w:val="22"/>
          <w:szCs w:val="22"/>
        </w:rPr>
        <w:instrText xml:space="preserve"> ADDIN ZOTERO_ITEM CSL_CITATION {"citationID":"ariopsvthi","properties":{"formattedCitation":"\\super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7946CE" w:rsidRPr="00AF2042">
        <w:rPr>
          <w:rFonts w:ascii="Calibri" w:eastAsia="+mn-ea" w:hAnsi="Calibri" w:cs="Calibri"/>
          <w:iCs/>
          <w:color w:val="000000"/>
          <w:kern w:val="24"/>
          <w:sz w:val="22"/>
          <w:szCs w:val="22"/>
        </w:rPr>
        <w:fldChar w:fldCharType="separate"/>
      </w:r>
      <w:r w:rsidR="004E2A88" w:rsidRPr="00AF2042">
        <w:rPr>
          <w:rFonts w:ascii="Calibri" w:hAnsi="Calibri" w:cs="Calibri"/>
          <w:color w:val="000000"/>
          <w:sz w:val="22"/>
          <w:vertAlign w:val="superscript"/>
          <w:lang w:val="en-US"/>
        </w:rPr>
        <w:t>10</w:t>
      </w:r>
      <w:r w:rsidR="007946CE" w:rsidRPr="00AF2042">
        <w:rPr>
          <w:rFonts w:ascii="Calibri" w:eastAsia="+mn-ea" w:hAnsi="Calibri" w:cs="Calibri"/>
          <w:iCs/>
          <w:color w:val="000000"/>
          <w:kern w:val="24"/>
          <w:sz w:val="22"/>
          <w:szCs w:val="22"/>
        </w:rPr>
        <w:fldChar w:fldCharType="end"/>
      </w:r>
      <w:r w:rsidR="007946CE" w:rsidRPr="00AF2042">
        <w:rPr>
          <w:rFonts w:ascii="Calibri" w:hAnsi="Calibri" w:cs="Calibri"/>
          <w:color w:val="000000"/>
          <w:sz w:val="22"/>
          <w:lang w:val="en-US"/>
        </w:rPr>
        <w:t xml:space="preserve">. </w:t>
      </w:r>
      <w:r w:rsidR="00A42487" w:rsidRPr="00AF2042">
        <w:rPr>
          <w:rFonts w:ascii="Calibri" w:eastAsia="+mn-ea" w:hAnsi="Calibri" w:cs="Calibri"/>
          <w:bCs/>
          <w:color w:val="000000"/>
          <w:kern w:val="24"/>
          <w:sz w:val="22"/>
          <w:szCs w:val="22"/>
        </w:rPr>
        <w:t>L</w:t>
      </w:r>
      <w:r w:rsidRPr="00AF2042">
        <w:rPr>
          <w:rFonts w:ascii="Calibri" w:eastAsia="+mn-ea" w:hAnsi="Calibri" w:cs="Calibri"/>
          <w:color w:val="000000"/>
          <w:kern w:val="24"/>
          <w:sz w:val="22"/>
          <w:szCs w:val="22"/>
        </w:rPr>
        <w:t>ipid</w:t>
      </w:r>
      <w:r w:rsidRPr="00B946E4">
        <w:rPr>
          <w:rFonts w:ascii="Calibri" w:eastAsia="+mn-ea" w:hAnsi="Calibri" w:cs="Calibri"/>
          <w:color w:val="000000"/>
          <w:kern w:val="24"/>
          <w:sz w:val="22"/>
          <w:szCs w:val="22"/>
        </w:rPr>
        <w:t xml:space="preserve"> synthesis is required for energy stores and synthesis of cell membrane components whereas lipid degradation</w:t>
      </w:r>
      <w:r w:rsidR="00A42487" w:rsidRPr="00B946E4">
        <w:rPr>
          <w:rFonts w:ascii="Calibri" w:eastAsia="+mn-ea" w:hAnsi="Calibri" w:cs="Calibri"/>
          <w:color w:val="000000"/>
          <w:kern w:val="24"/>
          <w:sz w:val="22"/>
          <w:szCs w:val="22"/>
        </w:rPr>
        <w:t xml:space="preserve"> via the</w:t>
      </w:r>
      <w:r w:rsidR="000167D7">
        <w:rPr>
          <w:rFonts w:ascii="Calibri" w:eastAsia="+mn-ea" w:hAnsi="Calibri" w:cs="Calibri"/>
          <w:color w:val="000000"/>
          <w:kern w:val="24"/>
          <w:sz w:val="22"/>
          <w:szCs w:val="22"/>
        </w:rPr>
        <w:t xml:space="preserve"> </w:t>
      </w:r>
      <w:r w:rsidRPr="00B946E4">
        <w:rPr>
          <w:rFonts w:ascii="Calibri" w:eastAsia="+mn-ea" w:hAnsi="Calibri" w:cs="Calibri"/>
          <w:color w:val="000000"/>
          <w:kern w:val="24"/>
          <w:sz w:val="22"/>
          <w:szCs w:val="22"/>
        </w:rPr>
        <w:t>β-oxidation</w:t>
      </w:r>
      <w:r w:rsidR="00A42487" w:rsidRPr="00B946E4">
        <w:rPr>
          <w:rFonts w:ascii="Calibri" w:eastAsia="+mn-ea" w:hAnsi="Calibri" w:cs="Calibri"/>
          <w:color w:val="000000"/>
          <w:kern w:val="24"/>
          <w:sz w:val="22"/>
          <w:szCs w:val="22"/>
        </w:rPr>
        <w:t xml:space="preserve"> pathway</w:t>
      </w:r>
      <w:r w:rsidRPr="00B946E4">
        <w:rPr>
          <w:rFonts w:ascii="Calibri" w:eastAsia="+mn-ea" w:hAnsi="Calibri" w:cs="Calibri"/>
          <w:color w:val="000000"/>
          <w:kern w:val="24"/>
          <w:sz w:val="22"/>
          <w:szCs w:val="22"/>
        </w:rPr>
        <w:t xml:space="preserve"> is required for release of energy stores. </w:t>
      </w:r>
      <w:r w:rsidR="00EC2A9B">
        <w:rPr>
          <w:rFonts w:ascii="Calibri" w:eastAsia="+mn-ea" w:hAnsi="Calibri" w:cs="Calibri"/>
          <w:color w:val="000000"/>
          <w:kern w:val="24"/>
          <w:sz w:val="22"/>
          <w:szCs w:val="22"/>
        </w:rPr>
        <w:t xml:space="preserve">Downregulation of </w:t>
      </w:r>
      <w:r w:rsidR="00EC2A9B" w:rsidRPr="00B946E4">
        <w:rPr>
          <w:rFonts w:ascii="Calibri" w:eastAsia="+mn-ea" w:hAnsi="Calibri" w:cs="Calibri"/>
          <w:color w:val="000000"/>
          <w:kern w:val="24"/>
          <w:sz w:val="22"/>
          <w:szCs w:val="22"/>
        </w:rPr>
        <w:t>β-oxidation</w:t>
      </w:r>
      <w:r w:rsidR="00EC2A9B">
        <w:rPr>
          <w:rFonts w:ascii="Calibri" w:eastAsia="+mn-ea" w:hAnsi="Calibri" w:cs="Calibri"/>
          <w:color w:val="000000"/>
          <w:kern w:val="24"/>
          <w:sz w:val="22"/>
          <w:szCs w:val="22"/>
        </w:rPr>
        <w:t xml:space="preserve"> in RCC is associated with poor patient outcomes</w:t>
      </w:r>
      <w:r w:rsidR="007946CE">
        <w:rPr>
          <w:rFonts w:ascii="Calibri" w:eastAsia="+mn-ea" w:hAnsi="Calibri" w:cs="Calibri"/>
          <w:color w:val="000000"/>
          <w:kern w:val="24"/>
          <w:sz w:val="22"/>
          <w:szCs w:val="22"/>
        </w:rPr>
        <w:fldChar w:fldCharType="begin"/>
      </w:r>
      <w:r w:rsidR="004E2A88">
        <w:rPr>
          <w:rFonts w:ascii="Calibri" w:eastAsia="+mn-ea" w:hAnsi="Calibri" w:cs="Calibri"/>
          <w:color w:val="000000"/>
          <w:kern w:val="24"/>
          <w:sz w:val="22"/>
          <w:szCs w:val="22"/>
        </w:rPr>
        <w:instrText xml:space="preserve"> ADDIN ZOTERO_ITEM CSL_CITATION {"citationID":"ak349a52qs","properties":{"formattedCitation":"\\super 32\\nosupersub{}","plainCitation":"32","noteIndex":0},"citationItems":[{"id":2817,"uris":["http://zotero.org/users/4775618/items/PSDXA2KF"],"uri":["http://zotero.org/users/4775618/items/PSDXA2KF"],"itemData":{"id":2817,"type":"article-journal","title":"HIF drives lipid deposition and cancer in ccRCC via repression of fatty acid metabolism","container-title":"Nature Communications","page":"1-12","volume":"8","issue":"1","source":"www-nature-com.ezp.lib.cam.ac.uk","abstract":"Clear cell renal cancers (ccRCC) display elevated intracellular lipid storage. Here the authors show that such lipid accumulation is due to the repression of carnitine palmitoyltransferase 1A (CPT1A) enzyme that impairs fatty acid (FA) transport into the mitochondrion resulting in reduced FA beta oxidation.","URL":"https://www-nature-com.ezp.lib.cam.ac.uk/articles/s41467-017-01965-8","DOI":"10.1038/s41467-017-01965-8","ISSN":"2041-1723","journalAbbreviation":"Nat Commun","language":"en","author":[{"family":"Du","given":"Weinan"},{"family":"Zhang","given":"Luchang"},{"family":"Brett-Morris","given":"Adina"},{"family":"Aguila","given":"Brittany"},{"family":"Kerner","given":"Janos"},{"family":"Hoppel","given":"Charles L."},{"family":"Puchowicz","given":"Michelle"},{"family":"Serra","given":"Dolors"},{"family":"Herrero","given":"Laura"},{"family":"Rini","given":"Brian I."},{"family":"Campbell","given":"Steven"},{"family":"Welford","given":"Scott M."}],"issued":{"date-parts":[["2017",11,24]]},"accessed":{"date-parts":[["2019",8,21]]}}}],"schema":"https://github.com/citation-style-language/schema/raw/master/csl-citation.json"} </w:instrText>
      </w:r>
      <w:r w:rsidR="007946CE">
        <w:rPr>
          <w:rFonts w:ascii="Calibri" w:eastAsia="+mn-ea" w:hAnsi="Calibri" w:cs="Calibri"/>
          <w:color w:val="000000"/>
          <w:kern w:val="24"/>
          <w:sz w:val="22"/>
          <w:szCs w:val="22"/>
        </w:rPr>
        <w:fldChar w:fldCharType="separate"/>
      </w:r>
      <w:r w:rsidR="004E2A88" w:rsidRPr="004E2A88">
        <w:rPr>
          <w:rFonts w:ascii="Calibri" w:hAnsi="Calibri" w:cs="Calibri"/>
          <w:color w:val="000000"/>
          <w:sz w:val="22"/>
          <w:vertAlign w:val="superscript"/>
          <w:lang w:val="en-US"/>
        </w:rPr>
        <w:t>32</w:t>
      </w:r>
      <w:r w:rsidR="007946CE">
        <w:rPr>
          <w:rFonts w:ascii="Calibri" w:eastAsia="+mn-ea" w:hAnsi="Calibri" w:cs="Calibri"/>
          <w:color w:val="000000"/>
          <w:kern w:val="24"/>
          <w:sz w:val="22"/>
          <w:szCs w:val="22"/>
        </w:rPr>
        <w:fldChar w:fldCharType="end"/>
      </w:r>
      <w:r w:rsidR="00EC2A9B">
        <w:rPr>
          <w:rFonts w:ascii="Calibri" w:eastAsia="+mn-ea" w:hAnsi="Calibri" w:cs="Calibri"/>
          <w:color w:val="000000"/>
          <w:kern w:val="24"/>
          <w:sz w:val="22"/>
          <w:szCs w:val="22"/>
        </w:rPr>
        <w:t xml:space="preserve"> whereas</w:t>
      </w:r>
      <w:r w:rsidR="00EC2A9B" w:rsidRPr="00B946E4">
        <w:rPr>
          <w:rFonts w:ascii="Calibri" w:eastAsia="+mn-ea" w:hAnsi="Calibri" w:cs="Calibri"/>
          <w:color w:val="000000"/>
          <w:kern w:val="24"/>
          <w:sz w:val="22"/>
          <w:szCs w:val="22"/>
        </w:rPr>
        <w:t xml:space="preserve"> </w:t>
      </w:r>
      <w:r w:rsidR="00EC2A9B">
        <w:rPr>
          <w:rFonts w:ascii="Calibri" w:eastAsia="+mn-ea" w:hAnsi="Calibri" w:cs="Calibri"/>
          <w:iCs/>
          <w:color w:val="000000"/>
          <w:kern w:val="24"/>
          <w:sz w:val="22"/>
          <w:szCs w:val="22"/>
        </w:rPr>
        <w:t>u</w:t>
      </w:r>
      <w:r w:rsidRPr="00B946E4">
        <w:rPr>
          <w:rFonts w:ascii="Calibri" w:eastAsia="+mn-ea" w:hAnsi="Calibri" w:cs="Calibri"/>
          <w:iCs/>
          <w:color w:val="000000"/>
          <w:kern w:val="24"/>
          <w:sz w:val="22"/>
          <w:szCs w:val="22"/>
        </w:rPr>
        <w:t xml:space="preserve">pregulation of fatty acid synthesis correlates with aggressive </w:t>
      </w:r>
      <w:r w:rsidR="00A42487" w:rsidRPr="00B946E4">
        <w:rPr>
          <w:rFonts w:ascii="Calibri" w:eastAsia="+mn-ea" w:hAnsi="Calibri" w:cs="Calibri"/>
          <w:iCs/>
          <w:color w:val="000000"/>
          <w:kern w:val="24"/>
          <w:sz w:val="22"/>
          <w:szCs w:val="22"/>
        </w:rPr>
        <w:t>disease</w:t>
      </w:r>
      <w:r w:rsidRPr="00B946E4">
        <w:rPr>
          <w:rFonts w:ascii="Calibri" w:eastAsia="+mn-ea" w:hAnsi="Calibri" w:cs="Calibri"/>
          <w:iCs/>
          <w:color w:val="000000"/>
          <w:kern w:val="24"/>
          <w:sz w:val="22"/>
          <w:szCs w:val="22"/>
        </w:rPr>
        <w:t xml:space="preserve"> and poor outcomes in patients</w:t>
      </w:r>
      <w:r w:rsidR="00A42487" w:rsidRPr="00B946E4">
        <w:rPr>
          <w:rFonts w:ascii="Calibri" w:eastAsia="+mn-ea" w:hAnsi="Calibri" w:cs="Calibri"/>
          <w:iCs/>
          <w:color w:val="000000"/>
          <w:kern w:val="24"/>
          <w:sz w:val="22"/>
          <w:szCs w:val="22"/>
        </w:rPr>
        <w:t xml:space="preserve"> with RCC</w:t>
      </w:r>
      <w:r w:rsidR="00F66676" w:rsidRPr="00B946E4">
        <w:rPr>
          <w:rFonts w:ascii="Calibri" w:eastAsia="+mn-ea" w:hAnsi="Calibri" w:cs="Calibri"/>
          <w:iCs/>
          <w:color w:val="000000"/>
          <w:kern w:val="24"/>
          <w:sz w:val="22"/>
          <w:szCs w:val="22"/>
        </w:rPr>
        <w:t>)</w:t>
      </w:r>
      <w:r w:rsidR="007946CE">
        <w:rPr>
          <w:rFonts w:ascii="Calibri" w:eastAsia="+mn-ea" w:hAnsi="Calibri" w:cs="Calibri"/>
          <w:iCs/>
          <w:color w:val="000000"/>
          <w:kern w:val="24"/>
          <w:sz w:val="22"/>
          <w:szCs w:val="22"/>
        </w:rPr>
        <w:fldChar w:fldCharType="begin"/>
      </w:r>
      <w:r w:rsidR="004E2A88">
        <w:rPr>
          <w:rFonts w:ascii="Calibri" w:eastAsia="+mn-ea" w:hAnsi="Calibri" w:cs="Calibri"/>
          <w:iCs/>
          <w:color w:val="000000"/>
          <w:kern w:val="24"/>
          <w:sz w:val="22"/>
          <w:szCs w:val="22"/>
        </w:rPr>
        <w:instrText xml:space="preserve"> ADDIN ZOTERO_ITEM CSL_CITATION {"citationID":"a119mqld8j2","properties":{"formattedCitation":"\\super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7946CE">
        <w:rPr>
          <w:rFonts w:ascii="Calibri" w:eastAsia="+mn-ea" w:hAnsi="Calibri" w:cs="Calibri"/>
          <w:iCs/>
          <w:color w:val="000000"/>
          <w:kern w:val="24"/>
          <w:sz w:val="22"/>
          <w:szCs w:val="22"/>
        </w:rPr>
        <w:fldChar w:fldCharType="separate"/>
      </w:r>
      <w:r w:rsidR="004E2A88" w:rsidRPr="004E2A88">
        <w:rPr>
          <w:rFonts w:ascii="Calibri" w:hAnsi="Calibri" w:cs="Calibri"/>
          <w:color w:val="000000"/>
          <w:sz w:val="22"/>
          <w:vertAlign w:val="superscript"/>
          <w:lang w:val="en-US"/>
        </w:rPr>
        <w:t>10</w:t>
      </w:r>
      <w:r w:rsidR="007946CE">
        <w:rPr>
          <w:rFonts w:ascii="Calibri" w:eastAsia="+mn-ea" w:hAnsi="Calibri" w:cs="Calibri"/>
          <w:iCs/>
          <w:color w:val="000000"/>
          <w:kern w:val="24"/>
          <w:sz w:val="22"/>
          <w:szCs w:val="22"/>
        </w:rPr>
        <w:fldChar w:fldCharType="end"/>
      </w:r>
      <w:r w:rsidRPr="00B946E4">
        <w:rPr>
          <w:rFonts w:ascii="Calibri" w:hAnsi="Calibri" w:cs="Calibri"/>
          <w:bCs/>
          <w:color w:val="000000" w:themeColor="text1"/>
          <w:sz w:val="22"/>
          <w:szCs w:val="22"/>
        </w:rPr>
        <w:t xml:space="preserve">. </w:t>
      </w:r>
      <w:r w:rsidRPr="00B946E4">
        <w:rPr>
          <w:rFonts w:ascii="Calibri" w:eastAsia="+mn-ea" w:hAnsi="Calibri" w:cs="Calibri"/>
          <w:bCs/>
          <w:color w:val="000000"/>
          <w:kern w:val="24"/>
          <w:sz w:val="22"/>
          <w:szCs w:val="22"/>
        </w:rPr>
        <w:t>Glutamine-derived reductive carboxylation</w:t>
      </w:r>
      <w:r w:rsidR="00A42487" w:rsidRPr="00B946E4">
        <w:rPr>
          <w:rFonts w:ascii="Calibri" w:eastAsia="+mn-ea" w:hAnsi="Calibri" w:cs="Calibri"/>
          <w:bCs/>
          <w:color w:val="000000"/>
          <w:kern w:val="24"/>
          <w:sz w:val="22"/>
          <w:szCs w:val="22"/>
        </w:rPr>
        <w:t xml:space="preserve"> is the metabolism of </w:t>
      </w:r>
      <w:r w:rsidRPr="00B946E4">
        <w:rPr>
          <w:rFonts w:ascii="Calibri" w:eastAsia="+mn-ea" w:hAnsi="Calibri" w:cs="Calibri"/>
          <w:color w:val="000000"/>
          <w:kern w:val="24"/>
          <w:sz w:val="22"/>
          <w:szCs w:val="22"/>
        </w:rPr>
        <w:t>glutamine to α-ketoglutarate for entry into the TCA cycle</w:t>
      </w:r>
      <w:r w:rsidR="00A42487" w:rsidRPr="00B946E4">
        <w:rPr>
          <w:rFonts w:ascii="Calibri" w:eastAsia="+mn-ea" w:hAnsi="Calibri" w:cs="Calibri"/>
          <w:color w:val="000000"/>
          <w:kern w:val="24"/>
          <w:sz w:val="22"/>
          <w:szCs w:val="22"/>
        </w:rPr>
        <w:t xml:space="preserve">. </w:t>
      </w:r>
      <w:r w:rsidR="000D3897" w:rsidRPr="00B946E4">
        <w:rPr>
          <w:rFonts w:ascii="Calibri" w:eastAsia="+mn-ea" w:hAnsi="Calibri" w:cs="Calibri"/>
          <w:color w:val="000000"/>
          <w:kern w:val="24"/>
          <w:sz w:val="22"/>
          <w:szCs w:val="22"/>
        </w:rPr>
        <w:t>R</w:t>
      </w:r>
      <w:r w:rsidRPr="00B946E4">
        <w:rPr>
          <w:rFonts w:ascii="Calibri" w:eastAsia="+mn-ea" w:hAnsi="Calibri" w:cs="Calibri"/>
          <w:color w:val="000000"/>
          <w:kern w:val="24"/>
          <w:sz w:val="22"/>
          <w:szCs w:val="22"/>
        </w:rPr>
        <w:t>eversed flow of the canonical TCA cycle (orange arrows)</w:t>
      </w:r>
      <w:r w:rsidR="000D3897" w:rsidRPr="00B946E4">
        <w:rPr>
          <w:rFonts w:ascii="Calibri" w:eastAsia="+mn-ea" w:hAnsi="Calibri" w:cs="Calibri"/>
          <w:color w:val="000000"/>
          <w:kern w:val="24"/>
          <w:sz w:val="22"/>
          <w:szCs w:val="22"/>
        </w:rPr>
        <w:t xml:space="preserve"> enables α-ketoglutarate to be metabolised to form </w:t>
      </w:r>
      <w:r w:rsidRPr="00B946E4">
        <w:rPr>
          <w:rFonts w:ascii="Calibri" w:eastAsia="+mn-ea" w:hAnsi="Calibri" w:cs="Calibri"/>
          <w:color w:val="000000"/>
          <w:kern w:val="24"/>
          <w:sz w:val="22"/>
          <w:szCs w:val="22"/>
        </w:rPr>
        <w:t>citrate</w:t>
      </w:r>
      <w:r w:rsidR="000D3897" w:rsidRPr="00B946E4">
        <w:rPr>
          <w:rFonts w:ascii="Calibri" w:eastAsia="+mn-ea" w:hAnsi="Calibri" w:cs="Calibri"/>
          <w:color w:val="000000"/>
          <w:kern w:val="24"/>
          <w:sz w:val="22"/>
          <w:szCs w:val="22"/>
        </w:rPr>
        <w:t>, which</w:t>
      </w:r>
      <w:r w:rsidRPr="00B946E4">
        <w:rPr>
          <w:rFonts w:ascii="Calibri" w:eastAsia="+mn-ea" w:hAnsi="Calibri" w:cs="Calibri"/>
          <w:color w:val="000000"/>
          <w:kern w:val="24"/>
          <w:sz w:val="22"/>
          <w:szCs w:val="22"/>
        </w:rPr>
        <w:t xml:space="preserve"> can be extracted for lipid synthesis. </w:t>
      </w:r>
      <w:r w:rsidR="00176663">
        <w:rPr>
          <w:rFonts w:ascii="Calibri" w:eastAsia="+mn-ea" w:hAnsi="Calibri" w:cs="Calibri"/>
          <w:color w:val="000000"/>
          <w:kern w:val="24"/>
          <w:sz w:val="22"/>
          <w:szCs w:val="22"/>
        </w:rPr>
        <w:t>C</w:t>
      </w:r>
      <w:r w:rsidRPr="00B946E4">
        <w:rPr>
          <w:rFonts w:ascii="Calibri" w:eastAsia="+mn-ea" w:hAnsi="Calibri" w:cs="Calibri"/>
          <w:color w:val="000000"/>
          <w:kern w:val="24"/>
          <w:sz w:val="22"/>
          <w:szCs w:val="22"/>
        </w:rPr>
        <w:t xml:space="preserve">ancer cells with mitochondrial defects such as </w:t>
      </w:r>
      <w:r w:rsidRPr="00B946E4">
        <w:rPr>
          <w:rFonts w:ascii="Calibri" w:eastAsia="+mn-ea" w:hAnsi="Calibri" w:cs="Calibri"/>
          <w:i/>
          <w:iCs/>
          <w:color w:val="000000"/>
          <w:kern w:val="24"/>
          <w:sz w:val="22"/>
          <w:szCs w:val="22"/>
        </w:rPr>
        <w:t>FH</w:t>
      </w:r>
      <w:r w:rsidRPr="00B946E4">
        <w:rPr>
          <w:rFonts w:ascii="Calibri" w:eastAsia="+mn-ea" w:hAnsi="Calibri" w:cs="Calibri"/>
          <w:color w:val="000000"/>
          <w:kern w:val="24"/>
          <w:sz w:val="22"/>
          <w:szCs w:val="22"/>
        </w:rPr>
        <w:t>-deficient</w:t>
      </w:r>
      <w:r w:rsidR="00D54009">
        <w:rPr>
          <w:rFonts w:ascii="Calibri" w:eastAsia="+mn-ea" w:hAnsi="Calibri" w:cs="Calibri"/>
          <w:color w:val="000000"/>
          <w:kern w:val="24"/>
          <w:sz w:val="22"/>
          <w:szCs w:val="22"/>
        </w:rPr>
        <w:t xml:space="preserve"> and </w:t>
      </w:r>
      <w:r w:rsidR="00D54009">
        <w:rPr>
          <w:rFonts w:ascii="Calibri" w:eastAsia="+mn-ea" w:hAnsi="Calibri" w:cs="Calibri"/>
          <w:i/>
          <w:color w:val="000000"/>
          <w:kern w:val="24"/>
          <w:sz w:val="22"/>
          <w:szCs w:val="22"/>
        </w:rPr>
        <w:t>SDH</w:t>
      </w:r>
      <w:r w:rsidR="00D54009">
        <w:rPr>
          <w:rFonts w:ascii="Calibri" w:eastAsia="+mn-ea" w:hAnsi="Calibri" w:cs="Calibri"/>
          <w:color w:val="000000"/>
          <w:kern w:val="24"/>
          <w:sz w:val="22"/>
          <w:szCs w:val="22"/>
        </w:rPr>
        <w:t>-deficient</w:t>
      </w:r>
      <w:r w:rsidRPr="00B946E4">
        <w:rPr>
          <w:rFonts w:ascii="Calibri" w:eastAsia="+mn-ea" w:hAnsi="Calibri" w:cs="Calibri"/>
          <w:color w:val="000000"/>
          <w:kern w:val="24"/>
          <w:sz w:val="22"/>
          <w:szCs w:val="22"/>
        </w:rPr>
        <w:t xml:space="preserve"> RCC</w:t>
      </w:r>
      <w:r w:rsidR="00176663">
        <w:rPr>
          <w:rFonts w:ascii="Calibri" w:eastAsia="+mn-ea" w:hAnsi="Calibri" w:cs="Calibri"/>
          <w:color w:val="000000"/>
          <w:kern w:val="24"/>
          <w:sz w:val="22"/>
          <w:szCs w:val="22"/>
        </w:rPr>
        <w:t xml:space="preserve"> predominantly utilise this pathway to support cell growth</w:t>
      </w:r>
      <w:r w:rsidR="007946CE">
        <w:rPr>
          <w:rFonts w:ascii="Calibri" w:eastAsia="+mn-ea" w:hAnsi="Calibri" w:cs="Calibri"/>
          <w:color w:val="000000"/>
          <w:kern w:val="24"/>
          <w:sz w:val="22"/>
          <w:szCs w:val="22"/>
        </w:rPr>
        <w:fldChar w:fldCharType="begin"/>
      </w:r>
      <w:r w:rsidR="004E2A88">
        <w:rPr>
          <w:rFonts w:ascii="Calibri" w:eastAsia="+mn-ea" w:hAnsi="Calibri" w:cs="Calibri"/>
          <w:color w:val="000000"/>
          <w:kern w:val="24"/>
          <w:sz w:val="22"/>
          <w:szCs w:val="22"/>
        </w:rPr>
        <w:instrText xml:space="preserve"> ADDIN ZOTERO_ITEM CSL_CITATION {"citationID":"a1f20hpj6q8","properties":{"formattedCitation":"\\super 175,176\\nosupersub{}","plainCitation":"175,176","noteIndex":0},"citationItems":[{"id":897,"uris":["http://zotero.org/users/4775618/items/2QF3M2VA"],"uri":["http://zotero.org/users/4775618/items/2QF3M2VA"],"itemData":{"id":897,"type":"article-journal","title":"Glutamine and cancer: cell biology, physiology, and clinical opportunities","container-title":"The Journal of Clinical Investigation","page":"3678-3684","volume":"123","issue":"9","source":"PubMed Central","abstract":"Glutamine is an abundant and versatile nutrient that participates in energy formation, redox homeostasis, macromolecular synthesis, and signaling in cancer cells. These characteristics make glutamine metabolism an appealing target for new clinical strategies to detect, monitor, and treat cancer. Here we review the metabolic functions of glutamine as a super nutrient and the surprising roles of glutamine in supporting the biological hallmarks of malignancy. We also review recent efforts in imaging and therapeutics to exploit tumor cell glutamine dependence, discuss some of the challenges in this arena, and suggest a disease-focused paradigm to deploy these emerging approaches.","URL":"https://www.ncbi.nlm.nih.gov/pmc/articles/PMC3754270/","DOI":"10.1172/JCI69600","ISSN":"0021-9738","note":"PMID: 23999442\nPMCID: PMC3754270","title-short":"Glutamine and cancer","journalAbbreviation":"J Clin Invest","author":[{"family":"Hensley","given":"Christopher T."},{"family":"Wasti","given":"Ajla T."},{"family":"DeBerardinis","given":"Ralph J."}],"issued":{"date-parts":[["2013",9,3]]},"accessed":{"date-parts":[["2019",1,5]]}}},{"id":1752,"uris":["http://zotero.org/users/4775618/items/899A8F79"],"uri":["http://zotero.org/users/4775618/items/899A8F79"],"itemData":{"id":1752,"type":"article-journal","title":"Reductive carboxylation supports growth in tumour cells with defective mitochondria","container-title":"Nature","page":"385-388","volume":"481","issue":"7381","source":"www-nature-com.ezp.lib.cam.ac.uk","abstract":"Mitochondrial metabolism provides precursors to build macromolecules in growing cancer cells1,2. In normally functioning tumour cell mitochondria, oxidative metabolism of glucose- and glutamine-derived carbon produces citrate and acetyl-coenzyme A for lipid synthesis, which is required for tumorigenesis3. Yet some tumours harbour mutations in the citric acid cycle (CAC) or electron transport chain (ETC) that disable normal oxidative mitochondrial function4,5,6,7, and it is unknown how cells from such tumours generate precursors for macromolecular synthesis. Here we show that tumour cells with defective mitochondria use glutamine-dependent reductive carboxylation rather than oxidative metabolism as the major pathway of citrate formation. This pathway uses mitochondrial and cytosolic isoforms of NADP+/NADPH-dependent isocitrate dehydrogenase, and subsequent metabolism of glutamine-derived citrate provides both the acetyl-coenzyme A for lipid synthesis and the four-carbon intermediates needed to produce the remaining CAC metabolites and related macromolecular precursors. This reductive, glutamine-dependent pathway is the dominant mode of metabolism in rapidly growing malignant cells containing mutations in complex I or complex III of the ETC, in patient-derived renal carcinoma cells with mutations in fumarate hydratase, and in cells with normal mitochondria subjected to acute pharmacological ETC inhibition. Our findings reveal the novel induction of a versatile glutamine-dependent pathway that reverses many of the reactions of the canonical CAC, supports tumour cell growth, and explains how cells generate pools of CAC intermediates in the face of impaired mitochondrial metabolism.","URL":"http://www.nature.com/articles/nature10642","DOI":"10.1038/nature10642","ISSN":"1476-4687","language":"en","author":[{"family":"Mullen","given":"Andrew R."},{"family":"Wheaton","given":"William W."},{"family":"Jin","given":"Eunsook S."},{"family":"Chen","given":"Pei-Hsuan"},{"family":"Sullivan","given":"Lucas B."},{"family":"Cheng","given":"Tzuling"},{"family":"Yang","given":"Youfeng"},{"family":"Linehan","given":"W. Marston"},{"family":"Chandel","given":"Navdeep S."},{"family":"DeBerardinis","given":"Ralph J."}],"issued":{"date-parts":[["2012",1]]},"accessed":{"date-parts":[["2019",3,5]]}}}],"schema":"https://github.com/citation-style-language/schema/raw/master/csl-citation.json"} </w:instrText>
      </w:r>
      <w:r w:rsidR="007946CE">
        <w:rPr>
          <w:rFonts w:ascii="Calibri" w:eastAsia="+mn-ea" w:hAnsi="Calibri" w:cs="Calibri"/>
          <w:color w:val="000000"/>
          <w:kern w:val="24"/>
          <w:sz w:val="22"/>
          <w:szCs w:val="22"/>
        </w:rPr>
        <w:fldChar w:fldCharType="separate"/>
      </w:r>
      <w:r w:rsidR="004E2A88" w:rsidRPr="004E2A88">
        <w:rPr>
          <w:rFonts w:ascii="Calibri" w:hAnsi="Calibri" w:cs="Calibri"/>
          <w:color w:val="000000"/>
          <w:sz w:val="22"/>
          <w:vertAlign w:val="superscript"/>
          <w:lang w:val="en-US"/>
        </w:rPr>
        <w:t>175,176</w:t>
      </w:r>
      <w:r w:rsidR="007946CE">
        <w:rPr>
          <w:rFonts w:ascii="Calibri" w:eastAsia="+mn-ea" w:hAnsi="Calibri" w:cs="Calibri"/>
          <w:color w:val="000000"/>
          <w:kern w:val="24"/>
          <w:sz w:val="22"/>
          <w:szCs w:val="22"/>
        </w:rPr>
        <w:fldChar w:fldCharType="end"/>
      </w:r>
      <w:r w:rsidRPr="00B946E4">
        <w:rPr>
          <w:rFonts w:ascii="Calibri" w:eastAsia="+mn-ea" w:hAnsi="Calibri" w:cs="Calibri"/>
          <w:color w:val="000000"/>
          <w:kern w:val="24"/>
          <w:sz w:val="22"/>
          <w:szCs w:val="22"/>
        </w:rPr>
        <w:t>.</w:t>
      </w:r>
      <w:r w:rsidR="0072052F">
        <w:rPr>
          <w:rFonts w:ascii="Calibri" w:eastAsia="+mn-ea" w:hAnsi="Calibri" w:cs="Calibri"/>
          <w:color w:val="000000"/>
          <w:kern w:val="24"/>
          <w:sz w:val="22"/>
          <w:szCs w:val="22"/>
        </w:rPr>
        <w:t xml:space="preserve"> </w:t>
      </w:r>
      <w:r w:rsidR="0072052F" w:rsidRPr="00B946E4">
        <w:rPr>
          <w:rFonts w:ascii="Calibri" w:eastAsia="+mn-ea" w:hAnsi="Calibri" w:cs="Calibri"/>
          <w:iCs/>
          <w:color w:val="000000"/>
          <w:kern w:val="24"/>
          <w:sz w:val="22"/>
          <w:szCs w:val="22"/>
        </w:rPr>
        <w:t xml:space="preserve">Upregulation of </w:t>
      </w:r>
      <w:r w:rsidR="0072052F">
        <w:rPr>
          <w:rFonts w:ascii="Calibri" w:eastAsia="+mn-ea" w:hAnsi="Calibri" w:cs="Calibri"/>
          <w:iCs/>
          <w:color w:val="000000"/>
          <w:kern w:val="24"/>
          <w:sz w:val="22"/>
          <w:szCs w:val="22"/>
        </w:rPr>
        <w:t>glutamine transporters</w:t>
      </w:r>
      <w:r w:rsidR="0072052F" w:rsidRPr="00B946E4">
        <w:rPr>
          <w:rFonts w:ascii="Calibri" w:eastAsia="+mn-ea" w:hAnsi="Calibri" w:cs="Calibri"/>
          <w:iCs/>
          <w:color w:val="000000"/>
          <w:kern w:val="24"/>
          <w:sz w:val="22"/>
          <w:szCs w:val="22"/>
        </w:rPr>
        <w:t xml:space="preserve"> correlates with aggressive disease and poor outcomes in patients with RCC</w:t>
      </w:r>
      <w:r w:rsidR="00F66676" w:rsidRPr="00B946E4">
        <w:rPr>
          <w:rFonts w:ascii="Calibri" w:eastAsia="+mn-ea" w:hAnsi="Calibri" w:cs="Calibri"/>
          <w:iCs/>
          <w:color w:val="000000"/>
          <w:kern w:val="24"/>
          <w:sz w:val="22"/>
          <w:szCs w:val="22"/>
        </w:rPr>
        <w:t>)</w:t>
      </w:r>
      <w:r w:rsidR="007946CE">
        <w:rPr>
          <w:rFonts w:ascii="Calibri" w:eastAsia="+mn-ea" w:hAnsi="Calibri" w:cs="Calibri"/>
          <w:iCs/>
          <w:color w:val="000000"/>
          <w:kern w:val="24"/>
          <w:sz w:val="22"/>
          <w:szCs w:val="22"/>
        </w:rPr>
        <w:fldChar w:fldCharType="begin"/>
      </w:r>
      <w:r w:rsidR="004E2A88">
        <w:rPr>
          <w:rFonts w:ascii="Calibri" w:eastAsia="+mn-ea" w:hAnsi="Calibri" w:cs="Calibri"/>
          <w:iCs/>
          <w:color w:val="000000"/>
          <w:kern w:val="24"/>
          <w:sz w:val="22"/>
          <w:szCs w:val="22"/>
        </w:rPr>
        <w:instrText xml:space="preserve"> ADDIN ZOTERO_ITEM CSL_CITATION {"citationID":"a22p1j9np5e","properties":{"formattedCitation":"\\super 10\\nosupersub{}","plainCitation":"10","noteIndex":0},"citationItems":[{"id":363,"uris":["http://zotero.org/users/4775618/items/ZUFWLR5I"],"uri":["http://zotero.org/users/4775618/items/ZUFWLR5I"],"itemData":{"id":363,"type":"article-journal","title":"Comprehensive molecular characterization of clear cell renal cell carcinoma","container-title":"Nature","page":"43-49","volume":"499","issue":"7456","source":"www.nature.com","abstract":"Genetic changes underlying clear cell renal cell carcinoma (ccRCC) include alterations in genes controlling cellular oxygen sensing (for example, VHL) and the maintenance of chromatin states (for example, PBRM1). We surveyed more than 400 tumours using different genomic platforms and identified 19 significantly mutated genes. The PI(3)K/AKT pathway was recurrently mutated, suggesting this pathway as a potential therapeutic target. Widespread DNA hypomethylation was associated with mutation of the H3K36 methyltransferase SETD2, and integrative analysis suggested that mutations involving the SWI/SNF chromatin remodelling complex (PBRM1, ARID1A, SMARCA4) could have far-reaching effects on other pathways. Aggressive cancers demonstrated evidence of a metabolic shift, involving downregulation of genes involved in the TCA cycle, decreased AMPK and PTEN protein levels, upregulation of the pentose phosphate pathway and the glutamine transporter genes, increased acetyl-CoA carboxylase protein, and altered promoter methylation of miR-21 (also known as MIR21) and GRB10. Remodelling cellular metabolism thus constitutes a recurrent pattern in ccRCC that correlates with tumour stage and severity and offers new views on the opportunities for disease treatment.","URL":"https://www.nature.com/articles/nature12222","DOI":"10.1038/nature12222","ISSN":"1476-4687","language":"en","author":[{"literal":"The Cancer Genome Atlas Research Network"}],"issued":{"date-parts":[["2013",7]]},"accessed":{"date-parts":[["2018",4,2]]}}}],"schema":"https://github.com/citation-style-language/schema/raw/master/csl-citation.json"} </w:instrText>
      </w:r>
      <w:r w:rsidR="007946CE">
        <w:rPr>
          <w:rFonts w:ascii="Calibri" w:eastAsia="+mn-ea" w:hAnsi="Calibri" w:cs="Calibri"/>
          <w:iCs/>
          <w:color w:val="000000"/>
          <w:kern w:val="24"/>
          <w:sz w:val="22"/>
          <w:szCs w:val="22"/>
        </w:rPr>
        <w:fldChar w:fldCharType="separate"/>
      </w:r>
      <w:r w:rsidR="004E2A88" w:rsidRPr="004E2A88">
        <w:rPr>
          <w:rFonts w:ascii="Calibri" w:hAnsi="Calibri" w:cs="Calibri"/>
          <w:color w:val="000000"/>
          <w:sz w:val="22"/>
          <w:vertAlign w:val="superscript"/>
          <w:lang w:val="en-US"/>
        </w:rPr>
        <w:t>10</w:t>
      </w:r>
      <w:r w:rsidR="007946CE">
        <w:rPr>
          <w:rFonts w:ascii="Calibri" w:eastAsia="+mn-ea" w:hAnsi="Calibri" w:cs="Calibri"/>
          <w:iCs/>
          <w:color w:val="000000"/>
          <w:kern w:val="24"/>
          <w:sz w:val="22"/>
          <w:szCs w:val="22"/>
        </w:rPr>
        <w:fldChar w:fldCharType="end"/>
      </w:r>
      <w:r w:rsidR="0072052F">
        <w:rPr>
          <w:rFonts w:ascii="Calibri" w:eastAsia="+mn-ea" w:hAnsi="Calibri" w:cs="Calibri"/>
          <w:iCs/>
          <w:color w:val="000000"/>
          <w:kern w:val="24"/>
          <w:sz w:val="22"/>
          <w:szCs w:val="22"/>
        </w:rPr>
        <w:t>.</w:t>
      </w:r>
      <w:r w:rsidRPr="00B946E4">
        <w:rPr>
          <w:rFonts w:ascii="Calibri" w:hAnsi="Calibri" w:cs="Calibri"/>
          <w:bCs/>
          <w:color w:val="000000" w:themeColor="text1"/>
          <w:sz w:val="22"/>
          <w:szCs w:val="22"/>
        </w:rPr>
        <w:t xml:space="preserve"> </w:t>
      </w:r>
      <w:r w:rsidR="0072052F">
        <w:rPr>
          <w:rFonts w:ascii="Calibri" w:hAnsi="Calibri" w:cs="Calibri"/>
          <w:bCs/>
          <w:color w:val="000000" w:themeColor="text1"/>
          <w:sz w:val="22"/>
          <w:szCs w:val="22"/>
        </w:rPr>
        <w:t>Oncometabolite production -</w:t>
      </w:r>
      <w:r w:rsidR="0072052F">
        <w:rPr>
          <w:rFonts w:ascii="Calibri" w:eastAsia="+mn-ea" w:hAnsi="Calibri" w:cs="Calibri"/>
          <w:color w:val="000000"/>
          <w:kern w:val="24"/>
          <w:sz w:val="22"/>
          <w:szCs w:val="22"/>
        </w:rPr>
        <w:t>l</w:t>
      </w:r>
      <w:r w:rsidRPr="00B946E4">
        <w:rPr>
          <w:rFonts w:ascii="Calibri" w:eastAsia="+mn-ea" w:hAnsi="Calibri" w:cs="Calibri"/>
          <w:color w:val="000000"/>
          <w:kern w:val="24"/>
          <w:sz w:val="22"/>
          <w:szCs w:val="22"/>
        </w:rPr>
        <w:t xml:space="preserve">oss-of-function mutations in </w:t>
      </w:r>
      <w:r w:rsidR="008148D9" w:rsidRPr="00B946E4">
        <w:rPr>
          <w:rFonts w:ascii="Calibri" w:eastAsia="+mn-ea" w:hAnsi="Calibri" w:cs="Calibri"/>
          <w:color w:val="000000"/>
          <w:kern w:val="24"/>
          <w:sz w:val="22"/>
          <w:szCs w:val="22"/>
        </w:rPr>
        <w:t xml:space="preserve">genes that </w:t>
      </w:r>
      <w:r w:rsidR="00F061D0" w:rsidRPr="00B946E4">
        <w:rPr>
          <w:rFonts w:ascii="Calibri" w:eastAsia="+mn-ea" w:hAnsi="Calibri" w:cs="Calibri"/>
          <w:color w:val="000000"/>
          <w:kern w:val="24"/>
          <w:sz w:val="22"/>
          <w:szCs w:val="22"/>
        </w:rPr>
        <w:t xml:space="preserve">encode </w:t>
      </w:r>
      <w:r w:rsidRPr="00B946E4">
        <w:rPr>
          <w:rFonts w:ascii="Calibri" w:eastAsia="+mn-ea" w:hAnsi="Calibri" w:cs="Calibri"/>
          <w:color w:val="000000"/>
          <w:kern w:val="24"/>
          <w:sz w:val="22"/>
          <w:szCs w:val="22"/>
        </w:rPr>
        <w:t xml:space="preserve">the TCA cycle enzymes </w:t>
      </w:r>
      <w:r w:rsidR="00F061D0" w:rsidRPr="00B946E4">
        <w:rPr>
          <w:rFonts w:ascii="Calibri" w:eastAsia="+mn-ea" w:hAnsi="Calibri" w:cs="Calibri"/>
          <w:color w:val="000000"/>
          <w:kern w:val="24"/>
          <w:sz w:val="22"/>
          <w:szCs w:val="22"/>
        </w:rPr>
        <w:t xml:space="preserve">fumarate hydratase (FH) and succinate dehydrogenase (SDH), </w:t>
      </w:r>
      <w:r w:rsidRPr="00B946E4">
        <w:rPr>
          <w:rFonts w:ascii="Calibri" w:eastAsia="+mn-ea" w:hAnsi="Calibri" w:cs="Calibri"/>
          <w:color w:val="000000"/>
          <w:kern w:val="24"/>
          <w:sz w:val="22"/>
          <w:szCs w:val="22"/>
        </w:rPr>
        <w:t xml:space="preserve">lead to accumulation of </w:t>
      </w:r>
      <w:r w:rsidR="00F061D0" w:rsidRPr="00B946E4">
        <w:rPr>
          <w:rFonts w:ascii="Calibri" w:eastAsia="+mn-ea" w:hAnsi="Calibri" w:cs="Calibri"/>
          <w:color w:val="000000"/>
          <w:kern w:val="24"/>
          <w:sz w:val="22"/>
          <w:szCs w:val="22"/>
        </w:rPr>
        <w:t xml:space="preserve">the oncometabolites </w:t>
      </w:r>
      <w:r w:rsidRPr="00B946E4">
        <w:rPr>
          <w:rFonts w:ascii="Calibri" w:eastAsia="+mn-ea" w:hAnsi="Calibri" w:cs="Calibri"/>
          <w:color w:val="000000"/>
          <w:kern w:val="24"/>
          <w:sz w:val="22"/>
          <w:szCs w:val="22"/>
        </w:rPr>
        <w:t>fumarate and succinate</w:t>
      </w:r>
      <w:r w:rsidR="00F061D0" w:rsidRPr="00B946E4">
        <w:rPr>
          <w:rFonts w:ascii="Calibri" w:eastAsia="+mn-ea" w:hAnsi="Calibri" w:cs="Calibri"/>
          <w:color w:val="000000"/>
          <w:kern w:val="24"/>
          <w:sz w:val="22"/>
          <w:szCs w:val="22"/>
        </w:rPr>
        <w:t>, respectively</w:t>
      </w:r>
      <w:r w:rsidRPr="00B946E4">
        <w:rPr>
          <w:rFonts w:ascii="Calibri" w:eastAsia="+mn-ea" w:hAnsi="Calibri" w:cs="Calibri"/>
          <w:color w:val="000000"/>
          <w:kern w:val="24"/>
          <w:sz w:val="22"/>
          <w:szCs w:val="22"/>
        </w:rPr>
        <w:t xml:space="preserve">. </w:t>
      </w:r>
      <w:r w:rsidR="00057E28" w:rsidRPr="00B946E4">
        <w:rPr>
          <w:rFonts w:ascii="Calibri" w:eastAsia="+mn-ea" w:hAnsi="Calibri" w:cs="Calibri"/>
          <w:color w:val="000000"/>
          <w:kern w:val="24"/>
          <w:sz w:val="22"/>
          <w:szCs w:val="22"/>
        </w:rPr>
        <w:t>2-hydroxyglutarate (</w:t>
      </w:r>
      <w:r w:rsidRPr="00B946E4">
        <w:rPr>
          <w:rFonts w:ascii="Calibri" w:eastAsia="+mn-ea" w:hAnsi="Calibri" w:cs="Calibri"/>
          <w:color w:val="000000"/>
          <w:kern w:val="24"/>
          <w:sz w:val="22"/>
          <w:szCs w:val="22"/>
        </w:rPr>
        <w:t>2HG</w:t>
      </w:r>
      <w:r w:rsidR="00057E28" w:rsidRPr="00B946E4">
        <w:rPr>
          <w:rFonts w:ascii="Calibri" w:eastAsia="+mn-ea" w:hAnsi="Calibri" w:cs="Calibri"/>
          <w:color w:val="000000"/>
          <w:kern w:val="24"/>
          <w:sz w:val="22"/>
          <w:szCs w:val="22"/>
        </w:rPr>
        <w:t>)</w:t>
      </w:r>
      <w:r w:rsidRPr="00B946E4">
        <w:rPr>
          <w:rFonts w:ascii="Calibri" w:eastAsia="+mn-ea" w:hAnsi="Calibri" w:cs="Calibri"/>
          <w:color w:val="000000"/>
          <w:kern w:val="24"/>
          <w:sz w:val="22"/>
          <w:szCs w:val="22"/>
        </w:rPr>
        <w:t xml:space="preserve"> exists in two isoforms (D2HG</w:t>
      </w:r>
      <w:r w:rsidR="00057E28" w:rsidRPr="00B946E4">
        <w:rPr>
          <w:rFonts w:ascii="Calibri" w:eastAsia="+mn-ea" w:hAnsi="Calibri" w:cs="Calibri"/>
          <w:color w:val="000000"/>
          <w:kern w:val="24"/>
          <w:sz w:val="22"/>
          <w:szCs w:val="22"/>
        </w:rPr>
        <w:t xml:space="preserve"> and </w:t>
      </w:r>
      <w:r w:rsidRPr="00B946E4">
        <w:rPr>
          <w:rFonts w:ascii="Calibri" w:eastAsia="+mn-ea" w:hAnsi="Calibri" w:cs="Calibri"/>
          <w:color w:val="000000"/>
          <w:kern w:val="24"/>
          <w:sz w:val="22"/>
          <w:szCs w:val="22"/>
        </w:rPr>
        <w:t>L2HG)</w:t>
      </w:r>
      <w:r w:rsidR="00057E28" w:rsidRPr="00B946E4">
        <w:rPr>
          <w:rFonts w:ascii="Calibri" w:eastAsia="+mn-ea" w:hAnsi="Calibri" w:cs="Calibri"/>
          <w:color w:val="000000"/>
          <w:kern w:val="24"/>
          <w:sz w:val="22"/>
          <w:szCs w:val="22"/>
        </w:rPr>
        <w:t>, both of which are oncometabolites</w:t>
      </w:r>
      <w:r w:rsidRPr="00B946E4">
        <w:rPr>
          <w:rFonts w:ascii="Calibri" w:eastAsia="+mn-ea" w:hAnsi="Calibri" w:cs="Calibri"/>
          <w:color w:val="000000"/>
          <w:kern w:val="24"/>
          <w:sz w:val="22"/>
          <w:szCs w:val="22"/>
        </w:rPr>
        <w:t>.</w:t>
      </w:r>
      <w:r w:rsidR="000167D7">
        <w:rPr>
          <w:rFonts w:ascii="Calibri" w:eastAsia="+mn-ea" w:hAnsi="Calibri" w:cs="Calibri"/>
          <w:color w:val="000000"/>
          <w:kern w:val="24"/>
          <w:sz w:val="22"/>
          <w:szCs w:val="22"/>
        </w:rPr>
        <w:t xml:space="preserve"> </w:t>
      </w:r>
      <w:r w:rsidR="00057E28" w:rsidRPr="00B946E4">
        <w:rPr>
          <w:rFonts w:ascii="Calibri" w:eastAsia="+mn-ea" w:hAnsi="Calibri" w:cs="Calibri"/>
          <w:color w:val="000000"/>
          <w:kern w:val="24"/>
          <w:sz w:val="22"/>
          <w:szCs w:val="22"/>
        </w:rPr>
        <w:t>G</w:t>
      </w:r>
      <w:r w:rsidRPr="00B946E4">
        <w:rPr>
          <w:rFonts w:ascii="Calibri" w:eastAsia="+mn-ea" w:hAnsi="Calibri" w:cs="Calibri"/>
          <w:color w:val="000000"/>
          <w:kern w:val="24"/>
          <w:sz w:val="22"/>
          <w:szCs w:val="22"/>
        </w:rPr>
        <w:t xml:space="preserve">ain-of-function neomorphic activity of </w:t>
      </w:r>
      <w:r w:rsidR="008148D9" w:rsidRPr="00B946E4">
        <w:rPr>
          <w:rFonts w:ascii="Calibri" w:eastAsia="+mn-ea" w:hAnsi="Calibri" w:cs="Calibri"/>
          <w:color w:val="000000"/>
          <w:kern w:val="24"/>
          <w:sz w:val="22"/>
          <w:szCs w:val="22"/>
        </w:rPr>
        <w:t>isocitrate dehydrogenase 1 (IDH1)</w:t>
      </w:r>
      <w:r w:rsidR="0072052F">
        <w:rPr>
          <w:rFonts w:ascii="Calibri" w:eastAsia="+mn-ea" w:hAnsi="Calibri" w:cs="Calibri"/>
          <w:color w:val="000000"/>
          <w:kern w:val="24"/>
          <w:sz w:val="22"/>
          <w:szCs w:val="22"/>
        </w:rPr>
        <w:t xml:space="preserve"> or</w:t>
      </w:r>
      <w:r w:rsidR="008148D9" w:rsidRPr="00B946E4">
        <w:rPr>
          <w:rFonts w:ascii="Calibri" w:eastAsia="+mn-ea" w:hAnsi="Calibri" w:cs="Calibri"/>
          <w:color w:val="000000"/>
          <w:kern w:val="24"/>
          <w:sz w:val="22"/>
          <w:szCs w:val="22"/>
        </w:rPr>
        <w:t xml:space="preserve"> (IDH2) </w:t>
      </w:r>
      <w:r w:rsidR="00057E28" w:rsidRPr="00B946E4">
        <w:rPr>
          <w:rFonts w:ascii="Calibri" w:eastAsia="+mn-ea" w:hAnsi="Calibri" w:cs="Calibri"/>
          <w:color w:val="000000"/>
          <w:kern w:val="24"/>
          <w:sz w:val="22"/>
          <w:szCs w:val="22"/>
        </w:rPr>
        <w:t xml:space="preserve">leads to accumulation of D2HG, whereas </w:t>
      </w:r>
      <w:r w:rsidRPr="00B946E4">
        <w:rPr>
          <w:rFonts w:ascii="Calibri" w:eastAsia="+mn-ea" w:hAnsi="Calibri" w:cs="Calibri"/>
          <w:color w:val="000000"/>
          <w:kern w:val="24"/>
          <w:sz w:val="22"/>
          <w:szCs w:val="22"/>
        </w:rPr>
        <w:t xml:space="preserve">promiscuous activity of </w:t>
      </w:r>
      <w:r w:rsidR="00057E28" w:rsidRPr="00B946E4">
        <w:rPr>
          <w:rFonts w:ascii="Calibri" w:eastAsia="+mn-ea" w:hAnsi="Calibri" w:cs="Calibri"/>
          <w:color w:val="000000"/>
          <w:kern w:val="24"/>
          <w:sz w:val="22"/>
          <w:szCs w:val="22"/>
        </w:rPr>
        <w:t>malate dehydrogenase (</w:t>
      </w:r>
      <w:r w:rsidRPr="00B946E4">
        <w:rPr>
          <w:rFonts w:ascii="Calibri" w:eastAsia="+mn-ea" w:hAnsi="Calibri" w:cs="Calibri"/>
          <w:color w:val="000000"/>
          <w:kern w:val="24"/>
          <w:sz w:val="22"/>
          <w:szCs w:val="22"/>
        </w:rPr>
        <w:t>MDH</w:t>
      </w:r>
      <w:r w:rsidR="00057E28" w:rsidRPr="00B946E4">
        <w:rPr>
          <w:rFonts w:ascii="Calibri" w:eastAsia="+mn-ea" w:hAnsi="Calibri" w:cs="Calibri"/>
          <w:color w:val="000000"/>
          <w:kern w:val="24"/>
          <w:sz w:val="22"/>
          <w:szCs w:val="22"/>
        </w:rPr>
        <w:t>)</w:t>
      </w:r>
      <w:r w:rsidR="0072052F">
        <w:rPr>
          <w:rFonts w:ascii="Calibri" w:eastAsia="+mn-ea" w:hAnsi="Calibri" w:cs="Calibri"/>
          <w:color w:val="000000"/>
          <w:kern w:val="24"/>
          <w:sz w:val="22"/>
          <w:szCs w:val="22"/>
        </w:rPr>
        <w:t xml:space="preserve"> and/or</w:t>
      </w:r>
      <w:r w:rsidR="00057E28" w:rsidRPr="00B946E4">
        <w:rPr>
          <w:rFonts w:ascii="Calibri" w:eastAsia="+mn-ea" w:hAnsi="Calibri" w:cs="Calibri"/>
          <w:color w:val="000000"/>
          <w:kern w:val="24"/>
          <w:sz w:val="22"/>
          <w:szCs w:val="22"/>
        </w:rPr>
        <w:t xml:space="preserve"> lactate dehydrogenase (</w:t>
      </w:r>
      <w:r w:rsidRPr="00B946E4">
        <w:rPr>
          <w:rFonts w:ascii="Calibri" w:eastAsia="+mn-ea" w:hAnsi="Calibri" w:cs="Calibri"/>
          <w:color w:val="000000"/>
          <w:kern w:val="24"/>
          <w:sz w:val="22"/>
          <w:szCs w:val="22"/>
        </w:rPr>
        <w:t>LDH</w:t>
      </w:r>
      <w:r w:rsidR="00057E28" w:rsidRPr="00B946E4">
        <w:rPr>
          <w:rFonts w:ascii="Calibri" w:eastAsia="+mn-ea" w:hAnsi="Calibri" w:cs="Calibri"/>
          <w:color w:val="000000"/>
          <w:kern w:val="24"/>
          <w:sz w:val="22"/>
          <w:szCs w:val="22"/>
        </w:rPr>
        <w:t>)</w:t>
      </w:r>
      <w:r w:rsidRPr="00B946E4">
        <w:rPr>
          <w:rFonts w:ascii="Calibri" w:eastAsia="+mn-ea" w:hAnsi="Calibri" w:cs="Calibri"/>
          <w:color w:val="000000"/>
          <w:kern w:val="24"/>
          <w:sz w:val="22"/>
          <w:szCs w:val="22"/>
        </w:rPr>
        <w:t xml:space="preserve"> </w:t>
      </w:r>
      <w:r w:rsidR="00057E28" w:rsidRPr="00B946E4">
        <w:rPr>
          <w:rFonts w:ascii="Calibri" w:eastAsia="+mn-ea" w:hAnsi="Calibri" w:cs="Calibri"/>
          <w:color w:val="000000"/>
          <w:kern w:val="24"/>
          <w:sz w:val="22"/>
          <w:szCs w:val="22"/>
        </w:rPr>
        <w:t>results in accumulation of L2HG</w:t>
      </w:r>
      <w:r w:rsidRPr="00B946E4">
        <w:rPr>
          <w:rFonts w:ascii="Calibri" w:eastAsia="+mn-ea" w:hAnsi="Calibri" w:cs="Calibri"/>
          <w:color w:val="000000"/>
          <w:kern w:val="24"/>
          <w:sz w:val="22"/>
          <w:szCs w:val="22"/>
        </w:rPr>
        <w:t>. Loss-of-function of the enzymes D</w:t>
      </w:r>
      <w:r w:rsidR="00057E28" w:rsidRPr="00B946E4">
        <w:rPr>
          <w:rFonts w:ascii="Calibri" w:eastAsia="+mn-ea" w:hAnsi="Calibri" w:cs="Calibri"/>
          <w:color w:val="000000"/>
          <w:kern w:val="24"/>
          <w:sz w:val="22"/>
          <w:szCs w:val="22"/>
        </w:rPr>
        <w:t>-2-hydroxyglutarate dehydrogenase (D2HGDH) and D-2-hydroxyglutarate dehydrogenase (</w:t>
      </w:r>
      <w:r w:rsidRPr="00B946E4">
        <w:rPr>
          <w:rFonts w:ascii="Calibri" w:eastAsia="+mn-ea" w:hAnsi="Calibri" w:cs="Calibri"/>
          <w:color w:val="000000"/>
          <w:kern w:val="24"/>
          <w:sz w:val="22"/>
          <w:szCs w:val="22"/>
        </w:rPr>
        <w:t>L2HGDH</w:t>
      </w:r>
      <w:r w:rsidR="00057E28" w:rsidRPr="00B946E4">
        <w:rPr>
          <w:rFonts w:ascii="Calibri" w:eastAsia="+mn-ea" w:hAnsi="Calibri" w:cs="Calibri"/>
          <w:color w:val="000000"/>
          <w:kern w:val="24"/>
          <w:sz w:val="22"/>
          <w:szCs w:val="22"/>
        </w:rPr>
        <w:t>),</w:t>
      </w:r>
      <w:r w:rsidRPr="00B946E4">
        <w:rPr>
          <w:rFonts w:ascii="Calibri" w:eastAsia="+mn-ea" w:hAnsi="Calibri" w:cs="Calibri"/>
          <w:color w:val="000000"/>
          <w:kern w:val="24"/>
          <w:sz w:val="22"/>
          <w:szCs w:val="22"/>
        </w:rPr>
        <w:t xml:space="preserve"> which catalyse the oxidation of D</w:t>
      </w:r>
      <w:r w:rsidR="00057E28" w:rsidRPr="00B946E4">
        <w:rPr>
          <w:rFonts w:ascii="Calibri" w:eastAsia="+mn-ea" w:hAnsi="Calibri" w:cs="Calibri"/>
          <w:color w:val="000000"/>
          <w:kern w:val="24"/>
          <w:sz w:val="22"/>
          <w:szCs w:val="22"/>
        </w:rPr>
        <w:t xml:space="preserve">2HG and </w:t>
      </w:r>
      <w:r w:rsidRPr="00B946E4">
        <w:rPr>
          <w:rFonts w:ascii="Calibri" w:eastAsia="+mn-ea" w:hAnsi="Calibri" w:cs="Calibri"/>
          <w:color w:val="000000"/>
          <w:kern w:val="24"/>
          <w:sz w:val="22"/>
          <w:szCs w:val="22"/>
        </w:rPr>
        <w:t>L2HG to α-ketoglutarate</w:t>
      </w:r>
      <w:r w:rsidR="00057E28" w:rsidRPr="00B946E4">
        <w:rPr>
          <w:rFonts w:ascii="Calibri" w:eastAsia="+mn-ea" w:hAnsi="Calibri" w:cs="Calibri"/>
          <w:color w:val="000000"/>
          <w:kern w:val="24"/>
          <w:sz w:val="22"/>
          <w:szCs w:val="22"/>
        </w:rPr>
        <w:t>,</w:t>
      </w:r>
      <w:r w:rsidRPr="00B946E4">
        <w:rPr>
          <w:rFonts w:ascii="Calibri" w:eastAsia="+mn-ea" w:hAnsi="Calibri" w:cs="Calibri"/>
          <w:color w:val="000000"/>
          <w:kern w:val="24"/>
          <w:sz w:val="22"/>
          <w:szCs w:val="22"/>
        </w:rPr>
        <w:t xml:space="preserve"> also result in the accumulation of D2HG and L2HG</w:t>
      </w:r>
      <w:r w:rsidR="00057E28" w:rsidRPr="00B946E4">
        <w:rPr>
          <w:rFonts w:ascii="Calibri" w:eastAsia="+mn-ea" w:hAnsi="Calibri" w:cs="Calibri"/>
          <w:color w:val="000000"/>
          <w:kern w:val="24"/>
          <w:sz w:val="22"/>
          <w:szCs w:val="22"/>
        </w:rPr>
        <w:t>,</w:t>
      </w:r>
      <w:r w:rsidRPr="00B946E4">
        <w:rPr>
          <w:rFonts w:ascii="Calibri" w:eastAsia="+mn-ea" w:hAnsi="Calibri" w:cs="Calibri"/>
          <w:color w:val="000000"/>
          <w:kern w:val="24"/>
          <w:sz w:val="22"/>
          <w:szCs w:val="22"/>
        </w:rPr>
        <w:t xml:space="preserve"> respectively.</w:t>
      </w:r>
      <w:r w:rsidR="00057E28" w:rsidRPr="00B946E4">
        <w:rPr>
          <w:rFonts w:ascii="Calibri" w:eastAsia="+mn-ea" w:hAnsi="Calibri" w:cs="Calibri"/>
          <w:color w:val="000000"/>
          <w:kern w:val="24"/>
          <w:sz w:val="22"/>
          <w:szCs w:val="22"/>
        </w:rPr>
        <w:t xml:space="preserve"> </w:t>
      </w:r>
      <w:r w:rsidRPr="00B946E4">
        <w:rPr>
          <w:rFonts w:ascii="Calibri" w:hAnsi="Calibri" w:cs="Calibri"/>
          <w:color w:val="000000" w:themeColor="text1"/>
          <w:sz w:val="22"/>
          <w:szCs w:val="22"/>
        </w:rPr>
        <w:t>αKGDH</w:t>
      </w:r>
      <w:r w:rsidR="00CF7EC1" w:rsidRPr="00B946E4">
        <w:rPr>
          <w:rFonts w:ascii="Calibri" w:hAnsi="Calibri" w:cs="Calibri"/>
          <w:color w:val="000000" w:themeColor="text1"/>
          <w:sz w:val="22"/>
          <w:szCs w:val="22"/>
        </w:rPr>
        <w:t>,</w:t>
      </w:r>
      <w:r w:rsidRPr="00B946E4">
        <w:rPr>
          <w:rFonts w:ascii="Calibri" w:hAnsi="Calibri" w:cs="Calibri"/>
          <w:color w:val="000000" w:themeColor="text1"/>
          <w:sz w:val="22"/>
          <w:szCs w:val="22"/>
        </w:rPr>
        <w:t xml:space="preserve"> α-ketoglutarate dehydrogenase</w:t>
      </w:r>
      <w:r w:rsidR="00CF7EC1" w:rsidRPr="00B946E4">
        <w:rPr>
          <w:rFonts w:ascii="Calibri" w:hAnsi="Calibri" w:cs="Calibri"/>
          <w:color w:val="000000" w:themeColor="text1"/>
          <w:sz w:val="22"/>
          <w:szCs w:val="22"/>
        </w:rPr>
        <w:t>;</w:t>
      </w:r>
      <w:r w:rsidRPr="00B946E4">
        <w:rPr>
          <w:rFonts w:ascii="Calibri" w:hAnsi="Calibri" w:cs="Calibri"/>
          <w:color w:val="000000" w:themeColor="text1"/>
          <w:sz w:val="22"/>
          <w:szCs w:val="22"/>
        </w:rPr>
        <w:t xml:space="preserve"> ACO2</w:t>
      </w:r>
      <w:r w:rsidR="00CF7EC1" w:rsidRPr="00B946E4">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Pr="00B946E4">
        <w:rPr>
          <w:rFonts w:ascii="Calibri" w:hAnsi="Calibri" w:cs="Calibri"/>
          <w:color w:val="000000" w:themeColor="text1"/>
          <w:sz w:val="22"/>
          <w:szCs w:val="22"/>
        </w:rPr>
        <w:t>aconitase</w:t>
      </w:r>
      <w:r w:rsidR="00CF7EC1" w:rsidRPr="00B946E4">
        <w:rPr>
          <w:rFonts w:ascii="Calibri" w:hAnsi="Calibri" w:cs="Calibri"/>
          <w:color w:val="000000" w:themeColor="text1"/>
          <w:sz w:val="22"/>
          <w:szCs w:val="22"/>
        </w:rPr>
        <w:t>;</w:t>
      </w:r>
      <w:r w:rsidRPr="00B946E4">
        <w:rPr>
          <w:rFonts w:ascii="Calibri" w:hAnsi="Calibri" w:cs="Calibri"/>
          <w:color w:val="000000" w:themeColor="text1"/>
          <w:sz w:val="22"/>
          <w:szCs w:val="22"/>
        </w:rPr>
        <w:t xml:space="preserve"> CoA</w:t>
      </w:r>
      <w:r w:rsidR="00CF7EC1" w:rsidRPr="00B946E4">
        <w:rPr>
          <w:rFonts w:ascii="Calibri" w:hAnsi="Calibri" w:cs="Calibri"/>
          <w:color w:val="000000" w:themeColor="text1"/>
          <w:sz w:val="22"/>
          <w:szCs w:val="22"/>
        </w:rPr>
        <w:t>,</w:t>
      </w:r>
      <w:r w:rsidRPr="00B946E4">
        <w:rPr>
          <w:rFonts w:ascii="Calibri" w:hAnsi="Calibri" w:cs="Calibri"/>
          <w:color w:val="000000" w:themeColor="text1"/>
          <w:sz w:val="22"/>
          <w:szCs w:val="22"/>
        </w:rPr>
        <w:t xml:space="preserve"> coenzyme A</w:t>
      </w:r>
      <w:r w:rsidR="00CF7EC1" w:rsidRPr="00B946E4">
        <w:rPr>
          <w:rFonts w:ascii="Calibri" w:hAnsi="Calibri" w:cs="Calibri"/>
          <w:color w:val="000000" w:themeColor="text1"/>
          <w:sz w:val="22"/>
          <w:szCs w:val="22"/>
        </w:rPr>
        <w:t>;</w:t>
      </w:r>
      <w:r w:rsidRPr="00B946E4">
        <w:rPr>
          <w:rFonts w:ascii="Calibri" w:hAnsi="Calibri" w:cs="Calibri"/>
          <w:color w:val="000000" w:themeColor="text1"/>
          <w:sz w:val="22"/>
          <w:szCs w:val="22"/>
        </w:rPr>
        <w:t xml:space="preserve"> FBP1</w:t>
      </w:r>
      <w:r w:rsidR="00CF7EC1" w:rsidRPr="00B946E4">
        <w:rPr>
          <w:rFonts w:ascii="Calibri" w:hAnsi="Calibri" w:cs="Calibri"/>
          <w:color w:val="000000" w:themeColor="text1"/>
          <w:sz w:val="22"/>
          <w:szCs w:val="22"/>
        </w:rPr>
        <w:t>,</w:t>
      </w:r>
      <w:r w:rsidRPr="00B946E4">
        <w:rPr>
          <w:rFonts w:ascii="Calibri" w:hAnsi="Calibri" w:cs="Calibri"/>
          <w:color w:val="000000" w:themeColor="text1"/>
          <w:sz w:val="22"/>
          <w:szCs w:val="22"/>
        </w:rPr>
        <w:t xml:space="preserve"> fructose-1,6-bisphosphatase 1</w:t>
      </w:r>
      <w:r w:rsidR="00CF7EC1" w:rsidRPr="00B946E4">
        <w:rPr>
          <w:rFonts w:ascii="Calibri" w:hAnsi="Calibri" w:cs="Calibri"/>
          <w:color w:val="000000" w:themeColor="text1"/>
          <w:sz w:val="22"/>
          <w:szCs w:val="22"/>
        </w:rPr>
        <w:t>;</w:t>
      </w:r>
      <w:r w:rsidRPr="00B946E4">
        <w:rPr>
          <w:rFonts w:ascii="Calibri" w:hAnsi="Calibri" w:cs="Calibri"/>
          <w:color w:val="000000" w:themeColor="text1"/>
          <w:sz w:val="22"/>
          <w:szCs w:val="22"/>
        </w:rPr>
        <w:t xml:space="preserve"> FASN</w:t>
      </w:r>
      <w:r w:rsidR="00CF7EC1" w:rsidRPr="00B946E4">
        <w:rPr>
          <w:rFonts w:ascii="Calibri" w:hAnsi="Calibri" w:cs="Calibri"/>
          <w:color w:val="000000" w:themeColor="text1"/>
          <w:sz w:val="22"/>
          <w:szCs w:val="22"/>
        </w:rPr>
        <w:t>,</w:t>
      </w:r>
      <w:r w:rsidRPr="00B946E4">
        <w:rPr>
          <w:rFonts w:ascii="Calibri" w:hAnsi="Calibri" w:cs="Calibri"/>
          <w:color w:val="000000" w:themeColor="text1"/>
          <w:sz w:val="22"/>
          <w:szCs w:val="22"/>
        </w:rPr>
        <w:t xml:space="preserve"> fatty acid synthesis</w:t>
      </w:r>
      <w:r w:rsidR="00CF7EC1" w:rsidRPr="00B946E4">
        <w:rPr>
          <w:rFonts w:ascii="Calibri" w:hAnsi="Calibri" w:cs="Calibri"/>
          <w:color w:val="000000" w:themeColor="text1"/>
          <w:sz w:val="22"/>
          <w:szCs w:val="22"/>
        </w:rPr>
        <w:t>;</w:t>
      </w:r>
      <w:r w:rsidRPr="00B946E4">
        <w:rPr>
          <w:rFonts w:ascii="Calibri" w:hAnsi="Calibri" w:cs="Calibri"/>
          <w:color w:val="000000" w:themeColor="text1"/>
          <w:sz w:val="22"/>
          <w:szCs w:val="22"/>
        </w:rPr>
        <w:t xml:space="preserve"> GDH</w:t>
      </w:r>
      <w:r w:rsidR="00CF7EC1" w:rsidRPr="00B946E4">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Pr="00B946E4">
        <w:rPr>
          <w:rFonts w:ascii="Calibri" w:hAnsi="Calibri" w:cs="Calibri"/>
          <w:color w:val="000000" w:themeColor="text1"/>
          <w:sz w:val="22"/>
          <w:szCs w:val="22"/>
        </w:rPr>
        <w:t>glutamate dehydrogenase</w:t>
      </w:r>
      <w:r w:rsidR="00CF7EC1" w:rsidRPr="00B946E4">
        <w:rPr>
          <w:rFonts w:ascii="Calibri" w:hAnsi="Calibri" w:cs="Calibri"/>
          <w:color w:val="000000" w:themeColor="text1"/>
          <w:sz w:val="22"/>
          <w:szCs w:val="22"/>
        </w:rPr>
        <w:t>;</w:t>
      </w:r>
      <w:r w:rsidRPr="00B946E4">
        <w:rPr>
          <w:rFonts w:ascii="Calibri" w:hAnsi="Calibri" w:cs="Calibri"/>
          <w:color w:val="000000" w:themeColor="text1"/>
          <w:sz w:val="22"/>
          <w:szCs w:val="22"/>
        </w:rPr>
        <w:t xml:space="preserve"> GLS</w:t>
      </w:r>
      <w:r w:rsidR="00CF7EC1" w:rsidRPr="00B946E4">
        <w:rPr>
          <w:rFonts w:ascii="Calibri" w:hAnsi="Calibri" w:cs="Calibri"/>
          <w:color w:val="000000" w:themeColor="text1"/>
          <w:sz w:val="22"/>
          <w:szCs w:val="22"/>
        </w:rPr>
        <w:t>,</w:t>
      </w:r>
      <w:r w:rsidR="000167D7">
        <w:rPr>
          <w:rFonts w:ascii="Calibri" w:hAnsi="Calibri" w:cs="Calibri"/>
          <w:color w:val="000000" w:themeColor="text1"/>
          <w:sz w:val="22"/>
          <w:szCs w:val="22"/>
        </w:rPr>
        <w:t xml:space="preserve"> </w:t>
      </w:r>
      <w:r w:rsidRPr="00B946E4">
        <w:rPr>
          <w:rFonts w:ascii="Calibri" w:hAnsi="Calibri" w:cs="Calibri"/>
          <w:color w:val="000000" w:themeColor="text1"/>
          <w:sz w:val="22"/>
          <w:szCs w:val="22"/>
        </w:rPr>
        <w:t>glutaminase</w:t>
      </w:r>
      <w:r w:rsidR="00133FAD" w:rsidRPr="00B946E4">
        <w:rPr>
          <w:rFonts w:ascii="Calibri" w:hAnsi="Calibri" w:cs="Calibri"/>
          <w:color w:val="000000" w:themeColor="text1"/>
          <w:sz w:val="22"/>
          <w:szCs w:val="22"/>
        </w:rPr>
        <w:t>.</w:t>
      </w:r>
    </w:p>
    <w:p w14:paraId="5A108534" w14:textId="77777777" w:rsidR="000B35F0" w:rsidRPr="00B946E4" w:rsidRDefault="000B35F0" w:rsidP="000B35F0">
      <w:pPr>
        <w:spacing w:line="360" w:lineRule="auto"/>
        <w:jc w:val="both"/>
        <w:rPr>
          <w:rFonts w:ascii="Calibri" w:hAnsi="Calibri" w:cs="Calibri"/>
          <w:color w:val="000000" w:themeColor="text1"/>
          <w:sz w:val="22"/>
          <w:szCs w:val="22"/>
        </w:rPr>
      </w:pPr>
    </w:p>
    <w:p w14:paraId="7A792645" w14:textId="04EA8FFC" w:rsidR="00380773" w:rsidRDefault="000B35F0" w:rsidP="000B35F0">
      <w:pPr>
        <w:jc w:val="both"/>
        <w:rPr>
          <w:rFonts w:ascii="Calibri" w:eastAsia="+mn-ea" w:hAnsi="Calibri" w:cs="Calibri"/>
          <w:color w:val="000000"/>
          <w:kern w:val="24"/>
          <w:sz w:val="22"/>
          <w:szCs w:val="22"/>
        </w:rPr>
      </w:pPr>
      <w:r w:rsidRPr="00B946E4">
        <w:rPr>
          <w:rFonts w:ascii="Calibri" w:eastAsia="+mn-ea" w:hAnsi="Calibri" w:cs="Calibri"/>
          <w:b/>
          <w:color w:val="000000"/>
          <w:kern w:val="24"/>
          <w:sz w:val="22"/>
          <w:szCs w:val="22"/>
        </w:rPr>
        <w:t xml:space="preserve">Figure 2: </w:t>
      </w:r>
      <w:r w:rsidR="00274F3E" w:rsidRPr="00B946E4">
        <w:rPr>
          <w:rFonts w:ascii="Calibri" w:eastAsia="+mn-ea" w:hAnsi="Calibri" w:cs="Calibri"/>
          <w:b/>
          <w:color w:val="000000"/>
          <w:kern w:val="24"/>
          <w:sz w:val="22"/>
          <w:szCs w:val="22"/>
        </w:rPr>
        <w:t xml:space="preserve">Individual and shared </w:t>
      </w:r>
      <w:r w:rsidRPr="00B946E4">
        <w:rPr>
          <w:rFonts w:ascii="Calibri" w:eastAsia="+mn-ea" w:hAnsi="Calibri" w:cs="Calibri"/>
          <w:b/>
          <w:color w:val="000000"/>
          <w:kern w:val="24"/>
          <w:sz w:val="22"/>
          <w:szCs w:val="22"/>
        </w:rPr>
        <w:t>oncometabolite signalling pathways.</w:t>
      </w:r>
      <w:r w:rsidR="000167D7">
        <w:rPr>
          <w:rFonts w:ascii="Calibri" w:eastAsia="+mn-ea" w:hAnsi="Calibri" w:cs="Calibri"/>
          <w:b/>
          <w:color w:val="000000"/>
          <w:kern w:val="24"/>
          <w:sz w:val="22"/>
          <w:szCs w:val="22"/>
        </w:rPr>
        <w:t xml:space="preserve"> </w:t>
      </w:r>
      <w:r w:rsidR="00380773">
        <w:rPr>
          <w:rFonts w:ascii="Calibri" w:eastAsia="+mn-ea" w:hAnsi="Calibri" w:cs="Calibri"/>
          <w:color w:val="000000"/>
          <w:kern w:val="24"/>
          <w:sz w:val="22"/>
          <w:szCs w:val="22"/>
        </w:rPr>
        <w:t>The oncometabolites fumarate, succinate</w:t>
      </w:r>
      <w:r w:rsidR="00BA3BD0">
        <w:rPr>
          <w:rFonts w:ascii="Calibri" w:eastAsia="+mn-ea" w:hAnsi="Calibri" w:cs="Calibri"/>
          <w:color w:val="000000"/>
          <w:kern w:val="24"/>
          <w:sz w:val="22"/>
          <w:szCs w:val="22"/>
        </w:rPr>
        <w:t xml:space="preserve">, and 2HG (L2HG and D2HG)  </w:t>
      </w:r>
      <w:r w:rsidR="00380773">
        <w:rPr>
          <w:rFonts w:ascii="Calibri" w:eastAsia="+mn-ea" w:hAnsi="Calibri" w:cs="Calibri"/>
          <w:color w:val="000000"/>
          <w:kern w:val="24"/>
          <w:sz w:val="22"/>
          <w:szCs w:val="22"/>
        </w:rPr>
        <w:t xml:space="preserve">have shared downstream effects (bottom box) </w:t>
      </w:r>
      <w:r w:rsidR="00B3412C">
        <w:rPr>
          <w:rFonts w:ascii="Calibri" w:eastAsia="+mn-ea" w:hAnsi="Calibri" w:cs="Calibri"/>
          <w:color w:val="000000"/>
          <w:kern w:val="24"/>
          <w:sz w:val="22"/>
          <w:szCs w:val="22"/>
        </w:rPr>
        <w:t>which converge</w:t>
      </w:r>
      <w:r w:rsidR="00380773">
        <w:rPr>
          <w:rFonts w:ascii="Calibri" w:eastAsia="+mn-ea" w:hAnsi="Calibri" w:cs="Calibri"/>
          <w:color w:val="000000"/>
          <w:kern w:val="24"/>
          <w:sz w:val="22"/>
          <w:szCs w:val="22"/>
        </w:rPr>
        <w:t xml:space="preserve"> on the inhibition of </w:t>
      </w:r>
      <w:r w:rsidR="00380773" w:rsidRPr="00380773">
        <w:rPr>
          <w:rFonts w:ascii="Calibri" w:eastAsia="+mn-ea" w:hAnsi="Calibri" w:cs="Calibri"/>
          <w:color w:val="000000"/>
          <w:kern w:val="24"/>
          <w:sz w:val="22"/>
          <w:szCs w:val="22"/>
        </w:rPr>
        <w:t>α-ketoglutarate</w:t>
      </w:r>
      <w:r w:rsidR="00AF65BA">
        <w:rPr>
          <w:rFonts w:ascii="Calibri" w:eastAsia="+mn-ea" w:hAnsi="Calibri" w:cs="Calibri"/>
          <w:color w:val="000000"/>
          <w:kern w:val="24"/>
          <w:sz w:val="22"/>
          <w:szCs w:val="22"/>
        </w:rPr>
        <w:t>-</w:t>
      </w:r>
      <w:r w:rsidR="00380773" w:rsidRPr="00380773">
        <w:rPr>
          <w:rFonts w:ascii="Calibri" w:eastAsia="+mn-ea" w:hAnsi="Calibri" w:cs="Calibri"/>
          <w:color w:val="000000"/>
          <w:kern w:val="24"/>
          <w:sz w:val="22"/>
          <w:szCs w:val="22"/>
        </w:rPr>
        <w:t>dependent dioxygenases</w:t>
      </w:r>
      <w:r w:rsidR="00DD0E5D">
        <w:rPr>
          <w:rFonts w:ascii="Calibri" w:eastAsia="+mn-ea" w:hAnsi="Calibri" w:cs="Calibri"/>
          <w:color w:val="000000"/>
          <w:kern w:val="24"/>
          <w:sz w:val="22"/>
          <w:szCs w:val="22"/>
        </w:rPr>
        <w:t>.</w:t>
      </w:r>
      <w:r w:rsidR="00380773">
        <w:rPr>
          <w:rFonts w:ascii="Calibri" w:eastAsia="+mn-ea" w:hAnsi="Calibri" w:cs="Calibri"/>
          <w:color w:val="000000"/>
          <w:kern w:val="24"/>
          <w:sz w:val="22"/>
          <w:szCs w:val="22"/>
        </w:rPr>
        <w:t xml:space="preserve"> </w:t>
      </w:r>
      <w:r w:rsidR="00DD0E5D">
        <w:rPr>
          <w:rFonts w:ascii="Calibri" w:eastAsia="+mn-ea" w:hAnsi="Calibri" w:cs="Calibri"/>
          <w:color w:val="000000"/>
          <w:kern w:val="24"/>
          <w:sz w:val="22"/>
          <w:szCs w:val="22"/>
        </w:rPr>
        <w:t>This</w:t>
      </w:r>
      <w:r w:rsidR="00AF65BA">
        <w:rPr>
          <w:rFonts w:ascii="Calibri" w:eastAsia="+mn-ea" w:hAnsi="Calibri" w:cs="Calibri"/>
          <w:color w:val="000000"/>
          <w:kern w:val="24"/>
          <w:sz w:val="22"/>
          <w:szCs w:val="22"/>
        </w:rPr>
        <w:t xml:space="preserve"> </w:t>
      </w:r>
      <w:r w:rsidR="00BA3BD0" w:rsidRPr="00BA3BD0">
        <w:rPr>
          <w:rFonts w:ascii="Calibri" w:eastAsia="+mn-ea" w:hAnsi="Calibri" w:cs="Calibri"/>
          <w:color w:val="000000"/>
          <w:kern w:val="24"/>
          <w:sz w:val="22"/>
          <w:szCs w:val="22"/>
        </w:rPr>
        <w:t xml:space="preserve"> </w:t>
      </w:r>
      <w:r w:rsidR="00BA3BD0">
        <w:rPr>
          <w:rFonts w:ascii="Calibri" w:eastAsia="+mn-ea" w:hAnsi="Calibri" w:cs="Calibri"/>
          <w:color w:val="000000"/>
          <w:kern w:val="24"/>
          <w:sz w:val="22"/>
          <w:szCs w:val="22"/>
        </w:rPr>
        <w:t xml:space="preserve">phenomenon </w:t>
      </w:r>
      <w:r w:rsidR="00DD0E5D">
        <w:rPr>
          <w:rFonts w:ascii="Calibri" w:eastAsia="+mn-ea" w:hAnsi="Calibri" w:cs="Calibri"/>
          <w:color w:val="000000"/>
          <w:kern w:val="24"/>
          <w:sz w:val="22"/>
          <w:szCs w:val="22"/>
        </w:rPr>
        <w:t>leads to</w:t>
      </w:r>
      <w:r w:rsidR="00380773">
        <w:rPr>
          <w:rFonts w:ascii="Calibri" w:eastAsia="+mn-ea" w:hAnsi="Calibri" w:cs="Calibri"/>
          <w:color w:val="000000"/>
          <w:kern w:val="24"/>
          <w:sz w:val="22"/>
          <w:szCs w:val="22"/>
        </w:rPr>
        <w:t xml:space="preserve"> epigenetic dysregulation</w:t>
      </w:r>
      <w:r w:rsidR="00B3412C">
        <w:rPr>
          <w:rFonts w:ascii="Calibri" w:eastAsia="+mn-ea" w:hAnsi="Calibri" w:cs="Calibri"/>
          <w:color w:val="000000"/>
          <w:kern w:val="24"/>
          <w:sz w:val="22"/>
          <w:szCs w:val="22"/>
        </w:rPr>
        <w:t>,</w:t>
      </w:r>
      <w:r w:rsidR="00380773">
        <w:rPr>
          <w:rFonts w:ascii="Calibri" w:eastAsia="+mn-ea" w:hAnsi="Calibri" w:cs="Calibri"/>
          <w:color w:val="000000"/>
          <w:kern w:val="24"/>
          <w:sz w:val="22"/>
          <w:szCs w:val="22"/>
        </w:rPr>
        <w:t xml:space="preserve"> through</w:t>
      </w:r>
      <w:r w:rsidR="00B3412C">
        <w:rPr>
          <w:rFonts w:ascii="Calibri" w:eastAsia="+mn-ea" w:hAnsi="Calibri" w:cs="Calibri"/>
          <w:color w:val="000000"/>
          <w:kern w:val="24"/>
          <w:sz w:val="22"/>
          <w:szCs w:val="22"/>
        </w:rPr>
        <w:t xml:space="preserve"> inhibition of TETs and Jumonji C domain-containing histone lysine demethylases (KDMs), </w:t>
      </w:r>
      <w:r w:rsidR="00CF3E67">
        <w:rPr>
          <w:rFonts w:ascii="Calibri" w:eastAsia="+mn-ea" w:hAnsi="Calibri" w:cs="Calibri"/>
          <w:color w:val="000000"/>
          <w:kern w:val="24"/>
          <w:sz w:val="22"/>
          <w:szCs w:val="22"/>
        </w:rPr>
        <w:t>and</w:t>
      </w:r>
      <w:r w:rsidR="00B3412C">
        <w:rPr>
          <w:rFonts w:ascii="Calibri" w:eastAsia="+mn-ea" w:hAnsi="Calibri" w:cs="Calibri"/>
          <w:color w:val="000000"/>
          <w:kern w:val="24"/>
          <w:sz w:val="22"/>
          <w:szCs w:val="22"/>
        </w:rPr>
        <w:t xml:space="preserve"> induction of pseudohypoxi</w:t>
      </w:r>
      <w:r w:rsidR="00DD0E5D">
        <w:rPr>
          <w:rFonts w:ascii="Calibri" w:eastAsia="+mn-ea" w:hAnsi="Calibri" w:cs="Calibri"/>
          <w:color w:val="000000"/>
          <w:kern w:val="24"/>
          <w:sz w:val="22"/>
          <w:szCs w:val="22"/>
        </w:rPr>
        <w:t xml:space="preserve">a, </w:t>
      </w:r>
      <w:r w:rsidR="00B3412C">
        <w:rPr>
          <w:rFonts w:ascii="Calibri" w:eastAsia="+mn-ea" w:hAnsi="Calibri" w:cs="Calibri"/>
          <w:color w:val="000000"/>
          <w:kern w:val="24"/>
          <w:sz w:val="22"/>
          <w:szCs w:val="22"/>
        </w:rPr>
        <w:t>through</w:t>
      </w:r>
      <w:r w:rsidR="00DD0E5D">
        <w:rPr>
          <w:rFonts w:ascii="Calibri" w:eastAsia="+mn-ea" w:hAnsi="Calibri" w:cs="Calibri"/>
          <w:color w:val="000000"/>
          <w:kern w:val="24"/>
          <w:sz w:val="22"/>
          <w:szCs w:val="22"/>
        </w:rPr>
        <w:t xml:space="preserve"> aberrant</w:t>
      </w:r>
      <w:r w:rsidR="00B3412C">
        <w:rPr>
          <w:rFonts w:ascii="Calibri" w:eastAsia="+mn-ea" w:hAnsi="Calibri" w:cs="Calibri"/>
          <w:color w:val="000000"/>
          <w:kern w:val="24"/>
          <w:sz w:val="22"/>
          <w:szCs w:val="22"/>
        </w:rPr>
        <w:t xml:space="preserve"> HIF stabilisatio</w:t>
      </w:r>
      <w:r w:rsidR="003F60E6">
        <w:rPr>
          <w:rFonts w:ascii="Calibri" w:eastAsia="+mn-ea" w:hAnsi="Calibri" w:cs="Calibri"/>
          <w:color w:val="000000"/>
          <w:kern w:val="24"/>
          <w:sz w:val="22"/>
          <w:szCs w:val="22"/>
        </w:rPr>
        <w:t>n</w:t>
      </w:r>
      <w:r w:rsidR="00E25951">
        <w:rPr>
          <w:rFonts w:ascii="Calibri" w:eastAsia="+mn-ea" w:hAnsi="Calibri" w:cs="Calibri"/>
          <w:color w:val="000000"/>
          <w:kern w:val="24"/>
          <w:sz w:val="22"/>
          <w:szCs w:val="22"/>
        </w:rPr>
        <w:t xml:space="preserve"> secondary to PHD inhibition</w:t>
      </w:r>
      <w:r w:rsidR="007946CE">
        <w:rPr>
          <w:rFonts w:ascii="Calibri" w:eastAsia="+mn-ea" w:hAnsi="Calibri" w:cs="Calibri"/>
          <w:color w:val="000000"/>
          <w:kern w:val="24"/>
          <w:sz w:val="22"/>
          <w:szCs w:val="22"/>
        </w:rPr>
        <w:fldChar w:fldCharType="begin"/>
      </w:r>
      <w:r w:rsidR="004E2A88">
        <w:rPr>
          <w:rFonts w:ascii="Calibri" w:eastAsia="+mn-ea" w:hAnsi="Calibri" w:cs="Calibri"/>
          <w:color w:val="000000"/>
          <w:kern w:val="24"/>
          <w:sz w:val="22"/>
          <w:szCs w:val="22"/>
        </w:rPr>
        <w:instrText xml:space="preserve"> ADDIN ZOTERO_ITEM CSL_CITATION {"citationID":"a20k8sfi7h6","properties":{"formattedCitation":"\\super 27,71,140\\uc0\\u8211{}143\\nosupersub{}","plainCitation":"27,71,140–143","noteIndex":0},"citationItems":[{"id":1439,"uris":["http://zotero.org/users/4775618/items/JZLIJDMI"],"uri":["http://zotero.org/users/4775618/items/JZLIJDMI"],"itemData":{"id":1439,"type":"article-journal","title":"Fumarate and Succinate Regulate Expression of Hypoxia-inducible Genes via TET Enzymes","container-title":"Journal of Biological Chemistry","page":"4256-4265","volume":"291","issue":"8","source":"www.jbc.org.ezp.lib.cam.ac.uk","abstract":"The TET enzymes are members of the 2-oxoglutarate-dependent dioxygenase family and comprise three isoenzymes in humans: TETs 1–3. These TETs convert 5-methylcytosine to 5-hydroxymethylcytosine (5-hmC) in DNA, and high 5-hmC levels are associated with active transcription. The importance of the balance in these modified cytosines is emphasized by the fact that TET2 is mutated in several human cancers, including myeloid malignancies such as acute myeloid leukemia (AML). We characterize here the kinetic and inhibitory properties of Tets and show that the Km value of Tets 1 and 2 for O2 is 30 μm, indicating that they retain high activity even under hypoxic conditions. The AML-associated mutations in the Fe2+ and 2-oxoglutarate-binding residues increased the Km values for these factors 30–80-fold and reduced the Vmax values. Fumarate and succinate, which can accumulate to millimolar levels in succinate dehydrogenase and fumarate hydratase-mutant tumors, were identified as potent Tet inhibitors in vitro, with IC50 values </w:instrText>
      </w:r>
      <w:r w:rsidR="004E2A88">
        <w:rPr>
          <w:rFonts w:ascii="Cambria Math" w:eastAsia="+mn-ea" w:hAnsi="Cambria Math" w:cs="Cambria Math"/>
          <w:color w:val="000000"/>
          <w:kern w:val="24"/>
          <w:sz w:val="22"/>
          <w:szCs w:val="22"/>
        </w:rPr>
        <w:instrText>∼</w:instrText>
      </w:r>
      <w:r w:rsidR="004E2A88">
        <w:rPr>
          <w:rFonts w:ascii="Calibri" w:eastAsia="+mn-ea" w:hAnsi="Calibri" w:cs="Calibri"/>
          <w:color w:val="000000"/>
          <w:kern w:val="24"/>
          <w:sz w:val="22"/>
          <w:szCs w:val="22"/>
        </w:rPr>
        <w:instrText xml:space="preserve">400–500 μm. Fumarate and succinate also down-regulated global 5-hmC levels in neuroblastoma cells and the expression levels of some hypoxia-inducible factor (HIF) target genes via TET inhibition, despite simultaneous HIFα stabilization. The combination of fumarate or succinate treatment with TET1 or TET3 silencing caused differential effects on the expression of specific HIF target genes. Altogether these data show that hypoxia-inducible genes are regulated in a multilayered manner that includes epigenetic regulation via TETs and 5-hmC levels in addition to HIF stabilization.","URL":"http://www.jbc.org.ezp.lib.cam.ac.uk/content/291/8/4256","DOI":"10.1074/jbc.M115.688762","ISSN":"0021-9258, 1083-351X","note":"PMID: 26703470","journalAbbreviation":"J. Biol. Chem.","language":"en","author":[{"family":"Laukka","given":"Tuomas"},{"family":"Mariani","given":"Christopher J."},{"family":"Ihantola","given":"Tuukka"},{"family":"Cao","given":"John Z."},{"family":"Hokkanen","given":"Juho"},{"family":"Kaelin","given":"William G."},{"family":"Godley","given":"Lucy A."},{"family":"Koivunen","given":"Peppi"}],"issued":{"date-parts":[["2016",2,19]]},"accessed":{"date-parts":[["2019",2,24]]}}},{"id":1510,"uris":["http://zotero.org/users/4775618/items/KQPZH6CD"],"uri":["http://zotero.org/users/4775618/items/KQPZH6CD"],"itemData":{"id":1510,"type":"article-journal","title":"SDH Mutations Establish a Hypermethylator Phenotype in Paraganglioma","container-title":"Cancer Cell","page":"739-752","volume":"23","issue":"6","source":"ScienceDirect","abstract":"Summary\nParagangliomas are neuroendocrine tumors frequently associated with mutations in RET, NF1, VHL, and succinate dehydrogenase (SDHx) genes. Methylome analysis of a large paraganglioma cohort identified three stable clusters, associated with distinct clinical features and mutational status. SDHx-related tumors displayed a hypermethylator phenotype, associated with downregulation of key genes involved in neuroendocrine differentiation. Succinate accumulation in SDH-deficient mouse chromaffin cells led to DNA hypermethylation by inhibition of 2-OG-dependent histone and DNA demethylases and established a migratory phenotype reversed by decitabine treatment. Epigenetic silencing was particularly severe in SDHB-mutated tumors, potentially explaining their malignancy. Finally, inactivating FH mutations were identified in the only hypermethylated tumor without SDHx mutations. These findings emphasize the interplay between the Krebs cycle, epigenomic changes, and cancer.","URL":"http://www.sciencedirect.com/science/article/pii/S1535610813001839","DOI":"10.1016/j.ccr.2013.04.018","ISSN":"1535-6108","journalAbbreviation":"Cancer Cell","author":[{"family":"Letouzé","given":"Eric"},{"family":"Martinelli","given":"Cosimo"},{"family":"Loriot","given":"Céline"},{"family":"Burnichon","given":"Nelly"},{"family":"Abermil","given":"Nasséra"},{"family":"Ottolenghi","given":"Chris"},{"family":"Janin","given":"Maxime"},{"family":"Menara","given":"Mélanie"},{"family":"Nguyen","given":"An Thach"},{"family":"Benit","given":"Paule"},{"family":"Buffet","given":"Alexandre"},{"family":"Marcaillou","given":"Charles"},{"family":"Bertherat","given":"Jérôme"},{"family":"Amar","given":"Laurence"},{"family":"Rustin","given":"Pierre"},{"family":"De Reyniès","given":"Aurélien"},{"family":"Gimenez-Roqueplo","given":"Anne-Paule"},{"family":"Favier","given":"Judith"}],"issued":{"date-parts":[["2013",6,10]]},"accessed":{"date-parts":[["2019",2,25]]}}},{"id":1355,"uris":["http://zotero.org/users/4775618/items/TMNJ2W2F"],"uri":["http://zotero.org/users/4775618/items/TMNJ2W2F"],"itemData":{"id":1355,"type":"article-journal","title":"IDH mutation impairs histone demethylation and results in a block to cell differentiation","container-title":"Nature","page":"474-478","volume":"483","issue":"7390","source":"www-nature-com.ezp.lib.cam.ac.uk","abstract":"Recurrent mutations in isocitrate dehydrogenase 1 (IDH1) and IDH2 have been identified in gliomas, acute myeloid leukaemias (AML) and chondrosarcomas, and share a novel enzymatic property of producing 2-hydroxyglutarate (2HG) from α-ketoglutarate1,2,3,4,5,6. Here we report that 2HG-producing IDH mutants can prevent the histone demethylation that is required for lineage-specific progenitor cells to differentiate into terminally differentiated cells. In tumour samples from glioma patients, IDH mutations were associated with a distinct gene expression profile enriched for genes expressed in neural progenitor cells, and this was associated with increased histone methylation. To test whether the ability of IDH mutants to promote histone methylation contributes to a block in cell differentiation in non-transformed cells, we tested the effect of neomorphic IDH mutants on adipocyte differentiation in vitro. Introduction of either mutant IDH or cell-permeable 2HG was associated with repression of the inducible expression of lineage-specific differentiation genes and a block to differentiation. This correlated with a significant increase in repressive histone methylation marks without observable changes in promoter DNA methylation. Gliomas were found to have elevated levels of similar histone repressive marks. Stable transfection of a 2HG-producing mutant IDH into immortalized astrocytes resulted in progressive accumulation of histone methylation. Of the marks examined, increased H3K9 methylation reproducibly preceded a rise in DNA methylation as cells were passaged in culture. Furthermore, we found that the 2HG-inhibitable H3K9 demethylase KDM4C was induced during adipocyte differentiation, and that RNA-interference suppression of KDM4C was sufficient to block differentiation. Together these data demonstrate that 2HG can inhibit histone demethylation and that inhibition of histone demethylation can be sufficient to block the differentiation of non-transformed cells.","URL":"http://www.nature.com/articles/nature10860","DOI":"10.1038/nature10860","ISSN":"1476-4687","language":"en","author":[{"family":"Lu","given":"Chao"},{"family":"Ward","given":"Patrick S."},{"family":"Kapoor","given":"Gurpreet S."},{"family":"Rohle","given":"Dan"},{"family":"Turcan","given":"Sevin"},{"family":"Abdel-Wahab","given":"Omar"},{"family":"Edwards","given":"Christopher R."},{"family":"Khanin","given":"Raya"},{"family":"Figueroa","given":"Maria E."},{"family":"Melnick","given":"Ari"},{"family":"Wellen","given":"Kathryn E."},{"family":"O’Rourke","given":"Donald M."},{"family":"Berger","given":"Shelley L."},{"family":"Chan","given":"Timothy A."},{"family":"Levine","given":"Ross L."},{"family":"Mellinghoff","given":"Ingo K."},{"family":"Thompson","given":"Craig B."}],"issued":{"date-parts":[["2012",3]]},"accessed":{"date-parts":[["2019",2,23]]}}},{"id":283,"uris":["http://zotero.org/users/4775618/items/GSI53XGT"],"uri":["http://zotero.org/users/4775618/items/GSI53XGT"],"itemData":{"id":283,"type":"article-journal","title":"Accumulation of Krebs cycle intermediates and over-expression of HIF1α in tumours which result from germline FH and SDH mutations","container-title":"Human Molecular Genetics","page":"2231-2239","volume":"14","issue":"15","source":"academic.oup.com","abstract":"The nuclear-encoded Krebs cycle enzymes, fumarate hydratase (FH) and succinate dehydrogenase (SDHB, -C and -D), act as tumour suppressors. Germline mutations in FH predispose individuals to leiomyomas and renal cell cancer (HLRCC), whereas mutations in SDH cause paragangliomas and phaeochromocytomas (HPGL). In this study, we have shown that FH-deficient cells and tumours accumulate fumarate and, to a lesser extent, succinate. SDH-deficient tumours principally accumulate succinate. In situ analyses showed that these tumours also have over-expression of hypoxia-inducible factor 1α (HIF1α), activation of HIF1αtargets (such as vascular endothelial growth factor) and high microvessel density. We found no evidence of increased reactive oxygen species in our cells. Our data provide in vivo evidence to support the hypothesis that increased succinate and/or fumarate causes stabilization of HIF1α a plausible mechanism, inhibition of HIF prolyl hydroxylases, has previously been suggested by in vitro studies. The basic mechanism of tumorigenesis in HPGL and HLRCC is likely to be pseudo-hypoxic drive, just as it is in von Hippel–Lindau syndrome.","URL":"https://academic.oup.com/hmg/article/14/15/2231/551734","DOI":"10.1093/hmg/ddi227","ISSN":"0964-6906","journalAbbreviation":"Hum Mol Genet","language":"en","author":[{"family":"Pollard","given":"P. J."},{"family":"Brière","given":"J. J."},{"family":"Alam","given":"N. A."},{"family":"Barwell","given":"J."},{"family":"Barclay","given":"E."},{"family":"Wortham","given":"N. C."},{"family":"Hunt","given":"T."},{"family":"Mitchell","given":"M."},{"family":"Olpin","given":"S."},{"family":"Moat","given":"S. J."},{"family":"Hargreaves","given":"I. P."},{"family":"Heales","given":"S. J."},{"family":"Chung","given":"Y. L."},{"family":"Griffiths","given":"J. R."},{"family":"Dalgleish","given":"A."},{"family":"McGrath","given":"J. A."},{"family":"Gleeson","given":"M. J."},{"family":"Hodgson","given":"S. V."},{"family":"Poulsom","given":"R."},{"family":"Rustin","given":"P."},{"family":"Tomlinson","given":"I. P. M."}],"issued":{"date-parts":[["2005",8,1]]},"accessed":{"date-parts":[["2018",3,24]]}}},{"id":700,"uris":["http://zotero.org/users/4775618/items/UXVXGHY3"],"uri":["http://zotero.org/users/4775618/items/UXVXGHY3"],"itemData":{"id":700,"type":"article-journal","title":"Inhibition of α-KG-dependent histone and DNA demethylases by fumarate and succinate that are accumulated in mutations of FH and SDH tumor suppressors","container-title":"Genes &amp; Development","page":"1326-1338","volume":"26","issue":"12","source":"PubMed","abstract":"Two Krebs cycle genes, fumarate hydratase (FH) and succinate dehydrogenase (SDH), are mutated in a subset of human cancers, leading to accumulation of their substrates, fumarate and succinate, respectively. Here we demonstrate that fumarate and succinate are competitive inhibitors of multiple α-ketoglutarate (α-KG)-dependent dioxygenases, including histone demethylases, prolyl hydroxylases, collagen prolyl-4-hydroxylases, and the TET (ten-eleven translocation) family of 5-methlycytosine (5mC) hydroxylases. Knockdown of FH and SDH results in elevated intracellular levels of fumarate and succinate, respectively, which act as competitors of α-KG to broadly inhibit the activity of α-KG-dependent dioxygenases. In addition, ectopic expression of tumor-derived FH and SDH mutants inhibits histone demethylation and hydroxylation of 5mC. Our study suggests that tumor-derived FH and SDH mutations accumulate fumarate and succinate, leading to enzymatic inhibition of multiple α-KG-dependent dioxygenases and consequent alterations of genome-wide histone and DNA methylation. These epigenetic alterations associated with mutations of FH and SDH likely contribute to tumorigenesis.","DOI":"10.1101/gad.191056.112","ISSN":"1549-5477","note":"PMID: 22677546\nPMCID: PMC3387660","journalAbbreviation":"Genes Dev.","language":"eng","author":[{"family":"Xiao","given":"Mengtao"},{"family":"Yang","given":"Hui"},{"family":"Xu","given":"Wei"},{"family":"Ma","given":"Shenghong"},{"family":"Lin","given":"Huaipeng"},{"family":"Zhu","given":"Honguang"},{"family":"Liu","given":"Lixia"},{"family":"Liu","given":"Ying"},{"family":"Yang","given":"Chen"},{"family":"Xu","given":"Yanhui"},{"family":"Zhao","given":"Shimin"},{"family":"Ye","given":"Dan"},{"family":"Xiong","given":"Yue"},{"family":"Guan","given":"Kun-Liang"}],"issued":{"date-parts":[["2012",6,15]]}}},{"id":331,"uris":["http://zotero.org/users/4775618/items/CH9YES7I"],"uri":["http://zotero.org/users/4775618/items/CH9YES7I"],"itemData":{"id":331,"type":"article-journal","title":"Oncometabolite 2-Hydroxyglutarate Is a Competitive Inhibitor of α-Ketoglutarate-Dependent Dioxygenases","container-title":"Cancer cell","page":"17-30","volume":"19","issue":"1","source":"PubMed Central","abstract":"IDH1 and IDH2 mutations occur frequently in gliomas and acute myeloid leukemia, leading to simultaneous loss and gain of activities in the production of α-ketoglutarate (α-KG) and 2-hydroxyglutarate (2-HG), respectively. Here we demonstrate that 2-HG is a competitive inhibitor of multiple α-KG-dependent dioxygenases, including histone demethylases and the TET family of 5-methlycytosine (5mC) hydroxylases. 2-HG occupies the same space as α-KG does in the active site of histone demethylases. Ectopic expression of tumor-derived IDH1 and IDH2 mutants inhibits histone demethylation and 5mC hydroxylation. In glioma, IDH1 mutations are associated with increased histone methylation and decreased 5-hydroxylmethylcytosine (5hmC). Hence, tumor-derived IDH1 and IDH2 mutations reduce α-KG and accumulate an α-KG antagonist, 2-HG, leading to genome-wide histone and DNA methylation alterations.","URL":"https://www.ncbi.nlm.nih.gov/pmc/articles/PMC3229304/","DOI":"10.1016/j.ccr.2010.12.014","ISSN":"1535-6108","note":"PMID: 21251613\nPMCID: PMC3229304","journalAbbreviation":"Cancer Cell","author":[{"family":"Xu","given":"Wei"},{"family":"Yang","given":"Hui"},{"family":"Liu","given":"Ying"},{"family":"Yang","given":"Ying"},{"family":"Wang","given":"Ping"},{"family":"Kim","given":"Se-Hee"},{"family":"Ito","given":"Shinsuke"},{"family":"Yang","given":"Chen"},{"family":"Wang","given":"Pu"},{"family":"Xiao","given":"Meng-Tao"},{"family":"Liu","given":"Li-xia"},{"family":"Jiang","given":"Wen-qing"},{"family":"Liu","given":"Jing"},{"family":"Zhang","given":"Jin-ye"},{"family":"Wang","given":"Bin"},{"family":"Frye","given":"Stephen"},{"family":"Zhang","given":"Yi"},{"family":"Xu","given":"Yan-hui"},{"family":"Lei","given":"Qun-ying"},{"family":"Guan","given":"Kun-Liang"},{"family":"Zhao","given":"Shi-min"},{"family":"Xiong","given":"Yue"}],"issued":{"date-parts":[["2011",1,18]]},"accessed":{"date-parts":[["2018",3,29]]}}}],"schema":"https://github.com/citation-style-language/schema/raw/master/csl-citation.json"} </w:instrText>
      </w:r>
      <w:r w:rsidR="007946CE">
        <w:rPr>
          <w:rFonts w:ascii="Calibri" w:eastAsia="+mn-ea" w:hAnsi="Calibri" w:cs="Calibri"/>
          <w:color w:val="000000"/>
          <w:kern w:val="24"/>
          <w:sz w:val="22"/>
          <w:szCs w:val="22"/>
        </w:rPr>
        <w:fldChar w:fldCharType="separate"/>
      </w:r>
      <w:r w:rsidR="004E2A88" w:rsidRPr="004E2A88">
        <w:rPr>
          <w:rFonts w:ascii="Calibri" w:hAnsi="Calibri" w:cs="Calibri"/>
          <w:color w:val="000000"/>
          <w:sz w:val="22"/>
          <w:vertAlign w:val="superscript"/>
          <w:lang w:val="en-US"/>
        </w:rPr>
        <w:t>27,71,140–143</w:t>
      </w:r>
      <w:r w:rsidR="007946CE">
        <w:rPr>
          <w:rFonts w:ascii="Calibri" w:eastAsia="+mn-ea" w:hAnsi="Calibri" w:cs="Calibri"/>
          <w:color w:val="000000"/>
          <w:kern w:val="24"/>
          <w:sz w:val="22"/>
          <w:szCs w:val="22"/>
        </w:rPr>
        <w:fldChar w:fldCharType="end"/>
      </w:r>
      <w:r w:rsidR="003F60E6">
        <w:rPr>
          <w:rFonts w:ascii="Calibri" w:eastAsia="+mn-ea" w:hAnsi="Calibri" w:cs="Calibri"/>
          <w:color w:val="000000"/>
          <w:kern w:val="24"/>
          <w:sz w:val="22"/>
          <w:szCs w:val="22"/>
        </w:rPr>
        <w:t>. The</w:t>
      </w:r>
      <w:r w:rsidR="00DD0E5D">
        <w:rPr>
          <w:rFonts w:ascii="Calibri" w:eastAsia="+mn-ea" w:hAnsi="Calibri" w:cs="Calibri"/>
          <w:color w:val="000000"/>
          <w:kern w:val="24"/>
          <w:sz w:val="22"/>
          <w:szCs w:val="22"/>
        </w:rPr>
        <w:t xml:space="preserve"> </w:t>
      </w:r>
      <w:r w:rsidR="003F60E6">
        <w:rPr>
          <w:rFonts w:ascii="Calibri" w:eastAsia="+mn-ea" w:hAnsi="Calibri" w:cs="Calibri"/>
          <w:color w:val="000000"/>
          <w:kern w:val="24"/>
          <w:sz w:val="22"/>
          <w:szCs w:val="22"/>
        </w:rPr>
        <w:t xml:space="preserve">respective </w:t>
      </w:r>
      <w:r w:rsidR="00DD0E5D">
        <w:rPr>
          <w:rFonts w:ascii="Calibri" w:eastAsia="+mn-ea" w:hAnsi="Calibri" w:cs="Calibri"/>
          <w:color w:val="000000"/>
          <w:kern w:val="24"/>
          <w:sz w:val="22"/>
          <w:szCs w:val="22"/>
        </w:rPr>
        <w:t>hypermethylation</w:t>
      </w:r>
      <w:r w:rsidR="00B3412C">
        <w:rPr>
          <w:rFonts w:ascii="Calibri" w:eastAsia="+mn-ea" w:hAnsi="Calibri" w:cs="Calibri"/>
          <w:color w:val="000000"/>
          <w:kern w:val="24"/>
          <w:sz w:val="22"/>
          <w:szCs w:val="22"/>
        </w:rPr>
        <w:t xml:space="preserve"> </w:t>
      </w:r>
      <w:r w:rsidR="00DD0E5D">
        <w:rPr>
          <w:rFonts w:ascii="Calibri" w:eastAsia="+mn-ea" w:hAnsi="Calibri" w:cs="Calibri"/>
          <w:color w:val="000000"/>
          <w:kern w:val="24"/>
          <w:sz w:val="22"/>
          <w:szCs w:val="22"/>
        </w:rPr>
        <w:t xml:space="preserve">and pseudohypoxic phenotypes </w:t>
      </w:r>
      <w:r w:rsidR="003F60E6">
        <w:rPr>
          <w:rFonts w:ascii="Calibri" w:eastAsia="+mn-ea" w:hAnsi="Calibri" w:cs="Calibri"/>
          <w:color w:val="000000"/>
          <w:kern w:val="24"/>
          <w:sz w:val="22"/>
          <w:szCs w:val="22"/>
        </w:rPr>
        <w:t xml:space="preserve">are </w:t>
      </w:r>
      <w:r w:rsidR="00DD0E5D">
        <w:rPr>
          <w:rFonts w:ascii="Calibri" w:eastAsia="+mn-ea" w:hAnsi="Calibri" w:cs="Calibri"/>
          <w:color w:val="000000"/>
          <w:kern w:val="24"/>
          <w:sz w:val="22"/>
          <w:szCs w:val="22"/>
        </w:rPr>
        <w:t>associated with tumour progression and aggressive disease</w:t>
      </w:r>
      <w:r w:rsidR="003F60E6">
        <w:rPr>
          <w:rFonts w:ascii="Calibri" w:eastAsia="+mn-ea" w:hAnsi="Calibri" w:cs="Calibri"/>
          <w:color w:val="000000"/>
          <w:kern w:val="24"/>
          <w:sz w:val="22"/>
          <w:szCs w:val="22"/>
        </w:rPr>
        <w:t xml:space="preserve"> behaviour</w:t>
      </w:r>
      <w:r w:rsidR="00DD0E5D">
        <w:rPr>
          <w:rFonts w:ascii="Calibri" w:eastAsia="+mn-ea" w:hAnsi="Calibri" w:cs="Calibri"/>
          <w:color w:val="000000"/>
          <w:kern w:val="24"/>
          <w:sz w:val="22"/>
          <w:szCs w:val="22"/>
        </w:rPr>
        <w:t>.</w:t>
      </w:r>
      <w:r w:rsidR="00092C1F">
        <w:rPr>
          <w:rFonts w:ascii="Calibri" w:eastAsia="+mn-ea" w:hAnsi="Calibri" w:cs="Calibri"/>
          <w:color w:val="000000"/>
          <w:kern w:val="24"/>
          <w:sz w:val="22"/>
          <w:szCs w:val="22"/>
        </w:rPr>
        <w:t xml:space="preserve"> These oncometabolites also exhibit a range of individual downstream effects (top box)</w:t>
      </w:r>
      <w:r w:rsidR="00CF3E67">
        <w:rPr>
          <w:rFonts w:ascii="Calibri" w:eastAsia="+mn-ea" w:hAnsi="Calibri" w:cs="Calibri"/>
          <w:color w:val="000000"/>
          <w:kern w:val="24"/>
          <w:sz w:val="22"/>
          <w:szCs w:val="22"/>
        </w:rPr>
        <w:t xml:space="preserve"> with pro- and anti-tumoural effects</w:t>
      </w:r>
      <w:r w:rsidR="00092C1F">
        <w:rPr>
          <w:rFonts w:ascii="Calibri" w:eastAsia="+mn-ea" w:hAnsi="Calibri" w:cs="Calibri"/>
          <w:color w:val="000000"/>
          <w:kern w:val="24"/>
          <w:sz w:val="22"/>
          <w:szCs w:val="22"/>
        </w:rPr>
        <w:t>. Fumarate can lead to antioxidant dysregulation in cells through</w:t>
      </w:r>
      <w:r w:rsidR="00B320D9">
        <w:rPr>
          <w:rFonts w:ascii="Calibri" w:eastAsia="+mn-ea" w:hAnsi="Calibri" w:cs="Calibri"/>
          <w:color w:val="000000"/>
          <w:kern w:val="24"/>
          <w:sz w:val="22"/>
          <w:szCs w:val="22"/>
        </w:rPr>
        <w:t xml:space="preserve"> </w:t>
      </w:r>
      <w:r w:rsidR="00092C1F">
        <w:rPr>
          <w:rFonts w:ascii="Calibri" w:eastAsia="+mn-ea" w:hAnsi="Calibri" w:cs="Calibri"/>
          <w:color w:val="000000"/>
          <w:kern w:val="24"/>
          <w:sz w:val="22"/>
          <w:szCs w:val="22"/>
        </w:rPr>
        <w:t xml:space="preserve">succination </w:t>
      </w:r>
      <w:r w:rsidR="00B320D9">
        <w:rPr>
          <w:rFonts w:ascii="Calibri" w:eastAsia="+mn-ea" w:hAnsi="Calibri" w:cs="Calibri"/>
          <w:color w:val="000000"/>
          <w:kern w:val="24"/>
          <w:sz w:val="22"/>
          <w:szCs w:val="22"/>
        </w:rPr>
        <w:t xml:space="preserve">of </w:t>
      </w:r>
      <w:r w:rsidR="00092C1F">
        <w:rPr>
          <w:rFonts w:ascii="Calibri" w:eastAsia="+mn-ea" w:hAnsi="Calibri" w:cs="Calibri"/>
          <w:color w:val="000000"/>
          <w:kern w:val="24"/>
          <w:sz w:val="22"/>
          <w:szCs w:val="22"/>
        </w:rPr>
        <w:t xml:space="preserve">KEAP1, removing its repressive effects on Nrf2 leading to an upregulation of </w:t>
      </w:r>
      <w:r w:rsidR="00B320D9">
        <w:rPr>
          <w:rFonts w:ascii="Calibri" w:eastAsia="+mn-ea" w:hAnsi="Calibri" w:cs="Calibri"/>
          <w:color w:val="000000"/>
          <w:kern w:val="24"/>
          <w:sz w:val="22"/>
          <w:szCs w:val="22"/>
        </w:rPr>
        <w:t>anti</w:t>
      </w:r>
      <w:r w:rsidR="00664B8B">
        <w:rPr>
          <w:rFonts w:ascii="Calibri" w:eastAsia="+mn-ea" w:hAnsi="Calibri" w:cs="Calibri"/>
          <w:color w:val="000000"/>
          <w:kern w:val="24"/>
          <w:sz w:val="22"/>
          <w:szCs w:val="22"/>
        </w:rPr>
        <w:t>-</w:t>
      </w:r>
      <w:r w:rsidR="00B320D9">
        <w:rPr>
          <w:rFonts w:ascii="Calibri" w:eastAsia="+mn-ea" w:hAnsi="Calibri" w:cs="Calibri"/>
          <w:color w:val="000000"/>
          <w:kern w:val="24"/>
          <w:sz w:val="22"/>
          <w:szCs w:val="22"/>
        </w:rPr>
        <w:t xml:space="preserve">oxidant </w:t>
      </w:r>
      <w:r w:rsidR="00092C1F">
        <w:rPr>
          <w:rFonts w:ascii="Calibri" w:eastAsia="+mn-ea" w:hAnsi="Calibri" w:cs="Calibri"/>
          <w:color w:val="000000"/>
          <w:kern w:val="24"/>
          <w:sz w:val="22"/>
          <w:szCs w:val="22"/>
        </w:rPr>
        <w:lastRenderedPageBreak/>
        <w:t>genes</w:t>
      </w:r>
      <w:r w:rsidR="007946CE">
        <w:rPr>
          <w:rFonts w:ascii="Calibri" w:eastAsia="+mn-ea" w:hAnsi="Calibri" w:cs="Calibri"/>
          <w:color w:val="000000"/>
          <w:kern w:val="24"/>
          <w:sz w:val="22"/>
          <w:szCs w:val="22"/>
        </w:rPr>
        <w:fldChar w:fldCharType="begin"/>
      </w:r>
      <w:r w:rsidR="004E2A88">
        <w:rPr>
          <w:rFonts w:ascii="Calibri" w:eastAsia="+mn-ea" w:hAnsi="Calibri" w:cs="Calibri"/>
          <w:color w:val="000000"/>
          <w:kern w:val="24"/>
          <w:sz w:val="22"/>
          <w:szCs w:val="22"/>
        </w:rPr>
        <w:instrText xml:space="preserve"> ADDIN ZOTERO_ITEM CSL_CITATION {"citationID":"a27jibltrhj","properties":{"formattedCitation":"\\super 145,163\\nosupersub{}","plainCitation":"145,163","noteIndex":0},"citationItems":[{"id":376,"uris":["http://zotero.org/users/4775618/items/SS7ZDL5R"],"uri":["http://zotero.org/users/4775618/items/SS7ZDL5R"],"itemData":{"id":376,"type":"article-journal","title":"Renal Cyst Formation in Fh1-Deficient Mice Is Independent of the Hif/Phd Pathway: Roles for Fumarate in KEAP1 Succination and Nrf2 Signaling","container-title":"Cancer Cell","page":"524-537","volume":"20","issue":"4","source":"www.cell.com","abstract":"&lt;h2&gt;Summary&lt;/h2&gt;&lt;p&gt;The Krebs cycle enzyme fumarate hydratase (&lt;i&gt;FH&lt;/i&gt;) is a human tumor suppressor whose inactivation is associated with the development of leiomyomata, renal cysts, and tumors. It has been proposed that activation of hypoxia inducible factor (HIF) by fumarate-mediated inhibition of HIF prolyl hydroxylases drives oncogenesis. Using a mouse model, we provide genetic evidence that Fh1-associated cyst formation is Hif independent, as is striking upregulation of antioxidant signaling pathways revealed by gene expression profiling. Mechanistic analysis revealed that fumarate modifies cysteine residues within the Kelch-like ECH-associated protein 1 (KEAP1), abrogating its ability to repress the Nuclear factor (erythroid-derived 2)-like 2 (Nrf2)-mediated antioxidant response pathway, suggesting a role for Nrf2 dysregulation in FH-associated cysts and tumors.&lt;/p&gt;","URL":"http://www.cell.com/cancer-cell/abstract/S1535-6108(11)00354-0","DOI":"10.1016/j.ccr.2011.09.006","ISSN":"1535-6108, 1878-3686","note":"PMID: 22014577, 22014577","title-short":"Renal Cyst Formation in Fh1-Deficient Mice Is Independent of the Hif/Phd Pathway","journalAbbreviation":"Cancer Cell","language":"English","author":[{"family":"Adam","given":"Julie"},{"family":"Hatipoglu","given":"Emine"},{"family":"O'Flaherty","given":"Linda"},{"family":"Ternette","given":"Nicola"},{"family":"Sahgal","given":"Natasha"},{"family":"Lockstone","given":"Helen"},{"family":"Baban","given":"Dilair"},{"family":"Nye","given":"Emma"},{"family":"Stamp","given":"Gordon W."},{"family":"Wolhuter","given":"Kathryn"},{"family":"Stevens","given":"Marcus"},{"family":"Fischer","given":"Roman"},{"family":"Carmeliet","given":"Peter"},{"family":"Maxwell","given":"Patrick H."},{"family":"Pugh","given":"Chris W."},{"family":"Frizzell","given":"Norma"},{"family":"Soga","given":"Tomoyoshi"},{"family":"Kessler","given":"Benedikt M."},{"family":"El-Bahrawy","given":"Mona"},{"family":"Ratcliffe","given":"Peter J."},{"family":"Pollard","given":"Patrick J."}],"issued":{"date-parts":[["2011",10,18]]},"accessed":{"date-parts":[["2018",4,2]]}}},{"id":769,"uris":["http://zotero.org/users/4775618/items/2U79E7R7"],"uri":["http://zotero.org/users/4775618/items/2U79E7R7"],"itemData":{"id":769,"type":"article-journal","title":"An Antioxidant Response Phenotype Shared between Hereditary and Sporadic Type 2 Papillary Renal Cell Carcinoma","container-title":"Cancer Cell","page":"511-523","volume":"20","issue":"4","source":"ScienceDirect","abstract":"Summary\nFumarate hydratase (FH) mutation causes hereditary type 2 papillary renal cell carcinoma (PRCC2). The main effect of FH mutation is fumarate accumulation. The current paradigm posits that the main consequence of fumarate accumulation is HIF-α stabilization. Paradoxically, FH mutation differs from other HIF-α stabilizing mutations, such as VHL and SDH mutations, in its associated tumor types. We identified that fumarate can directly up-regulate antioxidant response element (ARE)–controlled genes. We demonstrated that aldo-keto reductase family 1 member B10 (AKR1B10) is an ARE-controlled gene and is up-regulated upon FH knockdown as well as in FH null cell lines. AKR1B10 overexpression is also a prominent feature in both hereditary and sporadic PRCC2. This phenotype better explains the similarities between hereditary and sporadic PRCC2.","URL":"http://www.sciencedirect.com/science/article/pii/S1535610811003199","DOI":"10.1016/j.ccr.2011.08.024","ISSN":"1535-6108","journalAbbreviation":"Cancer Cell","author":[{"family":"Ooi","given":"Aikseng"},{"family":"Wong","given":"Jing-Chii"},{"family":"Petillo","given":"David"},{"family":"Roossien","given":"Douglas"},{"family":"Perrier-Trudova","given":"Victoria"},{"family":"Whitten","given":"Douglas"},{"family":"Min","given":"Bernice Wong Hui"},{"family":"Tan","given":"Min-Han"},{"family":"Zhang","given":"Zhongfa"},{"family":"Yang","given":"Ximing J."},{"family":"Zhou","given":"Ming"},{"family":"Gardie","given":"Betty"},{"family":"Molinié","given":"Vincent"},{"family":"Richard","given":"Stéphane"},{"family":"Tan","given":"Puay Hoon"},{"family":"Teh","given":"Bin Tean"},{"family":"Furge","given":"Kyle A."}],"issued":{"date-parts":[["2011",10,18]]},"accessed":{"date-parts":[["2018",11,4]]}}}],"schema":"https://github.com/citation-style-language/schema/raw/master/csl-citation.json"} </w:instrText>
      </w:r>
      <w:r w:rsidR="007946CE">
        <w:rPr>
          <w:rFonts w:ascii="Calibri" w:eastAsia="+mn-ea" w:hAnsi="Calibri" w:cs="Calibri"/>
          <w:color w:val="000000"/>
          <w:kern w:val="24"/>
          <w:sz w:val="22"/>
          <w:szCs w:val="22"/>
        </w:rPr>
        <w:fldChar w:fldCharType="separate"/>
      </w:r>
      <w:r w:rsidR="004E2A88" w:rsidRPr="004E2A88">
        <w:rPr>
          <w:rFonts w:ascii="Calibri" w:hAnsi="Calibri" w:cs="Calibri"/>
          <w:color w:val="000000"/>
          <w:sz w:val="22"/>
          <w:vertAlign w:val="superscript"/>
          <w:lang w:val="en-US"/>
        </w:rPr>
        <w:t>145,163</w:t>
      </w:r>
      <w:r w:rsidR="007946CE">
        <w:rPr>
          <w:rFonts w:ascii="Calibri" w:eastAsia="+mn-ea" w:hAnsi="Calibri" w:cs="Calibri"/>
          <w:color w:val="000000"/>
          <w:kern w:val="24"/>
          <w:sz w:val="22"/>
          <w:szCs w:val="22"/>
        </w:rPr>
        <w:fldChar w:fldCharType="end"/>
      </w:r>
      <w:r w:rsidR="00664B8B">
        <w:rPr>
          <w:rFonts w:ascii="Calibri" w:eastAsia="+mn-ea" w:hAnsi="Calibri" w:cs="Calibri"/>
          <w:color w:val="000000"/>
          <w:kern w:val="24"/>
          <w:sz w:val="22"/>
          <w:szCs w:val="22"/>
        </w:rPr>
        <w:t>,</w:t>
      </w:r>
      <w:r w:rsidR="00B320D9">
        <w:rPr>
          <w:rFonts w:ascii="Calibri" w:eastAsia="+mn-ea" w:hAnsi="Calibri" w:cs="Calibri"/>
          <w:color w:val="000000"/>
          <w:kern w:val="24"/>
          <w:sz w:val="22"/>
          <w:szCs w:val="22"/>
        </w:rPr>
        <w:t xml:space="preserve"> whereas</w:t>
      </w:r>
      <w:r w:rsidR="00092C1F">
        <w:rPr>
          <w:rFonts w:ascii="Calibri" w:eastAsia="+mn-ea" w:hAnsi="Calibri" w:cs="Calibri"/>
          <w:color w:val="000000"/>
          <w:kern w:val="24"/>
          <w:sz w:val="22"/>
          <w:szCs w:val="22"/>
        </w:rPr>
        <w:t xml:space="preserve"> succination of GSH depletes the antioxidant capacity</w:t>
      </w:r>
      <w:r w:rsidR="00664B8B">
        <w:rPr>
          <w:rFonts w:ascii="Calibri" w:eastAsia="+mn-ea" w:hAnsi="Calibri" w:cs="Calibri"/>
          <w:color w:val="000000"/>
          <w:kern w:val="24"/>
          <w:sz w:val="22"/>
          <w:szCs w:val="22"/>
        </w:rPr>
        <w:t xml:space="preserve"> of the cells</w:t>
      </w:r>
      <w:r w:rsidR="00092C1F">
        <w:rPr>
          <w:rFonts w:ascii="Calibri" w:eastAsia="+mn-ea" w:hAnsi="Calibri" w:cs="Calibri"/>
          <w:color w:val="000000"/>
          <w:kern w:val="24"/>
          <w:sz w:val="22"/>
          <w:szCs w:val="22"/>
        </w:rPr>
        <w:t xml:space="preserve"> and renders </w:t>
      </w:r>
      <w:r w:rsidR="00664B8B">
        <w:rPr>
          <w:rFonts w:ascii="Calibri" w:eastAsia="+mn-ea" w:hAnsi="Calibri" w:cs="Calibri"/>
          <w:color w:val="000000"/>
          <w:kern w:val="24"/>
          <w:sz w:val="22"/>
          <w:szCs w:val="22"/>
        </w:rPr>
        <w:t>them</w:t>
      </w:r>
      <w:r w:rsidR="00092C1F">
        <w:rPr>
          <w:rFonts w:ascii="Calibri" w:eastAsia="+mn-ea" w:hAnsi="Calibri" w:cs="Calibri"/>
          <w:color w:val="000000"/>
          <w:kern w:val="24"/>
          <w:sz w:val="22"/>
          <w:szCs w:val="22"/>
        </w:rPr>
        <w:t xml:space="preserve"> susceptible</w:t>
      </w:r>
      <w:r w:rsidR="00B320D9">
        <w:rPr>
          <w:rFonts w:ascii="Calibri" w:eastAsia="+mn-ea" w:hAnsi="Calibri" w:cs="Calibri"/>
          <w:color w:val="000000"/>
          <w:kern w:val="24"/>
          <w:sz w:val="22"/>
          <w:szCs w:val="22"/>
        </w:rPr>
        <w:t xml:space="preserve"> to ROS accumulation</w:t>
      </w:r>
      <w:r w:rsidR="007946CE">
        <w:rPr>
          <w:rFonts w:ascii="Calibri" w:eastAsia="+mn-ea" w:hAnsi="Calibri" w:cs="Calibri"/>
          <w:color w:val="000000"/>
          <w:kern w:val="24"/>
          <w:sz w:val="22"/>
          <w:szCs w:val="22"/>
        </w:rPr>
        <w:fldChar w:fldCharType="begin"/>
      </w:r>
      <w:r w:rsidR="004E2A88">
        <w:rPr>
          <w:rFonts w:ascii="Calibri" w:eastAsia="+mn-ea" w:hAnsi="Calibri" w:cs="Calibri"/>
          <w:color w:val="000000"/>
          <w:kern w:val="24"/>
          <w:sz w:val="22"/>
          <w:szCs w:val="22"/>
        </w:rPr>
        <w:instrText xml:space="preserve"> ADDIN ZOTERO_ITEM CSL_CITATION {"citationID":"a1cm0o8bv9h","properties":{"formattedCitation":"\\super 169\\nosupersub{}","plainCitation":"169","noteIndex":0},"citationItems":[{"id":316,"uris":["http://zotero.org/users/4775618/items/N3UZTWPS"],"uri":["http://zotero.org/users/4775618/items/N3UZTWPS"],"itemData":{"id":316,"type":"article-journal","title":"The Proto-oncometabolite Fumarate Binds Glutathione to Amplify ROS-Dependent Signaling","container-title":"Molecular Cell","page":"236-248","volume":"51","issue":"2","source":"www.cell.com","URL":"http://www.cell.com/molecular-cell/abstract/S1097-2765(13)00366-3","DOI":"10.1016/j.molcel.2013.05.003","ISSN":"1097-2765","journalAbbreviation":"Molecular Cell","language":"English","author":[{"family":"Sullivan","given":"Lucas B."},{"family":"Martinez-Garcia","given":"Eva"},{"family":"Nguyen","given":"Hien"},{"family":"Mullen","given":"Andrew R."},{"family":"Dufour","given":"Eric"},{"family":"Sudarshan","given":"Sunil"},{"family":"Licht","given":"Jonathan D."},{"family":"Deberardinis","given":"Ralph J."},{"family":"Chandel","given":"Navdeep S."}],"issued":{"date-parts":[["2013",7,25]]},"accessed":{"date-parts":[["2018",3,29]]}}}],"schema":"https://github.com/citation-style-language/schema/raw/master/csl-citation.json"} </w:instrText>
      </w:r>
      <w:r w:rsidR="007946CE">
        <w:rPr>
          <w:rFonts w:ascii="Calibri" w:eastAsia="+mn-ea" w:hAnsi="Calibri" w:cs="Calibri"/>
          <w:color w:val="000000"/>
          <w:kern w:val="24"/>
          <w:sz w:val="22"/>
          <w:szCs w:val="22"/>
        </w:rPr>
        <w:fldChar w:fldCharType="separate"/>
      </w:r>
      <w:r w:rsidR="004E2A88" w:rsidRPr="004E2A88">
        <w:rPr>
          <w:rFonts w:ascii="Calibri" w:hAnsi="Calibri" w:cs="Calibri"/>
          <w:color w:val="000000"/>
          <w:sz w:val="22"/>
          <w:vertAlign w:val="superscript"/>
          <w:lang w:val="en-US"/>
        </w:rPr>
        <w:t>169</w:t>
      </w:r>
      <w:r w:rsidR="007946CE">
        <w:rPr>
          <w:rFonts w:ascii="Calibri" w:eastAsia="+mn-ea" w:hAnsi="Calibri" w:cs="Calibri"/>
          <w:color w:val="000000"/>
          <w:kern w:val="24"/>
          <w:sz w:val="22"/>
          <w:szCs w:val="22"/>
        </w:rPr>
        <w:fldChar w:fldCharType="end"/>
      </w:r>
      <w:r w:rsidR="007946CE">
        <w:rPr>
          <w:rFonts w:ascii="Calibri" w:eastAsia="+mn-ea" w:hAnsi="Calibri" w:cs="Calibri"/>
          <w:color w:val="000000"/>
          <w:kern w:val="24"/>
          <w:sz w:val="22"/>
          <w:szCs w:val="22"/>
        </w:rPr>
        <w:t xml:space="preserve">. </w:t>
      </w:r>
      <w:r w:rsidR="00B320D9">
        <w:rPr>
          <w:rFonts w:ascii="Calibri" w:eastAsia="+mn-ea" w:hAnsi="Calibri" w:cs="Calibri"/>
          <w:color w:val="000000"/>
          <w:kern w:val="24"/>
          <w:sz w:val="22"/>
          <w:szCs w:val="22"/>
        </w:rPr>
        <w:t>Fumarate can also bind directly to Gpx1, a ROS scavenging enzyme</w:t>
      </w:r>
      <w:r w:rsidR="007946CE">
        <w:rPr>
          <w:rFonts w:ascii="Calibri" w:eastAsia="+mn-ea" w:hAnsi="Calibri" w:cs="Calibri"/>
          <w:color w:val="000000"/>
          <w:kern w:val="24"/>
          <w:sz w:val="22"/>
          <w:szCs w:val="22"/>
        </w:rPr>
        <w:fldChar w:fldCharType="begin"/>
      </w:r>
      <w:r w:rsidR="004E2A88">
        <w:rPr>
          <w:rFonts w:ascii="Calibri" w:eastAsia="+mn-ea" w:hAnsi="Calibri" w:cs="Calibri"/>
          <w:color w:val="000000"/>
          <w:kern w:val="24"/>
          <w:sz w:val="22"/>
          <w:szCs w:val="22"/>
        </w:rPr>
        <w:instrText xml:space="preserve"> ADDIN ZOTERO_ITEM CSL_CITATION {"citationID":"a1s4soko3cr","properties":{"formattedCitation":"\\super 174\\nosupersub{}","plainCitation":"174","noteIndex":0},"citationItems":[{"id":1578,"uris":["http://zotero.org/users/4775618/items/4Q3E5JT9"],"uri":["http://zotero.org/users/4775618/items/4Q3E5JT9"],"itemData":{"id":1578,"type":"article-journal","title":"Glutamate Dehydrogenase 1 Signals through Antioxidant Glutathione Peroxidase 1 to Regulate Redox Homeostasis and Tumor Growth","container-title":"Cancer Cell","page":"257-270","volume":"27","issue":"2","source":"ScienceDirect","abstract":"Summary\nHow mitochondrial glutaminolysis contributes to redox homeostasis in cancer cells remains unclear. Here we report that the mitochondrial enzyme glutamate dehydrogenase 1 (GDH1) is commonly upregulated in human cancers. GDH1 is important for redox homeostasis in cancer cells by controlling the intracellular levels of its product alpha-ketoglutarate and subsequent metabolite fumarate. Mechanistically, fumarate binds to and activates a reactive oxygen species scavenging enzyme glutathione peroxidase 1. Targeting GDH1 by shRNA or a small molecule inhibitor R162 resulted in imbalanced redox homeostasis, leading to attenuated cancer cell proliferation and tumor growth.","URL":"http://www.sciencedirect.com/science/article/pii/S1535610814005157","DOI":"10.1016/j.ccell.2014.12.006","ISSN":"1535-6108","journalAbbreviation":"Cancer Cell","author":[{"family":"Jin","given":"Lingtao"},{"family":"Li","given":"Dan"},{"family":"Alesi","given":"Gina N."},{"family":"Fan","given":"Jun"},{"family":"Kang","given":"Hee-Bum"},{"family":"Lu","given":"Zhou"},{"family":"Boggon","given":"Titus J."},{"family":"Jin","given":"Peng"},{"family":"Yi","given":"Hong"},{"family":"Wright","given":"Elizabeth R."},{"family":"Duong","given":"Duc"},{"family":"Seyfried","given":"Nicholas T."},{"family":"Egnatchik","given":"Robert"},{"family":"DeBerardinis","given":"Ralph J."},{"family":"Magliocca","given":"Kelly R."},{"family":"He","given":"Chuan"},{"family":"Arellano","given":"Martha L."},{"family":"Khoury","given":"Hanna J."},{"family":"Shin","given":"Dong M."},{"family":"Khuri","given":"Fadlo R."},{"family":"Kang","given":"Sumin"}],"issued":{"date-parts":[["2015",2,9]]},"accessed":{"date-parts":[["2019",2,27]]}}}],"schema":"https://github.com/citation-style-language/schema/raw/master/csl-citation.json"} </w:instrText>
      </w:r>
      <w:r w:rsidR="007946CE">
        <w:rPr>
          <w:rFonts w:ascii="Calibri" w:eastAsia="+mn-ea" w:hAnsi="Calibri" w:cs="Calibri"/>
          <w:color w:val="000000"/>
          <w:kern w:val="24"/>
          <w:sz w:val="22"/>
          <w:szCs w:val="22"/>
        </w:rPr>
        <w:fldChar w:fldCharType="separate"/>
      </w:r>
      <w:r w:rsidR="004E2A88" w:rsidRPr="004E2A88">
        <w:rPr>
          <w:rFonts w:ascii="Calibri" w:hAnsi="Calibri" w:cs="Calibri"/>
          <w:color w:val="000000"/>
          <w:sz w:val="22"/>
          <w:vertAlign w:val="superscript"/>
          <w:lang w:val="en-US"/>
        </w:rPr>
        <w:t>174</w:t>
      </w:r>
      <w:r w:rsidR="007946CE">
        <w:rPr>
          <w:rFonts w:ascii="Calibri" w:eastAsia="+mn-ea" w:hAnsi="Calibri" w:cs="Calibri"/>
          <w:color w:val="000000"/>
          <w:kern w:val="24"/>
          <w:sz w:val="22"/>
          <w:szCs w:val="22"/>
        </w:rPr>
        <w:fldChar w:fldCharType="end"/>
      </w:r>
      <w:r w:rsidR="00B320D9">
        <w:rPr>
          <w:rFonts w:ascii="Calibri" w:eastAsia="+mn-ea" w:hAnsi="Calibri" w:cs="Calibri"/>
          <w:color w:val="000000"/>
          <w:kern w:val="24"/>
          <w:sz w:val="22"/>
          <w:szCs w:val="22"/>
        </w:rPr>
        <w:t xml:space="preserve"> </w:t>
      </w:r>
      <w:r w:rsidR="00664B8B">
        <w:rPr>
          <w:rFonts w:ascii="Calibri" w:eastAsia="+mn-ea" w:hAnsi="Calibri" w:cs="Calibri"/>
          <w:color w:val="000000"/>
          <w:kern w:val="24"/>
          <w:sz w:val="22"/>
          <w:szCs w:val="22"/>
        </w:rPr>
        <w:t>as well as activate the Nrf2 signalling pathway through upstream activation of ABL1</w:t>
      </w:r>
      <w:r w:rsidR="007946CE">
        <w:rPr>
          <w:rFonts w:ascii="Calibri" w:eastAsia="+mn-ea" w:hAnsi="Calibri" w:cs="Calibri"/>
          <w:color w:val="000000"/>
          <w:kern w:val="24"/>
          <w:sz w:val="22"/>
          <w:szCs w:val="22"/>
        </w:rPr>
        <w:fldChar w:fldCharType="begin"/>
      </w:r>
      <w:r w:rsidR="0094125E">
        <w:rPr>
          <w:rFonts w:ascii="Calibri" w:eastAsia="+mn-ea" w:hAnsi="Calibri" w:cs="Calibri"/>
          <w:color w:val="000000"/>
          <w:kern w:val="24"/>
          <w:sz w:val="22"/>
          <w:szCs w:val="22"/>
        </w:rPr>
        <w:instrText xml:space="preserve"> ADDIN ZOTERO_ITEM CSL_CITATION {"citationID":"a2b1e2j57nd","properties":{"formattedCitation":"\\super 177\\nosupersub{}","plainCitation":"177","noteIndex":0},"citationItems":[{"id":1882,"uris":["http://zotero.org/users/4775618/items/EPB5MKB2"],"uri":["http://zotero.org/users/4775618/items/EPB5MKB2"],"itemData":{"id":1882,"type":"article-journal","title":"Pathologic Oxidation of PTPN12 Underlies ABL1 Phosphorylation in Hereditary Leiomyomatosis and Renal Cell Carcinoma","container-title":"Cancer Research","page":"6539-6548","volume":"78","issue":"23","source":"PubMed","abstract":": Hereditary leiomyomatosis and renal cell carcinoma (HLRCC) is an inherited cancer syndrome associated with a highly aggressive form of type 2 papillary renal cell carcinoma (PRCC). Germline inactivating alterations in fumarate hydratase (FH) cause HLRCC and result in elevated levels of reactive oxygen species (ROS). Recent work indicates that FH-/- PRCC cells have increased activation of ABL1, which promotes tumor growth, but how ABL1 is activated remains unclear. Given that oxidation can regulate protein-tyrosine phosphatase (PTP) catalytic activity, inactivation of an ABL-directed PTP by ROS might account for ABL1 activation in this malignancy. Our group previously developed \"q-oxPTPome,\" a method that globally monitors the oxidation of classical PTPs. In this study, we present a refined q-oxPTPome, increasing its sensitivity by &gt;10×. Applying q-oxPTPome to FH-deficient cell models showed that multiple PTPs were either highly oxidized (including PTPN12) or overexpressed. Highly oxidized PTPs were those with relatively high sensitivity to exogenous H2O2. Most PTP oxidation in FH-deficient cells was reversible, although nearly 40% of PTPN13 was irreversibly oxidized to the sulfonic acid state. Using substrate-trapping mutants, we mapped PTPs to their putative substrates and found that only PTPN12 could target ABL1. Furthermore, knockdown experiments identified PTPN12 as the major ABL1 phosphatase, and overexpression of PTPN12 inhibited ABL1 phosphorylation and HLRCC cell growth. These results show that ROS-induced oxidation of PTPN12 accounts for ABL1 phosphorylation in HLRCC-associated PRCC, revealing a novel mechanism for inactivating a tumor suppressor gene product and establishing a direct link between pathologic PTP oxidation and neoplastic disease. SIGNIFICANCE: This work identifies a novel mechanism of activation of the oncogenic kinase ABL1 via ROS-induced, oxidation-mediated inactivation of cognate protein tyrosine phosphatases.","DOI":"10.1158/0008-5472.CAN-18-0901","ISSN":"1538-7445","note":"PMID: 30297534\nPMCID: PMC6279512","journalAbbreviation":"Cancer Res.","language":"eng","author":[{"family":"Xu","given":"Yang"},{"family":"Taylor","given":"Paul"},{"family":"Andrade","given":"Joshua"},{"family":"Ueberheide","given":"Beatrix"},{"family":"Shuch","given":"Brian"},{"family":"Glazer","given":"Peter M."},{"family":"Bindra","given":"Ranjit S."},{"family":"Moran","given":"Michael F."},{"family":"Linehan","given":"W. Marston"},{"family":"Neel","given":"Benjamin G."}],"issued":{"date-parts":[["2018",12,1]]}}}],"schema":"https://github.com/citation-style-language/schema/raw/master/csl-citation.json"} </w:instrText>
      </w:r>
      <w:r w:rsidR="007946CE">
        <w:rPr>
          <w:rFonts w:ascii="Calibri" w:eastAsia="+mn-ea" w:hAnsi="Calibri" w:cs="Calibri"/>
          <w:color w:val="000000"/>
          <w:kern w:val="24"/>
          <w:sz w:val="22"/>
          <w:szCs w:val="22"/>
        </w:rPr>
        <w:fldChar w:fldCharType="separate"/>
      </w:r>
      <w:r w:rsidR="0094125E" w:rsidRPr="0094125E">
        <w:rPr>
          <w:rFonts w:ascii="Calibri" w:hAnsi="Calibri" w:cs="Calibri"/>
          <w:color w:val="000000"/>
          <w:sz w:val="22"/>
          <w:vertAlign w:val="superscript"/>
          <w:lang w:val="en-US"/>
        </w:rPr>
        <w:t>177</w:t>
      </w:r>
      <w:r w:rsidR="007946CE">
        <w:rPr>
          <w:rFonts w:ascii="Calibri" w:eastAsia="+mn-ea" w:hAnsi="Calibri" w:cs="Calibri"/>
          <w:color w:val="000000"/>
          <w:kern w:val="24"/>
          <w:sz w:val="22"/>
          <w:szCs w:val="22"/>
        </w:rPr>
        <w:fldChar w:fldCharType="end"/>
      </w:r>
      <w:r w:rsidR="00664B8B">
        <w:rPr>
          <w:rFonts w:ascii="Calibri" w:eastAsia="+mn-ea" w:hAnsi="Calibri" w:cs="Calibri"/>
          <w:color w:val="000000"/>
          <w:kern w:val="24"/>
          <w:sz w:val="22"/>
          <w:szCs w:val="22"/>
        </w:rPr>
        <w:t xml:space="preserve"> which confer</w:t>
      </w:r>
      <w:r w:rsidR="00E25951">
        <w:rPr>
          <w:rFonts w:ascii="Calibri" w:eastAsia="+mn-ea" w:hAnsi="Calibri" w:cs="Calibri"/>
          <w:color w:val="000000"/>
          <w:kern w:val="24"/>
          <w:sz w:val="22"/>
          <w:szCs w:val="22"/>
        </w:rPr>
        <w:t>s</w:t>
      </w:r>
      <w:r w:rsidR="00664B8B">
        <w:rPr>
          <w:rFonts w:ascii="Calibri" w:eastAsia="+mn-ea" w:hAnsi="Calibri" w:cs="Calibri"/>
          <w:color w:val="000000"/>
          <w:kern w:val="24"/>
          <w:sz w:val="22"/>
          <w:szCs w:val="22"/>
        </w:rPr>
        <w:t xml:space="preserve"> a proliferation advantage.</w:t>
      </w:r>
      <w:r w:rsidR="00E25951">
        <w:rPr>
          <w:rFonts w:ascii="Calibri" w:eastAsia="+mn-ea" w:hAnsi="Calibri" w:cs="Calibri"/>
          <w:color w:val="000000"/>
          <w:kern w:val="24"/>
          <w:sz w:val="22"/>
          <w:szCs w:val="22"/>
        </w:rPr>
        <w:t xml:space="preserve"> Fumarate induces a pseudohypoxic phenotype independent of PHD inhibition, through activation of TBK1 leading to </w:t>
      </w:r>
      <w:r w:rsidR="00E25951" w:rsidRPr="00D637BA">
        <w:rPr>
          <w:rFonts w:ascii="Calibri" w:hAnsi="Calibri" w:cs="Calibri"/>
          <w:color w:val="000000" w:themeColor="text1"/>
          <w:sz w:val="22"/>
          <w:szCs w:val="22"/>
        </w:rPr>
        <w:t>NFkB</w:t>
      </w:r>
      <w:r w:rsidR="00E25951">
        <w:rPr>
          <w:rFonts w:ascii="Calibri" w:hAnsi="Calibri" w:cs="Calibri"/>
          <w:color w:val="000000" w:themeColor="text1"/>
          <w:sz w:val="22"/>
          <w:szCs w:val="22"/>
        </w:rPr>
        <w:t xml:space="preserve"> activation, promoting </w:t>
      </w:r>
      <w:r w:rsidR="00E25951" w:rsidRPr="00D637BA">
        <w:rPr>
          <w:rFonts w:ascii="Calibri" w:hAnsi="Calibri" w:cs="Calibri"/>
          <w:color w:val="000000" w:themeColor="text1"/>
          <w:sz w:val="22"/>
          <w:szCs w:val="22"/>
        </w:rPr>
        <w:t>HIF1α transcription</w:t>
      </w:r>
      <w:r w:rsidR="007946CE">
        <w:rPr>
          <w:rFonts w:ascii="Calibri" w:hAnsi="Calibri" w:cs="Calibri"/>
          <w:color w:val="000000" w:themeColor="text1"/>
          <w:sz w:val="22"/>
          <w:szCs w:val="22"/>
        </w:rPr>
        <w:fldChar w:fldCharType="begin"/>
      </w:r>
      <w:r w:rsidR="0094125E">
        <w:rPr>
          <w:rFonts w:ascii="Calibri" w:hAnsi="Calibri" w:cs="Calibri"/>
          <w:color w:val="000000" w:themeColor="text1"/>
          <w:sz w:val="22"/>
          <w:szCs w:val="22"/>
        </w:rPr>
        <w:instrText xml:space="preserve"> ADDIN ZOTERO_ITEM CSL_CITATION {"citationID":"a1ggmtrn7ug","properties":{"formattedCitation":"\\super 165,166\\nosupersub{}","plainCitation":"165,166","noteIndex":0},"citationItems":[{"id":318,"uris":["http://zotero.org/users/4775618/items/3VPFTCIX"],"uri":["http://zotero.org/users/4775618/items/3VPFTCIX"],"itemData":{"id":318,"type":"article-journal","title":"The oncometabolite fumarate promotes pseudohypoxia through noncanonical activation of NF-κB signaling","container-title":"The Journal of Biological Chemistry","page":"24691-24699","volume":"289","issue":"35","source":"PubMed","abstract":"Inactivating mutations of the gene encoding the tricarboxylic acid cycle enzyme fumarate hydratase (FH) have been linked to an aggressive variant of hereditary kidney cancer (hereditary leiomyomatosis and renal cell cancer). These tumors accumulate markedly elevated levels of fumarate. Fumarate is among a growing list of oncometabolites identified in cancers with mutations of genes involved in intermediary metabolism. FH-deficient tumors are notable for their pronounced accumulation of the transcription factor hypoxia inducible factor-1α (HIF-1α) and aggressive behavior. To date, HIF-1α accumulation in hereditary leiomyomatosis and renal cell cancer tumors is thought to result from fumarate-dependent inhibition of prolyl hydroxylases and subsequent evasion from von Hippel-Lindau-dependent degradation. Here, we demonstrate a novel mechanism by which fumarate promotes HIF-1α mRNA and protein accumulation independent of the von Hippel-Lindau pathway. Here we demonstrate that fumarate promotes p65 phosphorylation and p65 accumulation at the HIF-1α promoter through non-canonical signaling via the upstream Tank binding kinase 1 (TBK1). Consistent with these data, inhibition of the TBK1/p65 axis blocks HIF-1α accumulation in cellular models of FH loss and markedly reduces cell invasion of FH-deficient RCC cancer cells. Collectively, our data demonstrate a novel mechanism by which pseudohypoxia is promoted in FH-deficient tumors and identifies TBK1 as a novel putative therapeutic target for the treatment of aggressive fumarate-driven tumors.","DOI":"10.1074/jbc.M114.568162","ISSN":"1083-351X","note":"PMID: 25028521\nPMCID: PMC4148891","journalAbbreviation":"J. Biol. Chem.","language":"eng","author":[{"family":"Shanmugasundaram","given":"Karthigayan"},{"family":"Nayak","given":"Bijaya"},{"family":"Shim","given":"Eun-Hee"},{"family":"Livi","given":"Carolina B."},{"family":"Block","given":"Karen"},{"family":"Sudarshan","given":"Sunil"}],"issued":{"date-parts":[["2014",8,29]]}}},{"id":1557,"uris":["http://zotero.org/users/4775618/items/MFDWCDAT"],"uri":["http://zotero.org/users/4775618/items/MFDWCDAT"],"itemData":{"id":1557,"type":"article-journal","title":"Regulation of hypoxia-inducible factor-1alpha by NF-kappaB","container-title":"The Biochemical Journal","page":"477-484","volume":"412","issue":"3","source":"PubMed","abstract":"HIF (hypoxia-inducible factor) is the main transcription factor activated by low oxygen tensions. HIF-1alpha (and other alpha subunits) is tightly controlled mostly at the protein level, through the concerted action of a class of enzymes called PHDs (prolyl hydroxylases) 1, 2 and 3. Most of the knowledge of HIF derives from studies following hypoxic stress; however, HIF-1alpha stabilization is also found in non-hypoxic conditions through an unknown mechanism. In the present study, we demonstrate that NF-kappaB (nuclear factor kappaB) is a direct modulator of HIF-1alpha expression. The HIF-1alpha promoter is responsive to selective NF-kappaB subunits. siRNA (small interfering RNA) studies for individual NF-kappaB members revealed differential effects on HIF-1alpha mRNA levels, indicating that NF-kappaB can regulate basal HIF-1alpha expression. Finally, when endogenous NF-kappaB is induced by TNFalpha (tumour necrosis factor alpha) treatment, HIF-1alpha levels also change in an NF-kappaB-dependent manner. In conclusion, we find that NF-kappaB can regulate basal TNFalpha and, in certain circumstances, the hypoxia-induced HIF-1alpha.","DOI":"10.1042/BJ20080476","ISSN":"1470-8728","note":"PMID: 18393939\nPMCID: PMC2474706","journalAbbreviation":"Biochem. J.","language":"eng","author":[{"family":"Uden","given":"Patrick","non-dropping-particle":"van"},{"family":"Kenneth","given":"Niall S."},{"family":"Rocha","given":"Sonia"}],"issued":{"date-parts":[["2008",6,15]]}}}],"schema":"https://github.com/citation-style-language/schema/raw/master/csl-citation.json"} </w:instrText>
      </w:r>
      <w:r w:rsidR="007946CE">
        <w:rPr>
          <w:rFonts w:ascii="Calibri" w:hAnsi="Calibri" w:cs="Calibri"/>
          <w:color w:val="000000" w:themeColor="text1"/>
          <w:sz w:val="22"/>
          <w:szCs w:val="22"/>
        </w:rPr>
        <w:fldChar w:fldCharType="separate"/>
      </w:r>
      <w:r w:rsidR="0094125E" w:rsidRPr="0094125E">
        <w:rPr>
          <w:rFonts w:ascii="Calibri" w:hAnsi="Calibri" w:cs="Calibri"/>
          <w:color w:val="000000"/>
          <w:sz w:val="22"/>
          <w:vertAlign w:val="superscript"/>
          <w:lang w:val="en-US"/>
        </w:rPr>
        <w:t>165,166</w:t>
      </w:r>
      <w:r w:rsidR="007946CE">
        <w:rPr>
          <w:rFonts w:ascii="Calibri" w:hAnsi="Calibri" w:cs="Calibri"/>
          <w:color w:val="000000" w:themeColor="text1"/>
          <w:sz w:val="22"/>
          <w:szCs w:val="22"/>
        </w:rPr>
        <w:fldChar w:fldCharType="end"/>
      </w:r>
      <w:r w:rsidR="00E25951">
        <w:rPr>
          <w:rFonts w:ascii="Calibri" w:hAnsi="Calibri" w:cs="Calibri"/>
          <w:color w:val="000000" w:themeColor="text1"/>
          <w:sz w:val="22"/>
          <w:szCs w:val="22"/>
        </w:rPr>
        <w:t xml:space="preserve"> as well as </w:t>
      </w:r>
      <w:r w:rsidR="007A5DC2">
        <w:rPr>
          <w:rFonts w:ascii="Calibri" w:hAnsi="Calibri" w:cs="Calibri"/>
          <w:color w:val="000000" w:themeColor="text1"/>
          <w:sz w:val="22"/>
          <w:szCs w:val="22"/>
        </w:rPr>
        <w:t>a</w:t>
      </w:r>
      <w:r w:rsidR="00E25951">
        <w:rPr>
          <w:rFonts w:ascii="Calibri" w:hAnsi="Calibri" w:cs="Calibri"/>
          <w:color w:val="000000" w:themeColor="text1"/>
          <w:sz w:val="22"/>
          <w:szCs w:val="22"/>
        </w:rPr>
        <w:t>ctivation of ABL1</w:t>
      </w:r>
      <w:r w:rsidR="007A5DC2">
        <w:rPr>
          <w:rFonts w:ascii="Calibri" w:hAnsi="Calibri" w:cs="Calibri"/>
          <w:color w:val="000000" w:themeColor="text1"/>
          <w:sz w:val="22"/>
          <w:szCs w:val="22"/>
        </w:rPr>
        <w:t xml:space="preserve"> which</w:t>
      </w:r>
      <w:r w:rsidR="00E25951">
        <w:rPr>
          <w:rFonts w:ascii="Calibri" w:hAnsi="Calibri" w:cs="Calibri"/>
          <w:color w:val="000000" w:themeColor="text1"/>
          <w:sz w:val="22"/>
          <w:szCs w:val="22"/>
        </w:rPr>
        <w:t xml:space="preserve"> activates the mTOR-</w:t>
      </w:r>
      <w:r w:rsidR="00E25951" w:rsidRPr="00E25951">
        <w:rPr>
          <w:rFonts w:ascii="Calibri" w:hAnsi="Calibri" w:cs="Calibri"/>
          <w:color w:val="000000" w:themeColor="text1"/>
          <w:sz w:val="22"/>
          <w:szCs w:val="22"/>
        </w:rPr>
        <w:t xml:space="preserve"> </w:t>
      </w:r>
      <w:r w:rsidR="00E25951" w:rsidRPr="00D637BA">
        <w:rPr>
          <w:rFonts w:ascii="Calibri" w:hAnsi="Calibri" w:cs="Calibri"/>
          <w:color w:val="000000" w:themeColor="text1"/>
          <w:sz w:val="22"/>
          <w:szCs w:val="22"/>
        </w:rPr>
        <w:t>HIF1α</w:t>
      </w:r>
      <w:r w:rsidR="00E25951">
        <w:rPr>
          <w:rFonts w:ascii="Calibri" w:hAnsi="Calibri" w:cs="Calibri"/>
          <w:color w:val="000000" w:themeColor="text1"/>
          <w:sz w:val="22"/>
          <w:szCs w:val="22"/>
        </w:rPr>
        <w:t xml:space="preserve"> pathway leading to upregulation of </w:t>
      </w:r>
      <w:r w:rsidR="007A5DC2" w:rsidRPr="00D637BA">
        <w:rPr>
          <w:rFonts w:ascii="Calibri" w:hAnsi="Calibri" w:cs="Calibri"/>
          <w:color w:val="000000" w:themeColor="text1"/>
          <w:sz w:val="22"/>
          <w:szCs w:val="22"/>
        </w:rPr>
        <w:t>HIF1α</w:t>
      </w:r>
      <w:r w:rsidR="007946CE">
        <w:rPr>
          <w:rFonts w:ascii="Calibri" w:hAnsi="Calibri" w:cs="Calibri"/>
          <w:color w:val="000000" w:themeColor="text1"/>
          <w:sz w:val="22"/>
          <w:szCs w:val="22"/>
        </w:rPr>
        <w:fldChar w:fldCharType="begin"/>
      </w:r>
      <w:r w:rsidR="0094125E">
        <w:rPr>
          <w:rFonts w:ascii="Calibri" w:hAnsi="Calibri" w:cs="Calibri"/>
          <w:color w:val="000000" w:themeColor="text1"/>
          <w:sz w:val="22"/>
          <w:szCs w:val="22"/>
        </w:rPr>
        <w:instrText xml:space="preserve"> ADDIN ZOTERO_ITEM CSL_CITATION {"citationID":"aui8kjahpa","properties":{"formattedCitation":"\\super 164\\nosupersub{}","plainCitation":"164","noteIndex":0},"citationItems":[{"id":775,"uris":["http://zotero.org/users/4775618/items/Q9LPKVCF"],"uri":["http://zotero.org/users/4775618/items/Q9LPKVCF"],"itemData":{"id":775,"type":"article-journal","title":"Targeting ABL1-Mediated Oxidative Stress Adaptation in Fumarate Hydratase-Deficient Cancer","container-title":"Cancer Cell","page":"840-850","volume":"26","issue":"6","source":"ScienceDirect","abstract":"Summary\nPatients with germline fumarate hydratase (FH) mutation are predisposed to develop aggressive kidney cancer with few treatment options and poor therapeutic outcomes. Activity of the proto-oncogene ABL1 is upregulated in FH-deficient kidney tumors and drives a metabolic and survival signaling network necessary to cope with impaired mitochondrial function and abnormal accumulation of intracellular fumarate. Excess fumarate indirectly stimulates ABL1 activity, while restoration of wild-type FH abrogates both ABL1 activation and the cytotoxicity caused by ABL1 inhibition or knockdown. ABL1 upregulates aerobic glycolysis via the mTOR/HIF1α pathway and neutralizes fumarate-induced proteotoxic stress by promoting nuclear localization of the antioxidant response transcription factor NRF2. Our findings identify ABL1 as a pharmacologically tractable therapeutic target in glycolytically dependent, oxidatively stressed tumors.","URL":"http://www.sciencedirect.com/science/article/pii/S1535610814004097","DOI":"10.1016/j.ccell.2014.10.005","ISSN":"1535-6108","journalAbbreviation":"Cancer Cell","author":[{"family":"Sourbier","given":"Carole"},{"family":"Ricketts","given":"Christopher J."},{"family":"Matsumoto","given":"Shingo"},{"family":"Crooks","given":"Daniel R."},{"family":"Liao","given":"Pei-Jyun"},{"family":"Mannes","given":"Philip Z."},{"family":"Yang","given":"Youfeng"},{"family":"Wei","given":"Ming-Hui"},{"family":"Srivastava","given":"Gaurav"},{"family":"Ghosh","given":"Sanchari"},{"family":"Chen","given":"Viola"},{"family":"Vocke","given":"Cathy D."},{"family":"Merino","given":"Maria"},{"family":"Srinivasan","given":"Ramaprasad"},{"family":"Krishna","given":"Murali C."},{"family":"Mitchell","given":"James B."},{"family":"Pendergast","given":"Ann Marie"},{"family":"Rouault","given":"Tracey A."},{"family":"Neckers","given":"Len"},{"family":"Linehan","given":"W. Marston"}],"issued":{"date-parts":[["2014",12,8]]},"accessed":{"date-parts":[["2018",11,4]]}}}],"schema":"https://github.com/citation-style-language/schema/raw/master/csl-citation.json"} </w:instrText>
      </w:r>
      <w:r w:rsidR="007946CE">
        <w:rPr>
          <w:rFonts w:ascii="Calibri" w:hAnsi="Calibri" w:cs="Calibri"/>
          <w:color w:val="000000" w:themeColor="text1"/>
          <w:sz w:val="22"/>
          <w:szCs w:val="22"/>
        </w:rPr>
        <w:fldChar w:fldCharType="separate"/>
      </w:r>
      <w:r w:rsidR="0094125E" w:rsidRPr="0094125E">
        <w:rPr>
          <w:rFonts w:ascii="Calibri" w:hAnsi="Calibri" w:cs="Calibri"/>
          <w:color w:val="000000"/>
          <w:sz w:val="22"/>
          <w:vertAlign w:val="superscript"/>
          <w:lang w:val="en-US"/>
        </w:rPr>
        <w:t>164</w:t>
      </w:r>
      <w:r w:rsidR="007946CE">
        <w:rPr>
          <w:rFonts w:ascii="Calibri" w:hAnsi="Calibri" w:cs="Calibri"/>
          <w:color w:val="000000" w:themeColor="text1"/>
          <w:sz w:val="22"/>
          <w:szCs w:val="22"/>
        </w:rPr>
        <w:fldChar w:fldCharType="end"/>
      </w:r>
      <w:r w:rsidR="007A5DC2">
        <w:rPr>
          <w:rFonts w:ascii="Calibri" w:hAnsi="Calibri" w:cs="Calibri"/>
          <w:color w:val="000000" w:themeColor="text1"/>
          <w:sz w:val="22"/>
          <w:szCs w:val="22"/>
        </w:rPr>
        <w:t>. Lastly, fumarate modulates cellular metabolism through reversal of activity of the urea cycle enzyme ASL</w:t>
      </w:r>
      <w:r w:rsidR="007946CE">
        <w:rPr>
          <w:rFonts w:ascii="Calibri" w:hAnsi="Calibri" w:cs="Calibri"/>
          <w:color w:val="000000" w:themeColor="text1"/>
          <w:sz w:val="22"/>
          <w:szCs w:val="22"/>
        </w:rPr>
        <w:fldChar w:fldCharType="begin"/>
      </w:r>
      <w:r w:rsidR="0094125E">
        <w:rPr>
          <w:rFonts w:ascii="Calibri" w:hAnsi="Calibri" w:cs="Calibri"/>
          <w:color w:val="000000" w:themeColor="text1"/>
          <w:sz w:val="22"/>
          <w:szCs w:val="22"/>
        </w:rPr>
        <w:instrText xml:space="preserve"> ADDIN ZOTERO_ITEM CSL_CITATION {"citationID":"aoto4d68ie","properties":{"formattedCitation":"\\super 102\\nosupersub{}","plainCitation":"102","noteIndex":0},"citationItems":[{"id":763,"uris":["http://zotero.org/users/4775618/items/NM59HM97"],"uri":["http://zotero.org/users/4775618/items/NM59HM97"],"itemData":{"id":763,"type":"article-journal","title":"Reversed argininosuccinate lyase activity in fumarate hydratase-deficient cancer cells","container-title":"Cancer &amp; Metabolism","page":"12","volume":"1","source":"PubMed Central","abstract":"Background\nLoss of function of fumarate hydratase (FH), the mitochondrial tumor suppressor and tricarboxylic acid (TCA) cycle enzyme, is associated with a highly malignant form of papillary and collecting duct renal cell cancer. The accumulation of fumarate in these cells has been linked to the tumorigenic process. However, little is known about the overall effects of the loss of FH on cellular metabolism.\n\nMethods\nWe performed comprehensive metabolomic analyses of urine from Fh1-deficient mice and stable isotopologue tracing from human and mouse FH-deficient cell lines to investigate the biochemical signature of the loss of FH.\n\nResults\nThe metabolomics analysis revealed that the urea cycle metabolite argininosuccinate is a common metabolic biomarker of FH deficiency. Argininosuccinate was found to be produced from arginine and fumarate by the reverse activity of the urea cycle enzyme argininosuccinate lyase (ASL), making these cells auxotrophic for arginine. Depleting arginine from the growth media by the addition of pegylated arginine deiminase (ADI-PEG 20) decreased the production of argininosuccinate in FH-deficient cells and reduced cell survival and proliferation.\n\nConclusions\nThese results unravel a previously unidentified correlation between fumarate accumulation and the urea cycle enzyme ASL in FH-deficient cells. The finding that FH-deficient cells become auxotrophic for arginine opens a new therapeutic perspective for the cure of hereditary leiomyomatosis and renal cell cancer (HLRCC).","URL":"https://www.ncbi.nlm.nih.gov/pmc/articles/PMC4108060/","DOI":"10.1186/2049-3002-1-12","ISSN":"2049-3002","note":"PMID: 24280230\nPMCID: PMC4108060","journalAbbreviation":"Cancer Metab","author":[{"family":"Zheng","given":"Liang"},{"family":"MacKenzie","given":"Elaine D"},{"family":"Karim","given":"Saadia A"},{"family":"Hedley","given":"Ann"},{"family":"Blyth","given":"Karen"},{"family":"Kalna","given":"Gabriela"},{"family":"Watson","given":"David G"},{"family":"Szlosarek","given":"Peter"},{"family":"Frezza","given":"Christian"},{"family":"Gottlieb","given":"Eyal"}],"issued":{"date-parts":[["2013",3,21]]},"accessed":{"date-parts":[["2018",10,30]]}}}],"schema":"https://github.com/citation-style-language/schema/raw/master/csl-citation.json"} </w:instrText>
      </w:r>
      <w:r w:rsidR="007946CE">
        <w:rPr>
          <w:rFonts w:ascii="Calibri" w:hAnsi="Calibri" w:cs="Calibri"/>
          <w:color w:val="000000" w:themeColor="text1"/>
          <w:sz w:val="22"/>
          <w:szCs w:val="22"/>
        </w:rPr>
        <w:fldChar w:fldCharType="separate"/>
      </w:r>
      <w:r w:rsidR="0094125E" w:rsidRPr="0094125E">
        <w:rPr>
          <w:rFonts w:ascii="Calibri" w:hAnsi="Calibri" w:cs="Calibri"/>
          <w:color w:val="000000"/>
          <w:sz w:val="22"/>
          <w:vertAlign w:val="superscript"/>
          <w:lang w:val="en-US"/>
        </w:rPr>
        <w:t>102</w:t>
      </w:r>
      <w:r w:rsidR="007946CE">
        <w:rPr>
          <w:rFonts w:ascii="Calibri" w:hAnsi="Calibri" w:cs="Calibri"/>
          <w:color w:val="000000" w:themeColor="text1"/>
          <w:sz w:val="22"/>
          <w:szCs w:val="22"/>
        </w:rPr>
        <w:fldChar w:fldCharType="end"/>
      </w:r>
      <w:r w:rsidR="007A5DC2">
        <w:rPr>
          <w:rFonts w:ascii="Calibri" w:hAnsi="Calibri" w:cs="Calibri"/>
          <w:color w:val="000000" w:themeColor="text1"/>
          <w:sz w:val="22"/>
          <w:szCs w:val="22"/>
        </w:rPr>
        <w:t xml:space="preserve"> as well as diverting increased glutamine uptake into haem-associated pathways </w:t>
      </w:r>
      <w:r w:rsidR="00DA62A4">
        <w:rPr>
          <w:rFonts w:ascii="Calibri" w:hAnsi="Calibri" w:cs="Calibri"/>
          <w:color w:val="000000" w:themeColor="text1"/>
          <w:sz w:val="22"/>
          <w:szCs w:val="22"/>
        </w:rPr>
        <w:t>to</w:t>
      </w:r>
      <w:r w:rsidR="007A5DC2">
        <w:rPr>
          <w:rFonts w:ascii="Calibri" w:hAnsi="Calibri" w:cs="Calibri"/>
          <w:color w:val="000000" w:themeColor="text1"/>
          <w:sz w:val="22"/>
          <w:szCs w:val="22"/>
        </w:rPr>
        <w:t xml:space="preserve"> sustain mitochondrial NADH levels and mitochondrial membrane potential</w:t>
      </w:r>
      <w:r w:rsidR="007946CE">
        <w:rPr>
          <w:rFonts w:ascii="Calibri" w:hAnsi="Calibri" w:cs="Calibri"/>
          <w:color w:val="000000" w:themeColor="text1"/>
          <w:sz w:val="22"/>
          <w:szCs w:val="22"/>
        </w:rPr>
        <w:fldChar w:fldCharType="begin"/>
      </w:r>
      <w:r w:rsidR="0094125E">
        <w:rPr>
          <w:rFonts w:ascii="Calibri" w:hAnsi="Calibri" w:cs="Calibri"/>
          <w:color w:val="000000" w:themeColor="text1"/>
          <w:sz w:val="22"/>
          <w:szCs w:val="22"/>
        </w:rPr>
        <w:instrText xml:space="preserve"> ADDIN ZOTERO_ITEM CSL_CITATION {"citationID":"a981og6220","properties":{"formattedCitation":"\\super 179\\nosupersub{}","plainCitation":"179","noteIndex":0},"citationItems":[{"id":384,"uris":["http://zotero.org/users/4775618/items/UXIM3S3T"],"uri":["http://zotero.org/users/4775618/items/UXIM3S3T"],"itemData":{"id":384,"type":"article-journal","title":"Haem oxygenase is synthetically lethal with the tumour suppressor fumarate hydratase","container-title":"Nature","page":"225-228","volume":"477","issue":"7363","source":"www.nature.com","abstract":"Fumarate hydratase (FH) is an enzyme of the tricarboxylic acid cycle (TCA cycle) that catalyses the hydration of fumarate into malate. Germline mutations of FH are responsible for hereditary leiomyomatosis and renal-cell cancer (HLRCC)1. It has previously been demonstrated that the absence of FH leads to the accumulation of fumarate, which activates hypoxia-inducible factors (HIFs) at normal oxygen tensions2,3,4. However, so far no mechanism that explains the ability of cells to survive without a functional TCA cycle has been provided. Here we use newly characterized genetically modified kidney mouse cells in which Fh1 has been deleted, and apply a newly developed computer model of the metabolism of these cells to predict and experimentally validate a linear metabolic pathway beginning with glutamine uptake and ending with bilirubin excretion from Fh1-deficient cells. This pathway, which involves the biosynthesis and degradation of haem, enables Fh1-deficient cells to use the accumulated TCA cycle metabolites and permits partial mitochondrial NADH production. We predicted and confirmed that targeting this pathway would render Fh1-deficient cells non-viable, while sparing wild-type Fh1-containing cells. This work goes beyond identifying a metabolic pathway that is induced in Fh1-deficient cells to demonstrate that inhibition of haem oxygenation is synthetically lethal when combined with Fh1 deficiency, providing a new potential target for treating HLRCC patients.","URL":"https://www.nature.com/articles/nature10363","DOI":"10.1038/nature10363","ISSN":"1476-4687","language":"en","author":[{"family":"Frezza","given":"Christian"},{"family":"Zheng","given":"Liang"},{"family":"Folger","given":"Ori"},{"family":"Rajagopalan","given":"Kartik N."},{"family":"MacKenzie","given":"Elaine D."},{"family":"Jerby","given":"Livnat"},{"family":"Micaroni","given":"Massimo"},{"family":"Chaneton","given":"Barbara"},{"family":"Adam","given":"Julie"},{"family":"Hedley","given":"Ann"},{"family":"Kalna","given":"Gabriela"},{"family":"Tomlinson","given":"Ian P. M."},{"family":"Pollard","given":"Patrick J."},{"family":"Watson","given":"Dave G."},{"family":"Deberardinis","given":"Ralph J."},{"family":"Shlomi","given":"Tomer"},{"family":"Ruppin","given":"Eytan"},{"family":"Gottlieb","given":"Eyal"}],"issued":{"date-parts":[["2011",9]]},"accessed":{"date-parts":[["2018",4,2]]}}}],"schema":"https://github.com/citation-style-language/schema/raw/master/csl-citation.json"} </w:instrText>
      </w:r>
      <w:r w:rsidR="007946CE">
        <w:rPr>
          <w:rFonts w:ascii="Calibri" w:hAnsi="Calibri" w:cs="Calibri"/>
          <w:color w:val="000000" w:themeColor="text1"/>
          <w:sz w:val="22"/>
          <w:szCs w:val="22"/>
        </w:rPr>
        <w:fldChar w:fldCharType="separate"/>
      </w:r>
      <w:r w:rsidR="0094125E" w:rsidRPr="0094125E">
        <w:rPr>
          <w:rFonts w:ascii="Calibri" w:hAnsi="Calibri" w:cs="Calibri"/>
          <w:color w:val="000000"/>
          <w:sz w:val="22"/>
          <w:vertAlign w:val="superscript"/>
          <w:lang w:val="en-US"/>
        </w:rPr>
        <w:t>179</w:t>
      </w:r>
      <w:r w:rsidR="007946CE">
        <w:rPr>
          <w:rFonts w:ascii="Calibri" w:hAnsi="Calibri" w:cs="Calibri"/>
          <w:color w:val="000000" w:themeColor="text1"/>
          <w:sz w:val="22"/>
          <w:szCs w:val="22"/>
        </w:rPr>
        <w:fldChar w:fldCharType="end"/>
      </w:r>
      <w:r w:rsidR="007A5DC2">
        <w:rPr>
          <w:rFonts w:ascii="Calibri" w:hAnsi="Calibri" w:cs="Calibri"/>
          <w:color w:val="000000" w:themeColor="text1"/>
          <w:sz w:val="22"/>
          <w:szCs w:val="22"/>
        </w:rPr>
        <w:t>.</w:t>
      </w:r>
      <w:r w:rsidR="00DA62A4">
        <w:rPr>
          <w:rFonts w:ascii="Calibri" w:hAnsi="Calibri" w:cs="Calibri"/>
          <w:color w:val="000000" w:themeColor="text1"/>
          <w:sz w:val="22"/>
          <w:szCs w:val="22"/>
        </w:rPr>
        <w:t xml:space="preserve"> Succinate activate</w:t>
      </w:r>
      <w:r w:rsidR="008A18CE">
        <w:rPr>
          <w:rFonts w:ascii="Calibri" w:hAnsi="Calibri" w:cs="Calibri"/>
          <w:color w:val="000000" w:themeColor="text1"/>
          <w:sz w:val="22"/>
          <w:szCs w:val="22"/>
        </w:rPr>
        <w:t>s</w:t>
      </w:r>
      <w:r w:rsidR="00DA62A4">
        <w:rPr>
          <w:rFonts w:ascii="Calibri" w:hAnsi="Calibri" w:cs="Calibri"/>
          <w:color w:val="000000" w:themeColor="text1"/>
          <w:sz w:val="22"/>
          <w:szCs w:val="22"/>
        </w:rPr>
        <w:t xml:space="preserve"> the S</w:t>
      </w:r>
      <w:r w:rsidR="001C283D">
        <w:rPr>
          <w:rFonts w:ascii="Calibri" w:hAnsi="Calibri" w:cs="Calibri"/>
          <w:color w:val="000000" w:themeColor="text1"/>
          <w:sz w:val="22"/>
          <w:szCs w:val="22"/>
        </w:rPr>
        <w:t>ucnr</w:t>
      </w:r>
      <w:r w:rsidR="00DA62A4">
        <w:rPr>
          <w:rFonts w:ascii="Calibri" w:hAnsi="Calibri" w:cs="Calibri"/>
          <w:color w:val="000000" w:themeColor="text1"/>
          <w:sz w:val="22"/>
          <w:szCs w:val="22"/>
        </w:rPr>
        <w:t xml:space="preserve">1 receptor which </w:t>
      </w:r>
      <w:r w:rsidR="008A18CE">
        <w:rPr>
          <w:rFonts w:ascii="Calibri" w:hAnsi="Calibri" w:cs="Calibri"/>
          <w:color w:val="000000" w:themeColor="text1"/>
          <w:sz w:val="22"/>
          <w:szCs w:val="22"/>
        </w:rPr>
        <w:t>demonstrates a range of potential</w:t>
      </w:r>
      <w:r w:rsidR="00DA62A4">
        <w:rPr>
          <w:rFonts w:ascii="Calibri" w:hAnsi="Calibri" w:cs="Calibri"/>
          <w:color w:val="000000" w:themeColor="text1"/>
          <w:sz w:val="22"/>
          <w:szCs w:val="22"/>
        </w:rPr>
        <w:t xml:space="preserve"> </w:t>
      </w:r>
      <w:r w:rsidR="008A18CE">
        <w:rPr>
          <w:rFonts w:ascii="Calibri" w:hAnsi="Calibri" w:cs="Calibri"/>
          <w:color w:val="000000" w:themeColor="text1"/>
          <w:sz w:val="22"/>
          <w:szCs w:val="22"/>
        </w:rPr>
        <w:t xml:space="preserve">functions including </w:t>
      </w:r>
      <w:r w:rsidR="00DA62A4">
        <w:rPr>
          <w:rFonts w:ascii="Calibri" w:hAnsi="Calibri" w:cs="Calibri"/>
          <w:color w:val="000000" w:themeColor="text1"/>
          <w:sz w:val="22"/>
          <w:szCs w:val="22"/>
        </w:rPr>
        <w:t>angiogenic effects</w:t>
      </w:r>
      <w:r w:rsidR="007946CE">
        <w:rPr>
          <w:rFonts w:ascii="Calibri" w:hAnsi="Calibri" w:cs="Calibri"/>
          <w:color w:val="000000" w:themeColor="text1"/>
          <w:sz w:val="22"/>
          <w:szCs w:val="22"/>
        </w:rPr>
        <w:fldChar w:fldCharType="begin"/>
      </w:r>
      <w:r w:rsidR="0094125E">
        <w:rPr>
          <w:rFonts w:ascii="Calibri" w:hAnsi="Calibri" w:cs="Calibri"/>
          <w:color w:val="000000" w:themeColor="text1"/>
          <w:sz w:val="22"/>
          <w:szCs w:val="22"/>
        </w:rPr>
        <w:instrText xml:space="preserve"> ADDIN ZOTERO_ITEM CSL_CITATION {"citationID":"a2pkcpalloi","properties":{"formattedCitation":"\\super 122,180\\nosupersub{}","plainCitation":"122,180","noteIndex":0},"citationItems":[{"id":1599,"uris":["http://zotero.org/users/4775618/items/PJBL2MAR"],"uri":["http://zotero.org/users/4775618/items/PJBL2MAR"],"itemData":{"id":1599,"type":"article-journal","title":"Oncometabolite succinate promotes angiogenesis by upregulating VEGF expression through GPR91-mediated STAT3 and ERK activation","container-title":"Oncotarget","page":"13174-13185","volume":"8","issue":"8","source":"PubMed Central","abstract":"Altered cellular metabolism is now generally acknowledged as a hallmark of cancer cells, the resultant abnormal oncometabolites cause both metabolic and nonmetabolic dysregulation and potential transformation to malignancy. A subset of cancers have been found to be associated with mutations in succinate dehydrogenase genes which result in the accumulation of succinate. However, the function of succinate in tumorigenesis remains unclear. In the present study, we aim to investigate the role of oncometabolite succinate in tumor angiogenesis. Our data demonstrated the accumulation of markedly elevated succinate in gastric cancer tissues compared with that in paracancerous tissues. Moreover, succinate was able to increase the chemotactic motility, tube-like structure formation and proliferation of primary human umbilical vascular endothelial cells (pHUVECs) in vitro, as well as promoting the blood vessel formation in transgenic zebrafish. Our mechanistic studies reveal that succinate upregulates vascular endothelial growth factor (VEGF) expression by activation of signal transducer and activator of transcription 3 (STAT3) and extracellular regulated kinase (ERK)1/2 via its receptor GPR91 in a HIF-1α independent mechanism. Taken together, these data indicate an important role of the succinate-GPR91 axis in tumor angiogenesis, which may enable development of a novel therapeutic strategy that targets cancer metabolism.","URL":"https://www.ncbi.nlm.nih.gov/pmc/articles/PMC5355086/","DOI":"10.18632/oncotarget.14485","ISSN":"1949-2553","note":"PMID: 28061458\nPMCID: PMC5355086","journalAbbreviation":"Oncotarget","author":[{"family":"Mu","given":"Xianmin"},{"family":"Zhao","given":"Ting"},{"family":"Xu","given":"Che"},{"family":"Shi","given":"Wei"},{"family":"Geng","given":"Biao"},{"family":"Shen","given":"Jiajia"},{"family":"Zhang","given":"Chen"},{"family":"Pan","given":"Jinshun"},{"family":"Yang","given":"Jing"},{"family":"Hu","given":"Shi"},{"family":"Lv","given":"Yuanfang"},{"family":"Wen","given":"Hao"},{"family":"You","given":"Qiang"}],"issued":{"date-parts":[["2017",1,4]]},"accessed":{"date-parts":[["2019",2,28]]}}},{"id":1386,"uris":["http://zotero.org/users/4775618/items/V43IZVBV"],"uri":["http://zotero.org/users/4775618/items/V43IZVBV"],"itemData":{"id":1386,"type":"article-journal","title":"The succinate receptor GPR91 in neurons has a major role in retinal angiogenesis","container-title":"Nature Medicine","page":"1067-1076","volume":"14","issue":"10","source":"www-nature-com.ezp.lib.cam.ac.uk","abstract":"Vascularization is essential for tissue development and in restoration of tissue integrity after an ischemic injury. In studies of vascularization, the focus has largely been placed on vascular endothelial growth factor (VEGF), yet other factors may also orchestrate this process. Here we show that succinate accumulates in the hypoxic retina of rodents and, via its cognate receptor G protein–coupled receptor-91 (GPR91), is a potent mediator of vessel growth in the settings of both normal retinal development and proliferative ischemic retinopathy. The effects of GPR91 are mediated by retinal ganglion neurons (RGCs), which, in response to increased succinate levels, regulate the production of numerous angiogenic factors including VEGF. Accordingly, succinate did not have proangiogenic effects in RGC-deficient rats. Our observations show a pathway of metabolite signaling where succinate, acting through GPR91, governs retinal angiogenesis and show the propensity of RGCs to act as sensors of ischemic stress. These findings provide a new therapeutic target for modulating revascularization.","URL":"http://www.nature.com/articles/nm.1873","DOI":"10.1038/nm.1873","ISSN":"1546-170X","language":"en","author":[{"family":"Sapieha","given":"Przemyslaw"},{"family":"Sirinyan","given":"Mirna"},{"family":"Hamel","given":"David"},{"family":"Zaniolo","given":"Karine"},{"family":"Joyal","given":"Jean-Sébastien"},{"family":"Cho","given":"Jang-Hyeon"},{"family":"Honoré","given":"Jean-Claude"},{"family":"Kermorvant-Duchemin","given":"Elsa"},{"family":"Varma","given":"Daya R."},{"family":"Tremblay","given":"Sophie"},{"family":"Leduc","given":"Martin"},{"family":"Rihakova","given":"Lenka"},{"family":"Hardy","given":"Pierre"},{"family":"Klein","given":"William H."},{"family":"Mu","given":"Xiuqian"},{"family":"Mamer","given":"Orval"},{"family":"Lachapelle","given":"Pierre"},{"family":"Di Polo","given":"Adriana"},{"family":"Beauséjour","given":"Christian"},{"family":"Andelfinger","given":"Gregor"},{"family":"Mitchell","given":"Grant"},{"family":"Sennlaub","given":"Florian"},{"family":"Chemtob","given":"Sylvain"}],"issued":{"date-parts":[["2008",10]]},"accessed":{"date-parts":[["2019",2,24]]}}}],"schema":"https://github.com/citation-style-language/schema/raw/master/csl-citation.json"} </w:instrText>
      </w:r>
      <w:r w:rsidR="007946CE">
        <w:rPr>
          <w:rFonts w:ascii="Calibri" w:hAnsi="Calibri" w:cs="Calibri"/>
          <w:color w:val="000000" w:themeColor="text1"/>
          <w:sz w:val="22"/>
          <w:szCs w:val="22"/>
        </w:rPr>
        <w:fldChar w:fldCharType="separate"/>
      </w:r>
      <w:r w:rsidR="0094125E" w:rsidRPr="0094125E">
        <w:rPr>
          <w:rFonts w:ascii="Calibri" w:hAnsi="Calibri" w:cs="Calibri"/>
          <w:color w:val="000000"/>
          <w:sz w:val="22"/>
          <w:vertAlign w:val="superscript"/>
          <w:lang w:val="en-US"/>
        </w:rPr>
        <w:t>122,180</w:t>
      </w:r>
      <w:r w:rsidR="007946CE">
        <w:rPr>
          <w:rFonts w:ascii="Calibri" w:hAnsi="Calibri" w:cs="Calibri"/>
          <w:color w:val="000000" w:themeColor="text1"/>
          <w:sz w:val="22"/>
          <w:szCs w:val="22"/>
        </w:rPr>
        <w:fldChar w:fldCharType="end"/>
      </w:r>
      <w:r w:rsidR="008A18CE">
        <w:rPr>
          <w:rFonts w:ascii="Calibri" w:hAnsi="Calibri" w:cs="Calibri"/>
          <w:color w:val="000000" w:themeColor="text1"/>
          <w:sz w:val="22"/>
          <w:szCs w:val="22"/>
        </w:rPr>
        <w:t>. Succinate is also linked to succinylation of a range of proteins</w:t>
      </w:r>
      <w:r w:rsidR="001900DB">
        <w:rPr>
          <w:rFonts w:ascii="Calibri" w:hAnsi="Calibri" w:cs="Calibri"/>
          <w:color w:val="000000" w:themeColor="text1"/>
          <w:sz w:val="22"/>
          <w:szCs w:val="22"/>
        </w:rPr>
        <w:t xml:space="preserve"> including histones</w:t>
      </w:r>
      <w:r w:rsidR="007946CE">
        <w:rPr>
          <w:rFonts w:ascii="Calibri" w:hAnsi="Calibri" w:cs="Calibri"/>
          <w:color w:val="000000" w:themeColor="text1"/>
          <w:sz w:val="22"/>
          <w:szCs w:val="22"/>
        </w:rPr>
        <w:fldChar w:fldCharType="begin"/>
      </w:r>
      <w:r w:rsidR="0094125E">
        <w:rPr>
          <w:rFonts w:ascii="Calibri" w:hAnsi="Calibri" w:cs="Calibri"/>
          <w:color w:val="000000" w:themeColor="text1"/>
          <w:sz w:val="22"/>
          <w:szCs w:val="22"/>
        </w:rPr>
        <w:instrText xml:space="preserve"> ADDIN ZOTERO_ITEM CSL_CITATION {"citationID":"a16vpmo5q9j","properties":{"formattedCitation":"\\super 187,188,190\\nosupersub{}","plainCitation":"187,188,190","noteIndex":0},"citationItems":[{"id":1654,"uris":["http://zotero.org/users/4775618/items/CVBKJA8T"],"uri":["http://zotero.org/users/4775618/items/CVBKJA8T"],"itemData":{"id":1654,"type":"article-journal","title":"Succinate: a metabolic signal in inflammation","container-title":"Trends in Cell Biology","page":"313-320","volume":"24","issue":"5","source":"ScienceDirect","abstract":"Succinate is an intermediate of the tricarboxylic acid (TCA) cycle, and plays a crucial role in adenosine triphosphate (ATP) generation in mitochondria. Recently, new roles for succinate outside metabolism have emerged. Succinate stabilizes the transcription factor hypoxia-inducible factor-1α (HIF-1α) in specific tumors and in activated macrophages, and stimulates dendritic cells via its receptor succinate receptor 1. Furthermore, succinate has been shown to post-translationally modify proteins. This expanding repertoire of functions for succinate suggests a broader role in cellular activation. We review the new roles of succinate and draw parallels to other metabolites such as NAD+ and citrate whose roles have expanded beyond metabolism and into signaling.","URL":"http://www.sciencedirect.com/science/article/pii/S0962892413002213","DOI":"10.1016/j.tcb.2013.11.008","ISSN":"0962-8924","title-short":"Succinate","journalAbbreviation":"Trends in Cell Biology","author":[{"family":"Mills","given":"Evanna"},{"family":"O’Neill","given":"Luke A. J."}],"issued":{"date-parts":[["2014",5,1]]},"accessed":{"date-parts":[["2019",3,2]]}}},{"id":1689,"uris":["http://zotero.org/users/4775618/items/6YVYRBR6"],"uri":["http://zotero.org/users/4775618/items/6YVYRBR6"],"itemData":{"id":1689,"type":"article-journal","title":"Lysine succinylation and lysine malonylation in histones","container-title":"Molecular &amp; cellular proteomics: MCP","page":"100-107","volume":"11","issue":"5","source":"PubMed","abstract":"Histone protein post-translational modifications (PTMs) are significant for gene expression and DNA repair. Here we report the identification and validation of a new type of PTM in histones, lysine succinylation. The identified lysine succinylated histone peptides were verified by MS/MS of synthetic peptides, HPLC co-elution, and isotopic labeling. We identified 13, 7, 10, and 7 histone lysine succinylation sites in HeLa, mouse embryonic fibroblast, Drosophila S2, and Saccharomyces cerevisiae cells, respectively. We demonstrated that this histone PTM is present in all eukaryotic cells we examined. Mutagenesis of succinylation sites followed by functional assays implied that histone lysine succinylation can cause unique functional consequences. We also identified one and two histone lysine malonylation sites in HeLa and S. cerevisiae cells, respectively. Our results therefore increase potential combinatorial diversity of histone PTMs and suggest possible new connections between histone biology and metabolism.","DOI":"10.1074/mcp.M111.015875","ISSN":"1535-9484","note":"PMID: 22389435\nPMCID: PMC3418837","journalAbbreviation":"Mol. Cell Proteomics","language":"eng","author":[{"family":"Xie","given":"Zhongyu"},{"family":"Dai","given":"Junbiao"},{"family":"Dai","given":"Lunzhi"},{"family":"Tan","given":"Minjia"},{"family":"Cheng","given":"Zhongyi"},{"family":"Wu","given":"Yeming"},{"family":"Boeke","given":"Jef D."},{"family":"Zhao","given":"Yingming"}],"issued":{"date-parts":[["2012",5]]}}},{"id":1651,"uris":["http://zotero.org/users/4775618/items/7ZQYE3EE"],"uri":["http://zotero.org/users/4775618/items/7ZQYE3EE"],"itemData":{"id":1651,"type":"article-journal","title":"Identification of lysine succinylation as a new post-translational modification","container-title":"Nature Chemical Biology","page":"58-63","volume":"7","issue":"1","source":"PubMed","abstract":"Of the 20 ribosomally coded amino acid residues, lysine is the most frequently post-translationally modified, which has important functional and regulatory consequences. Here we report the identification and verification of a previously unreported form of protein post-translational modification (PTM): lysine succinylation. The succinyllysine residue was initially identified by mass spectrometry and protein sequence alignment. The identified succinyllysine peptides derived from in vivo proteins were verified by western blot analysis, in vivo labeling with isotopic succinate, MS/MS and HPLC coelution of their synthetic counterparts. We further show that lysine succinylation is evolutionarily conserved and that this PTM responds to different physiological conditions. Our study also implies that succinyl-CoA might be a cofactor for lysine succinylation. Given the apparent high abundance of lysine succinylation and the significant structural changes induced by this PTM, it is expected that lysine succinylation has important cellular functions.","DOI":"10.1038/nchembio.495","ISSN":"1552-4469","note":"PMID: 21151122\nPMCID: PMC3065206","journalAbbreviation":"Nat. Chem. Biol.","language":"eng","author":[{"family":"Zhang","given":"Zhihong"},{"family":"Tan","given":"Minjia"},{"family":"Xie","given":"Zhongyu"},{"family":"Dai","given":"Lunzhi"},{"family":"Chen","given":"Yue"},{"family":"Zhao","given":"Yingming"}],"issued":{"date-parts":[["2011",1]]}}}],"schema":"https://github.com/citation-style-language/schema/raw/master/csl-citation.json"} </w:instrText>
      </w:r>
      <w:r w:rsidR="007946CE">
        <w:rPr>
          <w:rFonts w:ascii="Calibri" w:hAnsi="Calibri" w:cs="Calibri"/>
          <w:color w:val="000000" w:themeColor="text1"/>
          <w:sz w:val="22"/>
          <w:szCs w:val="22"/>
        </w:rPr>
        <w:fldChar w:fldCharType="separate"/>
      </w:r>
      <w:r w:rsidR="0094125E" w:rsidRPr="0094125E">
        <w:rPr>
          <w:rFonts w:ascii="Calibri" w:hAnsi="Calibri" w:cs="Calibri"/>
          <w:color w:val="000000"/>
          <w:sz w:val="22"/>
          <w:vertAlign w:val="superscript"/>
          <w:lang w:val="en-US"/>
        </w:rPr>
        <w:t>187,188,190</w:t>
      </w:r>
      <w:r w:rsidR="007946CE">
        <w:rPr>
          <w:rFonts w:ascii="Calibri" w:hAnsi="Calibri" w:cs="Calibri"/>
          <w:color w:val="000000" w:themeColor="text1"/>
          <w:sz w:val="22"/>
          <w:szCs w:val="22"/>
        </w:rPr>
        <w:fldChar w:fldCharType="end"/>
      </w:r>
      <w:r w:rsidR="008A18CE">
        <w:rPr>
          <w:rFonts w:ascii="Calibri" w:hAnsi="Calibri" w:cs="Calibri"/>
          <w:color w:val="000000" w:themeColor="text1"/>
          <w:sz w:val="22"/>
          <w:szCs w:val="22"/>
        </w:rPr>
        <w:t>.</w:t>
      </w:r>
      <w:r w:rsidR="001900DB">
        <w:rPr>
          <w:rFonts w:ascii="Calibri" w:hAnsi="Calibri" w:cs="Calibri"/>
          <w:color w:val="000000" w:themeColor="text1"/>
          <w:sz w:val="22"/>
          <w:szCs w:val="22"/>
        </w:rPr>
        <w:t xml:space="preserve"> </w:t>
      </w:r>
      <w:r w:rsidR="00834E34">
        <w:rPr>
          <w:rFonts w:ascii="Calibri" w:hAnsi="Calibri" w:cs="Calibri"/>
          <w:color w:val="000000" w:themeColor="text1"/>
          <w:sz w:val="22"/>
          <w:szCs w:val="22"/>
        </w:rPr>
        <w:t>D2HG</w:t>
      </w:r>
      <w:r w:rsidR="00CF3E67">
        <w:rPr>
          <w:rFonts w:ascii="Calibri" w:hAnsi="Calibri" w:cs="Calibri"/>
          <w:color w:val="000000" w:themeColor="text1"/>
          <w:sz w:val="22"/>
          <w:szCs w:val="22"/>
        </w:rPr>
        <w:t xml:space="preserve"> </w:t>
      </w:r>
      <w:r w:rsidR="00834E34">
        <w:rPr>
          <w:rFonts w:ascii="Calibri" w:hAnsi="Calibri" w:cs="Calibri"/>
          <w:color w:val="000000" w:themeColor="text1"/>
          <w:sz w:val="22"/>
          <w:szCs w:val="22"/>
        </w:rPr>
        <w:t>exhibi</w:t>
      </w:r>
      <w:r w:rsidR="00CF3E67">
        <w:rPr>
          <w:rFonts w:ascii="Calibri" w:hAnsi="Calibri" w:cs="Calibri"/>
          <w:color w:val="000000" w:themeColor="text1"/>
          <w:sz w:val="22"/>
          <w:szCs w:val="22"/>
        </w:rPr>
        <w:t>t</w:t>
      </w:r>
      <w:r w:rsidR="00834E34">
        <w:rPr>
          <w:rFonts w:ascii="Calibri" w:hAnsi="Calibri" w:cs="Calibri"/>
          <w:color w:val="000000" w:themeColor="text1"/>
          <w:sz w:val="22"/>
          <w:szCs w:val="22"/>
        </w:rPr>
        <w:t xml:space="preserve"> anti-tumour effect by inhibit</w:t>
      </w:r>
      <w:r w:rsidR="00CF3E67">
        <w:rPr>
          <w:rFonts w:ascii="Calibri" w:hAnsi="Calibri" w:cs="Calibri"/>
          <w:color w:val="000000" w:themeColor="text1"/>
          <w:sz w:val="22"/>
          <w:szCs w:val="22"/>
        </w:rPr>
        <w:t>ion of</w:t>
      </w:r>
      <w:r w:rsidR="00834E34">
        <w:rPr>
          <w:rFonts w:ascii="Calibri" w:hAnsi="Calibri" w:cs="Calibri"/>
          <w:color w:val="000000" w:themeColor="text1"/>
          <w:sz w:val="22"/>
          <w:szCs w:val="22"/>
        </w:rPr>
        <w:t xml:space="preserve"> FTO, which leads to mRNA hypermethylation and downregulation of genes associated with cell growth and transformation</w:t>
      </w:r>
      <w:r w:rsidR="007946CE">
        <w:rPr>
          <w:rFonts w:ascii="Calibri" w:hAnsi="Calibri" w:cs="Calibri"/>
          <w:color w:val="000000" w:themeColor="text1"/>
          <w:sz w:val="22"/>
          <w:szCs w:val="22"/>
        </w:rPr>
        <w:fldChar w:fldCharType="begin"/>
      </w:r>
      <w:r w:rsidR="0094125E">
        <w:rPr>
          <w:rFonts w:ascii="Calibri" w:hAnsi="Calibri" w:cs="Calibri"/>
          <w:color w:val="000000" w:themeColor="text1"/>
          <w:sz w:val="22"/>
          <w:szCs w:val="22"/>
        </w:rPr>
        <w:instrText xml:space="preserve"> ADDIN ZOTERO_ITEM CSL_CITATION {"citationID":"a1sadug0pai","properties":{"formattedCitation":"\\super 195\\nosupersub{}","plainCitation":"195","noteIndex":0},"citationItems":[{"id":1695,"uris":["http://zotero.org/users/4775618/items/H82L7KPF"],"uri":["http://zotero.org/users/4775618/items/H82L7KPF"],"itemData":{"id":1695,"type":"article-journal","title":"R-2HG Exhibits Anti-tumor Activity by Targeting FTO/m6A/MYC/CEBPA Signaling","container-title":"Cell","page":"90-105.e23","volume":"172","issue":"1","source":"ScienceDirect","abstract":"Summary\nR-2-hydroxyglutarate (R-2HG), produced at high levels by mutant isocitrate dehydrogenase 1/2 (IDH1/2) enzymes, was reported as an oncometabolite. We show here that R-2HG also exerts a broad anti-leukemic activity in vitro and in vivo by inhibiting leukemia cell proliferation/viability and by promoting cell-cycle arrest and apoptosis. Mechanistically, R-2HG inhibits fat mass and obesity-associated protein (FTO) activity, thereby increasing global N6-methyladenosine (m6A) RNA modification in R-2HG-sensitive leukemia cells, which in turn decreases the stability of MYC/CEBPA transcripts, leading to the suppression of relevant pathways. Ectopically expressed mutant IDH1 and S-2HG recapitulate the effects of R-2HG. High levels of FTO sensitize leukemic cells to R-2HG, whereas hyperactivation of MYC signaling confers resistance that can be reversed by the inhibition of MYC signaling. R-2HG also displays anti-tumor activity in glioma. Collectively, while R-2HG accumulated in IDH1/2 mutant cancers contributes to cancer initiation, our work demonstrates anti-tumor effects of 2HG in inhibiting proliferation/survival of FTO-high cancer cells via targeting FTO/m6A/MYC/CEBPA signaling.","URL":"http://www.sciencedirect.com/science/article/pii/S009286741731382X","DOI":"10.1016/j.cell.2017.11.031","ISSN":"0092-8674","journalAbbreviation":"Cell","author":[{"family":"Su","given":"Rui"},{"family":"Dong","given":"Lei"},{"family":"Li","given":"Chenying"},{"family":"Nachtergaele","given":"Sigrid"},{"family":"Wunderlich","given":"Mark"},{"family":"Qing","given":"Ying"},{"family":"Deng","given":"Xiaolan"},{"family":"Wang","given":"Yungui"},{"family":"Weng","given":"Xiaocheng"},{"family":"Hu","given":"Chao"},{"family":"Yu","given":"Mengxia"},{"family":"Skibbe","given":"Jennifer"},{"family":"Dai","given":"Qing"},{"family":"Zou","given":"Dongling"},{"family":"Wu","given":"Tong"},{"family":"Yu","given":"Kangkang"},{"family":"Weng","given":"Hengyou"},{"family":"Huang","given":"Huilin"},{"family":"Ferchen","given":"Kyle"},{"family":"Qin","given":"Xi"},{"family":"Zhang","given":"Bin"},{"family":"Qi","given":"Jun"},{"family":"Sasaki","given":"Atsuo T."},{"family":"Plas","given":"David R."},{"family":"Bradner","given":"James E."},{"family":"Wei","given":"Minjie"},{"family":"Marcucci","given":"Guido"},{"family":"Jiang","given":"Xi"},{"family":"Mulloy","given":"James C."},{"family":"Jin","given":"Jie"},{"family":"He","given":"Chuan"},{"family":"Chen","given":"Jianjun"}],"issued":{"date-parts":[["2018",1,11]]},"accessed":{"date-parts":[["2019",3,4]]}}}],"schema":"https://github.com/citation-style-language/schema/raw/master/csl-citation.json"} </w:instrText>
      </w:r>
      <w:r w:rsidR="007946CE">
        <w:rPr>
          <w:rFonts w:ascii="Calibri" w:hAnsi="Calibri" w:cs="Calibri"/>
          <w:color w:val="000000" w:themeColor="text1"/>
          <w:sz w:val="22"/>
          <w:szCs w:val="22"/>
        </w:rPr>
        <w:fldChar w:fldCharType="separate"/>
      </w:r>
      <w:r w:rsidR="0094125E" w:rsidRPr="0094125E">
        <w:rPr>
          <w:rFonts w:ascii="Calibri" w:hAnsi="Calibri" w:cs="Calibri"/>
          <w:color w:val="000000"/>
          <w:sz w:val="22"/>
          <w:vertAlign w:val="superscript"/>
          <w:lang w:val="en-US"/>
        </w:rPr>
        <w:t>195</w:t>
      </w:r>
      <w:r w:rsidR="007946CE">
        <w:rPr>
          <w:rFonts w:ascii="Calibri" w:hAnsi="Calibri" w:cs="Calibri"/>
          <w:color w:val="000000" w:themeColor="text1"/>
          <w:sz w:val="22"/>
          <w:szCs w:val="22"/>
        </w:rPr>
        <w:fldChar w:fldCharType="end"/>
      </w:r>
      <w:r w:rsidR="00CF3E67">
        <w:rPr>
          <w:rFonts w:ascii="Calibri" w:hAnsi="Calibri" w:cs="Calibri"/>
          <w:color w:val="000000" w:themeColor="text1"/>
          <w:sz w:val="22"/>
          <w:szCs w:val="22"/>
        </w:rPr>
        <w:t>, as well as through the direct inhibition of ATP synthase with subsequent downregulation of mTOR signalling</w:t>
      </w:r>
      <w:r w:rsidR="007946CE">
        <w:rPr>
          <w:rFonts w:ascii="Calibri" w:hAnsi="Calibri" w:cs="Calibri"/>
          <w:color w:val="000000" w:themeColor="text1"/>
          <w:sz w:val="22"/>
          <w:szCs w:val="22"/>
        </w:rPr>
        <w:fldChar w:fldCharType="begin"/>
      </w:r>
      <w:r w:rsidR="0094125E">
        <w:rPr>
          <w:rFonts w:ascii="Calibri" w:hAnsi="Calibri" w:cs="Calibri"/>
          <w:color w:val="000000" w:themeColor="text1"/>
          <w:sz w:val="22"/>
          <w:szCs w:val="22"/>
        </w:rPr>
        <w:instrText xml:space="preserve"> ADDIN ZOTERO_ITEM CSL_CITATION {"citationID":"a18s1qts2kq","properties":{"formattedCitation":"\\super 198\\nosupersub{}","plainCitation":"198","noteIndex":0},"citationItems":[{"id":1698,"uris":["http://zotero.org/users/4775618/items/WVWQ8URS"],"uri":["http://zotero.org/users/4775618/items/WVWQ8URS"],"itemData":{"id":1698,"type":"article-journal","title":"2-Hydroxyglutarate Inhibits ATP Synthase and mTOR Signaling","container-title":"Cell Metabolism","page":"508-515","volume":"22","issue":"3","source":"ScienceDirect","abstract":"Summary\nWe discovered recently that the central metabolite α-ketoglutarate (α-KG) extends the lifespan of C. elegans through inhibition of ATP synthase and TOR signaling. Here we find, unexpectedly, that (R)-2-hydroxyglutarate ((R)-2HG), an oncometabolite that interferes with various α-KG-mediated processes, similarly extends worm lifespan. (R)-2HG accumulates in human cancers carrying neomorphic mutations in the isocitrate dehydrogenase (IDH) 1 and 2 genes. We show that, like α-KG, both (R)-2HG and (S)-2HG bind and inhibit ATP synthase and inhibit mTOR signaling. These effects are mirrored in IDH1 mutant cells, suggesting a growth-suppressive function of (R)-2HG. Consistently, inhibition of ATP synthase by 2-HG or α-KG in glioblastoma cells is sufficient for growth arrest and tumor cell killing under conditions of glucose limitation, e.g., when ketone bodies (instead of glucose) are supplied for energy. These findings inform therapeutic strategies and open avenues for investigating the roles of 2-HG and metabolites in biology and disease.","URL":"http://www.sciencedirect.com/science/article/pii/S1550413115002764","DOI":"10.1016/j.cmet.2015.06.009","ISSN":"1550-4131","journalAbbreviation":"Cell Metabolism","author":[{"family":"Fu","given":"Xudong"},{"family":"Chin","given":"Randall M."},{"family":"Vergnes","given":"Laurent"},{"family":"Hwang","given":"Heejun"},{"family":"Deng","given":"Gang"},{"family":"Xing","given":"Yanpeng"},{"family":"Pai","given":"Melody Y."},{"family":"Li","given":"Sichen"},{"family":"Ta","given":"Lisa"},{"family":"Fazlollahi","given":"Farbod"},{"family":"Chen","given":"Chuo"},{"family":"Prins","given":"Robert M."},{"family":"Teitell","given":"Michael A."},{"family":"Nathanson","given":"David A."},{"family":"Lai","given":"Albert"},{"family":"Faull","given":"Kym F."},{"family":"Jiang","given":"Meisheng"},{"family":"Clarke","given":"Steven G."},{"family":"Cloughesy","given":"Timothy F."},{"family":"Graeber","given":"Thomas G."},{"family":"Braas","given":"Daniel"},{"family":"Christofk","given":"Heather R."},{"family":"Jung","given":"Michael E."},{"family":"Reue","given":"Karen"},{"family":"Huang","given":"Jing"}],"issued":{"date-parts":[["2015",9,1]]},"accessed":{"date-parts":[["2019",3,4]]}}}],"schema":"https://github.com/citation-style-language/schema/raw/master/csl-citation.json"} </w:instrText>
      </w:r>
      <w:r w:rsidR="007946CE">
        <w:rPr>
          <w:rFonts w:ascii="Calibri" w:hAnsi="Calibri" w:cs="Calibri"/>
          <w:color w:val="000000" w:themeColor="text1"/>
          <w:sz w:val="22"/>
          <w:szCs w:val="22"/>
        </w:rPr>
        <w:fldChar w:fldCharType="separate"/>
      </w:r>
      <w:r w:rsidR="0094125E" w:rsidRPr="0094125E">
        <w:rPr>
          <w:rFonts w:ascii="Calibri" w:hAnsi="Calibri" w:cs="Calibri"/>
          <w:color w:val="000000"/>
          <w:sz w:val="22"/>
          <w:vertAlign w:val="superscript"/>
          <w:lang w:val="en-US"/>
        </w:rPr>
        <w:t>198</w:t>
      </w:r>
      <w:r w:rsidR="007946CE">
        <w:rPr>
          <w:rFonts w:ascii="Calibri" w:hAnsi="Calibri" w:cs="Calibri"/>
          <w:color w:val="000000" w:themeColor="text1"/>
          <w:sz w:val="22"/>
          <w:szCs w:val="22"/>
        </w:rPr>
        <w:fldChar w:fldCharType="end"/>
      </w:r>
      <w:r w:rsidR="00CF3E67">
        <w:rPr>
          <w:rFonts w:ascii="Calibri" w:hAnsi="Calibri" w:cs="Calibri"/>
          <w:color w:val="000000" w:themeColor="text1"/>
          <w:sz w:val="22"/>
          <w:szCs w:val="22"/>
        </w:rPr>
        <w:t>.</w:t>
      </w:r>
    </w:p>
    <w:p w14:paraId="1A7E7BDA" w14:textId="6D9F148E" w:rsidR="000B35F0" w:rsidRPr="00B946E4" w:rsidRDefault="000B35F0" w:rsidP="000B35F0">
      <w:pPr>
        <w:jc w:val="both"/>
        <w:rPr>
          <w:rFonts w:ascii="Calibri" w:eastAsia="+mn-ea" w:hAnsi="Calibri" w:cs="Calibri"/>
          <w:color w:val="000000"/>
          <w:kern w:val="24"/>
          <w:sz w:val="22"/>
          <w:szCs w:val="22"/>
        </w:rPr>
      </w:pPr>
      <w:r w:rsidRPr="00B946E4">
        <w:rPr>
          <w:rFonts w:ascii="Calibri" w:eastAsia="+mn-ea" w:hAnsi="Calibri" w:cs="Calibri"/>
          <w:color w:val="000000"/>
          <w:kern w:val="24"/>
          <w:sz w:val="22"/>
          <w:szCs w:val="22"/>
        </w:rPr>
        <w:t xml:space="preserve">αKG – alpha-ketoglutarate, 2SC – S-2-succino-cysteine, 5hmc -5-hydoxymethylcytosine, 5mc-methylcytosine, ABL1 - Abelson Murine Leukaemia viral oncogene homolog 1, </w:t>
      </w:r>
      <w:r w:rsidR="007A5DC2">
        <w:rPr>
          <w:rFonts w:ascii="Calibri" w:eastAsia="+mn-ea" w:hAnsi="Calibri" w:cs="Calibri"/>
          <w:color w:val="000000"/>
          <w:kern w:val="24"/>
          <w:sz w:val="22"/>
          <w:szCs w:val="22"/>
        </w:rPr>
        <w:t xml:space="preserve">ASL – argininosuccinate lyase, </w:t>
      </w:r>
      <w:r w:rsidRPr="00B946E4">
        <w:rPr>
          <w:rFonts w:ascii="Calibri" w:eastAsia="+mn-ea" w:hAnsi="Calibri" w:cs="Calibri"/>
          <w:color w:val="000000"/>
          <w:kern w:val="24"/>
          <w:sz w:val="22"/>
          <w:szCs w:val="22"/>
        </w:rPr>
        <w:t xml:space="preserve">CpG – cytosine-guanosine dinucleotide, D2HG – D-2-hydroxyglutarate, D2HGDH – D-2HG dehydrogenase, FH- fumarate hydratase, FTO – fat mass and obesity-associated protein, GLS – glutaminase, GPR91 – G-protein coupled receptor 91, </w:t>
      </w:r>
      <w:r w:rsidR="00092C1F">
        <w:rPr>
          <w:rFonts w:ascii="Calibri" w:eastAsia="+mn-ea" w:hAnsi="Calibri" w:cs="Calibri"/>
          <w:color w:val="000000"/>
          <w:kern w:val="24"/>
          <w:sz w:val="22"/>
          <w:szCs w:val="22"/>
        </w:rPr>
        <w:t xml:space="preserve">GSH – glutathione, </w:t>
      </w:r>
      <w:r w:rsidRPr="00B946E4">
        <w:rPr>
          <w:rFonts w:ascii="Calibri" w:eastAsia="+mn-ea" w:hAnsi="Calibri" w:cs="Calibri"/>
          <w:color w:val="000000"/>
          <w:kern w:val="24"/>
          <w:sz w:val="22"/>
          <w:szCs w:val="22"/>
        </w:rPr>
        <w:t>Gpx1 – glutathione peroxidase 1, HIF- hypoxia-inducible factors, IDH- isocitrate dehydrogenase, KEAP1 = Kelch-like ECH-associated protein-1, KDM- histone demethylases, L2HG – L-2-hydroxyglutarate, L2HGDH – L2HG dehydrogenase, LDH – lactate dehydrogenase, MDH- malate dehydrogenase, mRNA -messenger RNA, mTOR – mammalian target of rapamycin, MYC - NFkB – nuclear factor kappa-light-chain-enhancer of activated B cells, Nrf2 -Nuclear factor (erythroid-derived 2)-like 2, OH – hydroxyl group, P – phosphorylated, PHD- prolyl hydroxylases, PTPN12 - protein tyrosine phosphatase non-receptor type 12, RCC- renal cell carcinoma, SDH- succinate dehydrogenase, TCA – tricarboxylic acid, TKB1- tank-binding kinase 1, TET – ten-eleven translocation enzymes, VEGF – vascular endothelial growth factor</w:t>
      </w:r>
    </w:p>
    <w:p w14:paraId="016209B4" w14:textId="77777777" w:rsidR="000B35F0" w:rsidRPr="00B946E4" w:rsidRDefault="000B35F0" w:rsidP="000B35F0">
      <w:pPr>
        <w:spacing w:line="360" w:lineRule="auto"/>
        <w:jc w:val="both"/>
        <w:rPr>
          <w:rFonts w:ascii="Calibri" w:hAnsi="Calibri" w:cs="Calibri"/>
          <w:b/>
          <w:bCs/>
          <w:color w:val="000000" w:themeColor="text1"/>
          <w:sz w:val="22"/>
          <w:szCs w:val="22"/>
        </w:rPr>
      </w:pPr>
    </w:p>
    <w:p w14:paraId="1DBD50B8" w14:textId="35A26E38" w:rsidR="000B35F0" w:rsidRPr="00B946E4" w:rsidRDefault="000B35F0" w:rsidP="000B35F0">
      <w:pPr>
        <w:spacing w:line="360" w:lineRule="auto"/>
        <w:jc w:val="both"/>
        <w:rPr>
          <w:rFonts w:ascii="Calibri" w:hAnsi="Calibri" w:cs="Calibri"/>
          <w:b/>
          <w:bCs/>
          <w:color w:val="000000" w:themeColor="text1"/>
          <w:sz w:val="22"/>
          <w:szCs w:val="22"/>
        </w:rPr>
      </w:pPr>
      <w:r w:rsidRPr="00B946E4">
        <w:rPr>
          <w:rFonts w:ascii="Calibri" w:hAnsi="Calibri" w:cs="Calibri"/>
          <w:b/>
          <w:bCs/>
          <w:color w:val="000000" w:themeColor="text1"/>
          <w:sz w:val="22"/>
          <w:szCs w:val="22"/>
        </w:rPr>
        <w:t xml:space="preserve">Figure 3: </w:t>
      </w:r>
      <w:r w:rsidR="00C942B0">
        <w:rPr>
          <w:rFonts w:ascii="Calibri" w:hAnsi="Calibri" w:cs="Calibri"/>
          <w:b/>
          <w:bCs/>
          <w:color w:val="000000" w:themeColor="text1"/>
          <w:sz w:val="22"/>
          <w:szCs w:val="22"/>
        </w:rPr>
        <w:t>S</w:t>
      </w:r>
      <w:r w:rsidR="005E3188" w:rsidRPr="00B946E4">
        <w:rPr>
          <w:rFonts w:ascii="Calibri" w:hAnsi="Calibri" w:cs="Calibri"/>
          <w:b/>
          <w:bCs/>
          <w:color w:val="000000" w:themeColor="text1"/>
          <w:sz w:val="22"/>
          <w:szCs w:val="22"/>
        </w:rPr>
        <w:t>trategies for targeting o</w:t>
      </w:r>
      <w:r w:rsidRPr="00B946E4">
        <w:rPr>
          <w:rFonts w:ascii="Calibri" w:hAnsi="Calibri" w:cs="Calibri"/>
          <w:b/>
          <w:color w:val="000000" w:themeColor="text1"/>
          <w:sz w:val="22"/>
          <w:szCs w:val="22"/>
        </w:rPr>
        <w:t xml:space="preserve">ncometabolite-associated pathways. </w:t>
      </w:r>
      <w:r w:rsidR="00C942B0">
        <w:rPr>
          <w:rFonts w:ascii="Calibri" w:hAnsi="Calibri" w:cs="Calibri"/>
          <w:color w:val="000000" w:themeColor="text1"/>
          <w:sz w:val="22"/>
          <w:szCs w:val="22"/>
        </w:rPr>
        <w:t>Potential s</w:t>
      </w:r>
      <w:r w:rsidR="0003195A" w:rsidRPr="00B946E4">
        <w:rPr>
          <w:rFonts w:ascii="Calibri" w:hAnsi="Calibri" w:cs="Calibri"/>
          <w:color w:val="000000" w:themeColor="text1"/>
          <w:sz w:val="22"/>
          <w:szCs w:val="22"/>
        </w:rPr>
        <w:t xml:space="preserve">trategies for </w:t>
      </w:r>
      <w:r w:rsidR="005E3188" w:rsidRPr="00B946E4">
        <w:rPr>
          <w:rFonts w:ascii="Calibri" w:hAnsi="Calibri" w:cs="Calibri"/>
          <w:color w:val="000000" w:themeColor="text1"/>
          <w:sz w:val="22"/>
          <w:szCs w:val="22"/>
        </w:rPr>
        <w:t xml:space="preserve">the </w:t>
      </w:r>
      <w:r w:rsidR="0003195A" w:rsidRPr="00B946E4">
        <w:rPr>
          <w:rFonts w:ascii="Calibri" w:hAnsi="Calibri" w:cs="Calibri"/>
          <w:color w:val="000000" w:themeColor="text1"/>
          <w:sz w:val="22"/>
          <w:szCs w:val="22"/>
        </w:rPr>
        <w:t>therapeutic targeting of oncometabolite</w:t>
      </w:r>
      <w:r w:rsidR="00C942B0">
        <w:rPr>
          <w:rFonts w:ascii="Calibri" w:hAnsi="Calibri" w:cs="Calibri"/>
          <w:color w:val="000000" w:themeColor="text1"/>
          <w:sz w:val="22"/>
          <w:szCs w:val="22"/>
        </w:rPr>
        <w:t>s</w:t>
      </w:r>
      <w:r w:rsidRPr="00B946E4">
        <w:rPr>
          <w:rFonts w:ascii="Calibri" w:hAnsi="Calibri" w:cs="Calibri"/>
          <w:color w:val="000000" w:themeColor="text1"/>
          <w:sz w:val="22"/>
          <w:szCs w:val="22"/>
        </w:rPr>
        <w:t xml:space="preserve"> range from targeting the exogenous drivers of oncometabolite production, to the nutrient sources and enzymatic perturbations involved in </w:t>
      </w:r>
      <w:r w:rsidR="004E5511" w:rsidRPr="00B946E4">
        <w:rPr>
          <w:rFonts w:ascii="Calibri" w:hAnsi="Calibri" w:cs="Calibri"/>
          <w:color w:val="000000" w:themeColor="text1"/>
          <w:sz w:val="22"/>
          <w:szCs w:val="22"/>
        </w:rPr>
        <w:t xml:space="preserve">the accumulation of </w:t>
      </w:r>
      <w:r w:rsidRPr="00B946E4">
        <w:rPr>
          <w:rFonts w:ascii="Calibri" w:hAnsi="Calibri" w:cs="Calibri"/>
          <w:color w:val="000000" w:themeColor="text1"/>
          <w:sz w:val="22"/>
          <w:szCs w:val="22"/>
        </w:rPr>
        <w:t>oncometabolite</w:t>
      </w:r>
      <w:r w:rsidR="004E5511" w:rsidRPr="00B946E4">
        <w:rPr>
          <w:rFonts w:ascii="Calibri" w:hAnsi="Calibri" w:cs="Calibri"/>
          <w:color w:val="000000" w:themeColor="text1"/>
          <w:sz w:val="22"/>
          <w:szCs w:val="22"/>
        </w:rPr>
        <w:t>s</w:t>
      </w:r>
      <w:r w:rsidR="00C942B0">
        <w:rPr>
          <w:rFonts w:ascii="Calibri" w:hAnsi="Calibri" w:cs="Calibri"/>
          <w:color w:val="000000" w:themeColor="text1"/>
          <w:sz w:val="22"/>
          <w:szCs w:val="22"/>
        </w:rPr>
        <w:t>, to</w:t>
      </w:r>
      <w:r w:rsidR="000167D7">
        <w:rPr>
          <w:rFonts w:ascii="Calibri" w:hAnsi="Calibri" w:cs="Calibri"/>
          <w:color w:val="000000" w:themeColor="text1"/>
          <w:sz w:val="22"/>
          <w:szCs w:val="22"/>
        </w:rPr>
        <w:t xml:space="preserve"> </w:t>
      </w:r>
      <w:r w:rsidRPr="00B946E4">
        <w:rPr>
          <w:rFonts w:ascii="Calibri" w:hAnsi="Calibri" w:cs="Calibri"/>
          <w:color w:val="000000" w:themeColor="text1"/>
          <w:sz w:val="22"/>
          <w:szCs w:val="22"/>
        </w:rPr>
        <w:t xml:space="preserve">the downstream enzymatic, epigenetic and phenotypic </w:t>
      </w:r>
      <w:r w:rsidR="005E3188" w:rsidRPr="00B946E4">
        <w:rPr>
          <w:rFonts w:ascii="Calibri" w:hAnsi="Calibri" w:cs="Calibri"/>
          <w:color w:val="000000" w:themeColor="text1"/>
          <w:sz w:val="22"/>
          <w:szCs w:val="22"/>
        </w:rPr>
        <w:t xml:space="preserve">effects of </w:t>
      </w:r>
      <w:r w:rsidR="004E5511" w:rsidRPr="00B946E4">
        <w:rPr>
          <w:rFonts w:ascii="Calibri" w:hAnsi="Calibri" w:cs="Calibri"/>
          <w:color w:val="000000" w:themeColor="text1"/>
          <w:sz w:val="22"/>
          <w:szCs w:val="22"/>
        </w:rPr>
        <w:t>oncometabolite</w:t>
      </w:r>
      <w:r w:rsidR="005E3188" w:rsidRPr="00B946E4">
        <w:rPr>
          <w:rFonts w:ascii="Calibri" w:hAnsi="Calibri" w:cs="Calibri"/>
          <w:color w:val="000000" w:themeColor="text1"/>
          <w:sz w:val="22"/>
          <w:szCs w:val="22"/>
        </w:rPr>
        <w:t xml:space="preserve"> accumulation</w:t>
      </w:r>
      <w:r w:rsidRPr="00B946E4">
        <w:rPr>
          <w:rFonts w:ascii="Calibri" w:hAnsi="Calibri" w:cs="Calibri"/>
          <w:color w:val="000000" w:themeColor="text1"/>
          <w:sz w:val="22"/>
          <w:szCs w:val="22"/>
        </w:rPr>
        <w:t>.</w:t>
      </w:r>
      <w:r w:rsidR="00EE4FC1">
        <w:rPr>
          <w:rFonts w:ascii="Calibri" w:hAnsi="Calibri" w:cs="Calibri"/>
          <w:color w:val="000000" w:themeColor="text1"/>
          <w:sz w:val="22"/>
          <w:szCs w:val="22"/>
        </w:rPr>
        <w:t xml:space="preserve"> Elucidating the mechanism underpinning </w:t>
      </w:r>
      <w:r w:rsidR="00C942B0">
        <w:rPr>
          <w:rFonts w:ascii="Calibri" w:hAnsi="Calibri" w:cs="Calibri"/>
          <w:color w:val="000000" w:themeColor="text1"/>
          <w:sz w:val="22"/>
          <w:szCs w:val="22"/>
        </w:rPr>
        <w:t xml:space="preserve">specific </w:t>
      </w:r>
      <w:r w:rsidR="00EE4FC1">
        <w:rPr>
          <w:rFonts w:ascii="Calibri" w:hAnsi="Calibri" w:cs="Calibri"/>
          <w:color w:val="000000" w:themeColor="text1"/>
          <w:sz w:val="22"/>
          <w:szCs w:val="22"/>
        </w:rPr>
        <w:t>oncometabolite production and downstream sequelae will enable a more informed choice for potential therapeutic strategies for individual oncometabolite-associated tumours.</w:t>
      </w:r>
      <w:r w:rsidR="005E3188" w:rsidRPr="00B946E4">
        <w:rPr>
          <w:rFonts w:ascii="Calibri" w:hAnsi="Calibri" w:cs="Calibri"/>
          <w:color w:val="000000" w:themeColor="text1"/>
          <w:sz w:val="22"/>
          <w:szCs w:val="22"/>
        </w:rPr>
        <w:t xml:space="preserve"> Opportunities also exist for multimodal or multi-layered synergistic approaches. </w:t>
      </w:r>
      <w:r w:rsidRPr="00B946E4">
        <w:rPr>
          <w:rFonts w:ascii="Calibri" w:hAnsi="Calibri" w:cs="Calibri"/>
          <w:bCs/>
          <w:color w:val="000000" w:themeColor="text1"/>
          <w:sz w:val="22"/>
          <w:szCs w:val="22"/>
        </w:rPr>
        <w:t>αKG – alpha-ketoglutarate, 5hmc -5-hydoxymethylcytosine, 5mc-methylcytosine, CpG – cytosine-guanosine dinucleotide, D2HG – D-2-hydroxyglutarate, D2HGDH – D-2HG dehydrogenase, FH- fumarate hydratase, GLS – glutaminase, HIF- hypoxia-inducible factors, IDH- isocitrate dehydrogenase, KDM- histone demethylases, L2HG – L-2-hydroxyglutarate, L2HGDH – L2HG dehydrogenase, LDH – lactate dehydrogenase, MDH- malate dehydrogenase, OH – hydroxyl group, PHD- prolyl hydroxylases, RCC- renal cell carcinoma, SDH- succinate dehydrogenase, TET – ten-eleven translocation enzymes, VEGF – vascular endothelial growth factor</w:t>
      </w:r>
    </w:p>
    <w:p w14:paraId="67E94990" w14:textId="287C4B7C" w:rsidR="000510A2" w:rsidRPr="00B946E4" w:rsidRDefault="000510A2" w:rsidP="00AF2042">
      <w:pPr>
        <w:rPr>
          <w:rFonts w:ascii="Calibri" w:hAnsi="Calibri" w:cs="Calibri"/>
          <w:b/>
          <w:color w:val="000000" w:themeColor="text1"/>
          <w:sz w:val="22"/>
          <w:szCs w:val="22"/>
        </w:rPr>
      </w:pPr>
    </w:p>
    <w:p w14:paraId="50D05D58" w14:textId="43050322" w:rsidR="00AC3A5E" w:rsidRPr="0094125E" w:rsidRDefault="00AC3A5E" w:rsidP="00E62F1F">
      <w:pPr>
        <w:rPr>
          <w:rFonts w:ascii="Calibri" w:hAnsi="Calibri" w:cs="Calibri"/>
          <w:b/>
          <w:color w:val="000000" w:themeColor="text1"/>
          <w:sz w:val="18"/>
          <w:szCs w:val="18"/>
        </w:rPr>
      </w:pPr>
    </w:p>
    <w:p w14:paraId="5C6EF405" w14:textId="334A9F5C" w:rsidR="00E63D58" w:rsidRPr="00B946E4" w:rsidRDefault="000510A2" w:rsidP="00E62F1F">
      <w:pPr>
        <w:rPr>
          <w:rFonts w:ascii="Calibri" w:hAnsi="Calibri" w:cs="Calibri"/>
          <w:b/>
          <w:color w:val="000000" w:themeColor="text1"/>
          <w:sz w:val="20"/>
          <w:szCs w:val="20"/>
        </w:rPr>
      </w:pPr>
      <w:r w:rsidRPr="00B946E4">
        <w:rPr>
          <w:rFonts w:ascii="Calibri" w:hAnsi="Calibri" w:cs="Calibri"/>
          <w:b/>
          <w:color w:val="000000" w:themeColor="text1"/>
          <w:sz w:val="20"/>
          <w:szCs w:val="20"/>
        </w:rPr>
        <w:t>Glossary terms</w:t>
      </w:r>
    </w:p>
    <w:p w14:paraId="09C27327" w14:textId="77777777" w:rsidR="000510A2" w:rsidRPr="00D637BA" w:rsidRDefault="000510A2" w:rsidP="00E62F1F">
      <w:pPr>
        <w:rPr>
          <w:rFonts w:ascii="Calibri" w:hAnsi="Calibri" w:cs="Calibri"/>
          <w:color w:val="000000" w:themeColor="text1"/>
          <w:sz w:val="20"/>
          <w:szCs w:val="20"/>
        </w:rPr>
      </w:pPr>
    </w:p>
    <w:p w14:paraId="7F7F1AD1" w14:textId="2794593B" w:rsidR="00DC7564" w:rsidRPr="00B946E4" w:rsidRDefault="00E63D58" w:rsidP="00E62F1F">
      <w:pPr>
        <w:rPr>
          <w:rFonts w:asciiTheme="minorHAnsi" w:hAnsiTheme="minorHAnsi" w:cs="Calibri"/>
          <w:b/>
          <w:color w:val="000000" w:themeColor="text1"/>
          <w:sz w:val="20"/>
          <w:szCs w:val="20"/>
        </w:rPr>
      </w:pPr>
      <w:r w:rsidRPr="00B946E4">
        <w:rPr>
          <w:rFonts w:asciiTheme="minorHAnsi" w:hAnsiTheme="minorHAnsi"/>
          <w:b/>
          <w:sz w:val="20"/>
          <w:szCs w:val="20"/>
        </w:rPr>
        <w:t>H</w:t>
      </w:r>
      <w:r w:rsidRPr="00B946E4">
        <w:rPr>
          <w:rFonts w:asciiTheme="minorHAnsi" w:hAnsiTheme="minorHAnsi" w:cs="Calibri"/>
          <w:b/>
          <w:color w:val="000000" w:themeColor="text1"/>
          <w:sz w:val="20"/>
          <w:szCs w:val="20"/>
        </w:rPr>
        <w:t>ereditary leiomyomatosis and renal cell cancer (HLRCC)</w:t>
      </w:r>
    </w:p>
    <w:p w14:paraId="2966D532" w14:textId="3303A83C" w:rsidR="00A132C3" w:rsidRPr="00B946E4" w:rsidRDefault="00E63D58" w:rsidP="00E62F1F">
      <w:pPr>
        <w:rPr>
          <w:rFonts w:asciiTheme="minorHAnsi" w:hAnsiTheme="minorHAnsi" w:cs="Calibri"/>
          <w:color w:val="000000" w:themeColor="text1"/>
          <w:sz w:val="20"/>
          <w:szCs w:val="20"/>
        </w:rPr>
      </w:pPr>
      <w:r w:rsidRPr="00B946E4">
        <w:rPr>
          <w:rFonts w:asciiTheme="minorHAnsi" w:hAnsiTheme="minorHAnsi" w:cs="Calibri"/>
          <w:color w:val="000000" w:themeColor="text1"/>
          <w:sz w:val="20"/>
          <w:szCs w:val="20"/>
        </w:rPr>
        <w:lastRenderedPageBreak/>
        <w:t xml:space="preserve">An autosomal dominant hereditary cancer syndrome </w:t>
      </w:r>
      <w:r w:rsidR="00AA2709">
        <w:rPr>
          <w:rFonts w:asciiTheme="minorHAnsi" w:hAnsiTheme="minorHAnsi" w:cs="Calibri"/>
          <w:color w:val="000000" w:themeColor="text1"/>
          <w:sz w:val="20"/>
          <w:szCs w:val="20"/>
        </w:rPr>
        <w:t xml:space="preserve">caused by germline mutations in </w:t>
      </w:r>
      <w:r w:rsidR="00AA2709">
        <w:rPr>
          <w:rFonts w:asciiTheme="minorHAnsi" w:hAnsiTheme="minorHAnsi" w:cs="Calibri"/>
          <w:i/>
          <w:color w:val="000000" w:themeColor="text1"/>
          <w:sz w:val="20"/>
          <w:szCs w:val="20"/>
        </w:rPr>
        <w:t xml:space="preserve">FH, </w:t>
      </w:r>
      <w:r w:rsidRPr="00B946E4">
        <w:rPr>
          <w:rFonts w:asciiTheme="minorHAnsi" w:hAnsiTheme="minorHAnsi" w:cs="Calibri"/>
          <w:color w:val="000000" w:themeColor="text1"/>
          <w:sz w:val="20"/>
          <w:szCs w:val="20"/>
        </w:rPr>
        <w:t>characterised by cutaneous and uterine leiomyomas</w:t>
      </w:r>
      <w:r w:rsidR="00AA2709">
        <w:rPr>
          <w:rFonts w:asciiTheme="minorHAnsi" w:hAnsiTheme="minorHAnsi" w:cs="Calibri"/>
          <w:color w:val="000000" w:themeColor="text1"/>
          <w:sz w:val="20"/>
          <w:szCs w:val="20"/>
        </w:rPr>
        <w:t xml:space="preserve"> associated with papillary type 2 RCC.</w:t>
      </w:r>
    </w:p>
    <w:p w14:paraId="2E55EFED" w14:textId="77777777" w:rsidR="00E63D58" w:rsidRPr="00D637BA" w:rsidRDefault="00E63D58" w:rsidP="00E62F1F">
      <w:pPr>
        <w:rPr>
          <w:rFonts w:ascii="Calibri" w:hAnsi="Calibri" w:cs="Calibri"/>
          <w:b/>
          <w:color w:val="000000" w:themeColor="text1"/>
          <w:sz w:val="20"/>
          <w:szCs w:val="20"/>
        </w:rPr>
      </w:pPr>
    </w:p>
    <w:p w14:paraId="1AA0ECCD" w14:textId="359744E9" w:rsidR="00E63D58" w:rsidRDefault="00E63D58" w:rsidP="00E62F1F">
      <w:pPr>
        <w:rPr>
          <w:rFonts w:ascii="Calibri" w:hAnsi="Calibri" w:cs="Calibri"/>
          <w:b/>
          <w:color w:val="000000" w:themeColor="text1"/>
          <w:sz w:val="20"/>
          <w:szCs w:val="20"/>
        </w:rPr>
      </w:pPr>
      <w:r w:rsidRPr="00D637BA">
        <w:rPr>
          <w:rFonts w:ascii="Calibri" w:hAnsi="Calibri" w:cs="Calibri"/>
          <w:b/>
          <w:color w:val="000000" w:themeColor="text1"/>
          <w:sz w:val="20"/>
          <w:szCs w:val="20"/>
        </w:rPr>
        <w:t>Hereditary paraganglioma</w:t>
      </w:r>
    </w:p>
    <w:p w14:paraId="32F662FD" w14:textId="7CEB2FE0" w:rsidR="00C90457" w:rsidRDefault="00AA2709" w:rsidP="00E62F1F">
      <w:pPr>
        <w:rPr>
          <w:rFonts w:ascii="Calibri" w:hAnsi="Calibri" w:cs="Calibri"/>
          <w:color w:val="000000" w:themeColor="text1"/>
          <w:sz w:val="20"/>
          <w:szCs w:val="20"/>
        </w:rPr>
      </w:pPr>
      <w:r w:rsidRPr="00C90457">
        <w:rPr>
          <w:rFonts w:ascii="Calibri" w:hAnsi="Calibri" w:cs="Calibri"/>
          <w:color w:val="000000" w:themeColor="text1"/>
          <w:sz w:val="20"/>
          <w:szCs w:val="20"/>
        </w:rPr>
        <w:t xml:space="preserve">A </w:t>
      </w:r>
      <w:r w:rsidR="00C90457">
        <w:rPr>
          <w:rFonts w:ascii="Calibri" w:hAnsi="Calibri" w:cs="Calibri"/>
          <w:color w:val="000000" w:themeColor="text1"/>
          <w:sz w:val="20"/>
          <w:szCs w:val="20"/>
        </w:rPr>
        <w:t>dominantly</w:t>
      </w:r>
      <w:r w:rsidR="00C90457" w:rsidRPr="00C90457">
        <w:rPr>
          <w:rFonts w:ascii="Calibri" w:hAnsi="Calibri" w:cs="Calibri"/>
          <w:color w:val="000000" w:themeColor="text1"/>
          <w:sz w:val="20"/>
          <w:szCs w:val="20"/>
        </w:rPr>
        <w:t xml:space="preserve"> inherited </w:t>
      </w:r>
      <w:r w:rsidR="00C90457">
        <w:rPr>
          <w:rFonts w:ascii="Calibri" w:hAnsi="Calibri" w:cs="Calibri"/>
          <w:color w:val="000000" w:themeColor="text1"/>
          <w:sz w:val="20"/>
          <w:szCs w:val="20"/>
        </w:rPr>
        <w:t xml:space="preserve">rare </w:t>
      </w:r>
      <w:r w:rsidR="00C90457" w:rsidRPr="00C90457">
        <w:rPr>
          <w:rFonts w:ascii="Calibri" w:hAnsi="Calibri" w:cs="Calibri"/>
          <w:color w:val="000000" w:themeColor="text1"/>
          <w:sz w:val="20"/>
          <w:szCs w:val="20"/>
        </w:rPr>
        <w:t>condition</w:t>
      </w:r>
      <w:r w:rsidRPr="00C90457">
        <w:rPr>
          <w:rFonts w:ascii="Calibri" w:hAnsi="Calibri" w:cs="Calibri"/>
          <w:color w:val="000000" w:themeColor="text1"/>
          <w:sz w:val="20"/>
          <w:szCs w:val="20"/>
        </w:rPr>
        <w:t xml:space="preserve"> </w:t>
      </w:r>
      <w:r w:rsidR="00C90457" w:rsidRPr="00C90457">
        <w:rPr>
          <w:rFonts w:ascii="Calibri" w:hAnsi="Calibri" w:cs="Calibri"/>
          <w:color w:val="000000" w:themeColor="text1"/>
          <w:sz w:val="20"/>
          <w:szCs w:val="20"/>
        </w:rPr>
        <w:t>consisting of benign tumours</w:t>
      </w:r>
      <w:r w:rsidRPr="00C90457">
        <w:rPr>
          <w:rFonts w:ascii="Calibri" w:hAnsi="Calibri" w:cs="Calibri"/>
          <w:color w:val="000000" w:themeColor="text1"/>
          <w:sz w:val="20"/>
          <w:szCs w:val="20"/>
        </w:rPr>
        <w:t xml:space="preserve"> arising from </w:t>
      </w:r>
      <w:r w:rsidR="00C90457" w:rsidRPr="00C90457">
        <w:rPr>
          <w:rFonts w:ascii="Calibri" w:hAnsi="Calibri" w:cs="Calibri"/>
          <w:color w:val="000000" w:themeColor="text1"/>
          <w:sz w:val="20"/>
          <w:szCs w:val="20"/>
        </w:rPr>
        <w:t>neuroendocrine tissues</w:t>
      </w:r>
      <w:r w:rsidR="00585A5A">
        <w:rPr>
          <w:rFonts w:ascii="Calibri" w:hAnsi="Calibri" w:cs="Calibri"/>
          <w:color w:val="000000" w:themeColor="text1"/>
          <w:sz w:val="20"/>
          <w:szCs w:val="20"/>
        </w:rPr>
        <w:t xml:space="preserve"> typically in the head and neck</w:t>
      </w:r>
      <w:r w:rsidR="00C90457">
        <w:rPr>
          <w:rFonts w:ascii="Calibri" w:hAnsi="Calibri" w:cs="Calibri"/>
          <w:color w:val="000000" w:themeColor="text1"/>
          <w:sz w:val="20"/>
          <w:szCs w:val="20"/>
        </w:rPr>
        <w:t>.</w:t>
      </w:r>
    </w:p>
    <w:p w14:paraId="17379C4E" w14:textId="77777777" w:rsidR="00C90457" w:rsidRPr="00C90457" w:rsidRDefault="00C90457" w:rsidP="00E62F1F">
      <w:pPr>
        <w:rPr>
          <w:rFonts w:ascii="Calibri" w:hAnsi="Calibri" w:cs="Calibri"/>
          <w:color w:val="000000" w:themeColor="text1"/>
          <w:sz w:val="20"/>
          <w:szCs w:val="20"/>
        </w:rPr>
      </w:pPr>
    </w:p>
    <w:p w14:paraId="073B6455" w14:textId="20938957" w:rsidR="0006158D" w:rsidRDefault="0006158D" w:rsidP="00E62F1F">
      <w:pPr>
        <w:rPr>
          <w:rFonts w:ascii="Calibri" w:hAnsi="Calibri" w:cs="Calibri"/>
          <w:b/>
          <w:color w:val="000000" w:themeColor="text1"/>
          <w:sz w:val="20"/>
          <w:szCs w:val="20"/>
        </w:rPr>
      </w:pPr>
      <w:r>
        <w:rPr>
          <w:rFonts w:ascii="Calibri" w:hAnsi="Calibri" w:cs="Calibri"/>
          <w:b/>
          <w:color w:val="000000" w:themeColor="text1"/>
          <w:sz w:val="20"/>
          <w:szCs w:val="20"/>
        </w:rPr>
        <w:t>Phaeochromocytomas</w:t>
      </w:r>
    </w:p>
    <w:p w14:paraId="7FA8F638" w14:textId="5D6F649B" w:rsidR="00585A5A" w:rsidRPr="00C90457" w:rsidRDefault="00585A5A" w:rsidP="00585A5A">
      <w:pPr>
        <w:rPr>
          <w:rFonts w:ascii="Calibri" w:hAnsi="Calibri" w:cs="Calibri"/>
          <w:color w:val="000000" w:themeColor="text1"/>
          <w:sz w:val="20"/>
          <w:szCs w:val="20"/>
        </w:rPr>
      </w:pPr>
      <w:r>
        <w:rPr>
          <w:rFonts w:ascii="Calibri" w:hAnsi="Calibri" w:cs="Calibri"/>
          <w:color w:val="000000" w:themeColor="text1"/>
          <w:sz w:val="20"/>
          <w:szCs w:val="20"/>
        </w:rPr>
        <w:t>A type of paraganglioma that arises from the adrenal glands and produce catecholamines such as adrenaline.</w:t>
      </w:r>
    </w:p>
    <w:p w14:paraId="7D36157D" w14:textId="1EE34AC8" w:rsidR="00AC3A5E" w:rsidRDefault="00AC3A5E" w:rsidP="00E62F1F">
      <w:pPr>
        <w:rPr>
          <w:rFonts w:ascii="Calibri" w:hAnsi="Calibri" w:cs="Calibri"/>
          <w:b/>
          <w:color w:val="000000" w:themeColor="text1"/>
          <w:sz w:val="20"/>
          <w:szCs w:val="20"/>
        </w:rPr>
      </w:pPr>
    </w:p>
    <w:p w14:paraId="10B8A391" w14:textId="5A254A2A" w:rsidR="00AC3A5E" w:rsidRDefault="00E1542C" w:rsidP="00E62F1F">
      <w:pPr>
        <w:rPr>
          <w:rFonts w:ascii="Calibri" w:hAnsi="Calibri" w:cs="Calibri"/>
          <w:b/>
          <w:color w:val="000000" w:themeColor="text1"/>
          <w:sz w:val="20"/>
          <w:szCs w:val="20"/>
        </w:rPr>
      </w:pPr>
      <w:r>
        <w:rPr>
          <w:rFonts w:ascii="Calibri" w:hAnsi="Calibri" w:cs="Calibri"/>
          <w:b/>
          <w:color w:val="000000" w:themeColor="text1"/>
          <w:sz w:val="20"/>
          <w:szCs w:val="20"/>
        </w:rPr>
        <w:t xml:space="preserve">Pseudohypoxic </w:t>
      </w:r>
      <w:r w:rsidR="002530A4">
        <w:rPr>
          <w:rFonts w:ascii="Calibri" w:hAnsi="Calibri" w:cs="Calibri"/>
          <w:b/>
          <w:color w:val="000000" w:themeColor="text1"/>
          <w:sz w:val="20"/>
          <w:szCs w:val="20"/>
        </w:rPr>
        <w:t>phenotype</w:t>
      </w:r>
    </w:p>
    <w:p w14:paraId="053BCA63" w14:textId="583CE1E2" w:rsidR="00A44212" w:rsidRDefault="00585A5A" w:rsidP="00E62F1F">
      <w:pPr>
        <w:rPr>
          <w:rFonts w:ascii="Calibri" w:hAnsi="Calibri" w:cs="Calibri"/>
          <w:b/>
          <w:color w:val="000000" w:themeColor="text1"/>
          <w:sz w:val="20"/>
          <w:szCs w:val="20"/>
        </w:rPr>
      </w:pPr>
      <w:r>
        <w:rPr>
          <w:rFonts w:ascii="Calibri" w:hAnsi="Calibri" w:cs="Calibri"/>
          <w:color w:val="000000" w:themeColor="text1"/>
          <w:sz w:val="20"/>
          <w:szCs w:val="20"/>
        </w:rPr>
        <w:t xml:space="preserve">Phenomena of hypoxic-like metabolic changes in cells despite a lack of a hypoxic </w:t>
      </w:r>
      <w:r w:rsidR="002530A4">
        <w:rPr>
          <w:rFonts w:ascii="Calibri" w:hAnsi="Calibri" w:cs="Calibri"/>
          <w:color w:val="000000" w:themeColor="text1"/>
          <w:sz w:val="20"/>
          <w:szCs w:val="20"/>
        </w:rPr>
        <w:t xml:space="preserve">stimulant/ </w:t>
      </w:r>
      <w:r>
        <w:rPr>
          <w:rFonts w:ascii="Calibri" w:hAnsi="Calibri" w:cs="Calibri"/>
          <w:color w:val="000000" w:themeColor="text1"/>
          <w:sz w:val="20"/>
          <w:szCs w:val="20"/>
        </w:rPr>
        <w:t>environment</w:t>
      </w:r>
      <w:r w:rsidR="002530A4">
        <w:rPr>
          <w:rFonts w:ascii="Calibri" w:hAnsi="Calibri" w:cs="Calibri"/>
          <w:color w:val="000000" w:themeColor="text1"/>
          <w:sz w:val="20"/>
          <w:szCs w:val="20"/>
        </w:rPr>
        <w:t xml:space="preserve"> eliciting these changes</w:t>
      </w:r>
      <w:r w:rsidR="002530A4">
        <w:rPr>
          <w:rFonts w:ascii="Calibri" w:hAnsi="Calibri" w:cs="Calibri"/>
          <w:b/>
          <w:color w:val="000000" w:themeColor="text1"/>
          <w:sz w:val="20"/>
          <w:szCs w:val="20"/>
        </w:rPr>
        <w:t>.</w:t>
      </w:r>
    </w:p>
    <w:p w14:paraId="12278512" w14:textId="77777777" w:rsidR="00585A5A" w:rsidRDefault="00585A5A" w:rsidP="00E62F1F">
      <w:pPr>
        <w:rPr>
          <w:rFonts w:ascii="Calibri" w:hAnsi="Calibri" w:cs="Calibri"/>
          <w:b/>
          <w:color w:val="000000" w:themeColor="text1"/>
          <w:sz w:val="20"/>
          <w:szCs w:val="20"/>
        </w:rPr>
      </w:pPr>
    </w:p>
    <w:p w14:paraId="016855A4" w14:textId="0ED3AF75" w:rsidR="00A44212" w:rsidRDefault="00A44212" w:rsidP="00E62F1F">
      <w:pPr>
        <w:rPr>
          <w:rFonts w:ascii="Calibri" w:hAnsi="Calibri" w:cs="Calibri"/>
          <w:b/>
          <w:color w:val="000000" w:themeColor="text1"/>
          <w:sz w:val="20"/>
          <w:szCs w:val="20"/>
        </w:rPr>
      </w:pPr>
      <w:r>
        <w:rPr>
          <w:rFonts w:ascii="Calibri" w:hAnsi="Calibri" w:cs="Calibri"/>
          <w:b/>
          <w:color w:val="000000" w:themeColor="text1"/>
          <w:sz w:val="20"/>
          <w:szCs w:val="20"/>
        </w:rPr>
        <w:t>Neomorphic</w:t>
      </w:r>
    </w:p>
    <w:p w14:paraId="69FED1D3" w14:textId="2C339069" w:rsidR="002530A4" w:rsidRPr="00D70F9D" w:rsidRDefault="00BA3BD0" w:rsidP="00E62F1F">
      <w:pPr>
        <w:rPr>
          <w:rFonts w:ascii="Calibri" w:hAnsi="Calibri" w:cs="Calibri"/>
          <w:color w:val="000000" w:themeColor="text1"/>
          <w:sz w:val="20"/>
          <w:szCs w:val="20"/>
        </w:rPr>
      </w:pPr>
      <w:r w:rsidRPr="00BA3BD0">
        <w:rPr>
          <w:rFonts w:ascii="Calibri" w:hAnsi="Calibri" w:cs="Calibri"/>
          <w:color w:val="000000" w:themeColor="text1"/>
          <w:sz w:val="20"/>
          <w:szCs w:val="20"/>
        </w:rPr>
        <w:t xml:space="preserve"> </w:t>
      </w:r>
      <w:r>
        <w:rPr>
          <w:rFonts w:ascii="Calibri" w:hAnsi="Calibri" w:cs="Calibri"/>
          <w:color w:val="000000" w:themeColor="text1"/>
          <w:sz w:val="20"/>
          <w:szCs w:val="20"/>
        </w:rPr>
        <w:t xml:space="preserve">A </w:t>
      </w:r>
      <w:r w:rsidR="002530A4">
        <w:rPr>
          <w:rFonts w:ascii="Calibri" w:hAnsi="Calibri" w:cs="Calibri"/>
          <w:color w:val="000000" w:themeColor="text1"/>
          <w:sz w:val="20"/>
          <w:szCs w:val="20"/>
        </w:rPr>
        <w:t>novel and/or non-canonical function</w:t>
      </w:r>
      <w:r w:rsidRPr="00BA3BD0">
        <w:rPr>
          <w:rFonts w:ascii="Calibri" w:hAnsi="Calibri" w:cs="Calibri"/>
          <w:color w:val="000000" w:themeColor="text1"/>
          <w:sz w:val="20"/>
          <w:szCs w:val="20"/>
        </w:rPr>
        <w:t xml:space="preserve"> </w:t>
      </w:r>
      <w:r>
        <w:rPr>
          <w:rFonts w:ascii="Calibri" w:hAnsi="Calibri" w:cs="Calibri"/>
          <w:color w:val="000000" w:themeColor="text1"/>
          <w:sz w:val="20"/>
          <w:szCs w:val="20"/>
        </w:rPr>
        <w:t>of an enzyme</w:t>
      </w:r>
      <w:r w:rsidR="00AD0B61">
        <w:rPr>
          <w:rFonts w:ascii="Calibri" w:hAnsi="Calibri" w:cs="Calibri"/>
          <w:color w:val="000000" w:themeColor="text1"/>
          <w:sz w:val="20"/>
          <w:szCs w:val="20"/>
        </w:rPr>
        <w:t>.</w:t>
      </w:r>
    </w:p>
    <w:p w14:paraId="33680020" w14:textId="063795A3" w:rsidR="0006158D" w:rsidRDefault="0006158D" w:rsidP="00E62F1F">
      <w:pPr>
        <w:rPr>
          <w:rFonts w:ascii="Calibri" w:hAnsi="Calibri" w:cs="Calibri"/>
          <w:b/>
          <w:color w:val="000000" w:themeColor="text1"/>
          <w:sz w:val="20"/>
          <w:szCs w:val="20"/>
        </w:rPr>
      </w:pPr>
    </w:p>
    <w:p w14:paraId="2F29BFBF" w14:textId="5228B003" w:rsidR="00D70F9D" w:rsidRDefault="0006158D" w:rsidP="00E62F1F">
      <w:pPr>
        <w:rPr>
          <w:rFonts w:ascii="Calibri" w:hAnsi="Calibri" w:cs="Calibri"/>
          <w:b/>
          <w:color w:val="000000" w:themeColor="text1"/>
          <w:sz w:val="20"/>
          <w:szCs w:val="20"/>
        </w:rPr>
      </w:pPr>
      <w:r>
        <w:rPr>
          <w:rFonts w:ascii="Calibri" w:hAnsi="Calibri" w:cs="Calibri"/>
          <w:b/>
          <w:color w:val="000000" w:themeColor="text1"/>
          <w:sz w:val="20"/>
          <w:szCs w:val="20"/>
        </w:rPr>
        <w:t>Heterozygous germline mutations</w:t>
      </w:r>
    </w:p>
    <w:p w14:paraId="4A018015" w14:textId="3EE8681F" w:rsidR="00D70F9D" w:rsidRPr="00D70F9D" w:rsidRDefault="00D70F9D" w:rsidP="00E62F1F">
      <w:pPr>
        <w:rPr>
          <w:rFonts w:ascii="Calibri" w:hAnsi="Calibri" w:cs="Calibri"/>
          <w:color w:val="000000" w:themeColor="text1"/>
          <w:sz w:val="22"/>
          <w:szCs w:val="22"/>
        </w:rPr>
      </w:pPr>
      <w:r>
        <w:rPr>
          <w:rFonts w:ascii="Calibri" w:hAnsi="Calibri" w:cs="Calibri"/>
          <w:color w:val="000000" w:themeColor="text1"/>
          <w:sz w:val="20"/>
          <w:szCs w:val="20"/>
        </w:rPr>
        <w:t xml:space="preserve">Inheritance of one </w:t>
      </w:r>
      <w:r w:rsidR="00F20C25">
        <w:rPr>
          <w:rFonts w:ascii="Calibri" w:hAnsi="Calibri" w:cs="Calibri"/>
          <w:color w:val="000000" w:themeColor="text1"/>
          <w:sz w:val="20"/>
          <w:szCs w:val="20"/>
        </w:rPr>
        <w:t xml:space="preserve">copy of a </w:t>
      </w:r>
      <w:r>
        <w:rPr>
          <w:rFonts w:ascii="Calibri" w:hAnsi="Calibri" w:cs="Calibri"/>
          <w:color w:val="000000" w:themeColor="text1"/>
          <w:sz w:val="20"/>
          <w:szCs w:val="20"/>
        </w:rPr>
        <w:t>mutant allele</w:t>
      </w:r>
      <w:r w:rsidR="00F20C25">
        <w:rPr>
          <w:rFonts w:ascii="Calibri" w:hAnsi="Calibri" w:cs="Calibri"/>
          <w:color w:val="000000" w:themeColor="text1"/>
          <w:sz w:val="20"/>
          <w:szCs w:val="20"/>
        </w:rPr>
        <w:t xml:space="preserve"> </w:t>
      </w:r>
      <w:r>
        <w:rPr>
          <w:rFonts w:ascii="Calibri" w:hAnsi="Calibri" w:cs="Calibri"/>
          <w:color w:val="000000" w:themeColor="text1"/>
          <w:sz w:val="20"/>
          <w:szCs w:val="20"/>
        </w:rPr>
        <w:t>and one</w:t>
      </w:r>
      <w:r w:rsidR="00F20C25">
        <w:rPr>
          <w:rFonts w:ascii="Calibri" w:hAnsi="Calibri" w:cs="Calibri"/>
          <w:color w:val="000000" w:themeColor="text1"/>
          <w:sz w:val="20"/>
          <w:szCs w:val="20"/>
        </w:rPr>
        <w:t xml:space="preserve"> copy of the</w:t>
      </w:r>
      <w:r>
        <w:rPr>
          <w:rFonts w:ascii="Calibri" w:hAnsi="Calibri" w:cs="Calibri"/>
          <w:color w:val="000000" w:themeColor="text1"/>
          <w:sz w:val="20"/>
          <w:szCs w:val="20"/>
        </w:rPr>
        <w:t xml:space="preserve"> wildtype allele</w:t>
      </w:r>
      <w:r w:rsidR="00AD0B61">
        <w:rPr>
          <w:rFonts w:ascii="Calibri" w:hAnsi="Calibri" w:cs="Calibri"/>
          <w:color w:val="000000" w:themeColor="text1"/>
          <w:sz w:val="20"/>
          <w:szCs w:val="20"/>
        </w:rPr>
        <w:t>.</w:t>
      </w:r>
    </w:p>
    <w:p w14:paraId="54B48C50" w14:textId="2D77C051" w:rsidR="0006158D" w:rsidRDefault="0006158D" w:rsidP="00E62F1F">
      <w:pPr>
        <w:rPr>
          <w:rFonts w:ascii="Calibri" w:hAnsi="Calibri" w:cs="Calibri"/>
          <w:b/>
          <w:color w:val="000000" w:themeColor="text1"/>
          <w:sz w:val="20"/>
          <w:szCs w:val="20"/>
        </w:rPr>
      </w:pPr>
    </w:p>
    <w:p w14:paraId="3EC6C1C9" w14:textId="6C67A323" w:rsidR="00F20C25" w:rsidRDefault="00F20C25" w:rsidP="00E62F1F">
      <w:pPr>
        <w:rPr>
          <w:rFonts w:ascii="Calibri" w:hAnsi="Calibri" w:cs="Calibri"/>
          <w:b/>
          <w:color w:val="000000" w:themeColor="text1"/>
          <w:sz w:val="20"/>
          <w:szCs w:val="20"/>
        </w:rPr>
      </w:pPr>
      <w:r>
        <w:rPr>
          <w:rFonts w:ascii="Calibri" w:hAnsi="Calibri" w:cs="Calibri"/>
          <w:b/>
          <w:color w:val="000000" w:themeColor="text1"/>
          <w:sz w:val="20"/>
          <w:szCs w:val="20"/>
        </w:rPr>
        <w:t>Loss of heterozygosity</w:t>
      </w:r>
    </w:p>
    <w:p w14:paraId="5EEA55D9" w14:textId="13205DA9" w:rsidR="00F20C25" w:rsidRPr="00F20C25" w:rsidRDefault="00F20C25" w:rsidP="00E62F1F">
      <w:pPr>
        <w:rPr>
          <w:rFonts w:ascii="Calibri" w:hAnsi="Calibri" w:cs="Calibri"/>
          <w:sz w:val="22"/>
          <w:szCs w:val="22"/>
        </w:rPr>
      </w:pPr>
      <w:r>
        <w:rPr>
          <w:rFonts w:ascii="Calibri" w:hAnsi="Calibri" w:cs="Calibri"/>
          <w:color w:val="000000" w:themeColor="text1"/>
          <w:sz w:val="20"/>
          <w:szCs w:val="20"/>
        </w:rPr>
        <w:t>The loss of one allele of a genetic locus</w:t>
      </w:r>
      <w:r w:rsidR="00AD0B61">
        <w:rPr>
          <w:rFonts w:ascii="Calibri" w:hAnsi="Calibri" w:cs="Calibri"/>
          <w:color w:val="000000"/>
          <w:sz w:val="20"/>
          <w:lang w:val="en-US"/>
        </w:rPr>
        <w:t>.</w:t>
      </w:r>
    </w:p>
    <w:p w14:paraId="6C86BAC7" w14:textId="55BCB871" w:rsidR="00510CD7" w:rsidRDefault="00510CD7" w:rsidP="00E62F1F">
      <w:pPr>
        <w:rPr>
          <w:rFonts w:ascii="Calibri" w:hAnsi="Calibri" w:cs="Calibri"/>
          <w:b/>
          <w:color w:val="000000" w:themeColor="text1"/>
          <w:sz w:val="20"/>
          <w:szCs w:val="20"/>
        </w:rPr>
      </w:pPr>
    </w:p>
    <w:p w14:paraId="14266B99" w14:textId="77777777" w:rsidR="00C4757E" w:rsidRPr="00B946E4" w:rsidRDefault="00C4757E" w:rsidP="00C4757E">
      <w:pPr>
        <w:rPr>
          <w:rFonts w:ascii="Calibri" w:hAnsi="Calibri" w:cs="Calibri"/>
          <w:b/>
          <w:color w:val="000000" w:themeColor="text1"/>
          <w:sz w:val="20"/>
          <w:szCs w:val="20"/>
        </w:rPr>
      </w:pPr>
      <w:r w:rsidRPr="00B946E4">
        <w:rPr>
          <w:rFonts w:ascii="Calibri" w:hAnsi="Calibri" w:cs="Calibri"/>
          <w:b/>
          <w:color w:val="000000" w:themeColor="text1"/>
          <w:sz w:val="20"/>
          <w:szCs w:val="20"/>
        </w:rPr>
        <w:t>CpG islands</w:t>
      </w:r>
    </w:p>
    <w:p w14:paraId="20FA847B" w14:textId="77777777" w:rsidR="00C4757E" w:rsidRPr="00D637BA" w:rsidRDefault="00C4757E" w:rsidP="00C4757E">
      <w:pPr>
        <w:rPr>
          <w:rFonts w:ascii="Calibri" w:hAnsi="Calibri" w:cs="Calibri"/>
          <w:color w:val="000000" w:themeColor="text1"/>
          <w:sz w:val="20"/>
          <w:szCs w:val="20"/>
        </w:rPr>
      </w:pPr>
      <w:r w:rsidRPr="00D637BA">
        <w:rPr>
          <w:rFonts w:ascii="Calibri" w:hAnsi="Calibri" w:cs="Calibri"/>
          <w:color w:val="000000" w:themeColor="text1"/>
          <w:sz w:val="20"/>
          <w:szCs w:val="20"/>
        </w:rPr>
        <w:t>Clusters of dinucleotide sequence of a cytosine followed by a guanosine nucleotide in the 5’-3’ direction. CpG islands are often found in promoter regions upstream of transcription sites.</w:t>
      </w:r>
    </w:p>
    <w:p w14:paraId="7C24460C" w14:textId="77777777" w:rsidR="00802F10" w:rsidRPr="00D637BA" w:rsidRDefault="00802F10" w:rsidP="00E62F1F">
      <w:pPr>
        <w:rPr>
          <w:rFonts w:ascii="Calibri" w:hAnsi="Calibri" w:cs="Calibri"/>
          <w:color w:val="000000" w:themeColor="text1"/>
          <w:sz w:val="20"/>
          <w:szCs w:val="20"/>
        </w:rPr>
      </w:pPr>
    </w:p>
    <w:p w14:paraId="5D068E6A" w14:textId="70B5CF68" w:rsidR="00802F10" w:rsidRPr="00B946E4" w:rsidRDefault="00802F10" w:rsidP="00E62F1F">
      <w:pPr>
        <w:rPr>
          <w:rFonts w:ascii="Calibri" w:hAnsi="Calibri" w:cs="Calibri"/>
          <w:b/>
          <w:color w:val="000000" w:themeColor="text1"/>
          <w:sz w:val="20"/>
          <w:szCs w:val="20"/>
        </w:rPr>
      </w:pPr>
      <w:r w:rsidRPr="00B946E4">
        <w:rPr>
          <w:rFonts w:ascii="Calibri" w:hAnsi="Calibri" w:cs="Calibri"/>
          <w:b/>
          <w:color w:val="000000" w:themeColor="text1"/>
          <w:sz w:val="20"/>
          <w:szCs w:val="20"/>
        </w:rPr>
        <w:t>Half maximal inhibitory concentration (IC</w:t>
      </w:r>
      <w:r w:rsidRPr="00B946E4">
        <w:rPr>
          <w:rFonts w:ascii="Calibri" w:hAnsi="Calibri" w:cs="Calibri"/>
          <w:b/>
          <w:color w:val="000000" w:themeColor="text1"/>
          <w:sz w:val="20"/>
          <w:szCs w:val="20"/>
          <w:vertAlign w:val="subscript"/>
        </w:rPr>
        <w:t>50</w:t>
      </w:r>
      <w:r w:rsidRPr="00B946E4">
        <w:rPr>
          <w:rFonts w:ascii="Calibri" w:hAnsi="Calibri" w:cs="Calibri"/>
          <w:b/>
          <w:color w:val="000000" w:themeColor="text1"/>
          <w:sz w:val="20"/>
          <w:szCs w:val="20"/>
        </w:rPr>
        <w:t>)</w:t>
      </w:r>
    </w:p>
    <w:p w14:paraId="7B8C3539" w14:textId="77777777" w:rsidR="00C4757E" w:rsidRDefault="00802F10" w:rsidP="00E62F1F">
      <w:pPr>
        <w:rPr>
          <w:rFonts w:ascii="Calibri" w:hAnsi="Calibri" w:cs="Calibri"/>
          <w:color w:val="000000" w:themeColor="text1"/>
          <w:sz w:val="20"/>
          <w:szCs w:val="20"/>
        </w:rPr>
      </w:pPr>
      <w:r w:rsidRPr="00D637BA">
        <w:rPr>
          <w:rFonts w:ascii="Calibri" w:hAnsi="Calibri" w:cs="Calibri"/>
          <w:color w:val="000000" w:themeColor="text1"/>
          <w:sz w:val="20"/>
          <w:szCs w:val="20"/>
        </w:rPr>
        <w:t>A measure of the potency of a substance to inhibit a specific biology process or function by 50%.</w:t>
      </w:r>
    </w:p>
    <w:p w14:paraId="2C1CAB12" w14:textId="77777777" w:rsidR="00C4757E" w:rsidRDefault="00C4757E" w:rsidP="00E62F1F">
      <w:pPr>
        <w:rPr>
          <w:rFonts w:ascii="Calibri" w:hAnsi="Calibri" w:cs="Calibri"/>
          <w:color w:val="000000" w:themeColor="text1"/>
          <w:sz w:val="20"/>
          <w:szCs w:val="20"/>
        </w:rPr>
      </w:pPr>
    </w:p>
    <w:p w14:paraId="2D6565AA" w14:textId="77777777" w:rsidR="00937C99" w:rsidRDefault="00C4757E" w:rsidP="00E62F1F">
      <w:pPr>
        <w:rPr>
          <w:rFonts w:ascii="Calibri" w:hAnsi="Calibri" w:cs="Calibri"/>
          <w:b/>
          <w:color w:val="000000" w:themeColor="text1"/>
          <w:sz w:val="20"/>
          <w:szCs w:val="20"/>
        </w:rPr>
      </w:pPr>
      <w:r>
        <w:rPr>
          <w:rFonts w:ascii="Calibri" w:hAnsi="Calibri" w:cs="Calibri"/>
          <w:b/>
          <w:color w:val="000000" w:themeColor="text1"/>
          <w:sz w:val="20"/>
          <w:szCs w:val="20"/>
        </w:rPr>
        <w:t>Anaplero</w:t>
      </w:r>
      <w:r w:rsidR="00937C99">
        <w:rPr>
          <w:rFonts w:ascii="Calibri" w:hAnsi="Calibri" w:cs="Calibri"/>
          <w:b/>
          <w:color w:val="000000" w:themeColor="text1"/>
          <w:sz w:val="20"/>
          <w:szCs w:val="20"/>
        </w:rPr>
        <w:t>sis</w:t>
      </w:r>
    </w:p>
    <w:p w14:paraId="19BA2BF0" w14:textId="77777777" w:rsidR="0094125E" w:rsidRDefault="008551C5" w:rsidP="00E62F1F">
      <w:pPr>
        <w:rPr>
          <w:rFonts w:ascii="Calibri" w:eastAsia="+mn-ea" w:hAnsi="Calibri" w:cs="+mn-cs"/>
          <w:color w:val="000000"/>
          <w:kern w:val="24"/>
          <w:sz w:val="20"/>
          <w:szCs w:val="20"/>
        </w:rPr>
      </w:pPr>
      <w:r w:rsidRPr="000330CE">
        <w:rPr>
          <w:rFonts w:ascii="Calibri" w:eastAsia="+mn-ea" w:hAnsi="Calibri" w:cs="+mn-cs"/>
          <w:color w:val="000000"/>
          <w:kern w:val="24"/>
          <w:sz w:val="20"/>
          <w:szCs w:val="20"/>
        </w:rPr>
        <w:t>Anaplerosis is the process of replenishing</w:t>
      </w:r>
      <w:r>
        <w:rPr>
          <w:rFonts w:ascii="Calibri" w:eastAsia="+mn-ea" w:hAnsi="Calibri" w:cs="+mn-cs"/>
          <w:color w:val="000000"/>
          <w:kern w:val="24"/>
          <w:sz w:val="20"/>
          <w:szCs w:val="20"/>
        </w:rPr>
        <w:t xml:space="preserve"> </w:t>
      </w:r>
      <w:r w:rsidRPr="000330CE">
        <w:rPr>
          <w:rFonts w:ascii="Calibri" w:eastAsia="+mn-ea" w:hAnsi="Calibri" w:cs="+mn-cs"/>
          <w:color w:val="000000"/>
          <w:kern w:val="24"/>
          <w:sz w:val="20"/>
          <w:szCs w:val="20"/>
        </w:rPr>
        <w:t>TCA cycle intermediates</w:t>
      </w:r>
      <w:r>
        <w:rPr>
          <w:rFonts w:ascii="Calibri" w:eastAsia="+mn-ea" w:hAnsi="Calibri" w:cs="+mn-cs"/>
          <w:color w:val="000000"/>
          <w:kern w:val="24"/>
          <w:sz w:val="20"/>
          <w:szCs w:val="20"/>
        </w:rPr>
        <w:t xml:space="preserve"> (that have been extracted for biosynthesis).</w:t>
      </w:r>
    </w:p>
    <w:p w14:paraId="718D12D0" w14:textId="7577CB10" w:rsidR="0094125E" w:rsidRDefault="0094125E" w:rsidP="00E62F1F">
      <w:pPr>
        <w:rPr>
          <w:rFonts w:ascii="Calibri" w:eastAsia="+mn-ea" w:hAnsi="Calibri" w:cs="+mn-cs"/>
          <w:color w:val="000000"/>
          <w:kern w:val="24"/>
          <w:sz w:val="20"/>
          <w:szCs w:val="20"/>
        </w:rPr>
      </w:pPr>
    </w:p>
    <w:p w14:paraId="0FB60B78" w14:textId="55E2A860" w:rsidR="00CC7AB4" w:rsidRDefault="00CC7AB4" w:rsidP="00E62F1F">
      <w:pPr>
        <w:rPr>
          <w:rFonts w:ascii="Calibri" w:eastAsia="+mn-ea" w:hAnsi="Calibri" w:cs="+mn-cs"/>
          <w:color w:val="000000"/>
          <w:kern w:val="24"/>
          <w:sz w:val="20"/>
          <w:szCs w:val="20"/>
        </w:rPr>
      </w:pPr>
    </w:p>
    <w:p w14:paraId="73624409" w14:textId="1BD91352" w:rsidR="00CC7AB4" w:rsidRDefault="00CC7AB4" w:rsidP="00E62F1F">
      <w:pPr>
        <w:rPr>
          <w:rFonts w:ascii="Calibri" w:eastAsia="+mn-ea" w:hAnsi="Calibri" w:cs="+mn-cs"/>
          <w:color w:val="000000"/>
          <w:kern w:val="24"/>
          <w:sz w:val="20"/>
          <w:szCs w:val="20"/>
        </w:rPr>
      </w:pPr>
    </w:p>
    <w:p w14:paraId="71C6E29D" w14:textId="03917DD3" w:rsidR="00CC7AB4" w:rsidRPr="00CC7AB4" w:rsidRDefault="00CC7AB4" w:rsidP="00E62F1F">
      <w:pPr>
        <w:rPr>
          <w:rFonts w:ascii="Calibri" w:eastAsia="+mn-ea" w:hAnsi="Calibri" w:cs="+mn-cs"/>
          <w:b/>
          <w:color w:val="000000"/>
          <w:kern w:val="24"/>
          <w:sz w:val="20"/>
          <w:szCs w:val="20"/>
        </w:rPr>
      </w:pPr>
      <w:r>
        <w:rPr>
          <w:rFonts w:ascii="Calibri" w:eastAsia="+mn-ea" w:hAnsi="Calibri" w:cs="+mn-cs"/>
          <w:b/>
          <w:color w:val="000000"/>
          <w:kern w:val="24"/>
          <w:sz w:val="20"/>
          <w:szCs w:val="20"/>
        </w:rPr>
        <w:t>Bibliography</w:t>
      </w:r>
    </w:p>
    <w:p w14:paraId="0B6D3453" w14:textId="77777777" w:rsidR="00CC7AB4" w:rsidRPr="00CC7AB4" w:rsidRDefault="00CC7AB4" w:rsidP="00CC7AB4">
      <w:pPr>
        <w:pStyle w:val="Bibliography"/>
        <w:rPr>
          <w:rFonts w:ascii="Calibri" w:hAnsi="Calibri" w:cs="Calibri"/>
          <w:color w:val="000000"/>
          <w:sz w:val="20"/>
          <w:lang w:val="en-US"/>
        </w:rPr>
      </w:pPr>
      <w:r>
        <w:rPr>
          <w:rFonts w:ascii="Calibri" w:hAnsi="Calibri" w:cs="Calibri"/>
          <w:color w:val="000000" w:themeColor="text1"/>
          <w:sz w:val="20"/>
          <w:szCs w:val="20"/>
        </w:rPr>
        <w:fldChar w:fldCharType="begin"/>
      </w:r>
      <w:r>
        <w:rPr>
          <w:rFonts w:ascii="Calibri" w:hAnsi="Calibri" w:cs="Calibri"/>
          <w:color w:val="000000" w:themeColor="text1"/>
          <w:sz w:val="20"/>
          <w:szCs w:val="20"/>
        </w:rPr>
        <w:instrText xml:space="preserve"> ADDIN ZOTERO_BIBL {"uncited":[],"omitted":[],"custom":[]} CSL_BIBLIOGRAPHY </w:instrText>
      </w:r>
      <w:r>
        <w:rPr>
          <w:rFonts w:ascii="Calibri" w:hAnsi="Calibri" w:cs="Calibri"/>
          <w:color w:val="000000" w:themeColor="text1"/>
          <w:sz w:val="20"/>
          <w:szCs w:val="20"/>
        </w:rPr>
        <w:fldChar w:fldCharType="separate"/>
      </w:r>
      <w:r w:rsidRPr="00CC7AB4">
        <w:rPr>
          <w:rFonts w:ascii="Calibri" w:hAnsi="Calibri" w:cs="Calibri"/>
          <w:color w:val="000000"/>
          <w:sz w:val="20"/>
          <w:lang w:val="en-US"/>
        </w:rPr>
        <w:t>1.</w:t>
      </w:r>
      <w:r w:rsidRPr="00CC7AB4">
        <w:rPr>
          <w:rFonts w:ascii="Calibri" w:hAnsi="Calibri" w:cs="Calibri"/>
          <w:color w:val="000000"/>
          <w:sz w:val="20"/>
          <w:lang w:val="en-US"/>
        </w:rPr>
        <w:tab/>
        <w:t xml:space="preserve">Bray, F.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Global cancer statistics 2018: GLOBOCAN estimates of incidence and mortality worldwide for 36 cancers in 185 countries. </w:t>
      </w:r>
      <w:r w:rsidRPr="00CC7AB4">
        <w:rPr>
          <w:rFonts w:ascii="Calibri" w:hAnsi="Calibri" w:cs="Calibri"/>
          <w:i/>
          <w:iCs/>
          <w:color w:val="000000"/>
          <w:sz w:val="20"/>
          <w:lang w:val="en-US"/>
        </w:rPr>
        <w:t>CA Cancer J Clin</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68</w:t>
      </w:r>
      <w:r w:rsidRPr="00CC7AB4">
        <w:rPr>
          <w:rFonts w:ascii="Calibri" w:hAnsi="Calibri" w:cs="Calibri"/>
          <w:color w:val="000000"/>
          <w:sz w:val="20"/>
          <w:lang w:val="en-US"/>
        </w:rPr>
        <w:t>, 394–424 (2018).</w:t>
      </w:r>
    </w:p>
    <w:p w14:paraId="777D01A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w:t>
      </w:r>
      <w:r w:rsidRPr="00CC7AB4">
        <w:rPr>
          <w:rFonts w:ascii="Calibri" w:hAnsi="Calibri" w:cs="Calibri"/>
          <w:color w:val="000000"/>
          <w:sz w:val="20"/>
          <w:lang w:val="en-US"/>
        </w:rPr>
        <w:tab/>
        <w:t xml:space="preserve">Bhatt, J. R. &amp; Finelli, A. Landmarks in the diagnosis and treatment of renal cell carcinoma. </w:t>
      </w:r>
      <w:r w:rsidRPr="00CC7AB4">
        <w:rPr>
          <w:rFonts w:ascii="Calibri" w:hAnsi="Calibri" w:cs="Calibri"/>
          <w:i/>
          <w:iCs/>
          <w:color w:val="000000"/>
          <w:sz w:val="20"/>
          <w:lang w:val="en-US"/>
        </w:rPr>
        <w:t>Nature Reviews Urology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11</w:t>
      </w:r>
      <w:r w:rsidRPr="00CC7AB4">
        <w:rPr>
          <w:rFonts w:ascii="Calibri" w:hAnsi="Calibri" w:cs="Calibri"/>
          <w:color w:val="000000"/>
          <w:sz w:val="20"/>
          <w:lang w:val="en-US"/>
        </w:rPr>
        <w:t>, 517–525 (2014).</w:t>
      </w:r>
    </w:p>
    <w:p w14:paraId="11B4878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3.</w:t>
      </w:r>
      <w:r w:rsidRPr="00CC7AB4">
        <w:rPr>
          <w:rFonts w:ascii="Calibri" w:hAnsi="Calibri" w:cs="Calibri"/>
          <w:color w:val="000000"/>
          <w:sz w:val="20"/>
          <w:lang w:val="en-US"/>
        </w:rPr>
        <w:tab/>
        <w:t xml:space="preserve">Linehan, W. M., Walther, M. M. &amp; Zbar, B. The genetic basis of cancer of the kidney. </w:t>
      </w:r>
      <w:r w:rsidRPr="00CC7AB4">
        <w:rPr>
          <w:rFonts w:ascii="Calibri" w:hAnsi="Calibri" w:cs="Calibri"/>
          <w:i/>
          <w:iCs/>
          <w:color w:val="000000"/>
          <w:sz w:val="20"/>
          <w:lang w:val="en-US"/>
        </w:rPr>
        <w:t>J. Urol.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170</w:t>
      </w:r>
      <w:r w:rsidRPr="00CC7AB4">
        <w:rPr>
          <w:rFonts w:ascii="Calibri" w:hAnsi="Calibri" w:cs="Calibri"/>
          <w:color w:val="000000"/>
          <w:sz w:val="20"/>
          <w:lang w:val="en-US"/>
        </w:rPr>
        <w:t>, 2163–2172 (2003).</w:t>
      </w:r>
    </w:p>
    <w:p w14:paraId="55BF502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4.</w:t>
      </w:r>
      <w:r w:rsidRPr="00CC7AB4">
        <w:rPr>
          <w:rFonts w:ascii="Calibri" w:hAnsi="Calibri" w:cs="Calibri"/>
          <w:color w:val="000000"/>
          <w:sz w:val="20"/>
          <w:lang w:val="en-US"/>
        </w:rPr>
        <w:tab/>
        <w:t xml:space="preserve">Moch, H., Cubilla, A. L., Humphrey, P. A., Reuter, V. E. &amp; Ulbright, T. M. The 2016 WHO Classification of Tumours of the Urinary System and Male Genital Organs—Part A: Renal, Penile, and Testicular Tumours. </w:t>
      </w:r>
      <w:r w:rsidRPr="00CC7AB4">
        <w:rPr>
          <w:rFonts w:ascii="Calibri" w:hAnsi="Calibri" w:cs="Calibri"/>
          <w:i/>
          <w:iCs/>
          <w:color w:val="000000"/>
          <w:sz w:val="20"/>
          <w:lang w:val="en-US"/>
        </w:rPr>
        <w:t>European Urology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70</w:t>
      </w:r>
      <w:r w:rsidRPr="00CC7AB4">
        <w:rPr>
          <w:rFonts w:ascii="Calibri" w:hAnsi="Calibri" w:cs="Calibri"/>
          <w:color w:val="000000"/>
          <w:sz w:val="20"/>
          <w:lang w:val="en-US"/>
        </w:rPr>
        <w:t>, 93–105 (2016).</w:t>
      </w:r>
    </w:p>
    <w:p w14:paraId="2773D94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5.</w:t>
      </w:r>
      <w:r w:rsidRPr="00CC7AB4">
        <w:rPr>
          <w:rFonts w:ascii="Calibri" w:hAnsi="Calibri" w:cs="Calibri"/>
          <w:color w:val="000000"/>
          <w:sz w:val="20"/>
          <w:lang w:val="en-US"/>
        </w:rPr>
        <w:tab/>
        <w:t xml:space="preserve">Ricketts, C.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The Cancer Genome Atlas Comprehensive Molecular Characterization of Renal Cell Carcinoma. </w:t>
      </w:r>
      <w:r w:rsidRPr="00CC7AB4">
        <w:rPr>
          <w:rFonts w:ascii="Calibri" w:hAnsi="Calibri" w:cs="Calibri"/>
          <w:i/>
          <w:iCs/>
          <w:color w:val="000000"/>
          <w:sz w:val="20"/>
          <w:lang w:val="en-US"/>
        </w:rPr>
        <w:t>Cell Reports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0</w:t>
      </w:r>
      <w:r w:rsidRPr="00CC7AB4">
        <w:rPr>
          <w:rFonts w:ascii="Calibri" w:hAnsi="Calibri" w:cs="Calibri"/>
          <w:color w:val="000000"/>
          <w:sz w:val="20"/>
          <w:lang w:val="en-US"/>
        </w:rPr>
        <w:t>, (2018).</w:t>
      </w:r>
    </w:p>
    <w:p w14:paraId="2262D66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6.</w:t>
      </w:r>
      <w:r w:rsidRPr="00CC7AB4">
        <w:rPr>
          <w:rFonts w:ascii="Calibri" w:hAnsi="Calibri" w:cs="Calibri"/>
          <w:color w:val="000000"/>
          <w:sz w:val="20"/>
          <w:lang w:val="en-US"/>
        </w:rPr>
        <w:tab/>
        <w:t xml:space="preserve">Young, M. D.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Single-cell transcriptomes from human kidneys reveal the cellular identity of renal tumors. </w:t>
      </w:r>
      <w:r w:rsidRPr="00CC7AB4">
        <w:rPr>
          <w:rFonts w:ascii="Calibri" w:hAnsi="Calibri" w:cs="Calibri"/>
          <w:i/>
          <w:iCs/>
          <w:color w:val="000000"/>
          <w:sz w:val="20"/>
          <w:lang w:val="en-US"/>
        </w:rPr>
        <w:t>Science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361</w:t>
      </w:r>
      <w:r w:rsidRPr="00CC7AB4">
        <w:rPr>
          <w:rFonts w:ascii="Calibri" w:hAnsi="Calibri" w:cs="Calibri"/>
          <w:color w:val="000000"/>
          <w:sz w:val="20"/>
          <w:lang w:val="en-US"/>
        </w:rPr>
        <w:t>, 594–599 (2018).</w:t>
      </w:r>
    </w:p>
    <w:p w14:paraId="44C7F8F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7.</w:t>
      </w:r>
      <w:r w:rsidRPr="00CC7AB4">
        <w:rPr>
          <w:rFonts w:ascii="Calibri" w:hAnsi="Calibri" w:cs="Calibri"/>
          <w:color w:val="000000"/>
          <w:sz w:val="20"/>
          <w:lang w:val="en-US"/>
        </w:rPr>
        <w:tab/>
        <w:t xml:space="preserve">Mitchell, T.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Timing the Landmark Events in the Evolution of Clear Cell Renal Cell Cancer: TRACERx Renal. </w:t>
      </w:r>
      <w:r w:rsidRPr="00CC7AB4">
        <w:rPr>
          <w:rFonts w:ascii="Calibri" w:hAnsi="Calibri" w:cs="Calibri"/>
          <w:i/>
          <w:iCs/>
          <w:color w:val="000000"/>
          <w:sz w:val="20"/>
          <w:lang w:val="en-US"/>
        </w:rPr>
        <w:t>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173</w:t>
      </w:r>
      <w:r w:rsidRPr="00CC7AB4">
        <w:rPr>
          <w:rFonts w:ascii="Calibri" w:hAnsi="Calibri" w:cs="Calibri"/>
          <w:color w:val="000000"/>
          <w:sz w:val="20"/>
          <w:lang w:val="en-US"/>
        </w:rPr>
        <w:t>, 611-623.e17 (2018).</w:t>
      </w:r>
    </w:p>
    <w:p w14:paraId="46A6395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8.</w:t>
      </w:r>
      <w:r w:rsidRPr="00CC7AB4">
        <w:rPr>
          <w:rFonts w:ascii="Calibri" w:hAnsi="Calibri" w:cs="Calibri"/>
          <w:color w:val="000000"/>
          <w:sz w:val="20"/>
          <w:lang w:val="en-US"/>
        </w:rPr>
        <w:tab/>
        <w:t xml:space="preserve">Turajlic,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Deterministic Evolutionary Trajectories Influence Primary Tumor Growth: TRACERx Renal. </w:t>
      </w:r>
      <w:r w:rsidRPr="00CC7AB4">
        <w:rPr>
          <w:rFonts w:ascii="Calibri" w:hAnsi="Calibri" w:cs="Calibri"/>
          <w:i/>
          <w:iCs/>
          <w:color w:val="000000"/>
          <w:sz w:val="20"/>
          <w:lang w:val="en-US"/>
        </w:rPr>
        <w:t>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173</w:t>
      </w:r>
      <w:r w:rsidRPr="00CC7AB4">
        <w:rPr>
          <w:rFonts w:ascii="Calibri" w:hAnsi="Calibri" w:cs="Calibri"/>
          <w:color w:val="000000"/>
          <w:sz w:val="20"/>
          <w:lang w:val="en-US"/>
        </w:rPr>
        <w:t>, 595-610.e11 (2018).</w:t>
      </w:r>
    </w:p>
    <w:p w14:paraId="71F2F893"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9.</w:t>
      </w:r>
      <w:r w:rsidRPr="00CC7AB4">
        <w:rPr>
          <w:rFonts w:ascii="Calibri" w:hAnsi="Calibri" w:cs="Calibri"/>
          <w:color w:val="000000"/>
          <w:sz w:val="20"/>
          <w:lang w:val="en-US"/>
        </w:rPr>
        <w:tab/>
        <w:t xml:space="preserve">Turajlic,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Tracking Cancer Evolution Reveals Constrained Routes to Metastases: TRACERx Renal. </w:t>
      </w:r>
      <w:r w:rsidRPr="00CC7AB4">
        <w:rPr>
          <w:rFonts w:ascii="Calibri" w:hAnsi="Calibri" w:cs="Calibri"/>
          <w:i/>
          <w:iCs/>
          <w:color w:val="000000"/>
          <w:sz w:val="20"/>
          <w:lang w:val="en-US"/>
        </w:rPr>
        <w:t>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173</w:t>
      </w:r>
      <w:r w:rsidRPr="00CC7AB4">
        <w:rPr>
          <w:rFonts w:ascii="Calibri" w:hAnsi="Calibri" w:cs="Calibri"/>
          <w:color w:val="000000"/>
          <w:sz w:val="20"/>
          <w:lang w:val="en-US"/>
        </w:rPr>
        <w:t>, 581-594.e12 (2018).</w:t>
      </w:r>
    </w:p>
    <w:p w14:paraId="1137192A"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10.</w:t>
      </w:r>
      <w:r w:rsidRPr="00CC7AB4">
        <w:rPr>
          <w:rFonts w:ascii="Calibri" w:hAnsi="Calibri" w:cs="Calibri"/>
          <w:color w:val="000000"/>
          <w:sz w:val="20"/>
          <w:lang w:val="en-US"/>
        </w:rPr>
        <w:tab/>
        <w:t xml:space="preserve">The Cancer Genome Atlas Research Network. Comprehensive molecular characterization of clear cell renal cell carcinoma.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499</w:t>
      </w:r>
      <w:r w:rsidRPr="00CC7AB4">
        <w:rPr>
          <w:rFonts w:ascii="Calibri" w:hAnsi="Calibri" w:cs="Calibri"/>
          <w:color w:val="000000"/>
          <w:sz w:val="20"/>
          <w:lang w:val="en-US"/>
        </w:rPr>
        <w:t>, 43–49 (2013).</w:t>
      </w:r>
    </w:p>
    <w:p w14:paraId="09CD1A2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11.</w:t>
      </w:r>
      <w:r w:rsidRPr="00CC7AB4">
        <w:rPr>
          <w:rFonts w:ascii="Calibri" w:hAnsi="Calibri" w:cs="Calibri"/>
          <w:color w:val="000000"/>
          <w:sz w:val="20"/>
          <w:lang w:val="en-US"/>
        </w:rPr>
        <w:tab/>
        <w:t xml:space="preserve">Zbar, B., Brauch, H., Talmadge, C. &amp; Linehan, M. Loss of alleles of loci on the short arm of chromosome 3 in renal cell carcinoma.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327</w:t>
      </w:r>
      <w:r w:rsidRPr="00CC7AB4">
        <w:rPr>
          <w:rFonts w:ascii="Calibri" w:hAnsi="Calibri" w:cs="Calibri"/>
          <w:color w:val="000000"/>
          <w:sz w:val="20"/>
          <w:lang w:val="en-US"/>
        </w:rPr>
        <w:t>, 721 (1987).</w:t>
      </w:r>
    </w:p>
    <w:p w14:paraId="1C7219D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12.</w:t>
      </w:r>
      <w:r w:rsidRPr="00CC7AB4">
        <w:rPr>
          <w:rFonts w:ascii="Calibri" w:hAnsi="Calibri" w:cs="Calibri"/>
          <w:color w:val="000000"/>
          <w:sz w:val="20"/>
          <w:lang w:val="en-US"/>
        </w:rPr>
        <w:tab/>
        <w:t xml:space="preserve">Sato, Y.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Integrated molecular analysis of clear-cell renal cell carcinoma. </w:t>
      </w:r>
      <w:r w:rsidRPr="00CC7AB4">
        <w:rPr>
          <w:rFonts w:ascii="Calibri" w:hAnsi="Calibri" w:cs="Calibri"/>
          <w:i/>
          <w:iCs/>
          <w:color w:val="000000"/>
          <w:sz w:val="20"/>
          <w:lang w:val="en-US"/>
        </w:rPr>
        <w:t>Nature Genetics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45</w:t>
      </w:r>
      <w:r w:rsidRPr="00CC7AB4">
        <w:rPr>
          <w:rFonts w:ascii="Calibri" w:hAnsi="Calibri" w:cs="Calibri"/>
          <w:color w:val="000000"/>
          <w:sz w:val="20"/>
          <w:lang w:val="en-US"/>
        </w:rPr>
        <w:t>, 860–867 (2013).</w:t>
      </w:r>
    </w:p>
    <w:p w14:paraId="60566A1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13.</w:t>
      </w:r>
      <w:r w:rsidRPr="00CC7AB4">
        <w:rPr>
          <w:rFonts w:ascii="Calibri" w:hAnsi="Calibri" w:cs="Calibri"/>
          <w:color w:val="000000"/>
          <w:sz w:val="20"/>
          <w:lang w:val="en-US"/>
        </w:rPr>
        <w:tab/>
        <w:t xml:space="preserve">Hosen, I.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TERT promoter mutations in clear cell renal cell carcinoma. </w:t>
      </w:r>
      <w:r w:rsidRPr="00CC7AB4">
        <w:rPr>
          <w:rFonts w:ascii="Calibri" w:hAnsi="Calibri" w:cs="Calibri"/>
          <w:i/>
          <w:iCs/>
          <w:color w:val="000000"/>
          <w:sz w:val="20"/>
          <w:lang w:val="en-US"/>
        </w:rPr>
        <w:t>International Journal of Cancer</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136</w:t>
      </w:r>
      <w:r w:rsidRPr="00CC7AB4">
        <w:rPr>
          <w:rFonts w:ascii="Calibri" w:hAnsi="Calibri" w:cs="Calibri"/>
          <w:color w:val="000000"/>
          <w:sz w:val="20"/>
          <w:lang w:val="en-US"/>
        </w:rPr>
        <w:t>, 2448–2452 (2015).</w:t>
      </w:r>
    </w:p>
    <w:p w14:paraId="6E306FB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14.</w:t>
      </w:r>
      <w:r w:rsidRPr="00CC7AB4">
        <w:rPr>
          <w:rFonts w:ascii="Calibri" w:hAnsi="Calibri" w:cs="Calibri"/>
          <w:color w:val="000000"/>
          <w:sz w:val="20"/>
          <w:lang w:val="en-US"/>
        </w:rPr>
        <w:tab/>
        <w:t xml:space="preserve">Shroff, E. 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MYC oncogene overexpression drives renal cell carcinoma in a mouse model through glutamine metabolism. </w:t>
      </w:r>
      <w:r w:rsidRPr="00CC7AB4">
        <w:rPr>
          <w:rFonts w:ascii="Calibri" w:hAnsi="Calibri" w:cs="Calibri"/>
          <w:i/>
          <w:iCs/>
          <w:color w:val="000000"/>
          <w:sz w:val="20"/>
          <w:lang w:val="en-US"/>
        </w:rPr>
        <w:t>Proc Natl Acad Sci U S A</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112</w:t>
      </w:r>
      <w:r w:rsidRPr="00CC7AB4">
        <w:rPr>
          <w:rFonts w:ascii="Calibri" w:hAnsi="Calibri" w:cs="Calibri"/>
          <w:color w:val="000000"/>
          <w:sz w:val="20"/>
          <w:lang w:val="en-US"/>
        </w:rPr>
        <w:t>, 6539–6544 (2015).</w:t>
      </w:r>
    </w:p>
    <w:p w14:paraId="533A68EA"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15.</w:t>
      </w:r>
      <w:r w:rsidRPr="00CC7AB4">
        <w:rPr>
          <w:rFonts w:ascii="Calibri" w:hAnsi="Calibri" w:cs="Calibri"/>
          <w:color w:val="000000"/>
          <w:sz w:val="20"/>
          <w:lang w:val="en-US"/>
        </w:rPr>
        <w:tab/>
        <w:t xml:space="preserve">Tang, S.-W.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MYC pathway is activated in clear cell renal cell carcinoma and essential for proliferation of clear cell renal cell carcinoma cells. </w:t>
      </w:r>
      <w:r w:rsidRPr="00CC7AB4">
        <w:rPr>
          <w:rFonts w:ascii="Calibri" w:hAnsi="Calibri" w:cs="Calibri"/>
          <w:i/>
          <w:iCs/>
          <w:color w:val="000000"/>
          <w:sz w:val="20"/>
          <w:lang w:val="en-US"/>
        </w:rPr>
        <w:t>Cancer Lett.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273</w:t>
      </w:r>
      <w:r w:rsidRPr="00CC7AB4">
        <w:rPr>
          <w:rFonts w:ascii="Calibri" w:hAnsi="Calibri" w:cs="Calibri"/>
          <w:color w:val="000000"/>
          <w:sz w:val="20"/>
          <w:lang w:val="en-US"/>
        </w:rPr>
        <w:t>, 35–43 (2009).</w:t>
      </w:r>
    </w:p>
    <w:p w14:paraId="02D7C41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16.</w:t>
      </w:r>
      <w:r w:rsidRPr="00CC7AB4">
        <w:rPr>
          <w:rFonts w:ascii="Calibri" w:hAnsi="Calibri" w:cs="Calibri"/>
          <w:color w:val="000000"/>
          <w:sz w:val="20"/>
          <w:lang w:val="en-US"/>
        </w:rPr>
        <w:tab/>
        <w:t xml:space="preserve">The Multiple Leiomyoma Consortium. Germline mutations in FH predispose to dominantly inherited uterine fibroids, skin leiomyomata and papillary renal cell cancer. </w:t>
      </w:r>
      <w:r w:rsidRPr="00CC7AB4">
        <w:rPr>
          <w:rFonts w:ascii="Calibri" w:hAnsi="Calibri" w:cs="Calibri"/>
          <w:i/>
          <w:iCs/>
          <w:color w:val="000000"/>
          <w:sz w:val="20"/>
          <w:lang w:val="en-US"/>
        </w:rPr>
        <w:t>Nature Genetics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30</w:t>
      </w:r>
      <w:r w:rsidRPr="00CC7AB4">
        <w:rPr>
          <w:rFonts w:ascii="Calibri" w:hAnsi="Calibri" w:cs="Calibri"/>
          <w:color w:val="000000"/>
          <w:sz w:val="20"/>
          <w:lang w:val="en-US"/>
        </w:rPr>
        <w:t>, 406–410 (2002).</w:t>
      </w:r>
    </w:p>
    <w:p w14:paraId="2A8A22C3"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17.</w:t>
      </w:r>
      <w:r w:rsidRPr="00CC7AB4">
        <w:rPr>
          <w:rFonts w:ascii="Calibri" w:hAnsi="Calibri" w:cs="Calibri"/>
          <w:color w:val="000000"/>
          <w:sz w:val="20"/>
          <w:lang w:val="en-US"/>
        </w:rPr>
        <w:tab/>
        <w:t xml:space="preserve">Linehan, W. M. &amp; Ricketts, C. J. The metabolic basis of kidney cancer. </w:t>
      </w:r>
      <w:r w:rsidRPr="00CC7AB4">
        <w:rPr>
          <w:rFonts w:ascii="Calibri" w:hAnsi="Calibri" w:cs="Calibri"/>
          <w:i/>
          <w:iCs/>
          <w:color w:val="000000"/>
          <w:sz w:val="20"/>
          <w:lang w:val="en-US"/>
        </w:rPr>
        <w:t>Semin. Cancer Biol.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23</w:t>
      </w:r>
      <w:r w:rsidRPr="00CC7AB4">
        <w:rPr>
          <w:rFonts w:ascii="Calibri" w:hAnsi="Calibri" w:cs="Calibri"/>
          <w:color w:val="000000"/>
          <w:sz w:val="20"/>
          <w:lang w:val="en-US"/>
        </w:rPr>
        <w:t>, 46–55 (2013).</w:t>
      </w:r>
    </w:p>
    <w:p w14:paraId="1064511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18.</w:t>
      </w:r>
      <w:r w:rsidRPr="00CC7AB4">
        <w:rPr>
          <w:rFonts w:ascii="Calibri" w:hAnsi="Calibri" w:cs="Calibri"/>
          <w:color w:val="000000"/>
          <w:sz w:val="20"/>
          <w:lang w:val="en-US"/>
        </w:rPr>
        <w:tab/>
        <w:t xml:space="preserve">Linehan, W. M., Srinivasan, R. &amp; Schmidt, L. S. The genetic basis of kidney cancer: a metabolic disease. </w:t>
      </w:r>
      <w:r w:rsidRPr="00CC7AB4">
        <w:rPr>
          <w:rFonts w:ascii="Calibri" w:hAnsi="Calibri" w:cs="Calibri"/>
          <w:i/>
          <w:iCs/>
          <w:color w:val="000000"/>
          <w:sz w:val="20"/>
          <w:lang w:val="en-US"/>
        </w:rPr>
        <w:t>Nat Rev Urol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w:t>
      </w:r>
      <w:r w:rsidRPr="00CC7AB4">
        <w:rPr>
          <w:rFonts w:ascii="Calibri" w:hAnsi="Calibri" w:cs="Calibri"/>
          <w:color w:val="000000"/>
          <w:sz w:val="20"/>
          <w:lang w:val="en-US"/>
        </w:rPr>
        <w:t>, 277–285 (2010).</w:t>
      </w:r>
    </w:p>
    <w:p w14:paraId="7388677A"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19.</w:t>
      </w:r>
      <w:r w:rsidRPr="00CC7AB4">
        <w:rPr>
          <w:rFonts w:ascii="Calibri" w:hAnsi="Calibri" w:cs="Calibri"/>
          <w:color w:val="000000"/>
          <w:sz w:val="20"/>
          <w:lang w:val="en-US"/>
        </w:rPr>
        <w:tab/>
        <w:t xml:space="preserve">Jaakkola, P.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Targeting of HIF-alpha to the von Hippel-Lindau ubiquitylation complex by O2-regulated prolyl hydroxylation. </w:t>
      </w:r>
      <w:r w:rsidRPr="00CC7AB4">
        <w:rPr>
          <w:rFonts w:ascii="Calibri" w:hAnsi="Calibri" w:cs="Calibri"/>
          <w:i/>
          <w:iCs/>
          <w:color w:val="000000"/>
          <w:sz w:val="20"/>
          <w:lang w:val="en-US"/>
        </w:rPr>
        <w:t>Science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292</w:t>
      </w:r>
      <w:r w:rsidRPr="00CC7AB4">
        <w:rPr>
          <w:rFonts w:ascii="Calibri" w:hAnsi="Calibri" w:cs="Calibri"/>
          <w:color w:val="000000"/>
          <w:sz w:val="20"/>
          <w:lang w:val="en-US"/>
        </w:rPr>
        <w:t>, 468–472 (2001).</w:t>
      </w:r>
    </w:p>
    <w:p w14:paraId="52F6980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20.</w:t>
      </w:r>
      <w:r w:rsidRPr="00CC7AB4">
        <w:rPr>
          <w:rFonts w:ascii="Calibri" w:hAnsi="Calibri" w:cs="Calibri"/>
          <w:color w:val="000000"/>
          <w:sz w:val="20"/>
          <w:lang w:val="en-US"/>
        </w:rPr>
        <w:tab/>
        <w:t xml:space="preserve">Maxwell, P. 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The tumour suppressor protein VHL targets hypoxia-inducible factors for oxygen-dependent proteolysis.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399</w:t>
      </w:r>
      <w:r w:rsidRPr="00CC7AB4">
        <w:rPr>
          <w:rFonts w:ascii="Calibri" w:hAnsi="Calibri" w:cs="Calibri"/>
          <w:color w:val="000000"/>
          <w:sz w:val="20"/>
          <w:lang w:val="en-US"/>
        </w:rPr>
        <w:t>, 271–275 (1999).</w:t>
      </w:r>
    </w:p>
    <w:p w14:paraId="5932FCD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21.</w:t>
      </w:r>
      <w:r w:rsidRPr="00CC7AB4">
        <w:rPr>
          <w:rFonts w:ascii="Calibri" w:hAnsi="Calibri" w:cs="Calibri"/>
          <w:color w:val="000000"/>
          <w:sz w:val="20"/>
          <w:lang w:val="en-US"/>
        </w:rPr>
        <w:tab/>
        <w:t xml:space="preserve">Pescador, N.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Hypoxia Promotes Glycogen Accumulation through Hypoxia Inducible Factor (HIF)-Mediated Induction of Glycogen Synthase 1. </w:t>
      </w:r>
      <w:r w:rsidRPr="00CC7AB4">
        <w:rPr>
          <w:rFonts w:ascii="Calibri" w:hAnsi="Calibri" w:cs="Calibri"/>
          <w:i/>
          <w:iCs/>
          <w:color w:val="000000"/>
          <w:sz w:val="20"/>
          <w:lang w:val="en-US"/>
        </w:rPr>
        <w:t>PLoS One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w:t>
      </w:r>
      <w:r w:rsidRPr="00CC7AB4">
        <w:rPr>
          <w:rFonts w:ascii="Calibri" w:hAnsi="Calibri" w:cs="Calibri"/>
          <w:color w:val="000000"/>
          <w:sz w:val="20"/>
          <w:lang w:val="en-US"/>
        </w:rPr>
        <w:t>, (2010).</w:t>
      </w:r>
    </w:p>
    <w:p w14:paraId="1419A13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22.</w:t>
      </w:r>
      <w:r w:rsidRPr="00CC7AB4">
        <w:rPr>
          <w:rFonts w:ascii="Calibri" w:hAnsi="Calibri" w:cs="Calibri"/>
          <w:color w:val="000000"/>
          <w:sz w:val="20"/>
          <w:lang w:val="en-US"/>
        </w:rPr>
        <w:tab/>
        <w:t xml:space="preserve">Semenza, G. L. HIF-1 mediates metabolic responses to intratumoral hypoxia and oncogenic mutations. </w:t>
      </w:r>
      <w:r w:rsidRPr="00CC7AB4">
        <w:rPr>
          <w:rFonts w:ascii="Calibri" w:hAnsi="Calibri" w:cs="Calibri"/>
          <w:i/>
          <w:iCs/>
          <w:color w:val="000000"/>
          <w:sz w:val="20"/>
          <w:lang w:val="en-US"/>
        </w:rPr>
        <w:t>J Clin Invest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123</w:t>
      </w:r>
      <w:r w:rsidRPr="00CC7AB4">
        <w:rPr>
          <w:rFonts w:ascii="Calibri" w:hAnsi="Calibri" w:cs="Calibri"/>
          <w:color w:val="000000"/>
          <w:sz w:val="20"/>
          <w:lang w:val="en-US"/>
        </w:rPr>
        <w:t>, 3664–3671 (2013).</w:t>
      </w:r>
    </w:p>
    <w:p w14:paraId="364A72C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23.</w:t>
      </w:r>
      <w:r w:rsidRPr="00CC7AB4">
        <w:rPr>
          <w:rFonts w:ascii="Calibri" w:hAnsi="Calibri" w:cs="Calibri"/>
          <w:color w:val="000000"/>
          <w:sz w:val="20"/>
          <w:lang w:val="en-US"/>
        </w:rPr>
        <w:tab/>
        <w:t xml:space="preserve">Wise, D. R.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Hypoxia promotes isocitrate dehydrogenase-dependent carboxylation of -ketoglutarate to citrate to support cell growth and viability. </w:t>
      </w:r>
      <w:r w:rsidRPr="00CC7AB4">
        <w:rPr>
          <w:rFonts w:ascii="Calibri" w:hAnsi="Calibri" w:cs="Calibri"/>
          <w:i/>
          <w:iCs/>
          <w:color w:val="000000"/>
          <w:sz w:val="20"/>
          <w:lang w:val="en-US"/>
        </w:rPr>
        <w:t>Proceedings of the National Academy of Sciences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108</w:t>
      </w:r>
      <w:r w:rsidRPr="00CC7AB4">
        <w:rPr>
          <w:rFonts w:ascii="Calibri" w:hAnsi="Calibri" w:cs="Calibri"/>
          <w:color w:val="000000"/>
          <w:sz w:val="20"/>
          <w:lang w:val="en-US"/>
        </w:rPr>
        <w:t>, 19611–19616 (2011).</w:t>
      </w:r>
    </w:p>
    <w:p w14:paraId="612308A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24.</w:t>
      </w:r>
      <w:r w:rsidRPr="00CC7AB4">
        <w:rPr>
          <w:rFonts w:ascii="Calibri" w:hAnsi="Calibri" w:cs="Calibri"/>
          <w:color w:val="000000"/>
          <w:sz w:val="20"/>
          <w:lang w:val="en-US"/>
        </w:rPr>
        <w:tab/>
        <w:t xml:space="preserve">Hanahan, D. &amp; Weinberg, R. A. Hallmarks of Cancer: The Next Generation. </w:t>
      </w:r>
      <w:r w:rsidRPr="00CC7AB4">
        <w:rPr>
          <w:rFonts w:ascii="Calibri" w:hAnsi="Calibri" w:cs="Calibri"/>
          <w:i/>
          <w:iCs/>
          <w:color w:val="000000"/>
          <w:sz w:val="20"/>
          <w:lang w:val="en-US"/>
        </w:rPr>
        <w:t>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144</w:t>
      </w:r>
      <w:r w:rsidRPr="00CC7AB4">
        <w:rPr>
          <w:rFonts w:ascii="Calibri" w:hAnsi="Calibri" w:cs="Calibri"/>
          <w:color w:val="000000"/>
          <w:sz w:val="20"/>
          <w:lang w:val="en-US"/>
        </w:rPr>
        <w:t>, 646–674 (2011).</w:t>
      </w:r>
    </w:p>
    <w:p w14:paraId="1810A56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25.</w:t>
      </w:r>
      <w:r w:rsidRPr="00CC7AB4">
        <w:rPr>
          <w:rFonts w:ascii="Calibri" w:hAnsi="Calibri" w:cs="Calibri"/>
          <w:color w:val="000000"/>
          <w:sz w:val="20"/>
          <w:lang w:val="en-US"/>
        </w:rPr>
        <w:tab/>
        <w:t xml:space="preserve">Pavlova, N. N. &amp; Thompson, C. B. The Emerging Hallmarks of Cancer Metabolism. </w:t>
      </w:r>
      <w:r w:rsidRPr="00CC7AB4">
        <w:rPr>
          <w:rFonts w:ascii="Calibri" w:hAnsi="Calibri" w:cs="Calibri"/>
          <w:i/>
          <w:iCs/>
          <w:color w:val="000000"/>
          <w:sz w:val="20"/>
          <w:lang w:val="en-US"/>
        </w:rPr>
        <w:t>Cell Metabolism</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23</w:t>
      </w:r>
      <w:r w:rsidRPr="00CC7AB4">
        <w:rPr>
          <w:rFonts w:ascii="Calibri" w:hAnsi="Calibri" w:cs="Calibri"/>
          <w:color w:val="000000"/>
          <w:sz w:val="20"/>
          <w:lang w:val="en-US"/>
        </w:rPr>
        <w:t>, 27–47 (2016).</w:t>
      </w:r>
    </w:p>
    <w:p w14:paraId="51A5F7A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26.</w:t>
      </w:r>
      <w:r w:rsidRPr="00CC7AB4">
        <w:rPr>
          <w:rFonts w:ascii="Calibri" w:hAnsi="Calibri" w:cs="Calibri"/>
          <w:color w:val="000000"/>
          <w:sz w:val="20"/>
          <w:lang w:val="en-US"/>
        </w:rPr>
        <w:tab/>
        <w:t xml:space="preserve">Isaacs, J.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HIF overexpression correlates with biallelic loss of fumarate hydratase in renal cancer: Novel role of fumarate in regulation of HIF stability.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8</w:t>
      </w:r>
      <w:r w:rsidRPr="00CC7AB4">
        <w:rPr>
          <w:rFonts w:ascii="Calibri" w:hAnsi="Calibri" w:cs="Calibri"/>
          <w:color w:val="000000"/>
          <w:sz w:val="20"/>
          <w:lang w:val="en-US"/>
        </w:rPr>
        <w:t>, 143–153 (2005).</w:t>
      </w:r>
    </w:p>
    <w:p w14:paraId="671A5A9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27.</w:t>
      </w:r>
      <w:r w:rsidRPr="00CC7AB4">
        <w:rPr>
          <w:rFonts w:ascii="Calibri" w:hAnsi="Calibri" w:cs="Calibri"/>
          <w:color w:val="000000"/>
          <w:sz w:val="20"/>
          <w:lang w:val="en-US"/>
        </w:rPr>
        <w:tab/>
        <w:t xml:space="preserve">Pollard, P.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Accumulation of Krebs cycle intermediates and over-expression of HIF1α in tumours which result from germline FH and SDH mutations. </w:t>
      </w:r>
      <w:r w:rsidRPr="00CC7AB4">
        <w:rPr>
          <w:rFonts w:ascii="Calibri" w:hAnsi="Calibri" w:cs="Calibri"/>
          <w:i/>
          <w:iCs/>
          <w:color w:val="000000"/>
          <w:sz w:val="20"/>
          <w:lang w:val="en-US"/>
        </w:rPr>
        <w:t>Hum Mol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14</w:t>
      </w:r>
      <w:r w:rsidRPr="00CC7AB4">
        <w:rPr>
          <w:rFonts w:ascii="Calibri" w:hAnsi="Calibri" w:cs="Calibri"/>
          <w:color w:val="000000"/>
          <w:sz w:val="20"/>
          <w:lang w:val="en-US"/>
        </w:rPr>
        <w:t>, 2231–2239 (2005).</w:t>
      </w:r>
    </w:p>
    <w:p w14:paraId="79134BE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28.</w:t>
      </w:r>
      <w:r w:rsidRPr="00CC7AB4">
        <w:rPr>
          <w:rFonts w:ascii="Calibri" w:hAnsi="Calibri" w:cs="Calibri"/>
          <w:color w:val="000000"/>
          <w:sz w:val="20"/>
          <w:lang w:val="en-US"/>
        </w:rPr>
        <w:tab/>
        <w:t xml:space="preserve">Sudarshan,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Reduced expression of fumarate hydratase in clear cell renal cancer mediates HIF-2α accumulation and promotes migration and invasion. </w:t>
      </w:r>
      <w:r w:rsidRPr="00CC7AB4">
        <w:rPr>
          <w:rFonts w:ascii="Calibri" w:hAnsi="Calibri" w:cs="Calibri"/>
          <w:i/>
          <w:iCs/>
          <w:color w:val="000000"/>
          <w:sz w:val="20"/>
          <w:lang w:val="en-US"/>
        </w:rPr>
        <w:t>PLoS ONE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w:t>
      </w:r>
      <w:r w:rsidRPr="00CC7AB4">
        <w:rPr>
          <w:rFonts w:ascii="Calibri" w:hAnsi="Calibri" w:cs="Calibri"/>
          <w:color w:val="000000"/>
          <w:sz w:val="20"/>
          <w:lang w:val="en-US"/>
        </w:rPr>
        <w:t>, e21037 (2011).</w:t>
      </w:r>
    </w:p>
    <w:p w14:paraId="74536AA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29.</w:t>
      </w:r>
      <w:r w:rsidRPr="00CC7AB4">
        <w:rPr>
          <w:rFonts w:ascii="Calibri" w:hAnsi="Calibri" w:cs="Calibri"/>
          <w:color w:val="000000"/>
          <w:sz w:val="20"/>
          <w:lang w:val="en-US"/>
        </w:rPr>
        <w:tab/>
        <w:t xml:space="preserve">Selak, M. A.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Succinate links TCA cycle dysfunction to oncogenesis by inhibiting HIF-alpha prolyl hydroxylase.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w:t>
      </w:r>
      <w:r w:rsidRPr="00CC7AB4">
        <w:rPr>
          <w:rFonts w:ascii="Calibri" w:hAnsi="Calibri" w:cs="Calibri"/>
          <w:color w:val="000000"/>
          <w:sz w:val="20"/>
          <w:lang w:val="en-US"/>
        </w:rPr>
        <w:t>, 77–85 (2005).</w:t>
      </w:r>
    </w:p>
    <w:p w14:paraId="3F2E859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30.</w:t>
      </w:r>
      <w:r w:rsidRPr="00CC7AB4">
        <w:rPr>
          <w:rFonts w:ascii="Calibri" w:hAnsi="Calibri" w:cs="Calibri"/>
          <w:color w:val="000000"/>
          <w:sz w:val="20"/>
          <w:lang w:val="en-US"/>
        </w:rPr>
        <w:tab/>
        <w:t xml:space="preserve">Brugarolas, J. B., Vazquez, F., Reddy, A., Sellers, W. R. &amp; Kaelin, W. G. TSC2 regulates VEGF through mTOR-dependent and -independent pathways.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w:t>
      </w:r>
      <w:r w:rsidRPr="00CC7AB4">
        <w:rPr>
          <w:rFonts w:ascii="Calibri" w:hAnsi="Calibri" w:cs="Calibri"/>
          <w:color w:val="000000"/>
          <w:sz w:val="20"/>
          <w:lang w:val="en-US"/>
        </w:rPr>
        <w:t>, 147–158 (2003).</w:t>
      </w:r>
    </w:p>
    <w:p w14:paraId="76C8E43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31.</w:t>
      </w:r>
      <w:r w:rsidRPr="00CC7AB4">
        <w:rPr>
          <w:rFonts w:ascii="Calibri" w:hAnsi="Calibri" w:cs="Calibri"/>
          <w:color w:val="000000"/>
          <w:sz w:val="20"/>
          <w:lang w:val="en-US"/>
        </w:rPr>
        <w:tab/>
        <w:t xml:space="preserve">Li, B.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Fructose-1,6-bisphosphatase opposes renal carcinoma progression.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513</w:t>
      </w:r>
      <w:r w:rsidRPr="00CC7AB4">
        <w:rPr>
          <w:rFonts w:ascii="Calibri" w:hAnsi="Calibri" w:cs="Calibri"/>
          <w:color w:val="000000"/>
          <w:sz w:val="20"/>
          <w:lang w:val="en-US"/>
        </w:rPr>
        <w:t>, 251–255 (2014).</w:t>
      </w:r>
    </w:p>
    <w:p w14:paraId="13E8592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32.</w:t>
      </w:r>
      <w:r w:rsidRPr="00CC7AB4">
        <w:rPr>
          <w:rFonts w:ascii="Calibri" w:hAnsi="Calibri" w:cs="Calibri"/>
          <w:color w:val="000000"/>
          <w:sz w:val="20"/>
          <w:lang w:val="en-US"/>
        </w:rPr>
        <w:tab/>
        <w:t xml:space="preserve">Du, W.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HIF drives lipid deposition and cancer in ccRCC via repression of fatty acid metabolism. </w:t>
      </w:r>
      <w:r w:rsidRPr="00CC7AB4">
        <w:rPr>
          <w:rFonts w:ascii="Calibri" w:hAnsi="Calibri" w:cs="Calibri"/>
          <w:i/>
          <w:iCs/>
          <w:color w:val="000000"/>
          <w:sz w:val="20"/>
          <w:lang w:val="en-US"/>
        </w:rPr>
        <w:t>Nat Commun</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8</w:t>
      </w:r>
      <w:r w:rsidRPr="00CC7AB4">
        <w:rPr>
          <w:rFonts w:ascii="Calibri" w:hAnsi="Calibri" w:cs="Calibri"/>
          <w:color w:val="000000"/>
          <w:sz w:val="20"/>
          <w:lang w:val="en-US"/>
        </w:rPr>
        <w:t>, 1–12 (2017).</w:t>
      </w:r>
    </w:p>
    <w:p w14:paraId="53B08C6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33.</w:t>
      </w:r>
      <w:r w:rsidRPr="00CC7AB4">
        <w:rPr>
          <w:rFonts w:ascii="Calibri" w:hAnsi="Calibri" w:cs="Calibri"/>
          <w:color w:val="000000"/>
          <w:sz w:val="20"/>
          <w:lang w:val="en-US"/>
        </w:rPr>
        <w:tab/>
        <w:t xml:space="preserve">Ward, P. S. &amp; Thompson, C. B. Metabolic reprogramming: a cancer hallmark even warburg did not anticipate.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21</w:t>
      </w:r>
      <w:r w:rsidRPr="00CC7AB4">
        <w:rPr>
          <w:rFonts w:ascii="Calibri" w:hAnsi="Calibri" w:cs="Calibri"/>
          <w:color w:val="000000"/>
          <w:sz w:val="20"/>
          <w:lang w:val="en-US"/>
        </w:rPr>
        <w:t>, 297–308 (2012).</w:t>
      </w:r>
    </w:p>
    <w:p w14:paraId="3707FCFA"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34.</w:t>
      </w:r>
      <w:r w:rsidRPr="00CC7AB4">
        <w:rPr>
          <w:rFonts w:ascii="Calibri" w:hAnsi="Calibri" w:cs="Calibri"/>
          <w:color w:val="000000"/>
          <w:sz w:val="20"/>
          <w:lang w:val="en-US"/>
        </w:rPr>
        <w:tab/>
        <w:t xml:space="preserve">Goodacre, R., Vaidyanathan, S., Dunn, W. B., Harrigan, G. G. &amp; Kell, D. B. Metabolomics by numbers: acquiring and understanding global metabolite data. </w:t>
      </w:r>
      <w:r w:rsidRPr="00CC7AB4">
        <w:rPr>
          <w:rFonts w:ascii="Calibri" w:hAnsi="Calibri" w:cs="Calibri"/>
          <w:i/>
          <w:iCs/>
          <w:color w:val="000000"/>
          <w:sz w:val="20"/>
          <w:lang w:val="en-US"/>
        </w:rPr>
        <w:t>Trends in Biotechnology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22</w:t>
      </w:r>
      <w:r w:rsidRPr="00CC7AB4">
        <w:rPr>
          <w:rFonts w:ascii="Calibri" w:hAnsi="Calibri" w:cs="Calibri"/>
          <w:color w:val="000000"/>
          <w:sz w:val="20"/>
          <w:lang w:val="en-US"/>
        </w:rPr>
        <w:t>, 245–252 (2004).</w:t>
      </w:r>
    </w:p>
    <w:p w14:paraId="4880D25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35.</w:t>
      </w:r>
      <w:r w:rsidRPr="00CC7AB4">
        <w:rPr>
          <w:rFonts w:ascii="Calibri" w:hAnsi="Calibri" w:cs="Calibri"/>
          <w:color w:val="000000"/>
          <w:sz w:val="20"/>
          <w:lang w:val="en-US"/>
        </w:rPr>
        <w:tab/>
        <w:t xml:space="preserve">Horgan, R. P. &amp; Kenny, L. C. ‘Omic’ technologies: genomics, transcriptomics, proteomics and metabolomics: The Obstetrician &amp; Gynaecologist. </w:t>
      </w:r>
      <w:r w:rsidRPr="00CC7AB4">
        <w:rPr>
          <w:rFonts w:ascii="Calibri" w:hAnsi="Calibri" w:cs="Calibri"/>
          <w:i/>
          <w:iCs/>
          <w:color w:val="000000"/>
          <w:sz w:val="20"/>
          <w:lang w:val="en-US"/>
        </w:rPr>
        <w:t>The Obstetrician &amp; Gynaecologist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13</w:t>
      </w:r>
      <w:r w:rsidRPr="00CC7AB4">
        <w:rPr>
          <w:rFonts w:ascii="Calibri" w:hAnsi="Calibri" w:cs="Calibri"/>
          <w:color w:val="000000"/>
          <w:sz w:val="20"/>
          <w:lang w:val="en-US"/>
        </w:rPr>
        <w:t>, 189–195 (2011).</w:t>
      </w:r>
    </w:p>
    <w:p w14:paraId="111162E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36.</w:t>
      </w:r>
      <w:r w:rsidRPr="00CC7AB4">
        <w:rPr>
          <w:rFonts w:ascii="Calibri" w:hAnsi="Calibri" w:cs="Calibri"/>
          <w:color w:val="000000"/>
          <w:sz w:val="20"/>
          <w:lang w:val="en-US"/>
        </w:rPr>
        <w:tab/>
        <w:t xml:space="preserve">Gouirand, V., Guillaumond, F. &amp; Vasseur, S. Influence of the Tumor Microenvironment on Cancer Cells Metabolic Reprogramming. </w:t>
      </w:r>
      <w:r w:rsidRPr="00CC7AB4">
        <w:rPr>
          <w:rFonts w:ascii="Calibri" w:hAnsi="Calibri" w:cs="Calibri"/>
          <w:i/>
          <w:iCs/>
          <w:color w:val="000000"/>
          <w:sz w:val="20"/>
          <w:lang w:val="en-US"/>
        </w:rPr>
        <w:t>Front 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8</w:t>
      </w:r>
      <w:r w:rsidRPr="00CC7AB4">
        <w:rPr>
          <w:rFonts w:ascii="Calibri" w:hAnsi="Calibri" w:cs="Calibri"/>
          <w:color w:val="000000"/>
          <w:sz w:val="20"/>
          <w:lang w:val="en-US"/>
        </w:rPr>
        <w:t>, (2018).</w:t>
      </w:r>
    </w:p>
    <w:p w14:paraId="630C7DA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37.</w:t>
      </w:r>
      <w:r w:rsidRPr="00CC7AB4">
        <w:rPr>
          <w:rFonts w:ascii="Calibri" w:hAnsi="Calibri" w:cs="Calibri"/>
          <w:color w:val="000000"/>
          <w:sz w:val="20"/>
          <w:lang w:val="en-US"/>
        </w:rPr>
        <w:tab/>
        <w:t xml:space="preserve">Yang, L. V. Tumor Microenvironment and Metabolism. </w:t>
      </w:r>
      <w:r w:rsidRPr="00CC7AB4">
        <w:rPr>
          <w:rFonts w:ascii="Calibri" w:hAnsi="Calibri" w:cs="Calibri"/>
          <w:i/>
          <w:iCs/>
          <w:color w:val="000000"/>
          <w:sz w:val="20"/>
          <w:lang w:val="en-US"/>
        </w:rPr>
        <w:t>Int J Mol Sci</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18</w:t>
      </w:r>
      <w:r w:rsidRPr="00CC7AB4">
        <w:rPr>
          <w:rFonts w:ascii="Calibri" w:hAnsi="Calibri" w:cs="Calibri"/>
          <w:color w:val="000000"/>
          <w:sz w:val="20"/>
          <w:lang w:val="en-US"/>
        </w:rPr>
        <w:t>, (2017).</w:t>
      </w:r>
    </w:p>
    <w:p w14:paraId="713D56E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38.</w:t>
      </w:r>
      <w:r w:rsidRPr="00CC7AB4">
        <w:rPr>
          <w:rFonts w:ascii="Calibri" w:hAnsi="Calibri" w:cs="Calibri"/>
          <w:color w:val="000000"/>
          <w:sz w:val="20"/>
          <w:lang w:val="en-US"/>
        </w:rPr>
        <w:tab/>
        <w:t xml:space="preserve">Hakimi, A. A.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An Integrated Metabolic Atlas of Clear Cell Renal Cell Carcinoma.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29</w:t>
      </w:r>
      <w:r w:rsidRPr="00CC7AB4">
        <w:rPr>
          <w:rFonts w:ascii="Calibri" w:hAnsi="Calibri" w:cs="Calibri"/>
          <w:color w:val="000000"/>
          <w:sz w:val="20"/>
          <w:lang w:val="en-US"/>
        </w:rPr>
        <w:t>, 104–116 (2016).</w:t>
      </w:r>
    </w:p>
    <w:p w14:paraId="593C5AB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39.</w:t>
      </w:r>
      <w:r w:rsidRPr="00CC7AB4">
        <w:rPr>
          <w:rFonts w:ascii="Calibri" w:hAnsi="Calibri" w:cs="Calibri"/>
          <w:color w:val="000000"/>
          <w:sz w:val="20"/>
          <w:lang w:val="en-US"/>
        </w:rPr>
        <w:tab/>
        <w:t xml:space="preserve">Wettersten, H. I.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Grade-Dependent Metabolic Reprogramming in Kidney Cancer Revealed by Combined Proteomics and Metabolomics Analysis. </w:t>
      </w:r>
      <w:r w:rsidRPr="00CC7AB4">
        <w:rPr>
          <w:rFonts w:ascii="Calibri" w:hAnsi="Calibri" w:cs="Calibri"/>
          <w:i/>
          <w:iCs/>
          <w:color w:val="000000"/>
          <w:sz w:val="20"/>
          <w:lang w:val="en-US"/>
        </w:rPr>
        <w:t>Cancer Res.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75</w:t>
      </w:r>
      <w:r w:rsidRPr="00CC7AB4">
        <w:rPr>
          <w:rFonts w:ascii="Calibri" w:hAnsi="Calibri" w:cs="Calibri"/>
          <w:color w:val="000000"/>
          <w:sz w:val="20"/>
          <w:lang w:val="en-US"/>
        </w:rPr>
        <w:t>, 2541–2552 (2015).</w:t>
      </w:r>
    </w:p>
    <w:p w14:paraId="7B72487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40.</w:t>
      </w:r>
      <w:r w:rsidRPr="00CC7AB4">
        <w:rPr>
          <w:rFonts w:ascii="Calibri" w:hAnsi="Calibri" w:cs="Calibri"/>
          <w:color w:val="000000"/>
          <w:sz w:val="20"/>
          <w:lang w:val="en-US"/>
        </w:rPr>
        <w:tab/>
        <w:t xml:space="preserve">van der Mijn, J. C., Panka, D. J., Geissler, A. K., Verheul, Henk. M. &amp; Mier, J. W. Novel drugs that target the metabolic reprogramming in renal cell cancer. </w:t>
      </w:r>
      <w:r w:rsidRPr="00CC7AB4">
        <w:rPr>
          <w:rFonts w:ascii="Calibri" w:hAnsi="Calibri" w:cs="Calibri"/>
          <w:i/>
          <w:iCs/>
          <w:color w:val="000000"/>
          <w:sz w:val="20"/>
          <w:lang w:val="en-US"/>
        </w:rPr>
        <w:t>Cancer &amp; Metabolism</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w:t>
      </w:r>
      <w:r w:rsidRPr="00CC7AB4">
        <w:rPr>
          <w:rFonts w:ascii="Calibri" w:hAnsi="Calibri" w:cs="Calibri"/>
          <w:color w:val="000000"/>
          <w:sz w:val="20"/>
          <w:lang w:val="en-US"/>
        </w:rPr>
        <w:t>, 14 (2016).</w:t>
      </w:r>
    </w:p>
    <w:p w14:paraId="6A522F4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41.</w:t>
      </w:r>
      <w:r w:rsidRPr="00CC7AB4">
        <w:rPr>
          <w:rFonts w:ascii="Calibri" w:hAnsi="Calibri" w:cs="Calibri"/>
          <w:color w:val="000000"/>
          <w:sz w:val="20"/>
          <w:lang w:val="en-US"/>
        </w:rPr>
        <w:tab/>
        <w:t xml:space="preserve">Astuti, D.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Gene mutations in the succinate dehydrogenase subunit SDHB cause susceptibility to familial pheochromocytoma and to familial paraganglioma. </w:t>
      </w:r>
      <w:r w:rsidRPr="00CC7AB4">
        <w:rPr>
          <w:rFonts w:ascii="Calibri" w:hAnsi="Calibri" w:cs="Calibri"/>
          <w:i/>
          <w:iCs/>
          <w:color w:val="000000"/>
          <w:sz w:val="20"/>
          <w:lang w:val="en-US"/>
        </w:rPr>
        <w:t>Am. J. Hum.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69</w:t>
      </w:r>
      <w:r w:rsidRPr="00CC7AB4">
        <w:rPr>
          <w:rFonts w:ascii="Calibri" w:hAnsi="Calibri" w:cs="Calibri"/>
          <w:color w:val="000000"/>
          <w:sz w:val="20"/>
          <w:lang w:val="en-US"/>
        </w:rPr>
        <w:t>, 49–54 (2001).</w:t>
      </w:r>
    </w:p>
    <w:p w14:paraId="6DEDA0C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42.</w:t>
      </w:r>
      <w:r w:rsidRPr="00CC7AB4">
        <w:rPr>
          <w:rFonts w:ascii="Calibri" w:hAnsi="Calibri" w:cs="Calibri"/>
          <w:color w:val="000000"/>
          <w:sz w:val="20"/>
          <w:lang w:val="en-US"/>
        </w:rPr>
        <w:tab/>
        <w:t xml:space="preserve">Niemann, S. &amp; Müller, U. Mutations in SDHC cause autosomal dominant paraganglioma, type 3. </w:t>
      </w:r>
      <w:r w:rsidRPr="00CC7AB4">
        <w:rPr>
          <w:rFonts w:ascii="Calibri" w:hAnsi="Calibri" w:cs="Calibri"/>
          <w:i/>
          <w:iCs/>
          <w:color w:val="000000"/>
          <w:sz w:val="20"/>
          <w:lang w:val="en-US"/>
        </w:rPr>
        <w:t>Nat.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26</w:t>
      </w:r>
      <w:r w:rsidRPr="00CC7AB4">
        <w:rPr>
          <w:rFonts w:ascii="Calibri" w:hAnsi="Calibri" w:cs="Calibri"/>
          <w:color w:val="000000"/>
          <w:sz w:val="20"/>
          <w:lang w:val="en-US"/>
        </w:rPr>
        <w:t>, 268–270 (2000).</w:t>
      </w:r>
    </w:p>
    <w:p w14:paraId="503D92D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43.</w:t>
      </w:r>
      <w:r w:rsidRPr="00CC7AB4">
        <w:rPr>
          <w:rFonts w:ascii="Calibri" w:hAnsi="Calibri" w:cs="Calibri"/>
          <w:color w:val="000000"/>
          <w:sz w:val="20"/>
          <w:lang w:val="en-US"/>
        </w:rPr>
        <w:tab/>
        <w:t xml:space="preserve">Warburg, O. The Metabolism of Carcinoma Cells. </w:t>
      </w:r>
      <w:r w:rsidRPr="00CC7AB4">
        <w:rPr>
          <w:rFonts w:ascii="Calibri" w:hAnsi="Calibri" w:cs="Calibri"/>
          <w:i/>
          <w:iCs/>
          <w:color w:val="000000"/>
          <w:sz w:val="20"/>
          <w:lang w:val="en-US"/>
        </w:rPr>
        <w:t>The Journal of Cancer Research</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9</w:t>
      </w:r>
      <w:r w:rsidRPr="00CC7AB4">
        <w:rPr>
          <w:rFonts w:ascii="Calibri" w:hAnsi="Calibri" w:cs="Calibri"/>
          <w:color w:val="000000"/>
          <w:sz w:val="20"/>
          <w:lang w:val="en-US"/>
        </w:rPr>
        <w:t>, 148–163 (1925).</w:t>
      </w:r>
    </w:p>
    <w:p w14:paraId="6536091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44.</w:t>
      </w:r>
      <w:r w:rsidRPr="00CC7AB4">
        <w:rPr>
          <w:rFonts w:ascii="Calibri" w:hAnsi="Calibri" w:cs="Calibri"/>
          <w:color w:val="000000"/>
          <w:sz w:val="20"/>
          <w:lang w:val="en-US"/>
        </w:rPr>
        <w:tab/>
        <w:t xml:space="preserve">Warburg, O. On the origin of cancer cells. </w:t>
      </w:r>
      <w:r w:rsidRPr="00CC7AB4">
        <w:rPr>
          <w:rFonts w:ascii="Calibri" w:hAnsi="Calibri" w:cs="Calibri"/>
          <w:i/>
          <w:iCs/>
          <w:color w:val="000000"/>
          <w:sz w:val="20"/>
          <w:lang w:val="en-US"/>
        </w:rPr>
        <w:t>Science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123</w:t>
      </w:r>
      <w:r w:rsidRPr="00CC7AB4">
        <w:rPr>
          <w:rFonts w:ascii="Calibri" w:hAnsi="Calibri" w:cs="Calibri"/>
          <w:color w:val="000000"/>
          <w:sz w:val="20"/>
          <w:lang w:val="en-US"/>
        </w:rPr>
        <w:t>, 309–314 (1956).</w:t>
      </w:r>
    </w:p>
    <w:p w14:paraId="65083EF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45.</w:t>
      </w:r>
      <w:r w:rsidRPr="00CC7AB4">
        <w:rPr>
          <w:rFonts w:ascii="Calibri" w:hAnsi="Calibri" w:cs="Calibri"/>
          <w:color w:val="000000"/>
          <w:sz w:val="20"/>
          <w:lang w:val="en-US"/>
        </w:rPr>
        <w:tab/>
        <w:t xml:space="preserve">Racker, E. Bioenergetics and the problem of tumor growth. </w:t>
      </w:r>
      <w:r w:rsidRPr="00CC7AB4">
        <w:rPr>
          <w:rFonts w:ascii="Calibri" w:hAnsi="Calibri" w:cs="Calibri"/>
          <w:i/>
          <w:iCs/>
          <w:color w:val="000000"/>
          <w:sz w:val="20"/>
          <w:lang w:val="en-US"/>
        </w:rPr>
        <w:t>Am. Sci.</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60</w:t>
      </w:r>
      <w:r w:rsidRPr="00CC7AB4">
        <w:rPr>
          <w:rFonts w:ascii="Calibri" w:hAnsi="Calibri" w:cs="Calibri"/>
          <w:color w:val="000000"/>
          <w:sz w:val="20"/>
          <w:lang w:val="en-US"/>
        </w:rPr>
        <w:t>, 56–63 (1972).</w:t>
      </w:r>
    </w:p>
    <w:p w14:paraId="0863F0E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46.</w:t>
      </w:r>
      <w:r w:rsidRPr="00CC7AB4">
        <w:rPr>
          <w:rFonts w:ascii="Calibri" w:hAnsi="Calibri" w:cs="Calibri"/>
          <w:color w:val="000000"/>
          <w:sz w:val="20"/>
          <w:lang w:val="en-US"/>
        </w:rPr>
        <w:tab/>
        <w:t xml:space="preserve">Flier, J. S., Mueckler, M. M., Usher, P. &amp; Lodish, H. F. Elevated levels of glucose transport and transporter messenger RNA are induced by ras or src oncogenes. </w:t>
      </w:r>
      <w:r w:rsidRPr="00CC7AB4">
        <w:rPr>
          <w:rFonts w:ascii="Calibri" w:hAnsi="Calibri" w:cs="Calibri"/>
          <w:i/>
          <w:iCs/>
          <w:color w:val="000000"/>
          <w:sz w:val="20"/>
          <w:lang w:val="en-US"/>
        </w:rPr>
        <w:t>Science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235</w:t>
      </w:r>
      <w:r w:rsidRPr="00CC7AB4">
        <w:rPr>
          <w:rFonts w:ascii="Calibri" w:hAnsi="Calibri" w:cs="Calibri"/>
          <w:color w:val="000000"/>
          <w:sz w:val="20"/>
          <w:lang w:val="en-US"/>
        </w:rPr>
        <w:t>, 1492–1495 (1987).</w:t>
      </w:r>
    </w:p>
    <w:p w14:paraId="7D1EAF93"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47.</w:t>
      </w:r>
      <w:r w:rsidRPr="00CC7AB4">
        <w:rPr>
          <w:rFonts w:ascii="Calibri" w:hAnsi="Calibri" w:cs="Calibri"/>
          <w:color w:val="000000"/>
          <w:sz w:val="20"/>
          <w:lang w:val="en-US"/>
        </w:rPr>
        <w:tab/>
        <w:t xml:space="preserve">Frezza, C., Pollard, P. J. &amp; Gottlieb, E. Inborn and acquired metabolic defects in cancer. </w:t>
      </w:r>
      <w:r w:rsidRPr="00CC7AB4">
        <w:rPr>
          <w:rFonts w:ascii="Calibri" w:hAnsi="Calibri" w:cs="Calibri"/>
          <w:i/>
          <w:iCs/>
          <w:color w:val="000000"/>
          <w:sz w:val="20"/>
          <w:lang w:val="en-US"/>
        </w:rPr>
        <w:t>J Mol Med</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89</w:t>
      </w:r>
      <w:r w:rsidRPr="00CC7AB4">
        <w:rPr>
          <w:rFonts w:ascii="Calibri" w:hAnsi="Calibri" w:cs="Calibri"/>
          <w:color w:val="000000"/>
          <w:sz w:val="20"/>
          <w:lang w:val="en-US"/>
        </w:rPr>
        <w:t>, 213–220 (2011).</w:t>
      </w:r>
    </w:p>
    <w:p w14:paraId="1D42A7C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48.</w:t>
      </w:r>
      <w:r w:rsidRPr="00CC7AB4">
        <w:rPr>
          <w:rFonts w:ascii="Calibri" w:hAnsi="Calibri" w:cs="Calibri"/>
          <w:color w:val="000000"/>
          <w:sz w:val="20"/>
          <w:lang w:val="en-US"/>
        </w:rPr>
        <w:tab/>
        <w:t xml:space="preserve">Haber, D. A. &amp; Fearon, E. R. The promise of cancer genetics. </w:t>
      </w:r>
      <w:r w:rsidRPr="00CC7AB4">
        <w:rPr>
          <w:rFonts w:ascii="Calibri" w:hAnsi="Calibri" w:cs="Calibri"/>
          <w:i/>
          <w:iCs/>
          <w:color w:val="000000"/>
          <w:sz w:val="20"/>
          <w:lang w:val="en-US"/>
        </w:rPr>
        <w:t>The Lancet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351</w:t>
      </w:r>
      <w:r w:rsidRPr="00CC7AB4">
        <w:rPr>
          <w:rFonts w:ascii="Calibri" w:hAnsi="Calibri" w:cs="Calibri"/>
          <w:color w:val="000000"/>
          <w:sz w:val="20"/>
          <w:lang w:val="en-US"/>
        </w:rPr>
        <w:t>, SII1–SII8 (1998).</w:t>
      </w:r>
    </w:p>
    <w:p w14:paraId="212BE74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49.</w:t>
      </w:r>
      <w:r w:rsidRPr="00CC7AB4">
        <w:rPr>
          <w:rFonts w:ascii="Calibri" w:hAnsi="Calibri" w:cs="Calibri"/>
          <w:color w:val="000000"/>
          <w:sz w:val="20"/>
          <w:lang w:val="en-US"/>
        </w:rPr>
        <w:tab/>
        <w:t xml:space="preserve">Liberti, M. V. &amp; Locasale, J. W. The Warburg Effect: How Does it Benefit Cancer Cells? </w:t>
      </w:r>
      <w:r w:rsidRPr="00CC7AB4">
        <w:rPr>
          <w:rFonts w:ascii="Calibri" w:hAnsi="Calibri" w:cs="Calibri"/>
          <w:i/>
          <w:iCs/>
          <w:color w:val="000000"/>
          <w:sz w:val="20"/>
          <w:lang w:val="en-US"/>
        </w:rPr>
        <w:t>Trends Biochem Sci</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41</w:t>
      </w:r>
      <w:r w:rsidRPr="00CC7AB4">
        <w:rPr>
          <w:rFonts w:ascii="Calibri" w:hAnsi="Calibri" w:cs="Calibri"/>
          <w:color w:val="000000"/>
          <w:sz w:val="20"/>
          <w:lang w:val="en-US"/>
        </w:rPr>
        <w:t>, 211–218 (2016).</w:t>
      </w:r>
    </w:p>
    <w:p w14:paraId="2C550C3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50.</w:t>
      </w:r>
      <w:r w:rsidRPr="00CC7AB4">
        <w:rPr>
          <w:rFonts w:ascii="Calibri" w:hAnsi="Calibri" w:cs="Calibri"/>
          <w:color w:val="000000"/>
          <w:sz w:val="20"/>
          <w:lang w:val="en-US"/>
        </w:rPr>
        <w:tab/>
        <w:t xml:space="preserve">Baysal, B. E.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Mutations in SDHD, a mitochondrial complex II gene, in hereditary paraganglioma. </w:t>
      </w:r>
      <w:r w:rsidRPr="00CC7AB4">
        <w:rPr>
          <w:rFonts w:ascii="Calibri" w:hAnsi="Calibri" w:cs="Calibri"/>
          <w:i/>
          <w:iCs/>
          <w:color w:val="000000"/>
          <w:sz w:val="20"/>
          <w:lang w:val="en-US"/>
        </w:rPr>
        <w:t>Science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287</w:t>
      </w:r>
      <w:r w:rsidRPr="00CC7AB4">
        <w:rPr>
          <w:rFonts w:ascii="Calibri" w:hAnsi="Calibri" w:cs="Calibri"/>
          <w:color w:val="000000"/>
          <w:sz w:val="20"/>
          <w:lang w:val="en-US"/>
        </w:rPr>
        <w:t>, 848–851 (2000).</w:t>
      </w:r>
    </w:p>
    <w:p w14:paraId="55C1E63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51.</w:t>
      </w:r>
      <w:r w:rsidRPr="00CC7AB4">
        <w:rPr>
          <w:rFonts w:ascii="Calibri" w:hAnsi="Calibri" w:cs="Calibri"/>
          <w:color w:val="000000"/>
          <w:sz w:val="20"/>
          <w:lang w:val="en-US"/>
        </w:rPr>
        <w:tab/>
        <w:t xml:space="preserve">Cervera, A. M., Apostolova, N., Crespo, F. L., Mata, M. &amp; McCreath, K. J. Cells silenced for SDHB expression display characteristic features of the tumor phenotype. </w:t>
      </w:r>
      <w:r w:rsidRPr="00CC7AB4">
        <w:rPr>
          <w:rFonts w:ascii="Calibri" w:hAnsi="Calibri" w:cs="Calibri"/>
          <w:i/>
          <w:iCs/>
          <w:color w:val="000000"/>
          <w:sz w:val="20"/>
          <w:lang w:val="en-US"/>
        </w:rPr>
        <w:t>Cancer Res.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68</w:t>
      </w:r>
      <w:r w:rsidRPr="00CC7AB4">
        <w:rPr>
          <w:rFonts w:ascii="Calibri" w:hAnsi="Calibri" w:cs="Calibri"/>
          <w:color w:val="000000"/>
          <w:sz w:val="20"/>
          <w:lang w:val="en-US"/>
        </w:rPr>
        <w:t>, 4058–4067 (2008).</w:t>
      </w:r>
    </w:p>
    <w:p w14:paraId="0AA9456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52.</w:t>
      </w:r>
      <w:r w:rsidRPr="00CC7AB4">
        <w:rPr>
          <w:rFonts w:ascii="Calibri" w:hAnsi="Calibri" w:cs="Calibri"/>
          <w:color w:val="000000"/>
          <w:sz w:val="20"/>
          <w:lang w:val="en-US"/>
        </w:rPr>
        <w:tab/>
        <w:t xml:space="preserve">Dahia, P. L.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 HIF1α Regulatory Loop Links Hypoxia and Mitochondrial Signals in Pheochromocytomas. </w:t>
      </w:r>
      <w:r w:rsidRPr="00CC7AB4">
        <w:rPr>
          <w:rFonts w:ascii="Calibri" w:hAnsi="Calibri" w:cs="Calibri"/>
          <w:i/>
          <w:iCs/>
          <w:color w:val="000000"/>
          <w:sz w:val="20"/>
          <w:lang w:val="en-US"/>
        </w:rPr>
        <w:t>PLoS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w:t>
      </w:r>
      <w:r w:rsidRPr="00CC7AB4">
        <w:rPr>
          <w:rFonts w:ascii="Calibri" w:hAnsi="Calibri" w:cs="Calibri"/>
          <w:color w:val="000000"/>
          <w:sz w:val="20"/>
          <w:lang w:val="en-US"/>
        </w:rPr>
        <w:t>, (2005).</w:t>
      </w:r>
    </w:p>
    <w:p w14:paraId="1AD7C16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53.</w:t>
      </w:r>
      <w:r w:rsidRPr="00CC7AB4">
        <w:rPr>
          <w:rFonts w:ascii="Calibri" w:hAnsi="Calibri" w:cs="Calibri"/>
          <w:color w:val="000000"/>
          <w:sz w:val="20"/>
          <w:lang w:val="en-US"/>
        </w:rPr>
        <w:tab/>
        <w:t xml:space="preserve">López-Jiménez, E.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Research resource: Transcriptional profiling reveals different pseudohypoxic signatures in SDHB and VHL-related pheochromocytomas. </w:t>
      </w:r>
      <w:r w:rsidRPr="00CC7AB4">
        <w:rPr>
          <w:rFonts w:ascii="Calibri" w:hAnsi="Calibri" w:cs="Calibri"/>
          <w:i/>
          <w:iCs/>
          <w:color w:val="000000"/>
          <w:sz w:val="20"/>
          <w:lang w:val="en-US"/>
        </w:rPr>
        <w:t>Mol. Endocrinol.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24</w:t>
      </w:r>
      <w:r w:rsidRPr="00CC7AB4">
        <w:rPr>
          <w:rFonts w:ascii="Calibri" w:hAnsi="Calibri" w:cs="Calibri"/>
          <w:color w:val="000000"/>
          <w:sz w:val="20"/>
          <w:lang w:val="en-US"/>
        </w:rPr>
        <w:t>, 2382–2391 (2010).</w:t>
      </w:r>
    </w:p>
    <w:p w14:paraId="62236F7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54.</w:t>
      </w:r>
      <w:r w:rsidRPr="00CC7AB4">
        <w:rPr>
          <w:rFonts w:ascii="Calibri" w:hAnsi="Calibri" w:cs="Calibri"/>
          <w:color w:val="000000"/>
          <w:sz w:val="20"/>
          <w:lang w:val="en-US"/>
        </w:rPr>
        <w:tab/>
        <w:t xml:space="preserve">Pollard, P.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Evidence of increased microvessel density and activation of the hypoxia pathway in tumours from the hereditary leiomyomatosis and renal cell cancer syndrome. </w:t>
      </w:r>
      <w:r w:rsidRPr="00CC7AB4">
        <w:rPr>
          <w:rFonts w:ascii="Calibri" w:hAnsi="Calibri" w:cs="Calibri"/>
          <w:i/>
          <w:iCs/>
          <w:color w:val="000000"/>
          <w:sz w:val="20"/>
          <w:lang w:val="en-US"/>
        </w:rPr>
        <w:t>J. Pathol.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205</w:t>
      </w:r>
      <w:r w:rsidRPr="00CC7AB4">
        <w:rPr>
          <w:rFonts w:ascii="Calibri" w:hAnsi="Calibri" w:cs="Calibri"/>
          <w:color w:val="000000"/>
          <w:sz w:val="20"/>
          <w:lang w:val="en-US"/>
        </w:rPr>
        <w:t>, 41–49 (2005).</w:t>
      </w:r>
    </w:p>
    <w:p w14:paraId="047853B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55.</w:t>
      </w:r>
      <w:r w:rsidRPr="00CC7AB4">
        <w:rPr>
          <w:rFonts w:ascii="Calibri" w:hAnsi="Calibri" w:cs="Calibri"/>
          <w:color w:val="000000"/>
          <w:sz w:val="20"/>
          <w:lang w:val="en-US"/>
        </w:rPr>
        <w:tab/>
        <w:t xml:space="preserve">Vanharanta,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Distinct expression profile in fumarate-hydratase-deficient uterine fibroids. </w:t>
      </w:r>
      <w:r w:rsidRPr="00CC7AB4">
        <w:rPr>
          <w:rFonts w:ascii="Calibri" w:hAnsi="Calibri" w:cs="Calibri"/>
          <w:i/>
          <w:iCs/>
          <w:color w:val="000000"/>
          <w:sz w:val="20"/>
          <w:lang w:val="en-US"/>
        </w:rPr>
        <w:t>Hum. Mol.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15</w:t>
      </w:r>
      <w:r w:rsidRPr="00CC7AB4">
        <w:rPr>
          <w:rFonts w:ascii="Calibri" w:hAnsi="Calibri" w:cs="Calibri"/>
          <w:color w:val="000000"/>
          <w:sz w:val="20"/>
          <w:lang w:val="en-US"/>
        </w:rPr>
        <w:t>, 97–103 (2006).</w:t>
      </w:r>
    </w:p>
    <w:p w14:paraId="1731714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56.</w:t>
      </w:r>
      <w:r w:rsidRPr="00CC7AB4">
        <w:rPr>
          <w:rFonts w:ascii="Calibri" w:hAnsi="Calibri" w:cs="Calibri"/>
          <w:color w:val="000000"/>
          <w:sz w:val="20"/>
          <w:lang w:val="en-US"/>
        </w:rPr>
        <w:tab/>
        <w:t xml:space="preserve">Mohlin, S., Wigerup, C., Jögi, A. &amp; Påhlman, S. Hypoxia, pseudohypoxia and cellular differentiation. </w:t>
      </w:r>
      <w:r w:rsidRPr="00CC7AB4">
        <w:rPr>
          <w:rFonts w:ascii="Calibri" w:hAnsi="Calibri" w:cs="Calibri"/>
          <w:i/>
          <w:iCs/>
          <w:color w:val="000000"/>
          <w:sz w:val="20"/>
          <w:lang w:val="en-US"/>
        </w:rPr>
        <w:t>Exp. Cell Res.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356</w:t>
      </w:r>
      <w:r w:rsidRPr="00CC7AB4">
        <w:rPr>
          <w:rFonts w:ascii="Calibri" w:hAnsi="Calibri" w:cs="Calibri"/>
          <w:color w:val="000000"/>
          <w:sz w:val="20"/>
          <w:lang w:val="en-US"/>
        </w:rPr>
        <w:t>, 192–196 (2017).</w:t>
      </w:r>
    </w:p>
    <w:p w14:paraId="5ED253D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57.</w:t>
      </w:r>
      <w:r w:rsidRPr="00CC7AB4">
        <w:rPr>
          <w:rFonts w:ascii="Calibri" w:hAnsi="Calibri" w:cs="Calibri"/>
          <w:color w:val="000000"/>
          <w:sz w:val="20"/>
          <w:lang w:val="en-US"/>
        </w:rPr>
        <w:tab/>
        <w:t xml:space="preserve">Wigerup, C., Påhlman, S. &amp; Bexell, D. Therapeutic targeting of hypoxia and hypoxia-inducible factors in cancer. </w:t>
      </w:r>
      <w:r w:rsidRPr="00CC7AB4">
        <w:rPr>
          <w:rFonts w:ascii="Calibri" w:hAnsi="Calibri" w:cs="Calibri"/>
          <w:i/>
          <w:iCs/>
          <w:color w:val="000000"/>
          <w:sz w:val="20"/>
          <w:lang w:val="en-US"/>
        </w:rPr>
        <w:t>Pharmacology &amp; Therapeutics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164</w:t>
      </w:r>
      <w:r w:rsidRPr="00CC7AB4">
        <w:rPr>
          <w:rFonts w:ascii="Calibri" w:hAnsi="Calibri" w:cs="Calibri"/>
          <w:color w:val="000000"/>
          <w:sz w:val="20"/>
          <w:lang w:val="en-US"/>
        </w:rPr>
        <w:t>, 152–169 (2016).</w:t>
      </w:r>
    </w:p>
    <w:p w14:paraId="45E6D2F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58.</w:t>
      </w:r>
      <w:r w:rsidRPr="00CC7AB4">
        <w:rPr>
          <w:rFonts w:ascii="Calibri" w:hAnsi="Calibri" w:cs="Calibri"/>
          <w:color w:val="000000"/>
          <w:sz w:val="20"/>
          <w:lang w:val="en-US"/>
        </w:rPr>
        <w:tab/>
        <w:t xml:space="preserve">Dang, L.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Cancer-associated IDH1 mutations produce 2-hydroxyglutarate.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462</w:t>
      </w:r>
      <w:r w:rsidRPr="00CC7AB4">
        <w:rPr>
          <w:rFonts w:ascii="Calibri" w:hAnsi="Calibri" w:cs="Calibri"/>
          <w:color w:val="000000"/>
          <w:sz w:val="20"/>
          <w:lang w:val="en-US"/>
        </w:rPr>
        <w:t>, 739–744 (2009).</w:t>
      </w:r>
    </w:p>
    <w:p w14:paraId="43383D9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59.</w:t>
      </w:r>
      <w:r w:rsidRPr="00CC7AB4">
        <w:rPr>
          <w:rFonts w:ascii="Calibri" w:hAnsi="Calibri" w:cs="Calibri"/>
          <w:color w:val="000000"/>
          <w:sz w:val="20"/>
          <w:lang w:val="en-US"/>
        </w:rPr>
        <w:tab/>
        <w:t xml:space="preserve">Achouri, Y.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Identification of a dehydrogenase acting on D-2-hydroxyglutarate. </w:t>
      </w:r>
      <w:r w:rsidRPr="00CC7AB4">
        <w:rPr>
          <w:rFonts w:ascii="Calibri" w:hAnsi="Calibri" w:cs="Calibri"/>
          <w:i/>
          <w:iCs/>
          <w:color w:val="000000"/>
          <w:sz w:val="20"/>
          <w:lang w:val="en-US"/>
        </w:rPr>
        <w:t>Biochem. J.</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381</w:t>
      </w:r>
      <w:r w:rsidRPr="00CC7AB4">
        <w:rPr>
          <w:rFonts w:ascii="Calibri" w:hAnsi="Calibri" w:cs="Calibri"/>
          <w:color w:val="000000"/>
          <w:sz w:val="20"/>
          <w:lang w:val="en-US"/>
        </w:rPr>
        <w:t>, 35–42 (2004).</w:t>
      </w:r>
    </w:p>
    <w:p w14:paraId="5F9FF7B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60.</w:t>
      </w:r>
      <w:r w:rsidRPr="00CC7AB4">
        <w:rPr>
          <w:rFonts w:ascii="Calibri" w:hAnsi="Calibri" w:cs="Calibri"/>
          <w:color w:val="000000"/>
          <w:sz w:val="20"/>
          <w:lang w:val="en-US"/>
        </w:rPr>
        <w:tab/>
        <w:t xml:space="preserve">Collins, R. R. J., Patel, K., Putnam, W. C., Kapur, P. &amp; Rakheja, D. Oncometabolites: A New Paradigm for Oncology, Metabolism, and the Clinical Laboratory. </w:t>
      </w:r>
      <w:r w:rsidRPr="00CC7AB4">
        <w:rPr>
          <w:rFonts w:ascii="Calibri" w:hAnsi="Calibri" w:cs="Calibri"/>
          <w:i/>
          <w:iCs/>
          <w:color w:val="000000"/>
          <w:sz w:val="20"/>
          <w:lang w:val="en-US"/>
        </w:rPr>
        <w:t>Clin. Chem.</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63</w:t>
      </w:r>
      <w:r w:rsidRPr="00CC7AB4">
        <w:rPr>
          <w:rFonts w:ascii="Calibri" w:hAnsi="Calibri" w:cs="Calibri"/>
          <w:color w:val="000000"/>
          <w:sz w:val="20"/>
          <w:lang w:val="en-US"/>
        </w:rPr>
        <w:t>, 1812–1820 (2017).</w:t>
      </w:r>
    </w:p>
    <w:p w14:paraId="16EE045D"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61.</w:t>
      </w:r>
      <w:r w:rsidRPr="00CC7AB4">
        <w:rPr>
          <w:rFonts w:ascii="Calibri" w:hAnsi="Calibri" w:cs="Calibri"/>
          <w:color w:val="000000"/>
          <w:sz w:val="20"/>
          <w:lang w:val="en-US"/>
        </w:rPr>
        <w:tab/>
        <w:t xml:space="preserve">Linster, C. L., Van Schaftingen, E. &amp; Hanson, A. D. Metabolite damage and its repair or pre-emption. </w:t>
      </w:r>
      <w:r w:rsidRPr="00CC7AB4">
        <w:rPr>
          <w:rFonts w:ascii="Calibri" w:hAnsi="Calibri" w:cs="Calibri"/>
          <w:i/>
          <w:iCs/>
          <w:color w:val="000000"/>
          <w:sz w:val="20"/>
          <w:lang w:val="en-US"/>
        </w:rPr>
        <w:t>Nature Chemical Biology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9</w:t>
      </w:r>
      <w:r w:rsidRPr="00CC7AB4">
        <w:rPr>
          <w:rFonts w:ascii="Calibri" w:hAnsi="Calibri" w:cs="Calibri"/>
          <w:color w:val="000000"/>
          <w:sz w:val="20"/>
          <w:lang w:val="en-US"/>
        </w:rPr>
        <w:t>, 72–80 (2013).</w:t>
      </w:r>
    </w:p>
    <w:p w14:paraId="442A2D1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62.</w:t>
      </w:r>
      <w:r w:rsidRPr="00CC7AB4">
        <w:rPr>
          <w:rFonts w:ascii="Calibri" w:hAnsi="Calibri" w:cs="Calibri"/>
          <w:color w:val="000000"/>
          <w:sz w:val="20"/>
          <w:lang w:val="en-US"/>
        </w:rPr>
        <w:tab/>
        <w:t xml:space="preserve">Struys, E. A. 2-Hydroxyglutarate is not a metabolite; d-2-hydroxyglutarate and l-2-hydroxyglutarate are! </w:t>
      </w:r>
      <w:r w:rsidRPr="00CC7AB4">
        <w:rPr>
          <w:rFonts w:ascii="Calibri" w:hAnsi="Calibri" w:cs="Calibri"/>
          <w:i/>
          <w:iCs/>
          <w:color w:val="000000"/>
          <w:sz w:val="20"/>
          <w:lang w:val="en-US"/>
        </w:rPr>
        <w:t>Proc Natl Acad Sci U S A</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110</w:t>
      </w:r>
      <w:r w:rsidRPr="00CC7AB4">
        <w:rPr>
          <w:rFonts w:ascii="Calibri" w:hAnsi="Calibri" w:cs="Calibri"/>
          <w:color w:val="000000"/>
          <w:sz w:val="20"/>
          <w:lang w:val="en-US"/>
        </w:rPr>
        <w:t>, E4939 (2013).</w:t>
      </w:r>
    </w:p>
    <w:p w14:paraId="210FB16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63.</w:t>
      </w:r>
      <w:r w:rsidRPr="00CC7AB4">
        <w:rPr>
          <w:rFonts w:ascii="Calibri" w:hAnsi="Calibri" w:cs="Calibri"/>
          <w:color w:val="000000"/>
          <w:sz w:val="20"/>
          <w:lang w:val="en-US"/>
        </w:rPr>
        <w:tab/>
        <w:t xml:space="preserve">Aghili, M., Zahedi, F. &amp; Rafiee, E. Hydroxyglutaric aciduria and malignant brain tumor: a case report and literature review. </w:t>
      </w:r>
      <w:r w:rsidRPr="00CC7AB4">
        <w:rPr>
          <w:rFonts w:ascii="Calibri" w:hAnsi="Calibri" w:cs="Calibri"/>
          <w:i/>
          <w:iCs/>
          <w:color w:val="000000"/>
          <w:sz w:val="20"/>
          <w:lang w:val="en-US"/>
        </w:rPr>
        <w:t>J. Neurooncol.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91</w:t>
      </w:r>
      <w:r w:rsidRPr="00CC7AB4">
        <w:rPr>
          <w:rFonts w:ascii="Calibri" w:hAnsi="Calibri" w:cs="Calibri"/>
          <w:color w:val="000000"/>
          <w:sz w:val="20"/>
          <w:lang w:val="en-US"/>
        </w:rPr>
        <w:t>, 233–236 (2009).</w:t>
      </w:r>
    </w:p>
    <w:p w14:paraId="7214A5A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64.</w:t>
      </w:r>
      <w:r w:rsidRPr="00CC7AB4">
        <w:rPr>
          <w:rFonts w:ascii="Calibri" w:hAnsi="Calibri" w:cs="Calibri"/>
          <w:color w:val="000000"/>
          <w:sz w:val="20"/>
          <w:lang w:val="en-US"/>
        </w:rPr>
        <w:tab/>
        <w:t xml:space="preserve">Moroni, I.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L-2-hydroxyglutaric aciduria and brain malignant tumors: a predisposing condition? </w:t>
      </w:r>
      <w:r w:rsidRPr="00CC7AB4">
        <w:rPr>
          <w:rFonts w:ascii="Calibri" w:hAnsi="Calibri" w:cs="Calibri"/>
          <w:i/>
          <w:iCs/>
          <w:color w:val="000000"/>
          <w:sz w:val="20"/>
          <w:lang w:val="en-US"/>
        </w:rPr>
        <w:t>Neurology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62</w:t>
      </w:r>
      <w:r w:rsidRPr="00CC7AB4">
        <w:rPr>
          <w:rFonts w:ascii="Calibri" w:hAnsi="Calibri" w:cs="Calibri"/>
          <w:color w:val="000000"/>
          <w:sz w:val="20"/>
          <w:lang w:val="en-US"/>
        </w:rPr>
        <w:t>, 1882–1884 (2004).</w:t>
      </w:r>
    </w:p>
    <w:p w14:paraId="1D2432E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65.</w:t>
      </w:r>
      <w:r w:rsidRPr="00CC7AB4">
        <w:rPr>
          <w:rFonts w:ascii="Calibri" w:hAnsi="Calibri" w:cs="Calibri"/>
          <w:color w:val="000000"/>
          <w:sz w:val="20"/>
          <w:lang w:val="en-US"/>
        </w:rPr>
        <w:tab/>
        <w:t xml:space="preserve">Rogers, R. E.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Wilms tumor in a child with L-2-hydroxyglutaric aciduria. </w:t>
      </w:r>
      <w:r w:rsidRPr="00CC7AB4">
        <w:rPr>
          <w:rFonts w:ascii="Calibri" w:hAnsi="Calibri" w:cs="Calibri"/>
          <w:i/>
          <w:iCs/>
          <w:color w:val="000000"/>
          <w:sz w:val="20"/>
          <w:lang w:val="en-US"/>
        </w:rPr>
        <w:t>Pediatr. Dev. Pathol.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13</w:t>
      </w:r>
      <w:r w:rsidRPr="00CC7AB4">
        <w:rPr>
          <w:rFonts w:ascii="Calibri" w:hAnsi="Calibri" w:cs="Calibri"/>
          <w:color w:val="000000"/>
          <w:sz w:val="20"/>
          <w:lang w:val="en-US"/>
        </w:rPr>
        <w:t>, 408–411 (2010).</w:t>
      </w:r>
    </w:p>
    <w:p w14:paraId="10C211DA"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66.</w:t>
      </w:r>
      <w:r w:rsidRPr="00CC7AB4">
        <w:rPr>
          <w:rFonts w:ascii="Calibri" w:hAnsi="Calibri" w:cs="Calibri"/>
          <w:color w:val="000000"/>
          <w:sz w:val="20"/>
          <w:lang w:val="en-US"/>
        </w:rPr>
        <w:tab/>
        <w:t xml:space="preserve">Kranendijk,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IDH2 Mutations in Patients with d-2-Hydroxyglutaric Aciduria. </w:t>
      </w:r>
      <w:r w:rsidRPr="00CC7AB4">
        <w:rPr>
          <w:rFonts w:ascii="Calibri" w:hAnsi="Calibri" w:cs="Calibri"/>
          <w:i/>
          <w:iCs/>
          <w:color w:val="000000"/>
          <w:sz w:val="20"/>
          <w:lang w:val="en-US"/>
        </w:rPr>
        <w:t>Science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330</w:t>
      </w:r>
      <w:r w:rsidRPr="00CC7AB4">
        <w:rPr>
          <w:rFonts w:ascii="Calibri" w:hAnsi="Calibri" w:cs="Calibri"/>
          <w:color w:val="000000"/>
          <w:sz w:val="20"/>
          <w:lang w:val="en-US"/>
        </w:rPr>
        <w:t>, 336–336 (2010).</w:t>
      </w:r>
    </w:p>
    <w:p w14:paraId="00339FA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67.</w:t>
      </w:r>
      <w:r w:rsidRPr="00CC7AB4">
        <w:rPr>
          <w:rFonts w:ascii="Calibri" w:hAnsi="Calibri" w:cs="Calibri"/>
          <w:color w:val="000000"/>
          <w:sz w:val="20"/>
          <w:lang w:val="en-US"/>
        </w:rPr>
        <w:tab/>
        <w:t xml:space="preserve">Morin, A., Letouzé, E., Gimenez‐Roqueplo, A.-P. &amp; Favier, J. Oncometabolites‐driven tumorigenesis: From genetics to targeted therapy. </w:t>
      </w:r>
      <w:r w:rsidRPr="00CC7AB4">
        <w:rPr>
          <w:rFonts w:ascii="Calibri" w:hAnsi="Calibri" w:cs="Calibri"/>
          <w:i/>
          <w:iCs/>
          <w:color w:val="000000"/>
          <w:sz w:val="20"/>
          <w:lang w:val="en-US"/>
        </w:rPr>
        <w:t>International Journal of Cancer</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135</w:t>
      </w:r>
      <w:r w:rsidRPr="00CC7AB4">
        <w:rPr>
          <w:rFonts w:ascii="Calibri" w:hAnsi="Calibri" w:cs="Calibri"/>
          <w:color w:val="000000"/>
          <w:sz w:val="20"/>
          <w:lang w:val="en-US"/>
        </w:rPr>
        <w:t>, 2237–2248 (2014).</w:t>
      </w:r>
    </w:p>
    <w:p w14:paraId="578194A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68.</w:t>
      </w:r>
      <w:r w:rsidRPr="00CC7AB4">
        <w:rPr>
          <w:rFonts w:ascii="Calibri" w:hAnsi="Calibri" w:cs="Calibri"/>
          <w:color w:val="000000"/>
          <w:sz w:val="20"/>
          <w:lang w:val="en-US"/>
        </w:rPr>
        <w:tab/>
        <w:t xml:space="preserve">Sciacovelli, M. &amp; Frezza, C. Oncometabolites: Unconventional triggers of oncogenic signalling cascades. </w:t>
      </w:r>
      <w:r w:rsidRPr="00CC7AB4">
        <w:rPr>
          <w:rFonts w:ascii="Calibri" w:hAnsi="Calibri" w:cs="Calibri"/>
          <w:i/>
          <w:iCs/>
          <w:color w:val="000000"/>
          <w:sz w:val="20"/>
          <w:lang w:val="en-US"/>
        </w:rPr>
        <w:t>Free Radic Biol Med</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100</w:t>
      </w:r>
      <w:r w:rsidRPr="00CC7AB4">
        <w:rPr>
          <w:rFonts w:ascii="Calibri" w:hAnsi="Calibri" w:cs="Calibri"/>
          <w:color w:val="000000"/>
          <w:sz w:val="20"/>
          <w:lang w:val="en-US"/>
        </w:rPr>
        <w:t>, 175–181 (2016).</w:t>
      </w:r>
    </w:p>
    <w:p w14:paraId="212FA3B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69.</w:t>
      </w:r>
      <w:r w:rsidRPr="00CC7AB4">
        <w:rPr>
          <w:rFonts w:ascii="Calibri" w:hAnsi="Calibri" w:cs="Calibri"/>
          <w:color w:val="000000"/>
          <w:sz w:val="20"/>
          <w:lang w:val="en-US"/>
        </w:rPr>
        <w:tab/>
        <w:t xml:space="preserve">Castro-Vega, L.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Germline mutations in FH confer predisposition to malignant pheochromocytomas and paragangliomas. </w:t>
      </w:r>
      <w:r w:rsidRPr="00CC7AB4">
        <w:rPr>
          <w:rFonts w:ascii="Calibri" w:hAnsi="Calibri" w:cs="Calibri"/>
          <w:i/>
          <w:iCs/>
          <w:color w:val="000000"/>
          <w:sz w:val="20"/>
          <w:lang w:val="en-US"/>
        </w:rPr>
        <w:t>Hum. Mol.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23</w:t>
      </w:r>
      <w:r w:rsidRPr="00CC7AB4">
        <w:rPr>
          <w:rFonts w:ascii="Calibri" w:hAnsi="Calibri" w:cs="Calibri"/>
          <w:color w:val="000000"/>
          <w:sz w:val="20"/>
          <w:lang w:val="en-US"/>
        </w:rPr>
        <w:t>, 2440–2446 (2014).</w:t>
      </w:r>
    </w:p>
    <w:p w14:paraId="3BA90A7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70.</w:t>
      </w:r>
      <w:r w:rsidRPr="00CC7AB4">
        <w:rPr>
          <w:rFonts w:ascii="Calibri" w:hAnsi="Calibri" w:cs="Calibri"/>
          <w:color w:val="000000"/>
          <w:sz w:val="20"/>
          <w:lang w:val="en-US"/>
        </w:rPr>
        <w:tab/>
        <w:t xml:space="preserve">Kaelin, W. G. SDH5 mutations and familial paraganglioma: somewhere Warburg is smiling.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16</w:t>
      </w:r>
      <w:r w:rsidRPr="00CC7AB4">
        <w:rPr>
          <w:rFonts w:ascii="Calibri" w:hAnsi="Calibri" w:cs="Calibri"/>
          <w:color w:val="000000"/>
          <w:sz w:val="20"/>
          <w:lang w:val="en-US"/>
        </w:rPr>
        <w:t>, 180–182 (2009).</w:t>
      </w:r>
    </w:p>
    <w:p w14:paraId="5F0410C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71.</w:t>
      </w:r>
      <w:r w:rsidRPr="00CC7AB4">
        <w:rPr>
          <w:rFonts w:ascii="Calibri" w:hAnsi="Calibri" w:cs="Calibri"/>
          <w:color w:val="000000"/>
          <w:sz w:val="20"/>
          <w:lang w:val="en-US"/>
        </w:rPr>
        <w:tab/>
        <w:t xml:space="preserve">Xu, W.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Oncometabolite 2-Hydroxyglutarate Is a Competitive Inhibitor of α-Ketoglutarate-Dependent Dioxygenases.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19</w:t>
      </w:r>
      <w:r w:rsidRPr="00CC7AB4">
        <w:rPr>
          <w:rFonts w:ascii="Calibri" w:hAnsi="Calibri" w:cs="Calibri"/>
          <w:color w:val="000000"/>
          <w:sz w:val="20"/>
          <w:lang w:val="en-US"/>
        </w:rPr>
        <w:t>, 17–30 (2011).</w:t>
      </w:r>
    </w:p>
    <w:p w14:paraId="3A05C64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72.</w:t>
      </w:r>
      <w:r w:rsidRPr="00CC7AB4">
        <w:rPr>
          <w:rFonts w:ascii="Calibri" w:hAnsi="Calibri" w:cs="Calibri"/>
          <w:color w:val="000000"/>
          <w:sz w:val="20"/>
          <w:lang w:val="en-US"/>
        </w:rPr>
        <w:tab/>
        <w:t xml:space="preserve">Yan, 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IDH1 and IDH2 Mutations in Gliomas. </w:t>
      </w:r>
      <w:r w:rsidRPr="00CC7AB4">
        <w:rPr>
          <w:rFonts w:ascii="Calibri" w:hAnsi="Calibri" w:cs="Calibri"/>
          <w:i/>
          <w:iCs/>
          <w:color w:val="000000"/>
          <w:sz w:val="20"/>
          <w:lang w:val="en-US"/>
        </w:rPr>
        <w:t>N Engl J Med</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360</w:t>
      </w:r>
      <w:r w:rsidRPr="00CC7AB4">
        <w:rPr>
          <w:rFonts w:ascii="Calibri" w:hAnsi="Calibri" w:cs="Calibri"/>
          <w:color w:val="000000"/>
          <w:sz w:val="20"/>
          <w:lang w:val="en-US"/>
        </w:rPr>
        <w:t>, 765–773 (2009).</w:t>
      </w:r>
    </w:p>
    <w:p w14:paraId="0A93FC3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73.</w:t>
      </w:r>
      <w:r w:rsidRPr="00CC7AB4">
        <w:rPr>
          <w:rFonts w:ascii="Calibri" w:hAnsi="Calibri" w:cs="Calibri"/>
          <w:color w:val="000000"/>
          <w:sz w:val="20"/>
          <w:lang w:val="en-US"/>
        </w:rPr>
        <w:tab/>
        <w:t xml:space="preserve">Gross,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Cancer-associated metabolite 2-hydroxyglutarate accumulates in acute myelogenous leukemia with isocitrate dehydrogenase 1 and 2 mutations. </w:t>
      </w:r>
      <w:r w:rsidRPr="00CC7AB4">
        <w:rPr>
          <w:rFonts w:ascii="Calibri" w:hAnsi="Calibri" w:cs="Calibri"/>
          <w:i/>
          <w:iCs/>
          <w:color w:val="000000"/>
          <w:sz w:val="20"/>
          <w:lang w:val="en-US"/>
        </w:rPr>
        <w:t>J. Exp. Med.</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207</w:t>
      </w:r>
      <w:r w:rsidRPr="00CC7AB4">
        <w:rPr>
          <w:rFonts w:ascii="Calibri" w:hAnsi="Calibri" w:cs="Calibri"/>
          <w:color w:val="000000"/>
          <w:sz w:val="20"/>
          <w:lang w:val="en-US"/>
        </w:rPr>
        <w:t>, 339–344 (2010).</w:t>
      </w:r>
    </w:p>
    <w:p w14:paraId="6A3F97D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74.</w:t>
      </w:r>
      <w:r w:rsidRPr="00CC7AB4">
        <w:rPr>
          <w:rFonts w:ascii="Calibri" w:hAnsi="Calibri" w:cs="Calibri"/>
          <w:color w:val="000000"/>
          <w:sz w:val="20"/>
          <w:lang w:val="en-US"/>
        </w:rPr>
        <w:tab/>
        <w:t xml:space="preserve">Ward, P.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The common feature of leukemia-associated IDH1 and IDH2 mutations is a neomorphic enzyme activity converting alpha-ketoglutarate to 2-hydroxyglutarate.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17</w:t>
      </w:r>
      <w:r w:rsidRPr="00CC7AB4">
        <w:rPr>
          <w:rFonts w:ascii="Calibri" w:hAnsi="Calibri" w:cs="Calibri"/>
          <w:color w:val="000000"/>
          <w:sz w:val="20"/>
          <w:lang w:val="en-US"/>
        </w:rPr>
        <w:t>, 225–234 (2010).</w:t>
      </w:r>
    </w:p>
    <w:p w14:paraId="24B095A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75.</w:t>
      </w:r>
      <w:r w:rsidRPr="00CC7AB4">
        <w:rPr>
          <w:rFonts w:ascii="Calibri" w:hAnsi="Calibri" w:cs="Calibri"/>
          <w:color w:val="000000"/>
          <w:sz w:val="20"/>
          <w:lang w:val="en-US"/>
        </w:rPr>
        <w:tab/>
        <w:t xml:space="preserve">Mukherjee, P. K.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Metabolomic analysis identifies differentially produced oral metabolites, including the oncometabolite 2-hydroxyglutarate, in patients with head and neck squamous cell carcinoma. </w:t>
      </w:r>
      <w:r w:rsidRPr="00CC7AB4">
        <w:rPr>
          <w:rFonts w:ascii="Calibri" w:hAnsi="Calibri" w:cs="Calibri"/>
          <w:i/>
          <w:iCs/>
          <w:color w:val="000000"/>
          <w:sz w:val="20"/>
          <w:lang w:val="en-US"/>
        </w:rPr>
        <w:t>BBA Clinical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w:t>
      </w:r>
      <w:r w:rsidRPr="00CC7AB4">
        <w:rPr>
          <w:rFonts w:ascii="Calibri" w:hAnsi="Calibri" w:cs="Calibri"/>
          <w:color w:val="000000"/>
          <w:sz w:val="20"/>
          <w:lang w:val="en-US"/>
        </w:rPr>
        <w:t>, 8–15 (2017).</w:t>
      </w:r>
    </w:p>
    <w:p w14:paraId="256A084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76.</w:t>
      </w:r>
      <w:r w:rsidRPr="00CC7AB4">
        <w:rPr>
          <w:rFonts w:ascii="Calibri" w:hAnsi="Calibri" w:cs="Calibri"/>
          <w:color w:val="000000"/>
          <w:sz w:val="20"/>
          <w:lang w:val="en-US"/>
        </w:rPr>
        <w:tab/>
        <w:t xml:space="preserve">Shelar,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Biochemical and Epigenetic Insights into L-2-Hydroxyglutarate, a Potential Therapeutic Target in Renal Cancer. </w:t>
      </w:r>
      <w:r w:rsidRPr="00CC7AB4">
        <w:rPr>
          <w:rFonts w:ascii="Calibri" w:hAnsi="Calibri" w:cs="Calibri"/>
          <w:i/>
          <w:iCs/>
          <w:color w:val="000000"/>
          <w:sz w:val="20"/>
          <w:lang w:val="en-US"/>
        </w:rPr>
        <w:t>Clin. Cancer Res.</w:t>
      </w:r>
      <w:r w:rsidRPr="00CC7AB4">
        <w:rPr>
          <w:rFonts w:ascii="Calibri" w:hAnsi="Calibri" w:cs="Calibri"/>
          <w:color w:val="000000"/>
          <w:sz w:val="20"/>
          <w:lang w:val="en-US"/>
        </w:rPr>
        <w:t xml:space="preserve"> (2018). doi:10.1158/1078-0432.CCR-18-1727</w:t>
      </w:r>
    </w:p>
    <w:p w14:paraId="6FCB5E4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77.</w:t>
      </w:r>
      <w:r w:rsidRPr="00CC7AB4">
        <w:rPr>
          <w:rFonts w:ascii="Calibri" w:hAnsi="Calibri" w:cs="Calibri"/>
          <w:color w:val="000000"/>
          <w:sz w:val="20"/>
          <w:lang w:val="en-US"/>
        </w:rPr>
        <w:tab/>
        <w:t xml:space="preserve">Sciacovelli,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Fumarate is an epigenetic modifier that elicits epithelial-to-mesenchymal transition.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537</w:t>
      </w:r>
      <w:r w:rsidRPr="00CC7AB4">
        <w:rPr>
          <w:rFonts w:ascii="Calibri" w:hAnsi="Calibri" w:cs="Calibri"/>
          <w:color w:val="000000"/>
          <w:sz w:val="20"/>
          <w:lang w:val="en-US"/>
        </w:rPr>
        <w:t>, 544–547 (2016).</w:t>
      </w:r>
    </w:p>
    <w:p w14:paraId="67EBF01A"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78.</w:t>
      </w:r>
      <w:r w:rsidRPr="00CC7AB4">
        <w:rPr>
          <w:rFonts w:ascii="Calibri" w:hAnsi="Calibri" w:cs="Calibri"/>
          <w:color w:val="000000"/>
          <w:sz w:val="20"/>
          <w:lang w:val="en-US"/>
        </w:rPr>
        <w:tab/>
        <w:t xml:space="preserve">Bardella Chiara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Aberrant succination of proteins in fumarate hydratase‐deficient mice and HLRCC patients is a robust biomarker of mutation status. </w:t>
      </w:r>
      <w:r w:rsidRPr="00CC7AB4">
        <w:rPr>
          <w:rFonts w:ascii="Calibri" w:hAnsi="Calibri" w:cs="Calibri"/>
          <w:i/>
          <w:iCs/>
          <w:color w:val="000000"/>
          <w:sz w:val="20"/>
          <w:lang w:val="en-US"/>
        </w:rPr>
        <w:t>The Journal of Pathology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225</w:t>
      </w:r>
      <w:r w:rsidRPr="00CC7AB4">
        <w:rPr>
          <w:rFonts w:ascii="Calibri" w:hAnsi="Calibri" w:cs="Calibri"/>
          <w:color w:val="000000"/>
          <w:sz w:val="20"/>
          <w:lang w:val="en-US"/>
        </w:rPr>
        <w:t>, 4–11 (2011).</w:t>
      </w:r>
    </w:p>
    <w:p w14:paraId="6167057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79.</w:t>
      </w:r>
      <w:r w:rsidRPr="00CC7AB4">
        <w:rPr>
          <w:rFonts w:ascii="Calibri" w:hAnsi="Calibri" w:cs="Calibri"/>
          <w:color w:val="000000"/>
          <w:sz w:val="20"/>
          <w:lang w:val="en-US"/>
        </w:rPr>
        <w:tab/>
        <w:t xml:space="preserve">Kinch, L., Grishin, N. V. &amp; Brugarolas, J. Succination of Keap1 and activation of Nrf2-dependent antioxidant pathways in FH-deficient papillary renal cell carcinoma type-2.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20</w:t>
      </w:r>
      <w:r w:rsidRPr="00CC7AB4">
        <w:rPr>
          <w:rFonts w:ascii="Calibri" w:hAnsi="Calibri" w:cs="Calibri"/>
          <w:color w:val="000000"/>
          <w:sz w:val="20"/>
          <w:lang w:val="en-US"/>
        </w:rPr>
        <w:t>, 418–420 (2011).</w:t>
      </w:r>
    </w:p>
    <w:p w14:paraId="48496EE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80.</w:t>
      </w:r>
      <w:r w:rsidRPr="00CC7AB4">
        <w:rPr>
          <w:rFonts w:ascii="Calibri" w:hAnsi="Calibri" w:cs="Calibri"/>
          <w:color w:val="000000"/>
          <w:sz w:val="20"/>
          <w:lang w:val="en-US"/>
        </w:rPr>
        <w:tab/>
        <w:t xml:space="preserve">Gottlieb, E. &amp; Tomlinson, I. P. M. Mitochondrial tumour suppressors: a genetic and biochemical update. </w:t>
      </w:r>
      <w:r w:rsidRPr="00CC7AB4">
        <w:rPr>
          <w:rFonts w:ascii="Calibri" w:hAnsi="Calibri" w:cs="Calibri"/>
          <w:i/>
          <w:iCs/>
          <w:color w:val="000000"/>
          <w:sz w:val="20"/>
          <w:lang w:val="en-US"/>
        </w:rPr>
        <w:t>Nature Reviews Cancer</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w:t>
      </w:r>
      <w:r w:rsidRPr="00CC7AB4">
        <w:rPr>
          <w:rFonts w:ascii="Calibri" w:hAnsi="Calibri" w:cs="Calibri"/>
          <w:color w:val="000000"/>
          <w:sz w:val="20"/>
          <w:lang w:val="en-US"/>
        </w:rPr>
        <w:t>, 857–866 (2005).</w:t>
      </w:r>
    </w:p>
    <w:p w14:paraId="4430C1D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81.</w:t>
      </w:r>
      <w:r w:rsidRPr="00CC7AB4">
        <w:rPr>
          <w:rFonts w:ascii="Calibri" w:hAnsi="Calibri" w:cs="Calibri"/>
          <w:color w:val="000000"/>
          <w:sz w:val="20"/>
          <w:lang w:val="en-US"/>
        </w:rPr>
        <w:tab/>
        <w:t xml:space="preserve">Knudson, A. G. Mutation and Cancer: Statistical Study of Retinoblastoma. </w:t>
      </w:r>
      <w:r w:rsidRPr="00CC7AB4">
        <w:rPr>
          <w:rFonts w:ascii="Calibri" w:hAnsi="Calibri" w:cs="Calibri"/>
          <w:i/>
          <w:iCs/>
          <w:color w:val="000000"/>
          <w:sz w:val="20"/>
          <w:lang w:val="en-US"/>
        </w:rPr>
        <w:t>PNAS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68</w:t>
      </w:r>
      <w:r w:rsidRPr="00CC7AB4">
        <w:rPr>
          <w:rFonts w:ascii="Calibri" w:hAnsi="Calibri" w:cs="Calibri"/>
          <w:color w:val="000000"/>
          <w:sz w:val="20"/>
          <w:lang w:val="en-US"/>
        </w:rPr>
        <w:t>, 820–823 (1971).</w:t>
      </w:r>
    </w:p>
    <w:p w14:paraId="1D88AC0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82.</w:t>
      </w:r>
      <w:r w:rsidRPr="00CC7AB4">
        <w:rPr>
          <w:rFonts w:ascii="Calibri" w:hAnsi="Calibri" w:cs="Calibri"/>
          <w:color w:val="000000"/>
          <w:sz w:val="20"/>
          <w:lang w:val="en-US"/>
        </w:rPr>
        <w:tab/>
        <w:t xml:space="preserve">Clark, G. R.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Germline FH Mutations Presenting With Pheochromocytoma. </w:t>
      </w:r>
      <w:r w:rsidRPr="00CC7AB4">
        <w:rPr>
          <w:rFonts w:ascii="Calibri" w:hAnsi="Calibri" w:cs="Calibri"/>
          <w:i/>
          <w:iCs/>
          <w:color w:val="000000"/>
          <w:sz w:val="20"/>
          <w:lang w:val="en-US"/>
        </w:rPr>
        <w:t>J Clin Endocrinol Metab</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99</w:t>
      </w:r>
      <w:r w:rsidRPr="00CC7AB4">
        <w:rPr>
          <w:rFonts w:ascii="Calibri" w:hAnsi="Calibri" w:cs="Calibri"/>
          <w:color w:val="000000"/>
          <w:sz w:val="20"/>
          <w:lang w:val="en-US"/>
        </w:rPr>
        <w:t>, E2046–E2050 (2014).</w:t>
      </w:r>
    </w:p>
    <w:p w14:paraId="1F3D0D8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83.</w:t>
      </w:r>
      <w:r w:rsidRPr="00CC7AB4">
        <w:rPr>
          <w:rFonts w:ascii="Calibri" w:hAnsi="Calibri" w:cs="Calibri"/>
          <w:color w:val="000000"/>
          <w:sz w:val="20"/>
          <w:lang w:val="en-US"/>
        </w:rPr>
        <w:tab/>
        <w:t xml:space="preserve">Malinoc, A.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Biallelic inactivation of the SDHC gene in renal carcinoma associated with paraganglioma syndrome type 3. </w:t>
      </w:r>
      <w:r w:rsidRPr="00CC7AB4">
        <w:rPr>
          <w:rFonts w:ascii="Calibri" w:hAnsi="Calibri" w:cs="Calibri"/>
          <w:i/>
          <w:iCs/>
          <w:color w:val="000000"/>
          <w:sz w:val="20"/>
          <w:lang w:val="en-US"/>
        </w:rPr>
        <w:t>Endocr. Relat. Cancer</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19</w:t>
      </w:r>
      <w:r w:rsidRPr="00CC7AB4">
        <w:rPr>
          <w:rFonts w:ascii="Calibri" w:hAnsi="Calibri" w:cs="Calibri"/>
          <w:color w:val="000000"/>
          <w:sz w:val="20"/>
          <w:lang w:val="en-US"/>
        </w:rPr>
        <w:t>, 283–290 (2012).</w:t>
      </w:r>
    </w:p>
    <w:p w14:paraId="043C73E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84.</w:t>
      </w:r>
      <w:r w:rsidRPr="00CC7AB4">
        <w:rPr>
          <w:rFonts w:ascii="Calibri" w:hAnsi="Calibri" w:cs="Calibri"/>
          <w:color w:val="000000"/>
          <w:sz w:val="20"/>
          <w:lang w:val="en-US"/>
        </w:rPr>
        <w:tab/>
        <w:t xml:space="preserve">Neumann, H. P. 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Distinct clinical features of paraganglioma syndromes associated with SDHB and SDHD gene mutations. </w:t>
      </w:r>
      <w:r w:rsidRPr="00CC7AB4">
        <w:rPr>
          <w:rFonts w:ascii="Calibri" w:hAnsi="Calibri" w:cs="Calibri"/>
          <w:i/>
          <w:iCs/>
          <w:color w:val="000000"/>
          <w:sz w:val="20"/>
          <w:lang w:val="en-US"/>
        </w:rPr>
        <w:t>JAMA</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292</w:t>
      </w:r>
      <w:r w:rsidRPr="00CC7AB4">
        <w:rPr>
          <w:rFonts w:ascii="Calibri" w:hAnsi="Calibri" w:cs="Calibri"/>
          <w:color w:val="000000"/>
          <w:sz w:val="20"/>
          <w:lang w:val="en-US"/>
        </w:rPr>
        <w:t>, 943–951 (2004).</w:t>
      </w:r>
    </w:p>
    <w:p w14:paraId="1E36E41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85.</w:t>
      </w:r>
      <w:r w:rsidRPr="00CC7AB4">
        <w:rPr>
          <w:rFonts w:ascii="Calibri" w:hAnsi="Calibri" w:cs="Calibri"/>
          <w:color w:val="000000"/>
          <w:sz w:val="20"/>
          <w:lang w:val="en-US"/>
        </w:rPr>
        <w:tab/>
        <w:t xml:space="preserve">Ni, Y.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Germline Mutations and Variants in the Succinate Dehydrogenase Genes in Cowden and Cowden-like Syndromes. </w:t>
      </w:r>
      <w:r w:rsidRPr="00CC7AB4">
        <w:rPr>
          <w:rFonts w:ascii="Calibri" w:hAnsi="Calibri" w:cs="Calibri"/>
          <w:i/>
          <w:iCs/>
          <w:color w:val="000000"/>
          <w:sz w:val="20"/>
          <w:lang w:val="en-US"/>
        </w:rPr>
        <w:t>The American Journal of Human Genetics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83</w:t>
      </w:r>
      <w:r w:rsidRPr="00CC7AB4">
        <w:rPr>
          <w:rFonts w:ascii="Calibri" w:hAnsi="Calibri" w:cs="Calibri"/>
          <w:color w:val="000000"/>
          <w:sz w:val="20"/>
          <w:lang w:val="en-US"/>
        </w:rPr>
        <w:t>, 261–268 (2008).</w:t>
      </w:r>
    </w:p>
    <w:p w14:paraId="3AD946A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86.</w:t>
      </w:r>
      <w:r w:rsidRPr="00CC7AB4">
        <w:rPr>
          <w:rFonts w:ascii="Calibri" w:hAnsi="Calibri" w:cs="Calibri"/>
          <w:color w:val="000000"/>
          <w:sz w:val="20"/>
          <w:lang w:val="en-US"/>
        </w:rPr>
        <w:tab/>
        <w:t xml:space="preserve">Vranken, J. G. V., Na, U., Winge, D. R. &amp; Rutter, J. Protein-mediated assembly of succinate dehydrogenase and its cofactors. </w:t>
      </w:r>
      <w:r w:rsidRPr="00CC7AB4">
        <w:rPr>
          <w:rFonts w:ascii="Calibri" w:hAnsi="Calibri" w:cs="Calibri"/>
          <w:i/>
          <w:iCs/>
          <w:color w:val="000000"/>
          <w:sz w:val="20"/>
          <w:lang w:val="en-US"/>
        </w:rPr>
        <w:t>Critical Reviews in Biochemistry and Molecular Biology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50</w:t>
      </w:r>
      <w:r w:rsidRPr="00CC7AB4">
        <w:rPr>
          <w:rFonts w:ascii="Calibri" w:hAnsi="Calibri" w:cs="Calibri"/>
          <w:color w:val="000000"/>
          <w:sz w:val="20"/>
          <w:lang w:val="en-US"/>
        </w:rPr>
        <w:t>, 168–180 (2015).</w:t>
      </w:r>
    </w:p>
    <w:p w14:paraId="3C778D7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87.</w:t>
      </w:r>
      <w:r w:rsidRPr="00CC7AB4">
        <w:rPr>
          <w:rFonts w:ascii="Calibri" w:hAnsi="Calibri" w:cs="Calibri"/>
          <w:color w:val="000000"/>
          <w:sz w:val="20"/>
          <w:lang w:val="en-US"/>
        </w:rPr>
        <w:tab/>
        <w:t xml:space="preserve">Lee, C.-H.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Persistent Severe Hyperlactatemia and Metabolic Derangement in Lethal SDHB-Mutated Metastatic Kidney Cancer: Clinical Challenges and Examples of Extreme Warburg Effect. </w:t>
      </w:r>
      <w:r w:rsidRPr="00CC7AB4">
        <w:rPr>
          <w:rFonts w:ascii="Calibri" w:hAnsi="Calibri" w:cs="Calibri"/>
          <w:i/>
          <w:iCs/>
          <w:color w:val="000000"/>
          <w:sz w:val="20"/>
          <w:lang w:val="en-US"/>
        </w:rPr>
        <w:t>Precision Oncology</w:t>
      </w:r>
      <w:r w:rsidRPr="00CC7AB4">
        <w:rPr>
          <w:rFonts w:ascii="Calibri" w:hAnsi="Calibri" w:cs="Calibri"/>
          <w:color w:val="000000"/>
          <w:sz w:val="20"/>
          <w:lang w:val="en-US"/>
        </w:rPr>
        <w:t xml:space="preserve"> (2017). doi:10.1200/PO.16.00007</w:t>
      </w:r>
    </w:p>
    <w:p w14:paraId="517BF00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88.</w:t>
      </w:r>
      <w:r w:rsidRPr="00CC7AB4">
        <w:rPr>
          <w:rFonts w:ascii="Calibri" w:hAnsi="Calibri" w:cs="Calibri"/>
          <w:color w:val="000000"/>
          <w:sz w:val="20"/>
          <w:lang w:val="en-US"/>
        </w:rPr>
        <w:tab/>
        <w:t xml:space="preserve">McEvoy, C. R.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SDH-deficient renal cell carcinoma associated with biallelic mutation in succinate dehydrogenase A: comprehensive genetic profiling and its relation to therapy response. </w:t>
      </w:r>
      <w:r w:rsidRPr="00CC7AB4">
        <w:rPr>
          <w:rFonts w:ascii="Calibri" w:hAnsi="Calibri" w:cs="Calibri"/>
          <w:i/>
          <w:iCs/>
          <w:color w:val="000000"/>
          <w:sz w:val="20"/>
          <w:lang w:val="en-US"/>
        </w:rPr>
        <w:t>npj Precision Oncology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w:t>
      </w:r>
      <w:r w:rsidRPr="00CC7AB4">
        <w:rPr>
          <w:rFonts w:ascii="Calibri" w:hAnsi="Calibri" w:cs="Calibri"/>
          <w:color w:val="000000"/>
          <w:sz w:val="20"/>
          <w:lang w:val="en-US"/>
        </w:rPr>
        <w:t>, 9 (2018).</w:t>
      </w:r>
    </w:p>
    <w:p w14:paraId="1AB4A49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89.</w:t>
      </w:r>
      <w:r w:rsidRPr="00CC7AB4">
        <w:rPr>
          <w:rFonts w:ascii="Calibri" w:hAnsi="Calibri" w:cs="Calibri"/>
          <w:color w:val="000000"/>
          <w:sz w:val="20"/>
          <w:lang w:val="en-US"/>
        </w:rPr>
        <w:tab/>
        <w:t xml:space="preserve">Vanharanta,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Early-Onset Renal Cell Carcinoma as a Novel Extraparaganglial Component of SDHB-Associated Heritable Paraganglioma. </w:t>
      </w:r>
      <w:r w:rsidRPr="00CC7AB4">
        <w:rPr>
          <w:rFonts w:ascii="Calibri" w:hAnsi="Calibri" w:cs="Calibri"/>
          <w:i/>
          <w:iCs/>
          <w:color w:val="000000"/>
          <w:sz w:val="20"/>
          <w:lang w:val="en-US"/>
        </w:rPr>
        <w:t>Am J Hum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74</w:t>
      </w:r>
      <w:r w:rsidRPr="00CC7AB4">
        <w:rPr>
          <w:rFonts w:ascii="Calibri" w:hAnsi="Calibri" w:cs="Calibri"/>
          <w:color w:val="000000"/>
          <w:sz w:val="20"/>
          <w:lang w:val="en-US"/>
        </w:rPr>
        <w:t>, 153–159 (2004).</w:t>
      </w:r>
    </w:p>
    <w:p w14:paraId="1F1B49D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90.</w:t>
      </w:r>
      <w:r w:rsidRPr="00CC7AB4">
        <w:rPr>
          <w:rFonts w:ascii="Calibri" w:hAnsi="Calibri" w:cs="Calibri"/>
          <w:color w:val="000000"/>
          <w:sz w:val="20"/>
          <w:lang w:val="en-US"/>
        </w:rPr>
        <w:tab/>
        <w:t xml:space="preserve">Gill, A.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Succinate Dehydrogenase (SDH)-deficient Renal Carcinoma: A Morphologically Distinct Entity. </w:t>
      </w:r>
      <w:r w:rsidRPr="00CC7AB4">
        <w:rPr>
          <w:rFonts w:ascii="Calibri" w:hAnsi="Calibri" w:cs="Calibri"/>
          <w:i/>
          <w:iCs/>
          <w:color w:val="000000"/>
          <w:sz w:val="20"/>
          <w:lang w:val="en-US"/>
        </w:rPr>
        <w:t>Am J Surg Pathol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38</w:t>
      </w:r>
      <w:r w:rsidRPr="00CC7AB4">
        <w:rPr>
          <w:rFonts w:ascii="Calibri" w:hAnsi="Calibri" w:cs="Calibri"/>
          <w:color w:val="000000"/>
          <w:sz w:val="20"/>
          <w:lang w:val="en-US"/>
        </w:rPr>
        <w:t>, 1588–1602 (2014).</w:t>
      </w:r>
    </w:p>
    <w:p w14:paraId="74EB8E4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91.</w:t>
      </w:r>
      <w:r w:rsidRPr="00CC7AB4">
        <w:rPr>
          <w:rFonts w:ascii="Calibri" w:hAnsi="Calibri" w:cs="Calibri"/>
          <w:color w:val="000000"/>
          <w:sz w:val="20"/>
          <w:lang w:val="en-US"/>
        </w:rPr>
        <w:tab/>
        <w:t xml:space="preserve">Ricketts, C.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Succinate dehydrogenase kidney cancer: an aggressive example of the Warburg effect in cancer. </w:t>
      </w:r>
      <w:r w:rsidRPr="00CC7AB4">
        <w:rPr>
          <w:rFonts w:ascii="Calibri" w:hAnsi="Calibri" w:cs="Calibri"/>
          <w:i/>
          <w:iCs/>
          <w:color w:val="000000"/>
          <w:sz w:val="20"/>
          <w:lang w:val="en-US"/>
        </w:rPr>
        <w:t>J. Urol.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188</w:t>
      </w:r>
      <w:r w:rsidRPr="00CC7AB4">
        <w:rPr>
          <w:rFonts w:ascii="Calibri" w:hAnsi="Calibri" w:cs="Calibri"/>
          <w:color w:val="000000"/>
          <w:sz w:val="20"/>
          <w:lang w:val="en-US"/>
        </w:rPr>
        <w:t>, 2063–2071 (2012).</w:t>
      </w:r>
    </w:p>
    <w:p w14:paraId="0BBEDC5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92.</w:t>
      </w:r>
      <w:r w:rsidRPr="00CC7AB4">
        <w:rPr>
          <w:rFonts w:ascii="Calibri" w:hAnsi="Calibri" w:cs="Calibri"/>
          <w:color w:val="000000"/>
          <w:sz w:val="20"/>
          <w:lang w:val="en-US"/>
        </w:rPr>
        <w:tab/>
        <w:t xml:space="preserve">Williamson, S. R.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Succinate dehydrogenase-deficient renal cell carcinoma: detailed characterization of 11 tumors defining a unique subtype of renal cell carcinoma. </w:t>
      </w:r>
      <w:r w:rsidRPr="00CC7AB4">
        <w:rPr>
          <w:rFonts w:ascii="Calibri" w:hAnsi="Calibri" w:cs="Calibri"/>
          <w:i/>
          <w:iCs/>
          <w:color w:val="000000"/>
          <w:sz w:val="20"/>
          <w:lang w:val="en-US"/>
        </w:rPr>
        <w:t>Modern Pathology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28</w:t>
      </w:r>
      <w:r w:rsidRPr="00CC7AB4">
        <w:rPr>
          <w:rFonts w:ascii="Calibri" w:hAnsi="Calibri" w:cs="Calibri"/>
          <w:color w:val="000000"/>
          <w:sz w:val="20"/>
          <w:lang w:val="en-US"/>
        </w:rPr>
        <w:t>, 80–94 (2015).</w:t>
      </w:r>
    </w:p>
    <w:p w14:paraId="3418C53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93.</w:t>
      </w:r>
      <w:r w:rsidRPr="00CC7AB4">
        <w:rPr>
          <w:rFonts w:ascii="Calibri" w:hAnsi="Calibri" w:cs="Calibri"/>
          <w:color w:val="000000"/>
          <w:sz w:val="20"/>
          <w:lang w:val="en-US"/>
        </w:rPr>
        <w:tab/>
        <w:t xml:space="preserve">Alam, N. A.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Genetic and functional analyses of FH mutations in multiple cutaneous and uterine leiomyomatosis, hereditary leiomyomatosis and renal cancer, and fumarate hydratase deficiency. </w:t>
      </w:r>
      <w:r w:rsidRPr="00CC7AB4">
        <w:rPr>
          <w:rFonts w:ascii="Calibri" w:hAnsi="Calibri" w:cs="Calibri"/>
          <w:i/>
          <w:iCs/>
          <w:color w:val="000000"/>
          <w:sz w:val="20"/>
          <w:lang w:val="en-US"/>
        </w:rPr>
        <w:t>Hum. Mol.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12</w:t>
      </w:r>
      <w:r w:rsidRPr="00CC7AB4">
        <w:rPr>
          <w:rFonts w:ascii="Calibri" w:hAnsi="Calibri" w:cs="Calibri"/>
          <w:color w:val="000000"/>
          <w:sz w:val="20"/>
          <w:lang w:val="en-US"/>
        </w:rPr>
        <w:t>, 1241–1252 (2003).</w:t>
      </w:r>
    </w:p>
    <w:p w14:paraId="355271E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94.</w:t>
      </w:r>
      <w:r w:rsidRPr="00CC7AB4">
        <w:rPr>
          <w:rFonts w:ascii="Calibri" w:hAnsi="Calibri" w:cs="Calibri"/>
          <w:color w:val="000000"/>
          <w:sz w:val="20"/>
          <w:lang w:val="en-US"/>
        </w:rPr>
        <w:tab/>
        <w:t xml:space="preserve">Lehtonen, H.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Increased risk of cancer in patients with fumarate hydratase germline mutation. </w:t>
      </w:r>
      <w:r w:rsidRPr="00CC7AB4">
        <w:rPr>
          <w:rFonts w:ascii="Calibri" w:hAnsi="Calibri" w:cs="Calibri"/>
          <w:i/>
          <w:iCs/>
          <w:color w:val="000000"/>
          <w:sz w:val="20"/>
          <w:lang w:val="en-US"/>
        </w:rPr>
        <w:t>J Med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43</w:t>
      </w:r>
      <w:r w:rsidRPr="00CC7AB4">
        <w:rPr>
          <w:rFonts w:ascii="Calibri" w:hAnsi="Calibri" w:cs="Calibri"/>
          <w:color w:val="000000"/>
          <w:sz w:val="20"/>
          <w:lang w:val="en-US"/>
        </w:rPr>
        <w:t>, 523–526 (2006).</w:t>
      </w:r>
    </w:p>
    <w:p w14:paraId="36E850C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95.</w:t>
      </w:r>
      <w:r w:rsidRPr="00CC7AB4">
        <w:rPr>
          <w:rFonts w:ascii="Calibri" w:hAnsi="Calibri" w:cs="Calibri"/>
          <w:color w:val="000000"/>
          <w:sz w:val="20"/>
          <w:lang w:val="en-US"/>
        </w:rPr>
        <w:tab/>
        <w:t xml:space="preserve">Linehan, W. M. &amp; Rouault, T. A. Molecular pathways: Fumarate hydratase-deficient kidney cancer--targeting the Warburg effect in cancer. </w:t>
      </w:r>
      <w:r w:rsidRPr="00CC7AB4">
        <w:rPr>
          <w:rFonts w:ascii="Calibri" w:hAnsi="Calibri" w:cs="Calibri"/>
          <w:i/>
          <w:iCs/>
          <w:color w:val="000000"/>
          <w:sz w:val="20"/>
          <w:lang w:val="en-US"/>
        </w:rPr>
        <w:t>Clin. Cancer Res.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19</w:t>
      </w:r>
      <w:r w:rsidRPr="00CC7AB4">
        <w:rPr>
          <w:rFonts w:ascii="Calibri" w:hAnsi="Calibri" w:cs="Calibri"/>
          <w:color w:val="000000"/>
          <w:sz w:val="20"/>
          <w:lang w:val="en-US"/>
        </w:rPr>
        <w:t>, 3345–3352 (2013).</w:t>
      </w:r>
    </w:p>
    <w:p w14:paraId="096EF1E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96.</w:t>
      </w:r>
      <w:r w:rsidRPr="00CC7AB4">
        <w:rPr>
          <w:rFonts w:ascii="Calibri" w:hAnsi="Calibri" w:cs="Calibri"/>
          <w:color w:val="000000"/>
          <w:sz w:val="20"/>
          <w:lang w:val="en-US"/>
        </w:rPr>
        <w:tab/>
        <w:t xml:space="preserve">Schmidt, L. S. &amp; Linehan, W. M. Hereditary leiomyomatosis and renal cell carcinoma. </w:t>
      </w:r>
      <w:r w:rsidRPr="00CC7AB4">
        <w:rPr>
          <w:rFonts w:ascii="Calibri" w:hAnsi="Calibri" w:cs="Calibri"/>
          <w:i/>
          <w:iCs/>
          <w:color w:val="000000"/>
          <w:sz w:val="20"/>
          <w:lang w:val="en-US"/>
        </w:rPr>
        <w:t>Int J Nephrol Renovasc Dis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w:t>
      </w:r>
      <w:r w:rsidRPr="00CC7AB4">
        <w:rPr>
          <w:rFonts w:ascii="Calibri" w:hAnsi="Calibri" w:cs="Calibri"/>
          <w:color w:val="000000"/>
          <w:sz w:val="20"/>
          <w:lang w:val="en-US"/>
        </w:rPr>
        <w:t>, 253–260 (2014).</w:t>
      </w:r>
    </w:p>
    <w:p w14:paraId="0042F31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97.</w:t>
      </w:r>
      <w:r w:rsidRPr="00CC7AB4">
        <w:rPr>
          <w:rFonts w:ascii="Calibri" w:hAnsi="Calibri" w:cs="Calibri"/>
          <w:color w:val="000000"/>
          <w:sz w:val="20"/>
          <w:lang w:val="en-US"/>
        </w:rPr>
        <w:tab/>
        <w:t xml:space="preserve">Schmidt, L. S. &amp; Linehan, W. M. Genetic predisposition to kidney cancer. </w:t>
      </w:r>
      <w:r w:rsidRPr="00CC7AB4">
        <w:rPr>
          <w:rFonts w:ascii="Calibri" w:hAnsi="Calibri" w:cs="Calibri"/>
          <w:i/>
          <w:iCs/>
          <w:color w:val="000000"/>
          <w:sz w:val="20"/>
          <w:lang w:val="en-US"/>
        </w:rPr>
        <w:t>Semin 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43</w:t>
      </w:r>
      <w:r w:rsidRPr="00CC7AB4">
        <w:rPr>
          <w:rFonts w:ascii="Calibri" w:hAnsi="Calibri" w:cs="Calibri"/>
          <w:color w:val="000000"/>
          <w:sz w:val="20"/>
          <w:lang w:val="en-US"/>
        </w:rPr>
        <w:t>, 566–574 (2016).</w:t>
      </w:r>
    </w:p>
    <w:p w14:paraId="2373F6A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98.</w:t>
      </w:r>
      <w:r w:rsidRPr="00CC7AB4">
        <w:rPr>
          <w:rFonts w:ascii="Calibri" w:hAnsi="Calibri" w:cs="Calibri"/>
          <w:color w:val="000000"/>
          <w:sz w:val="20"/>
          <w:lang w:val="en-US"/>
        </w:rPr>
        <w:tab/>
        <w:t xml:space="preserve">Allegri, G.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Fumaric aciduria: an overview and the first Brazilian case report. </w:t>
      </w:r>
      <w:r w:rsidRPr="00CC7AB4">
        <w:rPr>
          <w:rFonts w:ascii="Calibri" w:hAnsi="Calibri" w:cs="Calibri"/>
          <w:i/>
          <w:iCs/>
          <w:color w:val="000000"/>
          <w:sz w:val="20"/>
          <w:lang w:val="en-US"/>
        </w:rPr>
        <w:t>J. Inherit. Metab. Dis.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33</w:t>
      </w:r>
      <w:r w:rsidRPr="00CC7AB4">
        <w:rPr>
          <w:rFonts w:ascii="Calibri" w:hAnsi="Calibri" w:cs="Calibri"/>
          <w:color w:val="000000"/>
          <w:sz w:val="20"/>
          <w:lang w:val="en-US"/>
        </w:rPr>
        <w:t>, 411–419 (2010).</w:t>
      </w:r>
    </w:p>
    <w:p w14:paraId="32CAE50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99.</w:t>
      </w:r>
      <w:r w:rsidRPr="00CC7AB4">
        <w:rPr>
          <w:rFonts w:ascii="Calibri" w:hAnsi="Calibri" w:cs="Calibri"/>
          <w:color w:val="000000"/>
          <w:sz w:val="20"/>
          <w:lang w:val="en-US"/>
        </w:rPr>
        <w:tab/>
        <w:t xml:space="preserve">Kerrigan, J. F., Aleck, K. A., Tarby, T. J., Bird, C. R. &amp; Heidenreich, R. A. Fumaric aciduria: Clinical and imaging features. </w:t>
      </w:r>
      <w:r w:rsidRPr="00CC7AB4">
        <w:rPr>
          <w:rFonts w:ascii="Calibri" w:hAnsi="Calibri" w:cs="Calibri"/>
          <w:i/>
          <w:iCs/>
          <w:color w:val="000000"/>
          <w:sz w:val="20"/>
          <w:lang w:val="en-US"/>
        </w:rPr>
        <w:t>Annals of Neurology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47</w:t>
      </w:r>
      <w:r w:rsidRPr="00CC7AB4">
        <w:rPr>
          <w:rFonts w:ascii="Calibri" w:hAnsi="Calibri" w:cs="Calibri"/>
          <w:color w:val="000000"/>
          <w:sz w:val="20"/>
          <w:lang w:val="en-US"/>
        </w:rPr>
        <w:t>, 583–588 (2000).</w:t>
      </w:r>
    </w:p>
    <w:p w14:paraId="2CC001ED"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100.</w:t>
      </w:r>
      <w:r w:rsidRPr="00CC7AB4">
        <w:rPr>
          <w:rFonts w:ascii="Calibri" w:hAnsi="Calibri" w:cs="Calibri"/>
          <w:color w:val="000000"/>
          <w:sz w:val="20"/>
          <w:lang w:val="en-US"/>
        </w:rPr>
        <w:tab/>
        <w:t xml:space="preserve">Loeffen, J., Smeets, R., Voit, T., Hoffmann, G. &amp; Smeitink, J. Fumarase deficiency presenting with periventricular cysts. </w:t>
      </w:r>
      <w:r w:rsidRPr="00CC7AB4">
        <w:rPr>
          <w:rFonts w:ascii="Calibri" w:hAnsi="Calibri" w:cs="Calibri"/>
          <w:i/>
          <w:iCs/>
          <w:color w:val="000000"/>
          <w:sz w:val="20"/>
          <w:lang w:val="en-US"/>
        </w:rPr>
        <w:t>J Inherit Metab Dis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28</w:t>
      </w:r>
      <w:r w:rsidRPr="00CC7AB4">
        <w:rPr>
          <w:rFonts w:ascii="Calibri" w:hAnsi="Calibri" w:cs="Calibri"/>
          <w:color w:val="000000"/>
          <w:sz w:val="20"/>
          <w:lang w:val="en-US"/>
        </w:rPr>
        <w:t>, 799–800 (2005).</w:t>
      </w:r>
    </w:p>
    <w:p w14:paraId="5D169B2A"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101.</w:t>
      </w:r>
      <w:r w:rsidRPr="00CC7AB4">
        <w:rPr>
          <w:rFonts w:ascii="Calibri" w:hAnsi="Calibri" w:cs="Calibri"/>
          <w:color w:val="000000"/>
          <w:sz w:val="20"/>
          <w:lang w:val="en-US"/>
        </w:rPr>
        <w:tab/>
        <w:t xml:space="preserve">Haigis, K. M., Cichowski, K. &amp; Elledge, S. J. Tissue-specificity in cancer: The rule, not the exception. </w:t>
      </w:r>
      <w:r w:rsidRPr="00CC7AB4">
        <w:rPr>
          <w:rFonts w:ascii="Calibri" w:hAnsi="Calibri" w:cs="Calibri"/>
          <w:i/>
          <w:iCs/>
          <w:color w:val="000000"/>
          <w:sz w:val="20"/>
          <w:lang w:val="en-US"/>
        </w:rPr>
        <w:t>Science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363</w:t>
      </w:r>
      <w:r w:rsidRPr="00CC7AB4">
        <w:rPr>
          <w:rFonts w:ascii="Calibri" w:hAnsi="Calibri" w:cs="Calibri"/>
          <w:color w:val="000000"/>
          <w:sz w:val="20"/>
          <w:lang w:val="en-US"/>
        </w:rPr>
        <w:t>, 1150–1151 (2019).</w:t>
      </w:r>
    </w:p>
    <w:p w14:paraId="474B91B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102.</w:t>
      </w:r>
      <w:r w:rsidRPr="00CC7AB4">
        <w:rPr>
          <w:rFonts w:ascii="Calibri" w:hAnsi="Calibri" w:cs="Calibri"/>
          <w:color w:val="000000"/>
          <w:sz w:val="20"/>
          <w:lang w:val="en-US"/>
        </w:rPr>
        <w:tab/>
        <w:t xml:space="preserve">Zheng, L.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Reversed argininosuccinate lyase activity in fumarate hydratase-deficient cancer cells. </w:t>
      </w:r>
      <w:r w:rsidRPr="00CC7AB4">
        <w:rPr>
          <w:rFonts w:ascii="Calibri" w:hAnsi="Calibri" w:cs="Calibri"/>
          <w:i/>
          <w:iCs/>
          <w:color w:val="000000"/>
          <w:sz w:val="20"/>
          <w:lang w:val="en-US"/>
        </w:rPr>
        <w:t>Cancer Metab</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w:t>
      </w:r>
      <w:r w:rsidRPr="00CC7AB4">
        <w:rPr>
          <w:rFonts w:ascii="Calibri" w:hAnsi="Calibri" w:cs="Calibri"/>
          <w:color w:val="000000"/>
          <w:sz w:val="20"/>
          <w:lang w:val="en-US"/>
        </w:rPr>
        <w:t>, 12 (2013).</w:t>
      </w:r>
    </w:p>
    <w:p w14:paraId="392121A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103.</w:t>
      </w:r>
      <w:r w:rsidRPr="00CC7AB4">
        <w:rPr>
          <w:rFonts w:ascii="Calibri" w:hAnsi="Calibri" w:cs="Calibri"/>
          <w:color w:val="000000"/>
          <w:sz w:val="20"/>
          <w:lang w:val="en-US"/>
        </w:rPr>
        <w:tab/>
        <w:t xml:space="preserve">Wallace, D. C. Mitochondria and cancer. </w:t>
      </w:r>
      <w:r w:rsidRPr="00CC7AB4">
        <w:rPr>
          <w:rFonts w:ascii="Calibri" w:hAnsi="Calibri" w:cs="Calibri"/>
          <w:i/>
          <w:iCs/>
          <w:color w:val="000000"/>
          <w:sz w:val="20"/>
          <w:lang w:val="en-US"/>
        </w:rPr>
        <w:t>Nature Reviews Cancer</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12</w:t>
      </w:r>
      <w:r w:rsidRPr="00CC7AB4">
        <w:rPr>
          <w:rFonts w:ascii="Calibri" w:hAnsi="Calibri" w:cs="Calibri"/>
          <w:color w:val="000000"/>
          <w:sz w:val="20"/>
          <w:lang w:val="en-US"/>
        </w:rPr>
        <w:t>, 685–698 (2012).</w:t>
      </w:r>
    </w:p>
    <w:p w14:paraId="47158C5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104.</w:t>
      </w:r>
      <w:r w:rsidRPr="00CC7AB4">
        <w:rPr>
          <w:rFonts w:ascii="Calibri" w:hAnsi="Calibri" w:cs="Calibri"/>
          <w:color w:val="000000"/>
          <w:sz w:val="20"/>
          <w:lang w:val="en-US"/>
        </w:rPr>
        <w:tab/>
        <w:t xml:space="preserve">Parsons, D. W.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An integrated genomic analysis of human glioblastoma multiforme. </w:t>
      </w:r>
      <w:r w:rsidRPr="00CC7AB4">
        <w:rPr>
          <w:rFonts w:ascii="Calibri" w:hAnsi="Calibri" w:cs="Calibri"/>
          <w:i/>
          <w:iCs/>
          <w:color w:val="000000"/>
          <w:sz w:val="20"/>
          <w:lang w:val="en-US"/>
        </w:rPr>
        <w:t>Science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321</w:t>
      </w:r>
      <w:r w:rsidRPr="00CC7AB4">
        <w:rPr>
          <w:rFonts w:ascii="Calibri" w:hAnsi="Calibri" w:cs="Calibri"/>
          <w:color w:val="000000"/>
          <w:sz w:val="20"/>
          <w:lang w:val="en-US"/>
        </w:rPr>
        <w:t>, 1807–1812 (2008).</w:t>
      </w:r>
    </w:p>
    <w:p w14:paraId="20B4C82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105.</w:t>
      </w:r>
      <w:r w:rsidRPr="00CC7AB4">
        <w:rPr>
          <w:rFonts w:ascii="Calibri" w:hAnsi="Calibri" w:cs="Calibri"/>
          <w:color w:val="000000"/>
          <w:sz w:val="20"/>
          <w:lang w:val="en-US"/>
        </w:rPr>
        <w:tab/>
        <w:t xml:space="preserve">Marcucci, G.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IDH1 and IDH2 gene mutations identify novel molecular subsets within de novo cytogenetically normal acute myeloid leukemia: a Cancer and Leukemia Group B study. </w:t>
      </w:r>
      <w:r w:rsidRPr="00CC7AB4">
        <w:rPr>
          <w:rFonts w:ascii="Calibri" w:hAnsi="Calibri" w:cs="Calibri"/>
          <w:i/>
          <w:iCs/>
          <w:color w:val="000000"/>
          <w:sz w:val="20"/>
          <w:lang w:val="en-US"/>
        </w:rPr>
        <w:t>J. Clin. 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28</w:t>
      </w:r>
      <w:r w:rsidRPr="00CC7AB4">
        <w:rPr>
          <w:rFonts w:ascii="Calibri" w:hAnsi="Calibri" w:cs="Calibri"/>
          <w:color w:val="000000"/>
          <w:sz w:val="20"/>
          <w:lang w:val="en-US"/>
        </w:rPr>
        <w:t>, 2348–2355 (2010).</w:t>
      </w:r>
    </w:p>
    <w:p w14:paraId="527074D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106.</w:t>
      </w:r>
      <w:r w:rsidRPr="00CC7AB4">
        <w:rPr>
          <w:rFonts w:ascii="Calibri" w:hAnsi="Calibri" w:cs="Calibri"/>
          <w:color w:val="000000"/>
          <w:sz w:val="20"/>
          <w:lang w:val="en-US"/>
        </w:rPr>
        <w:tab/>
        <w:t xml:space="preserve">Lin, A.-P.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D2HGDH regulates alpha-ketoglutarate levels and dioxygenase function by modulating IDH2. </w:t>
      </w:r>
      <w:r w:rsidRPr="00CC7AB4">
        <w:rPr>
          <w:rFonts w:ascii="Calibri" w:hAnsi="Calibri" w:cs="Calibri"/>
          <w:i/>
          <w:iCs/>
          <w:color w:val="000000"/>
          <w:sz w:val="20"/>
          <w:lang w:val="en-US"/>
        </w:rPr>
        <w:t>Nat Commun</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w:t>
      </w:r>
      <w:r w:rsidRPr="00CC7AB4">
        <w:rPr>
          <w:rFonts w:ascii="Calibri" w:hAnsi="Calibri" w:cs="Calibri"/>
          <w:color w:val="000000"/>
          <w:sz w:val="20"/>
          <w:lang w:val="en-US"/>
        </w:rPr>
        <w:t>, 7768 (2015).</w:t>
      </w:r>
    </w:p>
    <w:p w14:paraId="3F40083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107.</w:t>
      </w:r>
      <w:r w:rsidRPr="00CC7AB4">
        <w:rPr>
          <w:rFonts w:ascii="Calibri" w:hAnsi="Calibri" w:cs="Calibri"/>
          <w:color w:val="000000"/>
          <w:sz w:val="20"/>
          <w:lang w:val="en-US"/>
        </w:rPr>
        <w:tab/>
        <w:t xml:space="preserve">Fan,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Human Phosphoglycerate Dehydrogenase Produces the Oncometabolite d-2-Hydroxyglutarate. </w:t>
      </w:r>
      <w:r w:rsidRPr="00CC7AB4">
        <w:rPr>
          <w:rFonts w:ascii="Calibri" w:hAnsi="Calibri" w:cs="Calibri"/>
          <w:i/>
          <w:iCs/>
          <w:color w:val="000000"/>
          <w:sz w:val="20"/>
          <w:lang w:val="en-US"/>
        </w:rPr>
        <w:t>ACS Chem. Biol.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10</w:t>
      </w:r>
      <w:r w:rsidRPr="00CC7AB4">
        <w:rPr>
          <w:rFonts w:ascii="Calibri" w:hAnsi="Calibri" w:cs="Calibri"/>
          <w:color w:val="000000"/>
          <w:sz w:val="20"/>
          <w:lang w:val="en-US"/>
        </w:rPr>
        <w:t>, 510–516 (2015).</w:t>
      </w:r>
    </w:p>
    <w:p w14:paraId="16872BB3"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108.</w:t>
      </w:r>
      <w:r w:rsidRPr="00CC7AB4">
        <w:rPr>
          <w:rFonts w:ascii="Calibri" w:hAnsi="Calibri" w:cs="Calibri"/>
          <w:color w:val="000000"/>
          <w:sz w:val="20"/>
          <w:lang w:val="en-US"/>
        </w:rPr>
        <w:tab/>
        <w:t xml:space="preserve">Gao,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Integrative Analysis of Complex Cancer Genomics and Clinical Profiles Using the cBioPortal. </w:t>
      </w:r>
      <w:r w:rsidRPr="00CC7AB4">
        <w:rPr>
          <w:rFonts w:ascii="Calibri" w:hAnsi="Calibri" w:cs="Calibri"/>
          <w:i/>
          <w:iCs/>
          <w:color w:val="000000"/>
          <w:sz w:val="20"/>
          <w:lang w:val="en-US"/>
        </w:rPr>
        <w:t>Sci Signal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w:t>
      </w:r>
      <w:r w:rsidRPr="00CC7AB4">
        <w:rPr>
          <w:rFonts w:ascii="Calibri" w:hAnsi="Calibri" w:cs="Calibri"/>
          <w:color w:val="000000"/>
          <w:sz w:val="20"/>
          <w:lang w:val="en-US"/>
        </w:rPr>
        <w:t>, pl1 (2013).</w:t>
      </w:r>
    </w:p>
    <w:p w14:paraId="5AA43B1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109.</w:t>
      </w:r>
      <w:r w:rsidRPr="00CC7AB4">
        <w:rPr>
          <w:rFonts w:ascii="Calibri" w:hAnsi="Calibri" w:cs="Calibri"/>
          <w:color w:val="000000"/>
          <w:sz w:val="20"/>
          <w:lang w:val="en-US"/>
        </w:rPr>
        <w:tab/>
        <w:t xml:space="preserve">Lee, J. 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IDH1 R132C mutation is detected in clear cell hepatocellular carcinoma by pyrosequencing. </w:t>
      </w:r>
      <w:r w:rsidRPr="00CC7AB4">
        <w:rPr>
          <w:rFonts w:ascii="Calibri" w:hAnsi="Calibri" w:cs="Calibri"/>
          <w:i/>
          <w:iCs/>
          <w:color w:val="000000"/>
          <w:sz w:val="20"/>
          <w:lang w:val="en-US"/>
        </w:rPr>
        <w:t>World J Surg 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15</w:t>
      </w:r>
      <w:r w:rsidRPr="00CC7AB4">
        <w:rPr>
          <w:rFonts w:ascii="Calibri" w:hAnsi="Calibri" w:cs="Calibri"/>
          <w:color w:val="000000"/>
          <w:sz w:val="20"/>
          <w:lang w:val="en-US"/>
        </w:rPr>
        <w:t>, (2017).</w:t>
      </w:r>
    </w:p>
    <w:p w14:paraId="697B724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110.</w:t>
      </w:r>
      <w:r w:rsidRPr="00CC7AB4">
        <w:rPr>
          <w:rFonts w:ascii="Calibri" w:hAnsi="Calibri" w:cs="Calibri"/>
          <w:color w:val="000000"/>
          <w:sz w:val="20"/>
          <w:lang w:val="en-US"/>
        </w:rPr>
        <w:tab/>
        <w:t xml:space="preserve">Shim, E.-H.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l-2-Hydroxyglutarate: An Epigenetic Modifier and Putative Oncometabolite in Renal Cancer. </w:t>
      </w:r>
      <w:r w:rsidRPr="00CC7AB4">
        <w:rPr>
          <w:rFonts w:ascii="Calibri" w:hAnsi="Calibri" w:cs="Calibri"/>
          <w:i/>
          <w:iCs/>
          <w:color w:val="000000"/>
          <w:sz w:val="20"/>
          <w:lang w:val="en-US"/>
        </w:rPr>
        <w:t>Cancer Discov</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w:t>
      </w:r>
      <w:r w:rsidRPr="00CC7AB4">
        <w:rPr>
          <w:rFonts w:ascii="Calibri" w:hAnsi="Calibri" w:cs="Calibri"/>
          <w:color w:val="000000"/>
          <w:sz w:val="20"/>
          <w:lang w:val="en-US"/>
        </w:rPr>
        <w:t>, 1290–1298 (2014).</w:t>
      </w:r>
    </w:p>
    <w:p w14:paraId="3FDC5CA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111.</w:t>
      </w:r>
      <w:r w:rsidRPr="00CC7AB4">
        <w:rPr>
          <w:rFonts w:ascii="Calibri" w:hAnsi="Calibri" w:cs="Calibri"/>
          <w:color w:val="000000"/>
          <w:sz w:val="20"/>
          <w:lang w:val="en-US"/>
        </w:rPr>
        <w:tab/>
        <w:t xml:space="preserve">Mitchell, T. J., Rossi, S. H., Klatte, T. &amp; Stewart, G. D. Genomics and clinical correlates of renal cell carcinoma. </w:t>
      </w:r>
      <w:r w:rsidRPr="00CC7AB4">
        <w:rPr>
          <w:rFonts w:ascii="Calibri" w:hAnsi="Calibri" w:cs="Calibri"/>
          <w:i/>
          <w:iCs/>
          <w:color w:val="000000"/>
          <w:sz w:val="20"/>
          <w:lang w:val="en-US"/>
        </w:rPr>
        <w:t>World J Urol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36</w:t>
      </w:r>
      <w:r w:rsidRPr="00CC7AB4">
        <w:rPr>
          <w:rFonts w:ascii="Calibri" w:hAnsi="Calibri" w:cs="Calibri"/>
          <w:color w:val="000000"/>
          <w:sz w:val="20"/>
          <w:lang w:val="en-US"/>
        </w:rPr>
        <w:t>, 1899–1911 (2018).</w:t>
      </w:r>
    </w:p>
    <w:p w14:paraId="03DBF98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112.</w:t>
      </w:r>
      <w:r w:rsidRPr="00CC7AB4">
        <w:rPr>
          <w:rFonts w:ascii="Calibri" w:hAnsi="Calibri" w:cs="Calibri"/>
          <w:color w:val="000000"/>
          <w:sz w:val="20"/>
          <w:lang w:val="en-US"/>
        </w:rPr>
        <w:tab/>
        <w:t xml:space="preserve">Burr, S. P.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Mitochondrial Protein Lipoylation and the 2-Oxoglutarate Dehydrogenase Complex Controls HIF1α Stability in Aerobic Conditions. </w:t>
      </w:r>
      <w:r w:rsidRPr="00CC7AB4">
        <w:rPr>
          <w:rFonts w:ascii="Calibri" w:hAnsi="Calibri" w:cs="Calibri"/>
          <w:i/>
          <w:iCs/>
          <w:color w:val="000000"/>
          <w:sz w:val="20"/>
          <w:lang w:val="en-US"/>
        </w:rPr>
        <w:t>Cell Metabolism</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24</w:t>
      </w:r>
      <w:r w:rsidRPr="00CC7AB4">
        <w:rPr>
          <w:rFonts w:ascii="Calibri" w:hAnsi="Calibri" w:cs="Calibri"/>
          <w:color w:val="000000"/>
          <w:sz w:val="20"/>
          <w:lang w:val="en-US"/>
        </w:rPr>
        <w:t>, 740–752 (2016).</w:t>
      </w:r>
    </w:p>
    <w:p w14:paraId="29001E4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113.</w:t>
      </w:r>
      <w:r w:rsidRPr="00CC7AB4">
        <w:rPr>
          <w:rFonts w:ascii="Calibri" w:hAnsi="Calibri" w:cs="Calibri"/>
          <w:color w:val="000000"/>
          <w:sz w:val="20"/>
          <w:lang w:val="en-US"/>
        </w:rPr>
        <w:tab/>
        <w:t xml:space="preserve">Ni,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Functional Assessment of Lipoyltransferase-1 Deficiency in Cells, Mice, and Humans. </w:t>
      </w:r>
      <w:r w:rsidRPr="00CC7AB4">
        <w:rPr>
          <w:rFonts w:ascii="Calibri" w:hAnsi="Calibri" w:cs="Calibri"/>
          <w:i/>
          <w:iCs/>
          <w:color w:val="000000"/>
          <w:sz w:val="20"/>
          <w:lang w:val="en-US"/>
        </w:rPr>
        <w:t>Cell Rep</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27</w:t>
      </w:r>
      <w:r w:rsidRPr="00CC7AB4">
        <w:rPr>
          <w:rFonts w:ascii="Calibri" w:hAnsi="Calibri" w:cs="Calibri"/>
          <w:color w:val="000000"/>
          <w:sz w:val="20"/>
          <w:lang w:val="en-US"/>
        </w:rPr>
        <w:t>, 1376-1386.e6 (2019).</w:t>
      </w:r>
    </w:p>
    <w:p w14:paraId="0496AE7D"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114.</w:t>
      </w:r>
      <w:r w:rsidRPr="00CC7AB4">
        <w:rPr>
          <w:rFonts w:ascii="Calibri" w:hAnsi="Calibri" w:cs="Calibri"/>
          <w:color w:val="000000"/>
          <w:sz w:val="20"/>
          <w:lang w:val="en-US"/>
        </w:rPr>
        <w:tab/>
        <w:t xml:space="preserve">Baker, P. R.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Variant non ketotic hyperglycinemia is caused by mutations in LIAS, BOLA3 and the novel gene GLRX5. </w:t>
      </w:r>
      <w:r w:rsidRPr="00CC7AB4">
        <w:rPr>
          <w:rFonts w:ascii="Calibri" w:hAnsi="Calibri" w:cs="Calibri"/>
          <w:i/>
          <w:iCs/>
          <w:color w:val="000000"/>
          <w:sz w:val="20"/>
          <w:lang w:val="en-US"/>
        </w:rPr>
        <w:t>Brain</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137</w:t>
      </w:r>
      <w:r w:rsidRPr="00CC7AB4">
        <w:rPr>
          <w:rFonts w:ascii="Calibri" w:hAnsi="Calibri" w:cs="Calibri"/>
          <w:color w:val="000000"/>
          <w:sz w:val="20"/>
          <w:lang w:val="en-US"/>
        </w:rPr>
        <w:t>, 366–379 (2014).</w:t>
      </w:r>
    </w:p>
    <w:p w14:paraId="23B0AE5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115.</w:t>
      </w:r>
      <w:r w:rsidRPr="00CC7AB4">
        <w:rPr>
          <w:rFonts w:ascii="Calibri" w:hAnsi="Calibri" w:cs="Calibri"/>
          <w:color w:val="000000"/>
          <w:sz w:val="20"/>
          <w:lang w:val="en-US"/>
        </w:rPr>
        <w:tab/>
        <w:t xml:space="preserve">Losman, J.-A.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(R)-2-Hydroxyglutarate Is Sufficient to Promote Leukemogenesis and Its Effects Are Reversible. </w:t>
      </w:r>
      <w:r w:rsidRPr="00CC7AB4">
        <w:rPr>
          <w:rFonts w:ascii="Calibri" w:hAnsi="Calibri" w:cs="Calibri"/>
          <w:i/>
          <w:iCs/>
          <w:color w:val="000000"/>
          <w:sz w:val="20"/>
          <w:lang w:val="en-US"/>
        </w:rPr>
        <w:t>Science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339</w:t>
      </w:r>
      <w:r w:rsidRPr="00CC7AB4">
        <w:rPr>
          <w:rFonts w:ascii="Calibri" w:hAnsi="Calibri" w:cs="Calibri"/>
          <w:color w:val="000000"/>
          <w:sz w:val="20"/>
          <w:lang w:val="en-US"/>
        </w:rPr>
        <w:t>, 1621–1625 (2013).</w:t>
      </w:r>
    </w:p>
    <w:p w14:paraId="4C1C99D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116.</w:t>
      </w:r>
      <w:r w:rsidRPr="00CC7AB4">
        <w:rPr>
          <w:rFonts w:ascii="Calibri" w:hAnsi="Calibri" w:cs="Calibri"/>
          <w:color w:val="000000"/>
          <w:sz w:val="20"/>
          <w:lang w:val="en-US"/>
        </w:rPr>
        <w:tab/>
        <w:t xml:space="preserve">Intlekofer, A.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Hypoxia Induces Production of L-2-Hydroxyglutarate. </w:t>
      </w:r>
      <w:r w:rsidRPr="00CC7AB4">
        <w:rPr>
          <w:rFonts w:ascii="Calibri" w:hAnsi="Calibri" w:cs="Calibri"/>
          <w:i/>
          <w:iCs/>
          <w:color w:val="000000"/>
          <w:sz w:val="20"/>
          <w:lang w:val="en-US"/>
        </w:rPr>
        <w:t>Cell Metab.</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22</w:t>
      </w:r>
      <w:r w:rsidRPr="00CC7AB4">
        <w:rPr>
          <w:rFonts w:ascii="Calibri" w:hAnsi="Calibri" w:cs="Calibri"/>
          <w:color w:val="000000"/>
          <w:sz w:val="20"/>
          <w:lang w:val="en-US"/>
        </w:rPr>
        <w:t>, 304–311 (2015).</w:t>
      </w:r>
    </w:p>
    <w:p w14:paraId="0046B85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117.</w:t>
      </w:r>
      <w:r w:rsidRPr="00CC7AB4">
        <w:rPr>
          <w:rFonts w:ascii="Calibri" w:hAnsi="Calibri" w:cs="Calibri"/>
          <w:color w:val="000000"/>
          <w:sz w:val="20"/>
          <w:lang w:val="en-US"/>
        </w:rPr>
        <w:tab/>
        <w:t xml:space="preserve">Oldham, W. M., Clish, C. B., Yang, Y. &amp; Loscalzo, J. Hypoxia-Mediated Increases in L-2-hydroxyglutarate Coordinate the Metabolic Response to Reductive Stress. </w:t>
      </w:r>
      <w:r w:rsidRPr="00CC7AB4">
        <w:rPr>
          <w:rFonts w:ascii="Calibri" w:hAnsi="Calibri" w:cs="Calibri"/>
          <w:i/>
          <w:iCs/>
          <w:color w:val="000000"/>
          <w:sz w:val="20"/>
          <w:lang w:val="en-US"/>
        </w:rPr>
        <w:t>Cell Metab.</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22</w:t>
      </w:r>
      <w:r w:rsidRPr="00CC7AB4">
        <w:rPr>
          <w:rFonts w:ascii="Calibri" w:hAnsi="Calibri" w:cs="Calibri"/>
          <w:color w:val="000000"/>
          <w:sz w:val="20"/>
          <w:lang w:val="en-US"/>
        </w:rPr>
        <w:t>, 291–303 (2015).</w:t>
      </w:r>
    </w:p>
    <w:p w14:paraId="341A459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118.</w:t>
      </w:r>
      <w:r w:rsidRPr="00CC7AB4">
        <w:rPr>
          <w:rFonts w:ascii="Calibri" w:hAnsi="Calibri" w:cs="Calibri"/>
          <w:color w:val="000000"/>
          <w:sz w:val="20"/>
          <w:lang w:val="en-US"/>
        </w:rPr>
        <w:tab/>
        <w:t xml:space="preserve">Nadtochiy, S.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Metabolomic profiling of the heart during acute ischemic preconditioning reveals a role for SIRT1 in rapid cardioprotective metabolic adaptation. </w:t>
      </w:r>
      <w:r w:rsidRPr="00CC7AB4">
        <w:rPr>
          <w:rFonts w:ascii="Calibri" w:hAnsi="Calibri" w:cs="Calibri"/>
          <w:i/>
          <w:iCs/>
          <w:color w:val="000000"/>
          <w:sz w:val="20"/>
          <w:lang w:val="en-US"/>
        </w:rPr>
        <w:t>J Mol Cell Cardiol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88</w:t>
      </w:r>
      <w:r w:rsidRPr="00CC7AB4">
        <w:rPr>
          <w:rFonts w:ascii="Calibri" w:hAnsi="Calibri" w:cs="Calibri"/>
          <w:color w:val="000000"/>
          <w:sz w:val="20"/>
          <w:lang w:val="en-US"/>
        </w:rPr>
        <w:t>, 64–72 (2015).</w:t>
      </w:r>
    </w:p>
    <w:p w14:paraId="6EEC418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119.</w:t>
      </w:r>
      <w:r w:rsidRPr="00CC7AB4">
        <w:rPr>
          <w:rFonts w:ascii="Calibri" w:hAnsi="Calibri" w:cs="Calibri"/>
          <w:color w:val="000000"/>
          <w:sz w:val="20"/>
          <w:lang w:val="en-US"/>
        </w:rPr>
        <w:tab/>
        <w:t xml:space="preserve">Nadtochiy, S.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Acidic pH Is a Metabolic Switch for 2-Hydroxyglutarate Generation and Signaling. </w:t>
      </w:r>
      <w:r w:rsidRPr="00CC7AB4">
        <w:rPr>
          <w:rFonts w:ascii="Calibri" w:hAnsi="Calibri" w:cs="Calibri"/>
          <w:i/>
          <w:iCs/>
          <w:color w:val="000000"/>
          <w:sz w:val="20"/>
          <w:lang w:val="en-US"/>
        </w:rPr>
        <w:t>J Biol Chem</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291</w:t>
      </w:r>
      <w:r w:rsidRPr="00CC7AB4">
        <w:rPr>
          <w:rFonts w:ascii="Calibri" w:hAnsi="Calibri" w:cs="Calibri"/>
          <w:color w:val="000000"/>
          <w:sz w:val="20"/>
          <w:lang w:val="en-US"/>
        </w:rPr>
        <w:t>, 20188–20197 (2016).</w:t>
      </w:r>
    </w:p>
    <w:p w14:paraId="789A4BC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120.</w:t>
      </w:r>
      <w:r w:rsidRPr="00CC7AB4">
        <w:rPr>
          <w:rFonts w:ascii="Calibri" w:hAnsi="Calibri" w:cs="Calibri"/>
          <w:color w:val="000000"/>
          <w:sz w:val="20"/>
          <w:lang w:val="en-US"/>
        </w:rPr>
        <w:tab/>
        <w:t xml:space="preserve">Rodenhizer, D.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 3D engineered tumour for spatial snap-shot analysis of cell metabolism and phenotype in hypoxic gradients. </w:t>
      </w:r>
      <w:r w:rsidRPr="00CC7AB4">
        <w:rPr>
          <w:rFonts w:ascii="Calibri" w:hAnsi="Calibri" w:cs="Calibri"/>
          <w:i/>
          <w:iCs/>
          <w:color w:val="000000"/>
          <w:sz w:val="20"/>
          <w:lang w:val="en-US"/>
        </w:rPr>
        <w:t>Nat Mater</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15</w:t>
      </w:r>
      <w:r w:rsidRPr="00CC7AB4">
        <w:rPr>
          <w:rFonts w:ascii="Calibri" w:hAnsi="Calibri" w:cs="Calibri"/>
          <w:color w:val="000000"/>
          <w:sz w:val="20"/>
          <w:lang w:val="en-US"/>
        </w:rPr>
        <w:t>, 227–234 (2016).</w:t>
      </w:r>
    </w:p>
    <w:p w14:paraId="52590D0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121.</w:t>
      </w:r>
      <w:r w:rsidRPr="00CC7AB4">
        <w:rPr>
          <w:rFonts w:ascii="Calibri" w:hAnsi="Calibri" w:cs="Calibri"/>
          <w:color w:val="000000"/>
          <w:sz w:val="20"/>
          <w:lang w:val="en-US"/>
        </w:rPr>
        <w:tab/>
        <w:t xml:space="preserve">Chouchani, E. T.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Ischaemic accumulation of succinate controls reperfusion injury through mitochondrial ROS.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515</w:t>
      </w:r>
      <w:r w:rsidRPr="00CC7AB4">
        <w:rPr>
          <w:rFonts w:ascii="Calibri" w:hAnsi="Calibri" w:cs="Calibri"/>
          <w:color w:val="000000"/>
          <w:sz w:val="20"/>
          <w:lang w:val="en-US"/>
        </w:rPr>
        <w:t>, 431–435 (2014).</w:t>
      </w:r>
    </w:p>
    <w:p w14:paraId="3D56486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122.</w:t>
      </w:r>
      <w:r w:rsidRPr="00CC7AB4">
        <w:rPr>
          <w:rFonts w:ascii="Calibri" w:hAnsi="Calibri" w:cs="Calibri"/>
          <w:color w:val="000000"/>
          <w:sz w:val="20"/>
          <w:lang w:val="en-US"/>
        </w:rPr>
        <w:tab/>
        <w:t xml:space="preserve">Sapieha, P.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The succinate receptor GPR91 in neurons has a major role in retinal angiogenesis. </w:t>
      </w:r>
      <w:r w:rsidRPr="00CC7AB4">
        <w:rPr>
          <w:rFonts w:ascii="Calibri" w:hAnsi="Calibri" w:cs="Calibri"/>
          <w:i/>
          <w:iCs/>
          <w:color w:val="000000"/>
          <w:sz w:val="20"/>
          <w:lang w:val="en-US"/>
        </w:rPr>
        <w:t>Nature Medicine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14</w:t>
      </w:r>
      <w:r w:rsidRPr="00CC7AB4">
        <w:rPr>
          <w:rFonts w:ascii="Calibri" w:hAnsi="Calibri" w:cs="Calibri"/>
          <w:color w:val="000000"/>
          <w:sz w:val="20"/>
          <w:lang w:val="en-US"/>
        </w:rPr>
        <w:t>, 1067–1076 (2008).</w:t>
      </w:r>
    </w:p>
    <w:p w14:paraId="3225208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123.</w:t>
      </w:r>
      <w:r w:rsidRPr="00CC7AB4">
        <w:rPr>
          <w:rFonts w:ascii="Calibri" w:hAnsi="Calibri" w:cs="Calibri"/>
          <w:color w:val="000000"/>
          <w:sz w:val="20"/>
          <w:lang w:val="en-US"/>
        </w:rPr>
        <w:tab/>
        <w:t xml:space="preserve">Zhang,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Accumulation of Succinate in Cardiac Ischemia Primarily Occurs via Canonical Krebs Cycle Activity. </w:t>
      </w:r>
      <w:r w:rsidRPr="00CC7AB4">
        <w:rPr>
          <w:rFonts w:ascii="Calibri" w:hAnsi="Calibri" w:cs="Calibri"/>
          <w:i/>
          <w:iCs/>
          <w:color w:val="000000"/>
          <w:sz w:val="20"/>
          <w:lang w:val="en-US"/>
        </w:rPr>
        <w:t>Cell Rep</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23</w:t>
      </w:r>
      <w:r w:rsidRPr="00CC7AB4">
        <w:rPr>
          <w:rFonts w:ascii="Calibri" w:hAnsi="Calibri" w:cs="Calibri"/>
          <w:color w:val="000000"/>
          <w:sz w:val="20"/>
          <w:lang w:val="en-US"/>
        </w:rPr>
        <w:t>, 2617–2628 (2018).</w:t>
      </w:r>
    </w:p>
    <w:p w14:paraId="555D342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124.</w:t>
      </w:r>
      <w:r w:rsidRPr="00CC7AB4">
        <w:rPr>
          <w:rFonts w:ascii="Calibri" w:hAnsi="Calibri" w:cs="Calibri"/>
          <w:color w:val="000000"/>
          <w:sz w:val="20"/>
          <w:lang w:val="en-US"/>
        </w:rPr>
        <w:tab/>
        <w:t xml:space="preserve">Kohlhauer Matthias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Metabolomic Profiling in Acute ST‐Segment–Elevation Myocardial Infarction Identifies Succinate as an Early Marker of Human Ischemia–Reperfusion Injury. </w:t>
      </w:r>
      <w:r w:rsidRPr="00CC7AB4">
        <w:rPr>
          <w:rFonts w:ascii="Calibri" w:hAnsi="Calibri" w:cs="Calibri"/>
          <w:i/>
          <w:iCs/>
          <w:color w:val="000000"/>
          <w:sz w:val="20"/>
          <w:lang w:val="en-US"/>
        </w:rPr>
        <w:t>Journal of the American Heart Association</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w:t>
      </w:r>
      <w:r w:rsidRPr="00CC7AB4">
        <w:rPr>
          <w:rFonts w:ascii="Calibri" w:hAnsi="Calibri" w:cs="Calibri"/>
          <w:color w:val="000000"/>
          <w:sz w:val="20"/>
          <w:lang w:val="en-US"/>
        </w:rPr>
        <w:t>, e007546</w:t>
      </w:r>
    </w:p>
    <w:p w14:paraId="73A6B1F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125.</w:t>
      </w:r>
      <w:r w:rsidRPr="00CC7AB4">
        <w:rPr>
          <w:rFonts w:ascii="Calibri" w:hAnsi="Calibri" w:cs="Calibri"/>
          <w:color w:val="000000"/>
          <w:sz w:val="20"/>
          <w:lang w:val="en-US"/>
        </w:rPr>
        <w:tab/>
        <w:t xml:space="preserve">O’Flaherty, L.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Dysregulation of hypoxia pathways in fumarate hydratase-deficient cells is independent of defective mitochondrial metabolism. </w:t>
      </w:r>
      <w:r w:rsidRPr="00CC7AB4">
        <w:rPr>
          <w:rFonts w:ascii="Calibri" w:hAnsi="Calibri" w:cs="Calibri"/>
          <w:i/>
          <w:iCs/>
          <w:color w:val="000000"/>
          <w:sz w:val="20"/>
          <w:lang w:val="en-US"/>
        </w:rPr>
        <w:t>Hum. Mol.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19</w:t>
      </w:r>
      <w:r w:rsidRPr="00CC7AB4">
        <w:rPr>
          <w:rFonts w:ascii="Calibri" w:hAnsi="Calibri" w:cs="Calibri"/>
          <w:color w:val="000000"/>
          <w:sz w:val="20"/>
          <w:lang w:val="en-US"/>
        </w:rPr>
        <w:t>, 3844–3851 (2010).</w:t>
      </w:r>
    </w:p>
    <w:p w14:paraId="5D05CC2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126.</w:t>
      </w:r>
      <w:r w:rsidRPr="00CC7AB4">
        <w:rPr>
          <w:rFonts w:ascii="Calibri" w:hAnsi="Calibri" w:cs="Calibri"/>
          <w:color w:val="000000"/>
          <w:sz w:val="20"/>
          <w:lang w:val="en-US"/>
        </w:rPr>
        <w:tab/>
        <w:t xml:space="preserve">Selak, M. A., Durán, R. V. &amp; Gottlieb, E. Redox stress is not essential for the pseudo-hypoxic phenotype of succinate dehydrogenase deficient cells. </w:t>
      </w:r>
      <w:r w:rsidRPr="00CC7AB4">
        <w:rPr>
          <w:rFonts w:ascii="Calibri" w:hAnsi="Calibri" w:cs="Calibri"/>
          <w:i/>
          <w:iCs/>
          <w:color w:val="000000"/>
          <w:sz w:val="20"/>
          <w:lang w:val="en-US"/>
        </w:rPr>
        <w:t>Biochimica et Biophysica Acta (BBA) - Bioenergetics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1757</w:t>
      </w:r>
      <w:r w:rsidRPr="00CC7AB4">
        <w:rPr>
          <w:rFonts w:ascii="Calibri" w:hAnsi="Calibri" w:cs="Calibri"/>
          <w:color w:val="000000"/>
          <w:sz w:val="20"/>
          <w:lang w:val="en-US"/>
        </w:rPr>
        <w:t>, 567–572 (2006).</w:t>
      </w:r>
    </w:p>
    <w:p w14:paraId="427617BD"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127.</w:t>
      </w:r>
      <w:r w:rsidRPr="00CC7AB4">
        <w:rPr>
          <w:rFonts w:ascii="Calibri" w:hAnsi="Calibri" w:cs="Calibri"/>
          <w:color w:val="000000"/>
          <w:sz w:val="20"/>
          <w:lang w:val="en-US"/>
        </w:rPr>
        <w:tab/>
        <w:t xml:space="preserve">Puisségur, M.-P.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miR-210 is overexpressed in late stages of lung cancer and mediates mitochondrial alterations associated with modulation of HIF-1 activity. </w:t>
      </w:r>
      <w:r w:rsidRPr="00CC7AB4">
        <w:rPr>
          <w:rFonts w:ascii="Calibri" w:hAnsi="Calibri" w:cs="Calibri"/>
          <w:i/>
          <w:iCs/>
          <w:color w:val="000000"/>
          <w:sz w:val="20"/>
          <w:lang w:val="en-US"/>
        </w:rPr>
        <w:t>Cell Death Differ.</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18</w:t>
      </w:r>
      <w:r w:rsidRPr="00CC7AB4">
        <w:rPr>
          <w:rFonts w:ascii="Calibri" w:hAnsi="Calibri" w:cs="Calibri"/>
          <w:color w:val="000000"/>
          <w:sz w:val="20"/>
          <w:lang w:val="en-US"/>
        </w:rPr>
        <w:t>, 465–478 (2011).</w:t>
      </w:r>
    </w:p>
    <w:p w14:paraId="4779752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128.</w:t>
      </w:r>
      <w:r w:rsidRPr="00CC7AB4">
        <w:rPr>
          <w:rFonts w:ascii="Calibri" w:hAnsi="Calibri" w:cs="Calibri"/>
          <w:color w:val="000000"/>
          <w:sz w:val="20"/>
          <w:lang w:val="en-US"/>
        </w:rPr>
        <w:tab/>
        <w:t xml:space="preserve">Blatnik, M., Frizzell, N., Thorpe, S. R. &amp; Baynes, J. W. Inactivation of Glyceraldehyde-3-Phosphate Dehydrogenase by Fumarate in Diabetes: Formation of S-(2-Succinyl)Cysteine, a Novel Chemical Modification of Protein and Possible Biomarker of Mitochondrial Stress. </w:t>
      </w:r>
      <w:r w:rsidRPr="00CC7AB4">
        <w:rPr>
          <w:rFonts w:ascii="Calibri" w:hAnsi="Calibri" w:cs="Calibri"/>
          <w:i/>
          <w:iCs/>
          <w:color w:val="000000"/>
          <w:sz w:val="20"/>
          <w:lang w:val="en-US"/>
        </w:rPr>
        <w:t>Diabetes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57</w:t>
      </w:r>
      <w:r w:rsidRPr="00CC7AB4">
        <w:rPr>
          <w:rFonts w:ascii="Calibri" w:hAnsi="Calibri" w:cs="Calibri"/>
          <w:color w:val="000000"/>
          <w:sz w:val="20"/>
          <w:lang w:val="en-US"/>
        </w:rPr>
        <w:t>, 41–49 (2008).</w:t>
      </w:r>
    </w:p>
    <w:p w14:paraId="198FCAD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129.</w:t>
      </w:r>
      <w:r w:rsidRPr="00CC7AB4">
        <w:rPr>
          <w:rFonts w:ascii="Calibri" w:hAnsi="Calibri" w:cs="Calibri"/>
          <w:color w:val="000000"/>
          <w:sz w:val="20"/>
          <w:lang w:val="en-US"/>
        </w:rPr>
        <w:tab/>
        <w:t xml:space="preserve">Frizzell, N., Thomas, S. A., Carson, J. A. &amp; Baynes, J. W. Mitochondrial stress causes increased succination of proteins in adipocytes in response to glucotoxicity. </w:t>
      </w:r>
      <w:r w:rsidRPr="00CC7AB4">
        <w:rPr>
          <w:rFonts w:ascii="Calibri" w:hAnsi="Calibri" w:cs="Calibri"/>
          <w:i/>
          <w:iCs/>
          <w:color w:val="000000"/>
          <w:sz w:val="20"/>
          <w:lang w:val="en-US"/>
        </w:rPr>
        <w:t>Biochemical Journal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445</w:t>
      </w:r>
      <w:r w:rsidRPr="00CC7AB4">
        <w:rPr>
          <w:rFonts w:ascii="Calibri" w:hAnsi="Calibri" w:cs="Calibri"/>
          <w:color w:val="000000"/>
          <w:sz w:val="20"/>
          <w:lang w:val="en-US"/>
        </w:rPr>
        <w:t>, 247–254 (2012).</w:t>
      </w:r>
    </w:p>
    <w:p w14:paraId="3C66192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130.</w:t>
      </w:r>
      <w:r w:rsidRPr="00CC7AB4">
        <w:rPr>
          <w:rFonts w:ascii="Calibri" w:hAnsi="Calibri" w:cs="Calibri"/>
          <w:color w:val="000000"/>
          <w:sz w:val="20"/>
          <w:lang w:val="en-US"/>
        </w:rPr>
        <w:tab/>
        <w:t xml:space="preserve">Gao, C.-L.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Mitochondrial dysfunction is induced by high levels of glucose and free fatty acids in 3T3-L1 adipocytes. </w:t>
      </w:r>
      <w:r w:rsidRPr="00CC7AB4">
        <w:rPr>
          <w:rFonts w:ascii="Calibri" w:hAnsi="Calibri" w:cs="Calibri"/>
          <w:i/>
          <w:iCs/>
          <w:color w:val="000000"/>
          <w:sz w:val="20"/>
          <w:lang w:val="en-US"/>
        </w:rPr>
        <w:t>Mol. Cell. Endocrinol.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320</w:t>
      </w:r>
      <w:r w:rsidRPr="00CC7AB4">
        <w:rPr>
          <w:rFonts w:ascii="Calibri" w:hAnsi="Calibri" w:cs="Calibri"/>
          <w:color w:val="000000"/>
          <w:sz w:val="20"/>
          <w:lang w:val="en-US"/>
        </w:rPr>
        <w:t>, 25–33 (2010).</w:t>
      </w:r>
    </w:p>
    <w:p w14:paraId="33E01F6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131.</w:t>
      </w:r>
      <w:r w:rsidRPr="00CC7AB4">
        <w:rPr>
          <w:rFonts w:ascii="Calibri" w:hAnsi="Calibri" w:cs="Calibri"/>
          <w:color w:val="000000"/>
          <w:sz w:val="20"/>
          <w:lang w:val="en-US"/>
        </w:rPr>
        <w:tab/>
        <w:t xml:space="preserve">Yang,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The Succinated Proteome of FH-Mutant Tumours. </w:t>
      </w:r>
      <w:r w:rsidRPr="00CC7AB4">
        <w:rPr>
          <w:rFonts w:ascii="Calibri" w:hAnsi="Calibri" w:cs="Calibri"/>
          <w:i/>
          <w:iCs/>
          <w:color w:val="000000"/>
          <w:sz w:val="20"/>
          <w:lang w:val="en-US"/>
        </w:rPr>
        <w:t>Metabolites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w:t>
      </w:r>
      <w:r w:rsidRPr="00CC7AB4">
        <w:rPr>
          <w:rFonts w:ascii="Calibri" w:hAnsi="Calibri" w:cs="Calibri"/>
          <w:color w:val="000000"/>
          <w:sz w:val="20"/>
          <w:lang w:val="en-US"/>
        </w:rPr>
        <w:t>, 640–654 (2014).</w:t>
      </w:r>
    </w:p>
    <w:p w14:paraId="382250C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132.</w:t>
      </w:r>
      <w:r w:rsidRPr="00CC7AB4">
        <w:rPr>
          <w:rFonts w:ascii="Calibri" w:hAnsi="Calibri" w:cs="Calibri"/>
          <w:color w:val="000000"/>
          <w:sz w:val="20"/>
          <w:lang w:val="en-US"/>
        </w:rPr>
        <w:tab/>
        <w:t xml:space="preserve">Thomas, S. A., Storey, K. B., Baynes, J. W. &amp; Frizzell, N. Tissue Distribution of S-(2-Succino)cysteine (2SC), a Biomarker of Mitochondrial Stress in Obesity and Diabetes. </w:t>
      </w:r>
      <w:r w:rsidRPr="00CC7AB4">
        <w:rPr>
          <w:rFonts w:ascii="Calibri" w:hAnsi="Calibri" w:cs="Calibri"/>
          <w:i/>
          <w:iCs/>
          <w:color w:val="000000"/>
          <w:sz w:val="20"/>
          <w:lang w:val="en-US"/>
        </w:rPr>
        <w:t>Obesity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20</w:t>
      </w:r>
      <w:r w:rsidRPr="00CC7AB4">
        <w:rPr>
          <w:rFonts w:ascii="Calibri" w:hAnsi="Calibri" w:cs="Calibri"/>
          <w:color w:val="000000"/>
          <w:sz w:val="20"/>
          <w:lang w:val="en-US"/>
        </w:rPr>
        <w:t>, 263–269 (2012).</w:t>
      </w:r>
    </w:p>
    <w:p w14:paraId="17825E6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133.</w:t>
      </w:r>
      <w:r w:rsidRPr="00CC7AB4">
        <w:rPr>
          <w:rFonts w:ascii="Calibri" w:hAnsi="Calibri" w:cs="Calibri"/>
          <w:color w:val="000000"/>
          <w:sz w:val="20"/>
          <w:lang w:val="en-US"/>
        </w:rPr>
        <w:tab/>
        <w:t xml:space="preserve">Guo, Y.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Succinate and its G-protein-coupled receptor stimulates osteoclastogenesis. </w:t>
      </w:r>
      <w:r w:rsidRPr="00CC7AB4">
        <w:rPr>
          <w:rFonts w:ascii="Calibri" w:hAnsi="Calibri" w:cs="Calibri"/>
          <w:i/>
          <w:iCs/>
          <w:color w:val="000000"/>
          <w:sz w:val="20"/>
          <w:lang w:val="en-US"/>
        </w:rPr>
        <w:t>Nat Commun</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8</w:t>
      </w:r>
      <w:r w:rsidRPr="00CC7AB4">
        <w:rPr>
          <w:rFonts w:ascii="Calibri" w:hAnsi="Calibri" w:cs="Calibri"/>
          <w:color w:val="000000"/>
          <w:sz w:val="20"/>
          <w:lang w:val="en-US"/>
        </w:rPr>
        <w:t>, (2017).</w:t>
      </w:r>
    </w:p>
    <w:p w14:paraId="7F6D5DE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134.</w:t>
      </w:r>
      <w:r w:rsidRPr="00CC7AB4">
        <w:rPr>
          <w:rFonts w:ascii="Calibri" w:hAnsi="Calibri" w:cs="Calibri"/>
          <w:color w:val="000000"/>
          <w:sz w:val="20"/>
          <w:lang w:val="en-US"/>
        </w:rPr>
        <w:tab/>
        <w:t xml:space="preserve">Mitchell, T. &amp; Darley-Usmar, V. Metabolic syndrome and mitochondrial dysfunction: insights from pre-clinical studies with a mitochondrially targeted antioxidant. </w:t>
      </w:r>
      <w:r w:rsidRPr="00CC7AB4">
        <w:rPr>
          <w:rFonts w:ascii="Calibri" w:hAnsi="Calibri" w:cs="Calibri"/>
          <w:i/>
          <w:iCs/>
          <w:color w:val="000000"/>
          <w:sz w:val="20"/>
          <w:lang w:val="en-US"/>
        </w:rPr>
        <w:t>Free Radic Biol Med</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52</w:t>
      </w:r>
      <w:r w:rsidRPr="00CC7AB4">
        <w:rPr>
          <w:rFonts w:ascii="Calibri" w:hAnsi="Calibri" w:cs="Calibri"/>
          <w:color w:val="000000"/>
          <w:sz w:val="20"/>
          <w:lang w:val="en-US"/>
        </w:rPr>
        <w:t>, 838–840 (2012).</w:t>
      </w:r>
    </w:p>
    <w:p w14:paraId="21B84CB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135.</w:t>
      </w:r>
      <w:r w:rsidRPr="00CC7AB4">
        <w:rPr>
          <w:rFonts w:ascii="Calibri" w:hAnsi="Calibri" w:cs="Calibri"/>
          <w:color w:val="000000"/>
          <w:sz w:val="20"/>
          <w:lang w:val="en-US"/>
        </w:rPr>
        <w:tab/>
        <w:t xml:space="preserve">Zhang, G.-M., Zhu, Y. &amp; Ye, D.-W. Metabolic syndrome and renal cell carcinoma. </w:t>
      </w:r>
      <w:r w:rsidRPr="00CC7AB4">
        <w:rPr>
          <w:rFonts w:ascii="Calibri" w:hAnsi="Calibri" w:cs="Calibri"/>
          <w:i/>
          <w:iCs/>
          <w:color w:val="000000"/>
          <w:sz w:val="20"/>
          <w:lang w:val="en-US"/>
        </w:rPr>
        <w:t>World J Surg 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12</w:t>
      </w:r>
      <w:r w:rsidRPr="00CC7AB4">
        <w:rPr>
          <w:rFonts w:ascii="Calibri" w:hAnsi="Calibri" w:cs="Calibri"/>
          <w:color w:val="000000"/>
          <w:sz w:val="20"/>
          <w:lang w:val="en-US"/>
        </w:rPr>
        <w:t>, 236 (2014).</w:t>
      </w:r>
    </w:p>
    <w:p w14:paraId="36650F8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136.</w:t>
      </w:r>
      <w:r w:rsidRPr="00CC7AB4">
        <w:rPr>
          <w:rFonts w:ascii="Calibri" w:hAnsi="Calibri" w:cs="Calibri"/>
          <w:color w:val="000000"/>
          <w:sz w:val="20"/>
          <w:lang w:val="en-US"/>
        </w:rPr>
        <w:tab/>
        <w:t xml:space="preserve">Häggström, C.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Metabolic Factors Associated with Risk of Renal Cell Carcinoma. </w:t>
      </w:r>
      <w:r w:rsidRPr="00CC7AB4">
        <w:rPr>
          <w:rFonts w:ascii="Calibri" w:hAnsi="Calibri" w:cs="Calibri"/>
          <w:i/>
          <w:iCs/>
          <w:color w:val="000000"/>
          <w:sz w:val="20"/>
          <w:lang w:val="en-US"/>
        </w:rPr>
        <w:t>PLOS ONE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8</w:t>
      </w:r>
      <w:r w:rsidRPr="00CC7AB4">
        <w:rPr>
          <w:rFonts w:ascii="Calibri" w:hAnsi="Calibri" w:cs="Calibri"/>
          <w:color w:val="000000"/>
          <w:sz w:val="20"/>
          <w:lang w:val="en-US"/>
        </w:rPr>
        <w:t>, e57475 (2013).</w:t>
      </w:r>
    </w:p>
    <w:p w14:paraId="5E11AD9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137.</w:t>
      </w:r>
      <w:r w:rsidRPr="00CC7AB4">
        <w:rPr>
          <w:rFonts w:ascii="Calibri" w:hAnsi="Calibri" w:cs="Calibri"/>
          <w:color w:val="000000"/>
          <w:sz w:val="20"/>
          <w:lang w:val="en-US"/>
        </w:rPr>
        <w:tab/>
        <w:t xml:space="preserve">Mills, E. L.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Succinate Dehydrogenase Supports Metabolic Repurposing of Mitochondria to Drive Inflammatory Macrophages. </w:t>
      </w:r>
      <w:r w:rsidRPr="00CC7AB4">
        <w:rPr>
          <w:rFonts w:ascii="Calibri" w:hAnsi="Calibri" w:cs="Calibri"/>
          <w:i/>
          <w:iCs/>
          <w:color w:val="000000"/>
          <w:sz w:val="20"/>
          <w:lang w:val="en-US"/>
        </w:rPr>
        <w:t>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167</w:t>
      </w:r>
      <w:r w:rsidRPr="00CC7AB4">
        <w:rPr>
          <w:rFonts w:ascii="Calibri" w:hAnsi="Calibri" w:cs="Calibri"/>
          <w:color w:val="000000"/>
          <w:sz w:val="20"/>
          <w:lang w:val="en-US"/>
        </w:rPr>
        <w:t>, 457-470.e13 (2016).</w:t>
      </w:r>
    </w:p>
    <w:p w14:paraId="673C99B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138.</w:t>
      </w:r>
      <w:r w:rsidRPr="00CC7AB4">
        <w:rPr>
          <w:rFonts w:ascii="Calibri" w:hAnsi="Calibri" w:cs="Calibri"/>
          <w:color w:val="000000"/>
          <w:sz w:val="20"/>
          <w:lang w:val="en-US"/>
        </w:rPr>
        <w:tab/>
        <w:t xml:space="preserve">Tannahill, G.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Succinate is a danger signal that induces IL-1β via HIF-1α.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496</w:t>
      </w:r>
      <w:r w:rsidRPr="00CC7AB4">
        <w:rPr>
          <w:rFonts w:ascii="Calibri" w:hAnsi="Calibri" w:cs="Calibri"/>
          <w:color w:val="000000"/>
          <w:sz w:val="20"/>
          <w:lang w:val="en-US"/>
        </w:rPr>
        <w:t>, 238–242 (2013).</w:t>
      </w:r>
    </w:p>
    <w:p w14:paraId="1AE22653"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139.</w:t>
      </w:r>
      <w:r w:rsidRPr="00CC7AB4">
        <w:rPr>
          <w:rFonts w:ascii="Calibri" w:hAnsi="Calibri" w:cs="Calibri"/>
          <w:color w:val="000000"/>
          <w:sz w:val="20"/>
          <w:lang w:val="en-US"/>
        </w:rPr>
        <w:tab/>
        <w:t xml:space="preserve">Kaelin, W. G. Cancer and Altered Metabolism: Potential Importance of Hypoxia-Inducible Factor and 2-Oxoglutarate-Dependent Dioxygenases. </w:t>
      </w:r>
      <w:r w:rsidRPr="00CC7AB4">
        <w:rPr>
          <w:rFonts w:ascii="Calibri" w:hAnsi="Calibri" w:cs="Calibri"/>
          <w:i/>
          <w:iCs/>
          <w:color w:val="000000"/>
          <w:sz w:val="20"/>
          <w:lang w:val="en-US"/>
        </w:rPr>
        <w:t>Cold Spring Harb Symp Quant Biol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76</w:t>
      </w:r>
      <w:r w:rsidRPr="00CC7AB4">
        <w:rPr>
          <w:rFonts w:ascii="Calibri" w:hAnsi="Calibri" w:cs="Calibri"/>
          <w:color w:val="000000"/>
          <w:sz w:val="20"/>
          <w:lang w:val="en-US"/>
        </w:rPr>
        <w:t>, 335–345 (2011).</w:t>
      </w:r>
    </w:p>
    <w:p w14:paraId="70E5090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140.</w:t>
      </w:r>
      <w:r w:rsidRPr="00CC7AB4">
        <w:rPr>
          <w:rFonts w:ascii="Calibri" w:hAnsi="Calibri" w:cs="Calibri"/>
          <w:color w:val="000000"/>
          <w:sz w:val="20"/>
          <w:lang w:val="en-US"/>
        </w:rPr>
        <w:tab/>
        <w:t xml:space="preserve">Xiao,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Inhibition of α-KG-dependent histone and DNA demethylases by fumarate and succinate that are accumulated in mutations of FH and SDH tumor suppressors. </w:t>
      </w:r>
      <w:r w:rsidRPr="00CC7AB4">
        <w:rPr>
          <w:rFonts w:ascii="Calibri" w:hAnsi="Calibri" w:cs="Calibri"/>
          <w:i/>
          <w:iCs/>
          <w:color w:val="000000"/>
          <w:sz w:val="20"/>
          <w:lang w:val="en-US"/>
        </w:rPr>
        <w:t>Genes Dev.</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26</w:t>
      </w:r>
      <w:r w:rsidRPr="00CC7AB4">
        <w:rPr>
          <w:rFonts w:ascii="Calibri" w:hAnsi="Calibri" w:cs="Calibri"/>
          <w:color w:val="000000"/>
          <w:sz w:val="20"/>
          <w:lang w:val="en-US"/>
        </w:rPr>
        <w:t>, 1326–1338 (2012).</w:t>
      </w:r>
    </w:p>
    <w:p w14:paraId="1D9756D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141.</w:t>
      </w:r>
      <w:r w:rsidRPr="00CC7AB4">
        <w:rPr>
          <w:rFonts w:ascii="Calibri" w:hAnsi="Calibri" w:cs="Calibri"/>
          <w:color w:val="000000"/>
          <w:sz w:val="20"/>
          <w:lang w:val="en-US"/>
        </w:rPr>
        <w:tab/>
        <w:t xml:space="preserve">Letouzé, E.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SDH Mutations Establish a Hypermethylator Phenotype in Paraganglioma.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23</w:t>
      </w:r>
      <w:r w:rsidRPr="00CC7AB4">
        <w:rPr>
          <w:rFonts w:ascii="Calibri" w:hAnsi="Calibri" w:cs="Calibri"/>
          <w:color w:val="000000"/>
          <w:sz w:val="20"/>
          <w:lang w:val="en-US"/>
        </w:rPr>
        <w:t>, 739–752 (2013).</w:t>
      </w:r>
    </w:p>
    <w:p w14:paraId="51EA2F5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142.</w:t>
      </w:r>
      <w:r w:rsidRPr="00CC7AB4">
        <w:rPr>
          <w:rFonts w:ascii="Calibri" w:hAnsi="Calibri" w:cs="Calibri"/>
          <w:color w:val="000000"/>
          <w:sz w:val="20"/>
          <w:lang w:val="en-US"/>
        </w:rPr>
        <w:tab/>
        <w:t xml:space="preserve">Lu, C.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IDH mutation impairs histone demethylation and results in a block to cell differentiation.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483</w:t>
      </w:r>
      <w:r w:rsidRPr="00CC7AB4">
        <w:rPr>
          <w:rFonts w:ascii="Calibri" w:hAnsi="Calibri" w:cs="Calibri"/>
          <w:color w:val="000000"/>
          <w:sz w:val="20"/>
          <w:lang w:val="en-US"/>
        </w:rPr>
        <w:t>, 474–478 (2012).</w:t>
      </w:r>
    </w:p>
    <w:p w14:paraId="20263AC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143.</w:t>
      </w:r>
      <w:r w:rsidRPr="00CC7AB4">
        <w:rPr>
          <w:rFonts w:ascii="Calibri" w:hAnsi="Calibri" w:cs="Calibri"/>
          <w:color w:val="000000"/>
          <w:sz w:val="20"/>
          <w:lang w:val="en-US"/>
        </w:rPr>
        <w:tab/>
        <w:t xml:space="preserve">Laukka, T.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Fumarate and Succinate Regulate Expression of Hypoxia-inducible Genes via TET Enzymes. </w:t>
      </w:r>
      <w:r w:rsidRPr="00CC7AB4">
        <w:rPr>
          <w:rFonts w:ascii="Calibri" w:hAnsi="Calibri" w:cs="Calibri"/>
          <w:i/>
          <w:iCs/>
          <w:color w:val="000000"/>
          <w:sz w:val="20"/>
          <w:lang w:val="en-US"/>
        </w:rPr>
        <w:t>J. Biol. Chem.</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291</w:t>
      </w:r>
      <w:r w:rsidRPr="00CC7AB4">
        <w:rPr>
          <w:rFonts w:ascii="Calibri" w:hAnsi="Calibri" w:cs="Calibri"/>
          <w:color w:val="000000"/>
          <w:sz w:val="20"/>
          <w:lang w:val="en-US"/>
        </w:rPr>
        <w:t>, 4256–4265 (2016).</w:t>
      </w:r>
    </w:p>
    <w:p w14:paraId="75A8A90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144.</w:t>
      </w:r>
      <w:r w:rsidRPr="00CC7AB4">
        <w:rPr>
          <w:rFonts w:ascii="Calibri" w:hAnsi="Calibri" w:cs="Calibri"/>
          <w:color w:val="000000"/>
          <w:sz w:val="20"/>
          <w:lang w:val="en-US"/>
        </w:rPr>
        <w:tab/>
        <w:t xml:space="preserve">Guzy, R. D., Sharma, B., Bell, E., Chandel, N. S. &amp; Schumacker, P. T. Loss of the SdhB, but Not the SdhA, Subunit of Complex II Triggers Reactive Oxygen Species-Dependent Hypoxia-Inducible Factor Activation and Tumorigenesis. </w:t>
      </w:r>
      <w:r w:rsidRPr="00CC7AB4">
        <w:rPr>
          <w:rFonts w:ascii="Calibri" w:hAnsi="Calibri" w:cs="Calibri"/>
          <w:i/>
          <w:iCs/>
          <w:color w:val="000000"/>
          <w:sz w:val="20"/>
          <w:lang w:val="en-US"/>
        </w:rPr>
        <w:t>Mol Cell Biol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28</w:t>
      </w:r>
      <w:r w:rsidRPr="00CC7AB4">
        <w:rPr>
          <w:rFonts w:ascii="Calibri" w:hAnsi="Calibri" w:cs="Calibri"/>
          <w:color w:val="000000"/>
          <w:sz w:val="20"/>
          <w:lang w:val="en-US"/>
        </w:rPr>
        <w:t>, 718–731 (2008).</w:t>
      </w:r>
    </w:p>
    <w:p w14:paraId="626A0E4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145.</w:t>
      </w:r>
      <w:r w:rsidRPr="00CC7AB4">
        <w:rPr>
          <w:rFonts w:ascii="Calibri" w:hAnsi="Calibri" w:cs="Calibri"/>
          <w:color w:val="000000"/>
          <w:sz w:val="20"/>
          <w:lang w:val="en-US"/>
        </w:rPr>
        <w:tab/>
        <w:t xml:space="preserve">Adam,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Renal Cyst Formation in Fh1-Deficient Mice Is Independent of the Hif/Phd Pathway: Roles for Fumarate in KEAP1 Succination and Nrf2 Signaling.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20</w:t>
      </w:r>
      <w:r w:rsidRPr="00CC7AB4">
        <w:rPr>
          <w:rFonts w:ascii="Calibri" w:hAnsi="Calibri" w:cs="Calibri"/>
          <w:color w:val="000000"/>
          <w:sz w:val="20"/>
          <w:lang w:val="en-US"/>
        </w:rPr>
        <w:t>, 524–537 (2011).</w:t>
      </w:r>
    </w:p>
    <w:p w14:paraId="19B24FE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146.</w:t>
      </w:r>
      <w:r w:rsidRPr="00CC7AB4">
        <w:rPr>
          <w:rFonts w:ascii="Calibri" w:hAnsi="Calibri" w:cs="Calibri"/>
          <w:color w:val="000000"/>
          <w:sz w:val="20"/>
          <w:lang w:val="en-US"/>
        </w:rPr>
        <w:tab/>
        <w:t xml:space="preserve">Chowdhury, R.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The oncometabolite 2-hydroxyglutarate inhibits histone lysine demethylases. </w:t>
      </w:r>
      <w:r w:rsidRPr="00CC7AB4">
        <w:rPr>
          <w:rFonts w:ascii="Calibri" w:hAnsi="Calibri" w:cs="Calibri"/>
          <w:i/>
          <w:iCs/>
          <w:color w:val="000000"/>
          <w:sz w:val="20"/>
          <w:lang w:val="en-US"/>
        </w:rPr>
        <w:t>EMBO reports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12</w:t>
      </w:r>
      <w:r w:rsidRPr="00CC7AB4">
        <w:rPr>
          <w:rFonts w:ascii="Calibri" w:hAnsi="Calibri" w:cs="Calibri"/>
          <w:color w:val="000000"/>
          <w:sz w:val="20"/>
          <w:lang w:val="en-US"/>
        </w:rPr>
        <w:t>, 463–469 (2011).</w:t>
      </w:r>
    </w:p>
    <w:p w14:paraId="68AFF46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147.</w:t>
      </w:r>
      <w:r w:rsidRPr="00CC7AB4">
        <w:rPr>
          <w:rFonts w:ascii="Calibri" w:hAnsi="Calibri" w:cs="Calibri"/>
          <w:color w:val="000000"/>
          <w:sz w:val="20"/>
          <w:lang w:val="en-US"/>
        </w:rPr>
        <w:tab/>
        <w:t xml:space="preserve">Koivunen, P.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Transformation by the (</w:t>
      </w:r>
      <w:r w:rsidRPr="00CC7AB4">
        <w:rPr>
          <w:rFonts w:ascii="Calibri" w:hAnsi="Calibri" w:cs="Calibri"/>
          <w:i/>
          <w:iCs/>
          <w:color w:val="000000"/>
          <w:sz w:val="20"/>
          <w:lang w:val="en-US"/>
        </w:rPr>
        <w:t>R</w:t>
      </w:r>
      <w:r w:rsidRPr="00CC7AB4">
        <w:rPr>
          <w:rFonts w:ascii="Calibri" w:hAnsi="Calibri" w:cs="Calibri"/>
          <w:color w:val="000000"/>
          <w:sz w:val="20"/>
          <w:lang w:val="en-US"/>
        </w:rPr>
        <w:t xml:space="preserve">)-enantiomer of 2-hydroxyglutarate linked to EGLN activation.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483</w:t>
      </w:r>
      <w:r w:rsidRPr="00CC7AB4">
        <w:rPr>
          <w:rFonts w:ascii="Calibri" w:hAnsi="Calibri" w:cs="Calibri"/>
          <w:color w:val="000000"/>
          <w:sz w:val="20"/>
          <w:lang w:val="en-US"/>
        </w:rPr>
        <w:t>, 484–488 (2012).</w:t>
      </w:r>
    </w:p>
    <w:p w14:paraId="414123E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148.</w:t>
      </w:r>
      <w:r w:rsidRPr="00CC7AB4">
        <w:rPr>
          <w:rFonts w:ascii="Calibri" w:hAnsi="Calibri" w:cs="Calibri"/>
          <w:color w:val="000000"/>
          <w:sz w:val="20"/>
          <w:lang w:val="en-US"/>
        </w:rPr>
        <w:tab/>
        <w:t xml:space="preserve">Tarhonskaya, 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Non-enzymatic chemistry enables 2-hydroxyglutarate-mediated activation of 2-oxoglutarate oxygenases. </w:t>
      </w:r>
      <w:r w:rsidRPr="00CC7AB4">
        <w:rPr>
          <w:rFonts w:ascii="Calibri" w:hAnsi="Calibri" w:cs="Calibri"/>
          <w:i/>
          <w:iCs/>
          <w:color w:val="000000"/>
          <w:sz w:val="20"/>
          <w:lang w:val="en-US"/>
        </w:rPr>
        <w:t>Nature Communications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w:t>
      </w:r>
      <w:r w:rsidRPr="00CC7AB4">
        <w:rPr>
          <w:rFonts w:ascii="Calibri" w:hAnsi="Calibri" w:cs="Calibri"/>
          <w:color w:val="000000"/>
          <w:sz w:val="20"/>
          <w:lang w:val="en-US"/>
        </w:rPr>
        <w:t>, 3423 (2014).</w:t>
      </w:r>
    </w:p>
    <w:p w14:paraId="7B0B767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149.</w:t>
      </w:r>
      <w:r w:rsidRPr="00CC7AB4">
        <w:rPr>
          <w:rFonts w:ascii="Calibri" w:hAnsi="Calibri" w:cs="Calibri"/>
          <w:color w:val="000000"/>
          <w:sz w:val="20"/>
          <w:lang w:val="en-US"/>
        </w:rPr>
        <w:tab/>
        <w:t xml:space="preserve">Cedar, H. &amp; Bergman, Y. Linking DNA methylation and histone modification: patterns and paradigms. </w:t>
      </w:r>
      <w:r w:rsidRPr="00CC7AB4">
        <w:rPr>
          <w:rFonts w:ascii="Calibri" w:hAnsi="Calibri" w:cs="Calibri"/>
          <w:i/>
          <w:iCs/>
          <w:color w:val="000000"/>
          <w:sz w:val="20"/>
          <w:lang w:val="en-US"/>
        </w:rPr>
        <w:t>Nat. Rev.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10</w:t>
      </w:r>
      <w:r w:rsidRPr="00CC7AB4">
        <w:rPr>
          <w:rFonts w:ascii="Calibri" w:hAnsi="Calibri" w:cs="Calibri"/>
          <w:color w:val="000000"/>
          <w:sz w:val="20"/>
          <w:lang w:val="en-US"/>
        </w:rPr>
        <w:t>, 295–304 (2009).</w:t>
      </w:r>
    </w:p>
    <w:p w14:paraId="01CC7E63"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150.</w:t>
      </w:r>
      <w:r w:rsidRPr="00CC7AB4">
        <w:rPr>
          <w:rFonts w:ascii="Calibri" w:hAnsi="Calibri" w:cs="Calibri"/>
          <w:color w:val="000000"/>
          <w:sz w:val="20"/>
          <w:lang w:val="en-US"/>
        </w:rPr>
        <w:tab/>
        <w:t xml:space="preserve">Feinberg, A. P., Ohlsson, R. &amp; Henikoff, S. The epigenetic progenitor origin of human cancer. </w:t>
      </w:r>
      <w:r w:rsidRPr="00CC7AB4">
        <w:rPr>
          <w:rFonts w:ascii="Calibri" w:hAnsi="Calibri" w:cs="Calibri"/>
          <w:i/>
          <w:iCs/>
          <w:color w:val="000000"/>
          <w:sz w:val="20"/>
          <w:lang w:val="en-US"/>
        </w:rPr>
        <w:t>Nat. Rev.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w:t>
      </w:r>
      <w:r w:rsidRPr="00CC7AB4">
        <w:rPr>
          <w:rFonts w:ascii="Calibri" w:hAnsi="Calibri" w:cs="Calibri"/>
          <w:color w:val="000000"/>
          <w:sz w:val="20"/>
          <w:lang w:val="en-US"/>
        </w:rPr>
        <w:t>, 21–33 (2006).</w:t>
      </w:r>
    </w:p>
    <w:p w14:paraId="1D1956A3"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151.</w:t>
      </w:r>
      <w:r w:rsidRPr="00CC7AB4">
        <w:rPr>
          <w:rFonts w:ascii="Calibri" w:hAnsi="Calibri" w:cs="Calibri"/>
          <w:color w:val="000000"/>
          <w:sz w:val="20"/>
          <w:lang w:val="en-US"/>
        </w:rPr>
        <w:tab/>
        <w:t xml:space="preserve">Jones, P. A. &amp; Baylin, S. B. The Epigenomics of Cancer. </w:t>
      </w:r>
      <w:r w:rsidRPr="00CC7AB4">
        <w:rPr>
          <w:rFonts w:ascii="Calibri" w:hAnsi="Calibri" w:cs="Calibri"/>
          <w:i/>
          <w:iCs/>
          <w:color w:val="000000"/>
          <w:sz w:val="20"/>
          <w:lang w:val="en-US"/>
        </w:rPr>
        <w:t>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128</w:t>
      </w:r>
      <w:r w:rsidRPr="00CC7AB4">
        <w:rPr>
          <w:rFonts w:ascii="Calibri" w:hAnsi="Calibri" w:cs="Calibri"/>
          <w:color w:val="000000"/>
          <w:sz w:val="20"/>
          <w:lang w:val="en-US"/>
        </w:rPr>
        <w:t>, 683–692 (2007).</w:t>
      </w:r>
    </w:p>
    <w:p w14:paraId="701D674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152.</w:t>
      </w:r>
      <w:r w:rsidRPr="00CC7AB4">
        <w:rPr>
          <w:rFonts w:ascii="Calibri" w:hAnsi="Calibri" w:cs="Calibri"/>
          <w:color w:val="000000"/>
          <w:sz w:val="20"/>
          <w:lang w:val="en-US"/>
        </w:rPr>
        <w:tab/>
        <w:t xml:space="preserve">Figueroa, M. E.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Leukemic IDH1 and IDH2 mutations result in a hypermethylation phenotype, disrupt TET2 function, and impair hematopoietic differentiation.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18</w:t>
      </w:r>
      <w:r w:rsidRPr="00CC7AB4">
        <w:rPr>
          <w:rFonts w:ascii="Calibri" w:hAnsi="Calibri" w:cs="Calibri"/>
          <w:color w:val="000000"/>
          <w:sz w:val="20"/>
          <w:lang w:val="en-US"/>
        </w:rPr>
        <w:t>, 553–567 (2010).</w:t>
      </w:r>
    </w:p>
    <w:p w14:paraId="3311261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153.</w:t>
      </w:r>
      <w:r w:rsidRPr="00CC7AB4">
        <w:rPr>
          <w:rFonts w:ascii="Calibri" w:hAnsi="Calibri" w:cs="Calibri"/>
          <w:color w:val="000000"/>
          <w:sz w:val="20"/>
          <w:lang w:val="en-US"/>
        </w:rPr>
        <w:tab/>
        <w:t xml:space="preserve">Lu, C.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Induction of sarcomas by mutant IDH2. </w:t>
      </w:r>
      <w:r w:rsidRPr="00CC7AB4">
        <w:rPr>
          <w:rFonts w:ascii="Calibri" w:hAnsi="Calibri" w:cs="Calibri"/>
          <w:i/>
          <w:iCs/>
          <w:color w:val="000000"/>
          <w:sz w:val="20"/>
          <w:lang w:val="en-US"/>
        </w:rPr>
        <w:t>Genes Dev</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27</w:t>
      </w:r>
      <w:r w:rsidRPr="00CC7AB4">
        <w:rPr>
          <w:rFonts w:ascii="Calibri" w:hAnsi="Calibri" w:cs="Calibri"/>
          <w:color w:val="000000"/>
          <w:sz w:val="20"/>
          <w:lang w:val="en-US"/>
        </w:rPr>
        <w:t>, 1986–1998 (2013).</w:t>
      </w:r>
    </w:p>
    <w:p w14:paraId="33EF9C9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154.</w:t>
      </w:r>
      <w:r w:rsidRPr="00CC7AB4">
        <w:rPr>
          <w:rFonts w:ascii="Calibri" w:hAnsi="Calibri" w:cs="Calibri"/>
          <w:color w:val="000000"/>
          <w:sz w:val="20"/>
          <w:lang w:val="en-US"/>
        </w:rPr>
        <w:tab/>
        <w:t xml:space="preserve">Turcan,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IDH1 mutation is sufficient to establish the glioma hypermethylator phenotype.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483</w:t>
      </w:r>
      <w:r w:rsidRPr="00CC7AB4">
        <w:rPr>
          <w:rFonts w:ascii="Calibri" w:hAnsi="Calibri" w:cs="Calibri"/>
          <w:color w:val="000000"/>
          <w:sz w:val="20"/>
          <w:lang w:val="en-US"/>
        </w:rPr>
        <w:t>, 479–483 (2012).</w:t>
      </w:r>
    </w:p>
    <w:p w14:paraId="0A5660D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155.</w:t>
      </w:r>
      <w:r w:rsidRPr="00CC7AB4">
        <w:rPr>
          <w:rFonts w:ascii="Calibri" w:hAnsi="Calibri" w:cs="Calibri"/>
          <w:color w:val="000000"/>
          <w:sz w:val="20"/>
          <w:lang w:val="en-US"/>
        </w:rPr>
        <w:tab/>
        <w:t xml:space="preserve">Aspuria, P.-J. P.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Succinate dehydrogenase inhibition leads to epithelial-mesenchymal transition and reprogrammed carbon metabolism. </w:t>
      </w:r>
      <w:r w:rsidRPr="00CC7AB4">
        <w:rPr>
          <w:rFonts w:ascii="Calibri" w:hAnsi="Calibri" w:cs="Calibri"/>
          <w:i/>
          <w:iCs/>
          <w:color w:val="000000"/>
          <w:sz w:val="20"/>
          <w:lang w:val="en-US"/>
        </w:rPr>
        <w:t>Cancer Metab</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w:t>
      </w:r>
      <w:r w:rsidRPr="00CC7AB4">
        <w:rPr>
          <w:rFonts w:ascii="Calibri" w:hAnsi="Calibri" w:cs="Calibri"/>
          <w:color w:val="000000"/>
          <w:sz w:val="20"/>
          <w:lang w:val="en-US"/>
        </w:rPr>
        <w:t>, (2014).</w:t>
      </w:r>
    </w:p>
    <w:p w14:paraId="2ECCC1E3"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156.</w:t>
      </w:r>
      <w:r w:rsidRPr="00CC7AB4">
        <w:rPr>
          <w:rFonts w:ascii="Calibri" w:hAnsi="Calibri" w:cs="Calibri"/>
          <w:color w:val="000000"/>
          <w:sz w:val="20"/>
          <w:lang w:val="en-US"/>
        </w:rPr>
        <w:tab/>
        <w:t xml:space="preserve">Enane, F. O., Saunthararajah, Y. &amp; Korc, M. Differentiation therapy and the mechanisms that terminate cancer cell proliferation without harming normal cells. </w:t>
      </w:r>
      <w:r w:rsidRPr="00CC7AB4">
        <w:rPr>
          <w:rFonts w:ascii="Calibri" w:hAnsi="Calibri" w:cs="Calibri"/>
          <w:i/>
          <w:iCs/>
          <w:color w:val="000000"/>
          <w:sz w:val="20"/>
          <w:lang w:val="en-US"/>
        </w:rPr>
        <w:t>Cell Death Dis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9</w:t>
      </w:r>
      <w:r w:rsidRPr="00CC7AB4">
        <w:rPr>
          <w:rFonts w:ascii="Calibri" w:hAnsi="Calibri" w:cs="Calibri"/>
          <w:color w:val="000000"/>
          <w:sz w:val="20"/>
          <w:lang w:val="en-US"/>
        </w:rPr>
        <w:t>, 1–15 (2018).</w:t>
      </w:r>
    </w:p>
    <w:p w14:paraId="0036EF6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157.</w:t>
      </w:r>
      <w:r w:rsidRPr="00CC7AB4">
        <w:rPr>
          <w:rFonts w:ascii="Calibri" w:hAnsi="Calibri" w:cs="Calibri"/>
          <w:color w:val="000000"/>
          <w:sz w:val="20"/>
          <w:lang w:val="en-US"/>
        </w:rPr>
        <w:tab/>
        <w:t xml:space="preserve">Zhou, D., Luo, Y., Dingli, D. &amp; Traulsen, A. The invasion of de-differentiating cancer cells into hierarchical tissues. </w:t>
      </w:r>
      <w:r w:rsidRPr="00CC7AB4">
        <w:rPr>
          <w:rFonts w:ascii="Calibri" w:hAnsi="Calibri" w:cs="Calibri"/>
          <w:i/>
          <w:iCs/>
          <w:color w:val="000000"/>
          <w:sz w:val="20"/>
          <w:lang w:val="en-US"/>
        </w:rPr>
        <w:t>PLOS Computational Biology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15</w:t>
      </w:r>
      <w:r w:rsidRPr="00CC7AB4">
        <w:rPr>
          <w:rFonts w:ascii="Calibri" w:hAnsi="Calibri" w:cs="Calibri"/>
          <w:color w:val="000000"/>
          <w:sz w:val="20"/>
          <w:lang w:val="en-US"/>
        </w:rPr>
        <w:t>, e1007167 (2019).</w:t>
      </w:r>
    </w:p>
    <w:p w14:paraId="568AA59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158.</w:t>
      </w:r>
      <w:r w:rsidRPr="00CC7AB4">
        <w:rPr>
          <w:rFonts w:ascii="Calibri" w:hAnsi="Calibri" w:cs="Calibri"/>
          <w:color w:val="000000"/>
          <w:sz w:val="20"/>
          <w:lang w:val="en-US"/>
        </w:rPr>
        <w:tab/>
        <w:t xml:space="preserve">Ahuja, N.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Association between CpG island methylation and microsatellite instability in colorectal cancer. </w:t>
      </w:r>
      <w:r w:rsidRPr="00CC7AB4">
        <w:rPr>
          <w:rFonts w:ascii="Calibri" w:hAnsi="Calibri" w:cs="Calibri"/>
          <w:i/>
          <w:iCs/>
          <w:color w:val="000000"/>
          <w:sz w:val="20"/>
          <w:lang w:val="en-US"/>
        </w:rPr>
        <w:t>Cancer Res.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57</w:t>
      </w:r>
      <w:r w:rsidRPr="00CC7AB4">
        <w:rPr>
          <w:rFonts w:ascii="Calibri" w:hAnsi="Calibri" w:cs="Calibri"/>
          <w:color w:val="000000"/>
          <w:sz w:val="20"/>
          <w:lang w:val="en-US"/>
        </w:rPr>
        <w:t>, 3370–3374 (1997).</w:t>
      </w:r>
    </w:p>
    <w:p w14:paraId="1FFEAE8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159.</w:t>
      </w:r>
      <w:r w:rsidRPr="00CC7AB4">
        <w:rPr>
          <w:rFonts w:ascii="Calibri" w:hAnsi="Calibri" w:cs="Calibri"/>
          <w:color w:val="000000"/>
          <w:sz w:val="20"/>
          <w:lang w:val="en-US"/>
        </w:rPr>
        <w:tab/>
        <w:t xml:space="preserve">Issa, J.-P. CpG island methylator phenotype in cancer. </w:t>
      </w:r>
      <w:r w:rsidRPr="00CC7AB4">
        <w:rPr>
          <w:rFonts w:ascii="Calibri" w:hAnsi="Calibri" w:cs="Calibri"/>
          <w:i/>
          <w:iCs/>
          <w:color w:val="000000"/>
          <w:sz w:val="20"/>
          <w:lang w:val="en-US"/>
        </w:rPr>
        <w:t>Nature Reviews Cancer</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w:t>
      </w:r>
      <w:r w:rsidRPr="00CC7AB4">
        <w:rPr>
          <w:rFonts w:ascii="Calibri" w:hAnsi="Calibri" w:cs="Calibri"/>
          <w:color w:val="000000"/>
          <w:sz w:val="20"/>
          <w:lang w:val="en-US"/>
        </w:rPr>
        <w:t>, 988–993 (2004).</w:t>
      </w:r>
    </w:p>
    <w:p w14:paraId="0879524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160.</w:t>
      </w:r>
      <w:r w:rsidRPr="00CC7AB4">
        <w:rPr>
          <w:rFonts w:ascii="Calibri" w:hAnsi="Calibri" w:cs="Calibri"/>
          <w:color w:val="000000"/>
          <w:sz w:val="20"/>
          <w:lang w:val="en-US"/>
        </w:rPr>
        <w:tab/>
        <w:t xml:space="preserve">Noushmehr, 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Identification of a CpG Island Methylator Phenotype that Defines a Distinct Subgroup of Glioma.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17</w:t>
      </w:r>
      <w:r w:rsidRPr="00CC7AB4">
        <w:rPr>
          <w:rFonts w:ascii="Calibri" w:hAnsi="Calibri" w:cs="Calibri"/>
          <w:color w:val="000000"/>
          <w:sz w:val="20"/>
          <w:lang w:val="en-US"/>
        </w:rPr>
        <w:t>, 510–522 (2010).</w:t>
      </w:r>
    </w:p>
    <w:p w14:paraId="3155FEE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161.</w:t>
      </w:r>
      <w:r w:rsidRPr="00CC7AB4">
        <w:rPr>
          <w:rFonts w:ascii="Calibri" w:hAnsi="Calibri" w:cs="Calibri"/>
          <w:color w:val="000000"/>
          <w:sz w:val="20"/>
          <w:lang w:val="en-US"/>
        </w:rPr>
        <w:tab/>
        <w:t xml:space="preserve">Linehan, W.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Comprehensive Molecular Characterization of Papillary Renal Cell Carcinoma. </w:t>
      </w:r>
      <w:r w:rsidRPr="00CC7AB4">
        <w:rPr>
          <w:rFonts w:ascii="Calibri" w:hAnsi="Calibri" w:cs="Calibri"/>
          <w:i/>
          <w:iCs/>
          <w:color w:val="000000"/>
          <w:sz w:val="20"/>
          <w:lang w:val="en-US"/>
        </w:rPr>
        <w:t>N Engl J Med</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374</w:t>
      </w:r>
      <w:r w:rsidRPr="00CC7AB4">
        <w:rPr>
          <w:rFonts w:ascii="Calibri" w:hAnsi="Calibri" w:cs="Calibri"/>
          <w:color w:val="000000"/>
          <w:sz w:val="20"/>
          <w:lang w:val="en-US"/>
        </w:rPr>
        <w:t>, 135–145 (2016).</w:t>
      </w:r>
    </w:p>
    <w:p w14:paraId="4B1FC11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162.</w:t>
      </w:r>
      <w:r w:rsidRPr="00CC7AB4">
        <w:rPr>
          <w:rFonts w:ascii="Calibri" w:hAnsi="Calibri" w:cs="Calibri"/>
          <w:color w:val="000000"/>
          <w:sz w:val="20"/>
          <w:lang w:val="en-US"/>
        </w:rPr>
        <w:tab/>
        <w:t xml:space="preserve">Chan, M. M. Y.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Cascade Fumarate Hydratase mutation screening allows early detection of kidney tumour: a case report. </w:t>
      </w:r>
      <w:r w:rsidRPr="00CC7AB4">
        <w:rPr>
          <w:rFonts w:ascii="Calibri" w:hAnsi="Calibri" w:cs="Calibri"/>
          <w:i/>
          <w:iCs/>
          <w:color w:val="000000"/>
          <w:sz w:val="20"/>
          <w:lang w:val="en-US"/>
        </w:rPr>
        <w:t>BMC Med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18</w:t>
      </w:r>
      <w:r w:rsidRPr="00CC7AB4">
        <w:rPr>
          <w:rFonts w:ascii="Calibri" w:hAnsi="Calibri" w:cs="Calibri"/>
          <w:color w:val="000000"/>
          <w:sz w:val="20"/>
          <w:lang w:val="en-US"/>
        </w:rPr>
        <w:t>, (2017).</w:t>
      </w:r>
    </w:p>
    <w:p w14:paraId="1C3FC13D"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163.</w:t>
      </w:r>
      <w:r w:rsidRPr="00CC7AB4">
        <w:rPr>
          <w:rFonts w:ascii="Calibri" w:hAnsi="Calibri" w:cs="Calibri"/>
          <w:color w:val="000000"/>
          <w:sz w:val="20"/>
          <w:lang w:val="en-US"/>
        </w:rPr>
        <w:tab/>
        <w:t xml:space="preserve">Ooi, A.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An Antioxidant Response Phenotype Shared between Hereditary and Sporadic Type 2 Papillary Renal Cell Carcinoma.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20</w:t>
      </w:r>
      <w:r w:rsidRPr="00CC7AB4">
        <w:rPr>
          <w:rFonts w:ascii="Calibri" w:hAnsi="Calibri" w:cs="Calibri"/>
          <w:color w:val="000000"/>
          <w:sz w:val="20"/>
          <w:lang w:val="en-US"/>
        </w:rPr>
        <w:t>, 511–523 (2011).</w:t>
      </w:r>
    </w:p>
    <w:p w14:paraId="54E4FCE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164.</w:t>
      </w:r>
      <w:r w:rsidRPr="00CC7AB4">
        <w:rPr>
          <w:rFonts w:ascii="Calibri" w:hAnsi="Calibri" w:cs="Calibri"/>
          <w:color w:val="000000"/>
          <w:sz w:val="20"/>
          <w:lang w:val="en-US"/>
        </w:rPr>
        <w:tab/>
        <w:t xml:space="preserve">Sourbier, C.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Targeting ABL1-Mediated Oxidative Stress Adaptation in Fumarate Hydratase-Deficient Cancer.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26</w:t>
      </w:r>
      <w:r w:rsidRPr="00CC7AB4">
        <w:rPr>
          <w:rFonts w:ascii="Calibri" w:hAnsi="Calibri" w:cs="Calibri"/>
          <w:color w:val="000000"/>
          <w:sz w:val="20"/>
          <w:lang w:val="en-US"/>
        </w:rPr>
        <w:t>, 840–850 (2014).</w:t>
      </w:r>
    </w:p>
    <w:p w14:paraId="6FC614A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165.</w:t>
      </w:r>
      <w:r w:rsidRPr="00CC7AB4">
        <w:rPr>
          <w:rFonts w:ascii="Calibri" w:hAnsi="Calibri" w:cs="Calibri"/>
          <w:color w:val="000000"/>
          <w:sz w:val="20"/>
          <w:lang w:val="en-US"/>
        </w:rPr>
        <w:tab/>
        <w:t xml:space="preserve">Shanmugasundaram, K.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The oncometabolite fumarate promotes pseudohypoxia through noncanonical activation of NF-κB signaling. </w:t>
      </w:r>
      <w:r w:rsidRPr="00CC7AB4">
        <w:rPr>
          <w:rFonts w:ascii="Calibri" w:hAnsi="Calibri" w:cs="Calibri"/>
          <w:i/>
          <w:iCs/>
          <w:color w:val="000000"/>
          <w:sz w:val="20"/>
          <w:lang w:val="en-US"/>
        </w:rPr>
        <w:t>J. Biol. Chem.</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289</w:t>
      </w:r>
      <w:r w:rsidRPr="00CC7AB4">
        <w:rPr>
          <w:rFonts w:ascii="Calibri" w:hAnsi="Calibri" w:cs="Calibri"/>
          <w:color w:val="000000"/>
          <w:sz w:val="20"/>
          <w:lang w:val="en-US"/>
        </w:rPr>
        <w:t>, 24691–24699 (2014).</w:t>
      </w:r>
    </w:p>
    <w:p w14:paraId="1D1377D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166.</w:t>
      </w:r>
      <w:r w:rsidRPr="00CC7AB4">
        <w:rPr>
          <w:rFonts w:ascii="Calibri" w:hAnsi="Calibri" w:cs="Calibri"/>
          <w:color w:val="000000"/>
          <w:sz w:val="20"/>
          <w:lang w:val="en-US"/>
        </w:rPr>
        <w:tab/>
        <w:t xml:space="preserve">van Uden, P., Kenneth, N. S. &amp; Rocha, S. Regulation of hypoxia-inducible factor-1alpha by NF-kappaB. </w:t>
      </w:r>
      <w:r w:rsidRPr="00CC7AB4">
        <w:rPr>
          <w:rFonts w:ascii="Calibri" w:hAnsi="Calibri" w:cs="Calibri"/>
          <w:i/>
          <w:iCs/>
          <w:color w:val="000000"/>
          <w:sz w:val="20"/>
          <w:lang w:val="en-US"/>
        </w:rPr>
        <w:t>Biochem. J.</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412</w:t>
      </w:r>
      <w:r w:rsidRPr="00CC7AB4">
        <w:rPr>
          <w:rFonts w:ascii="Calibri" w:hAnsi="Calibri" w:cs="Calibri"/>
          <w:color w:val="000000"/>
          <w:sz w:val="20"/>
          <w:lang w:val="en-US"/>
        </w:rPr>
        <w:t>, 477–484 (2008).</w:t>
      </w:r>
    </w:p>
    <w:p w14:paraId="0EE8D12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167.</w:t>
      </w:r>
      <w:r w:rsidRPr="00CC7AB4">
        <w:rPr>
          <w:rFonts w:ascii="Calibri" w:hAnsi="Calibri" w:cs="Calibri"/>
          <w:color w:val="000000"/>
          <w:sz w:val="20"/>
          <w:lang w:val="en-US"/>
        </w:rPr>
        <w:tab/>
        <w:t xml:space="preserve">Tong, W.-H.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The glycolytic shift in fumarate-hydratase-deficient kidney cancer lowers AMPK levels, increases anabolic propensities and lowers cellular iron levels.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20</w:t>
      </w:r>
      <w:r w:rsidRPr="00CC7AB4">
        <w:rPr>
          <w:rFonts w:ascii="Calibri" w:hAnsi="Calibri" w:cs="Calibri"/>
          <w:color w:val="000000"/>
          <w:sz w:val="20"/>
          <w:lang w:val="en-US"/>
        </w:rPr>
        <w:t>, 315–327 (2011).</w:t>
      </w:r>
    </w:p>
    <w:p w14:paraId="14AD073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168.</w:t>
      </w:r>
      <w:r w:rsidRPr="00CC7AB4">
        <w:rPr>
          <w:rFonts w:ascii="Calibri" w:hAnsi="Calibri" w:cs="Calibri"/>
          <w:color w:val="000000"/>
          <w:sz w:val="20"/>
          <w:lang w:val="en-US"/>
        </w:rPr>
        <w:tab/>
        <w:t xml:space="preserve">Bratslavsky, G., Sudarshan, S., Neckers, L. &amp; Linehan, W. M. Pseudohypoxic Pathways in Renal Cell Carcinoma. </w:t>
      </w:r>
      <w:r w:rsidRPr="00CC7AB4">
        <w:rPr>
          <w:rFonts w:ascii="Calibri" w:hAnsi="Calibri" w:cs="Calibri"/>
          <w:i/>
          <w:iCs/>
          <w:color w:val="000000"/>
          <w:sz w:val="20"/>
          <w:lang w:val="en-US"/>
        </w:rPr>
        <w:t>Clinical Cancer Research</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13</w:t>
      </w:r>
      <w:r w:rsidRPr="00CC7AB4">
        <w:rPr>
          <w:rFonts w:ascii="Calibri" w:hAnsi="Calibri" w:cs="Calibri"/>
          <w:color w:val="000000"/>
          <w:sz w:val="20"/>
          <w:lang w:val="en-US"/>
        </w:rPr>
        <w:t>, 4667–4671 (2007).</w:t>
      </w:r>
    </w:p>
    <w:p w14:paraId="4CFB4D8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169.</w:t>
      </w:r>
      <w:r w:rsidRPr="00CC7AB4">
        <w:rPr>
          <w:rFonts w:ascii="Calibri" w:hAnsi="Calibri" w:cs="Calibri"/>
          <w:color w:val="000000"/>
          <w:sz w:val="20"/>
          <w:lang w:val="en-US"/>
        </w:rPr>
        <w:tab/>
        <w:t xml:space="preserve">Sullivan, L. B.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The Proto-oncometabolite Fumarate Binds Glutathione to Amplify ROS-Dependent Signaling. </w:t>
      </w:r>
      <w:r w:rsidRPr="00CC7AB4">
        <w:rPr>
          <w:rFonts w:ascii="Calibri" w:hAnsi="Calibri" w:cs="Calibri"/>
          <w:i/>
          <w:iCs/>
          <w:color w:val="000000"/>
          <w:sz w:val="20"/>
          <w:lang w:val="en-US"/>
        </w:rPr>
        <w:t>Molecular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51</w:t>
      </w:r>
      <w:r w:rsidRPr="00CC7AB4">
        <w:rPr>
          <w:rFonts w:ascii="Calibri" w:hAnsi="Calibri" w:cs="Calibri"/>
          <w:color w:val="000000"/>
          <w:sz w:val="20"/>
          <w:lang w:val="en-US"/>
        </w:rPr>
        <w:t>, 236–248 (2013).</w:t>
      </w:r>
    </w:p>
    <w:p w14:paraId="5FD93D5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170.</w:t>
      </w:r>
      <w:r w:rsidRPr="00CC7AB4">
        <w:rPr>
          <w:rFonts w:ascii="Calibri" w:hAnsi="Calibri" w:cs="Calibri"/>
          <w:color w:val="000000"/>
          <w:sz w:val="20"/>
          <w:lang w:val="en-US"/>
        </w:rPr>
        <w:tab/>
        <w:t xml:space="preserve">Zheng, L.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Fumarate induces redox-dependent senescence by modifying glutathione metabolism. </w:t>
      </w:r>
      <w:r w:rsidRPr="00CC7AB4">
        <w:rPr>
          <w:rFonts w:ascii="Calibri" w:hAnsi="Calibri" w:cs="Calibri"/>
          <w:i/>
          <w:iCs/>
          <w:color w:val="000000"/>
          <w:sz w:val="20"/>
          <w:lang w:val="en-US"/>
        </w:rPr>
        <w:t>Nature Communications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w:t>
      </w:r>
      <w:r w:rsidRPr="00CC7AB4">
        <w:rPr>
          <w:rFonts w:ascii="Calibri" w:hAnsi="Calibri" w:cs="Calibri"/>
          <w:color w:val="000000"/>
          <w:sz w:val="20"/>
          <w:lang w:val="en-US"/>
        </w:rPr>
        <w:t>, 6001 (2015).</w:t>
      </w:r>
    </w:p>
    <w:p w14:paraId="2C13B0B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171.</w:t>
      </w:r>
      <w:r w:rsidRPr="00CC7AB4">
        <w:rPr>
          <w:rFonts w:ascii="Calibri" w:hAnsi="Calibri" w:cs="Calibri"/>
          <w:color w:val="000000"/>
          <w:sz w:val="20"/>
          <w:lang w:val="en-US"/>
        </w:rPr>
        <w:tab/>
        <w:t xml:space="preserve">Campisi, J. Aging, cellular senescence, and cancer. </w:t>
      </w:r>
      <w:r w:rsidRPr="00CC7AB4">
        <w:rPr>
          <w:rFonts w:ascii="Calibri" w:hAnsi="Calibri" w:cs="Calibri"/>
          <w:i/>
          <w:iCs/>
          <w:color w:val="000000"/>
          <w:sz w:val="20"/>
          <w:lang w:val="en-US"/>
        </w:rPr>
        <w:t>Annu. Rev. Physiol.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75</w:t>
      </w:r>
      <w:r w:rsidRPr="00CC7AB4">
        <w:rPr>
          <w:rFonts w:ascii="Calibri" w:hAnsi="Calibri" w:cs="Calibri"/>
          <w:color w:val="000000"/>
          <w:sz w:val="20"/>
          <w:lang w:val="en-US"/>
        </w:rPr>
        <w:t>, 685–705 (2013).</w:t>
      </w:r>
    </w:p>
    <w:p w14:paraId="0A6E279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172.</w:t>
      </w:r>
      <w:r w:rsidRPr="00CC7AB4">
        <w:rPr>
          <w:rFonts w:ascii="Calibri" w:hAnsi="Calibri" w:cs="Calibri"/>
          <w:color w:val="000000"/>
          <w:sz w:val="20"/>
          <w:lang w:val="en-US"/>
        </w:rPr>
        <w:tab/>
        <w:t xml:space="preserve">van Deursen, J. M. The role of senescent cells in ageing.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509</w:t>
      </w:r>
      <w:r w:rsidRPr="00CC7AB4">
        <w:rPr>
          <w:rFonts w:ascii="Calibri" w:hAnsi="Calibri" w:cs="Calibri"/>
          <w:color w:val="000000"/>
          <w:sz w:val="20"/>
          <w:lang w:val="en-US"/>
        </w:rPr>
        <w:t>, 439–446 (2014).</w:t>
      </w:r>
    </w:p>
    <w:p w14:paraId="3EF22CB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173.</w:t>
      </w:r>
      <w:r w:rsidRPr="00CC7AB4">
        <w:rPr>
          <w:rFonts w:ascii="Calibri" w:hAnsi="Calibri" w:cs="Calibri"/>
          <w:color w:val="000000"/>
          <w:sz w:val="20"/>
          <w:lang w:val="en-US"/>
        </w:rPr>
        <w:tab/>
        <w:t xml:space="preserve">Fourquet, S., Guerois, R., Biard, D. &amp; Toledano, M. B. Activation of NRF2 by nitrosative agents and H2O2 involves KEAP1 disulfide formation. </w:t>
      </w:r>
      <w:r w:rsidRPr="00CC7AB4">
        <w:rPr>
          <w:rFonts w:ascii="Calibri" w:hAnsi="Calibri" w:cs="Calibri"/>
          <w:i/>
          <w:iCs/>
          <w:color w:val="000000"/>
          <w:sz w:val="20"/>
          <w:lang w:val="en-US"/>
        </w:rPr>
        <w:t>J. Biol. Chem.</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285</w:t>
      </w:r>
      <w:r w:rsidRPr="00CC7AB4">
        <w:rPr>
          <w:rFonts w:ascii="Calibri" w:hAnsi="Calibri" w:cs="Calibri"/>
          <w:color w:val="000000"/>
          <w:sz w:val="20"/>
          <w:lang w:val="en-US"/>
        </w:rPr>
        <w:t>, 8463–8471 (2010).</w:t>
      </w:r>
    </w:p>
    <w:p w14:paraId="6BAA464A"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174.</w:t>
      </w:r>
      <w:r w:rsidRPr="00CC7AB4">
        <w:rPr>
          <w:rFonts w:ascii="Calibri" w:hAnsi="Calibri" w:cs="Calibri"/>
          <w:color w:val="000000"/>
          <w:sz w:val="20"/>
          <w:lang w:val="en-US"/>
        </w:rPr>
        <w:tab/>
        <w:t xml:space="preserve">Jin, L.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Glutamate Dehydrogenase 1 Signals through Antioxidant Glutathione Peroxidase 1 to Regulate Redox Homeostasis and Tumor Growth.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27</w:t>
      </w:r>
      <w:r w:rsidRPr="00CC7AB4">
        <w:rPr>
          <w:rFonts w:ascii="Calibri" w:hAnsi="Calibri" w:cs="Calibri"/>
          <w:color w:val="000000"/>
          <w:sz w:val="20"/>
          <w:lang w:val="en-US"/>
        </w:rPr>
        <w:t>, 257–270 (2015).</w:t>
      </w:r>
    </w:p>
    <w:p w14:paraId="7E576E9A"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175.</w:t>
      </w:r>
      <w:r w:rsidRPr="00CC7AB4">
        <w:rPr>
          <w:rFonts w:ascii="Calibri" w:hAnsi="Calibri" w:cs="Calibri"/>
          <w:color w:val="000000"/>
          <w:sz w:val="20"/>
          <w:lang w:val="en-US"/>
        </w:rPr>
        <w:tab/>
        <w:t xml:space="preserve">Hensley, C. T., Wasti, A. T. &amp; DeBerardinis, R. J. Glutamine and cancer: cell biology, physiology, and clinical opportunities. </w:t>
      </w:r>
      <w:r w:rsidRPr="00CC7AB4">
        <w:rPr>
          <w:rFonts w:ascii="Calibri" w:hAnsi="Calibri" w:cs="Calibri"/>
          <w:i/>
          <w:iCs/>
          <w:color w:val="000000"/>
          <w:sz w:val="20"/>
          <w:lang w:val="en-US"/>
        </w:rPr>
        <w:t>J Clin Invest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123</w:t>
      </w:r>
      <w:r w:rsidRPr="00CC7AB4">
        <w:rPr>
          <w:rFonts w:ascii="Calibri" w:hAnsi="Calibri" w:cs="Calibri"/>
          <w:color w:val="000000"/>
          <w:sz w:val="20"/>
          <w:lang w:val="en-US"/>
        </w:rPr>
        <w:t>, 3678–3684 (2013).</w:t>
      </w:r>
    </w:p>
    <w:p w14:paraId="7B3B158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176.</w:t>
      </w:r>
      <w:r w:rsidRPr="00CC7AB4">
        <w:rPr>
          <w:rFonts w:ascii="Calibri" w:hAnsi="Calibri" w:cs="Calibri"/>
          <w:color w:val="000000"/>
          <w:sz w:val="20"/>
          <w:lang w:val="en-US"/>
        </w:rPr>
        <w:tab/>
        <w:t xml:space="preserve">Mullen, A. R.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Reductive carboxylation supports growth in tumour cells with defective mitochondria.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481</w:t>
      </w:r>
      <w:r w:rsidRPr="00CC7AB4">
        <w:rPr>
          <w:rFonts w:ascii="Calibri" w:hAnsi="Calibri" w:cs="Calibri"/>
          <w:color w:val="000000"/>
          <w:sz w:val="20"/>
          <w:lang w:val="en-US"/>
        </w:rPr>
        <w:t>, 385–388 (2012).</w:t>
      </w:r>
    </w:p>
    <w:p w14:paraId="24B611E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177.</w:t>
      </w:r>
      <w:r w:rsidRPr="00CC7AB4">
        <w:rPr>
          <w:rFonts w:ascii="Calibri" w:hAnsi="Calibri" w:cs="Calibri"/>
          <w:color w:val="000000"/>
          <w:sz w:val="20"/>
          <w:lang w:val="en-US"/>
        </w:rPr>
        <w:tab/>
        <w:t xml:space="preserve">Xu, Y.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Pathologic Oxidation of PTPN12 Underlies ABL1 Phosphorylation in Hereditary Leiomyomatosis and Renal Cell Carcinoma. </w:t>
      </w:r>
      <w:r w:rsidRPr="00CC7AB4">
        <w:rPr>
          <w:rFonts w:ascii="Calibri" w:hAnsi="Calibri" w:cs="Calibri"/>
          <w:i/>
          <w:iCs/>
          <w:color w:val="000000"/>
          <w:sz w:val="20"/>
          <w:lang w:val="en-US"/>
        </w:rPr>
        <w:t>Cancer Res.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78</w:t>
      </w:r>
      <w:r w:rsidRPr="00CC7AB4">
        <w:rPr>
          <w:rFonts w:ascii="Calibri" w:hAnsi="Calibri" w:cs="Calibri"/>
          <w:color w:val="000000"/>
          <w:sz w:val="20"/>
          <w:lang w:val="en-US"/>
        </w:rPr>
        <w:t>, 6539–6548 (2018).</w:t>
      </w:r>
    </w:p>
    <w:p w14:paraId="77D9520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178.</w:t>
      </w:r>
      <w:r w:rsidRPr="00CC7AB4">
        <w:rPr>
          <w:rFonts w:ascii="Calibri" w:hAnsi="Calibri" w:cs="Calibri"/>
          <w:color w:val="000000"/>
          <w:sz w:val="20"/>
          <w:lang w:val="en-US"/>
        </w:rPr>
        <w:tab/>
        <w:t xml:space="preserve">Shambaugh, G. E. Urea biosynthesis I. The urea cycle and relationships to the citric acid cycle. </w:t>
      </w:r>
      <w:r w:rsidRPr="00CC7AB4">
        <w:rPr>
          <w:rFonts w:ascii="Calibri" w:hAnsi="Calibri" w:cs="Calibri"/>
          <w:i/>
          <w:iCs/>
          <w:color w:val="000000"/>
          <w:sz w:val="20"/>
          <w:lang w:val="en-US"/>
        </w:rPr>
        <w:t>Am. J. Clin. Nutr.</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30</w:t>
      </w:r>
      <w:r w:rsidRPr="00CC7AB4">
        <w:rPr>
          <w:rFonts w:ascii="Calibri" w:hAnsi="Calibri" w:cs="Calibri"/>
          <w:color w:val="000000"/>
          <w:sz w:val="20"/>
          <w:lang w:val="en-US"/>
        </w:rPr>
        <w:t>, 2083–2087 (1977).</w:t>
      </w:r>
    </w:p>
    <w:p w14:paraId="672D06E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179.</w:t>
      </w:r>
      <w:r w:rsidRPr="00CC7AB4">
        <w:rPr>
          <w:rFonts w:ascii="Calibri" w:hAnsi="Calibri" w:cs="Calibri"/>
          <w:color w:val="000000"/>
          <w:sz w:val="20"/>
          <w:lang w:val="en-US"/>
        </w:rPr>
        <w:tab/>
        <w:t xml:space="preserve">Frezza, C.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Haem oxygenase is synthetically lethal with the tumour suppressor fumarate hydratase.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477</w:t>
      </w:r>
      <w:r w:rsidRPr="00CC7AB4">
        <w:rPr>
          <w:rFonts w:ascii="Calibri" w:hAnsi="Calibri" w:cs="Calibri"/>
          <w:color w:val="000000"/>
          <w:sz w:val="20"/>
          <w:lang w:val="en-US"/>
        </w:rPr>
        <w:t>, 225–228 (2011).</w:t>
      </w:r>
    </w:p>
    <w:p w14:paraId="456F7C0D"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180.</w:t>
      </w:r>
      <w:r w:rsidRPr="00CC7AB4">
        <w:rPr>
          <w:rFonts w:ascii="Calibri" w:hAnsi="Calibri" w:cs="Calibri"/>
          <w:color w:val="000000"/>
          <w:sz w:val="20"/>
          <w:lang w:val="en-US"/>
        </w:rPr>
        <w:tab/>
        <w:t xml:space="preserve">Mu, X.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Oncometabolite succinate promotes angiogenesis by upregulating VEGF expression through GPR91-mediated STAT3 and ERK activation. </w:t>
      </w:r>
      <w:r w:rsidRPr="00CC7AB4">
        <w:rPr>
          <w:rFonts w:ascii="Calibri" w:hAnsi="Calibri" w:cs="Calibri"/>
          <w:i/>
          <w:iCs/>
          <w:color w:val="000000"/>
          <w:sz w:val="20"/>
          <w:lang w:val="en-US"/>
        </w:rPr>
        <w:t>Oncotarget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8</w:t>
      </w:r>
      <w:r w:rsidRPr="00CC7AB4">
        <w:rPr>
          <w:rFonts w:ascii="Calibri" w:hAnsi="Calibri" w:cs="Calibri"/>
          <w:color w:val="000000"/>
          <w:sz w:val="20"/>
          <w:lang w:val="en-US"/>
        </w:rPr>
        <w:t>, 13174–13185 (2017).</w:t>
      </w:r>
    </w:p>
    <w:p w14:paraId="60F6E34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181.</w:t>
      </w:r>
      <w:r w:rsidRPr="00CC7AB4">
        <w:rPr>
          <w:rFonts w:ascii="Calibri" w:hAnsi="Calibri" w:cs="Calibri"/>
          <w:color w:val="000000"/>
          <w:sz w:val="20"/>
          <w:lang w:val="en-US"/>
        </w:rPr>
        <w:tab/>
        <w:t xml:space="preserve">Baumbach, L., Leyssac, P. P. &amp; Skinner, S. L. Studies on renin release from isolated superfused glomeruli: effects of temperature, urea, ouabain and ethacrynic acid. </w:t>
      </w:r>
      <w:r w:rsidRPr="00CC7AB4">
        <w:rPr>
          <w:rFonts w:ascii="Calibri" w:hAnsi="Calibri" w:cs="Calibri"/>
          <w:i/>
          <w:iCs/>
          <w:color w:val="000000"/>
          <w:sz w:val="20"/>
          <w:lang w:val="en-US"/>
        </w:rPr>
        <w:t>J Physiol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258</w:t>
      </w:r>
      <w:r w:rsidRPr="00CC7AB4">
        <w:rPr>
          <w:rFonts w:ascii="Calibri" w:hAnsi="Calibri" w:cs="Calibri"/>
          <w:color w:val="000000"/>
          <w:sz w:val="20"/>
          <w:lang w:val="en-US"/>
        </w:rPr>
        <w:t>, 243–256 (1976).</w:t>
      </w:r>
    </w:p>
    <w:p w14:paraId="7A79EB7D"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182.</w:t>
      </w:r>
      <w:r w:rsidRPr="00CC7AB4">
        <w:rPr>
          <w:rFonts w:ascii="Calibri" w:hAnsi="Calibri" w:cs="Calibri"/>
          <w:color w:val="000000"/>
          <w:sz w:val="20"/>
          <w:lang w:val="en-US"/>
        </w:rPr>
        <w:tab/>
        <w:t xml:space="preserve">He, W.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Citric acid cycle intermediates as ligands for orphan G-protein-coupled receptors.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429</w:t>
      </w:r>
      <w:r w:rsidRPr="00CC7AB4">
        <w:rPr>
          <w:rFonts w:ascii="Calibri" w:hAnsi="Calibri" w:cs="Calibri"/>
          <w:color w:val="000000"/>
          <w:sz w:val="20"/>
          <w:lang w:val="en-US"/>
        </w:rPr>
        <w:t>, 188–193 (2004).</w:t>
      </w:r>
    </w:p>
    <w:p w14:paraId="324C0C4D"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183.</w:t>
      </w:r>
      <w:r w:rsidRPr="00CC7AB4">
        <w:rPr>
          <w:rFonts w:ascii="Calibri" w:hAnsi="Calibri" w:cs="Calibri"/>
          <w:color w:val="000000"/>
          <w:sz w:val="20"/>
          <w:lang w:val="en-US"/>
        </w:rPr>
        <w:tab/>
        <w:t xml:space="preserve">Toma, I.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Succinate receptor GPR91 provides a direct link between high glucose levels and renin release in murine and rabbit kidney. </w:t>
      </w:r>
      <w:r w:rsidRPr="00CC7AB4">
        <w:rPr>
          <w:rFonts w:ascii="Calibri" w:hAnsi="Calibri" w:cs="Calibri"/>
          <w:i/>
          <w:iCs/>
          <w:color w:val="000000"/>
          <w:sz w:val="20"/>
          <w:lang w:val="en-US"/>
        </w:rPr>
        <w:t>J. Clin. Invest.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118</w:t>
      </w:r>
      <w:r w:rsidRPr="00CC7AB4">
        <w:rPr>
          <w:rFonts w:ascii="Calibri" w:hAnsi="Calibri" w:cs="Calibri"/>
          <w:color w:val="000000"/>
          <w:sz w:val="20"/>
          <w:lang w:val="en-US"/>
        </w:rPr>
        <w:t>, 2526–2534 (2008).</w:t>
      </w:r>
    </w:p>
    <w:p w14:paraId="2A80C36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184.</w:t>
      </w:r>
      <w:r w:rsidRPr="00CC7AB4">
        <w:rPr>
          <w:rFonts w:ascii="Calibri" w:hAnsi="Calibri" w:cs="Calibri"/>
          <w:color w:val="000000"/>
          <w:sz w:val="20"/>
          <w:lang w:val="en-US"/>
        </w:rPr>
        <w:tab/>
        <w:t xml:space="preserve">Aguiar, C.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Succinate causes pathological cardiomyocyte hypertrophy through GPR91 activation. </w:t>
      </w:r>
      <w:r w:rsidRPr="00CC7AB4">
        <w:rPr>
          <w:rFonts w:ascii="Calibri" w:hAnsi="Calibri" w:cs="Calibri"/>
          <w:i/>
          <w:iCs/>
          <w:color w:val="000000"/>
          <w:sz w:val="20"/>
          <w:lang w:val="en-US"/>
        </w:rPr>
        <w:t>Cell Communication and Signaling</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12</w:t>
      </w:r>
      <w:r w:rsidRPr="00CC7AB4">
        <w:rPr>
          <w:rFonts w:ascii="Calibri" w:hAnsi="Calibri" w:cs="Calibri"/>
          <w:color w:val="000000"/>
          <w:sz w:val="20"/>
          <w:lang w:val="en-US"/>
        </w:rPr>
        <w:t>, 78 (2014).</w:t>
      </w:r>
    </w:p>
    <w:p w14:paraId="28D55A0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185.</w:t>
      </w:r>
      <w:r w:rsidRPr="00CC7AB4">
        <w:rPr>
          <w:rFonts w:ascii="Calibri" w:hAnsi="Calibri" w:cs="Calibri"/>
          <w:color w:val="000000"/>
          <w:sz w:val="20"/>
          <w:lang w:val="en-US"/>
        </w:rPr>
        <w:tab/>
        <w:t xml:space="preserve">Correa, P. R. A. V.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Succinate is a paracrine signal for liver damage. </w:t>
      </w:r>
      <w:r w:rsidRPr="00CC7AB4">
        <w:rPr>
          <w:rFonts w:ascii="Calibri" w:hAnsi="Calibri" w:cs="Calibri"/>
          <w:i/>
          <w:iCs/>
          <w:color w:val="000000"/>
          <w:sz w:val="20"/>
          <w:lang w:val="en-US"/>
        </w:rPr>
        <w:t>J. Hepatol.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47</w:t>
      </w:r>
      <w:r w:rsidRPr="00CC7AB4">
        <w:rPr>
          <w:rFonts w:ascii="Calibri" w:hAnsi="Calibri" w:cs="Calibri"/>
          <w:color w:val="000000"/>
          <w:sz w:val="20"/>
          <w:lang w:val="en-US"/>
        </w:rPr>
        <w:t>, 262–269 (2007).</w:t>
      </w:r>
    </w:p>
    <w:p w14:paraId="1BEB91F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186.</w:t>
      </w:r>
      <w:r w:rsidRPr="00CC7AB4">
        <w:rPr>
          <w:rFonts w:ascii="Calibri" w:hAnsi="Calibri" w:cs="Calibri"/>
          <w:color w:val="000000"/>
          <w:sz w:val="20"/>
          <w:lang w:val="en-US"/>
        </w:rPr>
        <w:tab/>
        <w:t xml:space="preserve">Jiang, S. &amp; Yan, W. Succinate in the cancer-immune cycle. </w:t>
      </w:r>
      <w:r w:rsidRPr="00CC7AB4">
        <w:rPr>
          <w:rFonts w:ascii="Calibri" w:hAnsi="Calibri" w:cs="Calibri"/>
          <w:i/>
          <w:iCs/>
          <w:color w:val="000000"/>
          <w:sz w:val="20"/>
          <w:lang w:val="en-US"/>
        </w:rPr>
        <w:t>Cancer Lett.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390</w:t>
      </w:r>
      <w:r w:rsidRPr="00CC7AB4">
        <w:rPr>
          <w:rFonts w:ascii="Calibri" w:hAnsi="Calibri" w:cs="Calibri"/>
          <w:color w:val="000000"/>
          <w:sz w:val="20"/>
          <w:lang w:val="en-US"/>
        </w:rPr>
        <w:t>, 45–47 (2017).</w:t>
      </w:r>
    </w:p>
    <w:p w14:paraId="374A846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187.</w:t>
      </w:r>
      <w:r w:rsidRPr="00CC7AB4">
        <w:rPr>
          <w:rFonts w:ascii="Calibri" w:hAnsi="Calibri" w:cs="Calibri"/>
          <w:color w:val="000000"/>
          <w:sz w:val="20"/>
          <w:lang w:val="en-US"/>
        </w:rPr>
        <w:tab/>
        <w:t xml:space="preserve">Mills, E. &amp; O’Neill, L. A. J. Succinate: a metabolic signal in inflammation. </w:t>
      </w:r>
      <w:r w:rsidRPr="00CC7AB4">
        <w:rPr>
          <w:rFonts w:ascii="Calibri" w:hAnsi="Calibri" w:cs="Calibri"/>
          <w:i/>
          <w:iCs/>
          <w:color w:val="000000"/>
          <w:sz w:val="20"/>
          <w:lang w:val="en-US"/>
        </w:rPr>
        <w:t>Trends in Cell Biology</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24</w:t>
      </w:r>
      <w:r w:rsidRPr="00CC7AB4">
        <w:rPr>
          <w:rFonts w:ascii="Calibri" w:hAnsi="Calibri" w:cs="Calibri"/>
          <w:color w:val="000000"/>
          <w:sz w:val="20"/>
          <w:lang w:val="en-US"/>
        </w:rPr>
        <w:t>, 313–320 (2014).</w:t>
      </w:r>
    </w:p>
    <w:p w14:paraId="40C5F93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188.</w:t>
      </w:r>
      <w:r w:rsidRPr="00CC7AB4">
        <w:rPr>
          <w:rFonts w:ascii="Calibri" w:hAnsi="Calibri" w:cs="Calibri"/>
          <w:color w:val="000000"/>
          <w:sz w:val="20"/>
          <w:lang w:val="en-US"/>
        </w:rPr>
        <w:tab/>
        <w:t xml:space="preserve">Zhang, Z.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Identification of lysine succinylation as a new post-translational modification. </w:t>
      </w:r>
      <w:r w:rsidRPr="00CC7AB4">
        <w:rPr>
          <w:rFonts w:ascii="Calibri" w:hAnsi="Calibri" w:cs="Calibri"/>
          <w:i/>
          <w:iCs/>
          <w:color w:val="000000"/>
          <w:sz w:val="20"/>
          <w:lang w:val="en-US"/>
        </w:rPr>
        <w:t>Nat. Chem. Biol.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w:t>
      </w:r>
      <w:r w:rsidRPr="00CC7AB4">
        <w:rPr>
          <w:rFonts w:ascii="Calibri" w:hAnsi="Calibri" w:cs="Calibri"/>
          <w:color w:val="000000"/>
          <w:sz w:val="20"/>
          <w:lang w:val="en-US"/>
        </w:rPr>
        <w:t>, 58–63 (2011).</w:t>
      </w:r>
    </w:p>
    <w:p w14:paraId="05F6D41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189.</w:t>
      </w:r>
      <w:r w:rsidRPr="00CC7AB4">
        <w:rPr>
          <w:rFonts w:ascii="Calibri" w:hAnsi="Calibri" w:cs="Calibri"/>
          <w:color w:val="000000"/>
          <w:sz w:val="20"/>
          <w:lang w:val="en-US"/>
        </w:rPr>
        <w:tab/>
        <w:t xml:space="preserve">Li, F.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NADP+-IDH Mutations Promote Hypersuccinylation that Impairs Mitochondria Respiration and Induces Apoptosis Resistance. </w:t>
      </w:r>
      <w:r w:rsidRPr="00CC7AB4">
        <w:rPr>
          <w:rFonts w:ascii="Calibri" w:hAnsi="Calibri" w:cs="Calibri"/>
          <w:i/>
          <w:iCs/>
          <w:color w:val="000000"/>
          <w:sz w:val="20"/>
          <w:lang w:val="en-US"/>
        </w:rPr>
        <w:t>Molecular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60</w:t>
      </w:r>
      <w:r w:rsidRPr="00CC7AB4">
        <w:rPr>
          <w:rFonts w:ascii="Calibri" w:hAnsi="Calibri" w:cs="Calibri"/>
          <w:color w:val="000000"/>
          <w:sz w:val="20"/>
          <w:lang w:val="en-US"/>
        </w:rPr>
        <w:t>, 661–675 (2015).</w:t>
      </w:r>
    </w:p>
    <w:p w14:paraId="6932CAF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190.</w:t>
      </w:r>
      <w:r w:rsidRPr="00CC7AB4">
        <w:rPr>
          <w:rFonts w:ascii="Calibri" w:hAnsi="Calibri" w:cs="Calibri"/>
          <w:color w:val="000000"/>
          <w:sz w:val="20"/>
          <w:lang w:val="en-US"/>
        </w:rPr>
        <w:tab/>
        <w:t xml:space="preserve">Xie, Z.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Lysine succinylation and lysine malonylation in histones. </w:t>
      </w:r>
      <w:r w:rsidRPr="00CC7AB4">
        <w:rPr>
          <w:rFonts w:ascii="Calibri" w:hAnsi="Calibri" w:cs="Calibri"/>
          <w:i/>
          <w:iCs/>
          <w:color w:val="000000"/>
          <w:sz w:val="20"/>
          <w:lang w:val="en-US"/>
        </w:rPr>
        <w:t>Mol. Cell Proteomics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11</w:t>
      </w:r>
      <w:r w:rsidRPr="00CC7AB4">
        <w:rPr>
          <w:rFonts w:ascii="Calibri" w:hAnsi="Calibri" w:cs="Calibri"/>
          <w:color w:val="000000"/>
          <w:sz w:val="20"/>
          <w:lang w:val="en-US"/>
        </w:rPr>
        <w:t>, 100–107 (2012).</w:t>
      </w:r>
    </w:p>
    <w:p w14:paraId="5CA185C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191.</w:t>
      </w:r>
      <w:r w:rsidRPr="00CC7AB4">
        <w:rPr>
          <w:rFonts w:ascii="Calibri" w:hAnsi="Calibri" w:cs="Calibri"/>
          <w:color w:val="000000"/>
          <w:sz w:val="20"/>
          <w:lang w:val="en-US"/>
        </w:rPr>
        <w:tab/>
        <w:t xml:space="preserve">Park,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SIRT5-Mediated Lysine Desuccinylation Impacts Diverse Metabolic Pathways. </w:t>
      </w:r>
      <w:r w:rsidRPr="00CC7AB4">
        <w:rPr>
          <w:rFonts w:ascii="Calibri" w:hAnsi="Calibri" w:cs="Calibri"/>
          <w:i/>
          <w:iCs/>
          <w:color w:val="000000"/>
          <w:sz w:val="20"/>
          <w:lang w:val="en-US"/>
        </w:rPr>
        <w:t>Molecular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50</w:t>
      </w:r>
      <w:r w:rsidRPr="00CC7AB4">
        <w:rPr>
          <w:rFonts w:ascii="Calibri" w:hAnsi="Calibri" w:cs="Calibri"/>
          <w:color w:val="000000"/>
          <w:sz w:val="20"/>
          <w:lang w:val="en-US"/>
        </w:rPr>
        <w:t>, 919–930 (2013).</w:t>
      </w:r>
    </w:p>
    <w:p w14:paraId="3B95FC8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192.</w:t>
      </w:r>
      <w:r w:rsidRPr="00CC7AB4">
        <w:rPr>
          <w:rFonts w:ascii="Calibri" w:hAnsi="Calibri" w:cs="Calibri"/>
          <w:color w:val="000000"/>
          <w:sz w:val="20"/>
          <w:lang w:val="en-US"/>
        </w:rPr>
        <w:tab/>
        <w:t xml:space="preserve">Frezza, C. Mitochondrial metabolites: undercover signalling molecules. </w:t>
      </w:r>
      <w:r w:rsidRPr="00CC7AB4">
        <w:rPr>
          <w:rFonts w:ascii="Calibri" w:hAnsi="Calibri" w:cs="Calibri"/>
          <w:i/>
          <w:iCs/>
          <w:color w:val="000000"/>
          <w:sz w:val="20"/>
          <w:lang w:val="en-US"/>
        </w:rPr>
        <w:t>Interface Focus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w:t>
      </w:r>
      <w:r w:rsidRPr="00CC7AB4">
        <w:rPr>
          <w:rFonts w:ascii="Calibri" w:hAnsi="Calibri" w:cs="Calibri"/>
          <w:color w:val="000000"/>
          <w:sz w:val="20"/>
          <w:lang w:val="en-US"/>
        </w:rPr>
        <w:t>, 20160100 (2017).</w:t>
      </w:r>
    </w:p>
    <w:p w14:paraId="0405D41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193.</w:t>
      </w:r>
      <w:r w:rsidRPr="00CC7AB4">
        <w:rPr>
          <w:rFonts w:ascii="Calibri" w:hAnsi="Calibri" w:cs="Calibri"/>
          <w:color w:val="000000"/>
          <w:sz w:val="20"/>
          <w:lang w:val="en-US"/>
        </w:rPr>
        <w:tab/>
        <w:t xml:space="preserve">Cardaci,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Pyruvate carboxylation enables growth of SDH-deficient cells by supporting aspartate biosynthesis. </w:t>
      </w:r>
      <w:r w:rsidRPr="00CC7AB4">
        <w:rPr>
          <w:rFonts w:ascii="Calibri" w:hAnsi="Calibri" w:cs="Calibri"/>
          <w:i/>
          <w:iCs/>
          <w:color w:val="000000"/>
          <w:sz w:val="20"/>
          <w:lang w:val="en-US"/>
        </w:rPr>
        <w:t>Nat. Cell Biol.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17</w:t>
      </w:r>
      <w:r w:rsidRPr="00CC7AB4">
        <w:rPr>
          <w:rFonts w:ascii="Calibri" w:hAnsi="Calibri" w:cs="Calibri"/>
          <w:color w:val="000000"/>
          <w:sz w:val="20"/>
          <w:lang w:val="en-US"/>
        </w:rPr>
        <w:t>, 1317–1326 (2015).</w:t>
      </w:r>
    </w:p>
    <w:p w14:paraId="6EA5177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194.</w:t>
      </w:r>
      <w:r w:rsidRPr="00CC7AB4">
        <w:rPr>
          <w:rFonts w:ascii="Calibri" w:hAnsi="Calibri" w:cs="Calibri"/>
          <w:color w:val="000000"/>
          <w:sz w:val="20"/>
          <w:lang w:val="en-US"/>
        </w:rPr>
        <w:tab/>
        <w:t xml:space="preserve">Lussey-Lepoutre, C.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Loss of succinate dehydrogenase activity results in dependency on pyruvate carboxylation for cellular anabolism. </w:t>
      </w:r>
      <w:r w:rsidRPr="00CC7AB4">
        <w:rPr>
          <w:rFonts w:ascii="Calibri" w:hAnsi="Calibri" w:cs="Calibri"/>
          <w:i/>
          <w:iCs/>
          <w:color w:val="000000"/>
          <w:sz w:val="20"/>
          <w:lang w:val="en-US"/>
        </w:rPr>
        <w:t>Nat Commun</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w:t>
      </w:r>
      <w:r w:rsidRPr="00CC7AB4">
        <w:rPr>
          <w:rFonts w:ascii="Calibri" w:hAnsi="Calibri" w:cs="Calibri"/>
          <w:color w:val="000000"/>
          <w:sz w:val="20"/>
          <w:lang w:val="en-US"/>
        </w:rPr>
        <w:t>, 8784 (2015).</w:t>
      </w:r>
    </w:p>
    <w:p w14:paraId="4E813BA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195.</w:t>
      </w:r>
      <w:r w:rsidRPr="00CC7AB4">
        <w:rPr>
          <w:rFonts w:ascii="Calibri" w:hAnsi="Calibri" w:cs="Calibri"/>
          <w:color w:val="000000"/>
          <w:sz w:val="20"/>
          <w:lang w:val="en-US"/>
        </w:rPr>
        <w:tab/>
        <w:t xml:space="preserve">Su, R.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R-2HG Exhibits Anti-tumor Activity by Targeting FTO/m6A/MYC/CEBPA Signaling. </w:t>
      </w:r>
      <w:r w:rsidRPr="00CC7AB4">
        <w:rPr>
          <w:rFonts w:ascii="Calibri" w:hAnsi="Calibri" w:cs="Calibri"/>
          <w:i/>
          <w:iCs/>
          <w:color w:val="000000"/>
          <w:sz w:val="20"/>
          <w:lang w:val="en-US"/>
        </w:rPr>
        <w:t>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172</w:t>
      </w:r>
      <w:r w:rsidRPr="00CC7AB4">
        <w:rPr>
          <w:rFonts w:ascii="Calibri" w:hAnsi="Calibri" w:cs="Calibri"/>
          <w:color w:val="000000"/>
          <w:sz w:val="20"/>
          <w:lang w:val="en-US"/>
        </w:rPr>
        <w:t>, 90-105.e23 (2018).</w:t>
      </w:r>
    </w:p>
    <w:p w14:paraId="4ED9EA8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196.</w:t>
      </w:r>
      <w:r w:rsidRPr="00CC7AB4">
        <w:rPr>
          <w:rFonts w:ascii="Calibri" w:hAnsi="Calibri" w:cs="Calibri"/>
          <w:color w:val="000000"/>
          <w:sz w:val="20"/>
          <w:lang w:val="en-US"/>
        </w:rPr>
        <w:tab/>
        <w:t xml:space="preserve">Jia, G.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N6-methyladenosine in nuclear RNA is a major substrate of the obesity-associated FTO. </w:t>
      </w:r>
      <w:r w:rsidRPr="00CC7AB4">
        <w:rPr>
          <w:rFonts w:ascii="Calibri" w:hAnsi="Calibri" w:cs="Calibri"/>
          <w:i/>
          <w:iCs/>
          <w:color w:val="000000"/>
          <w:sz w:val="20"/>
          <w:lang w:val="en-US"/>
        </w:rPr>
        <w:t>Nat. Chem. Biol.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w:t>
      </w:r>
      <w:r w:rsidRPr="00CC7AB4">
        <w:rPr>
          <w:rFonts w:ascii="Calibri" w:hAnsi="Calibri" w:cs="Calibri"/>
          <w:color w:val="000000"/>
          <w:sz w:val="20"/>
          <w:lang w:val="en-US"/>
        </w:rPr>
        <w:t>, 885–887 (2011).</w:t>
      </w:r>
    </w:p>
    <w:p w14:paraId="19062E3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197.</w:t>
      </w:r>
      <w:r w:rsidRPr="00CC7AB4">
        <w:rPr>
          <w:rFonts w:ascii="Calibri" w:hAnsi="Calibri" w:cs="Calibri"/>
          <w:color w:val="000000"/>
          <w:sz w:val="20"/>
          <w:lang w:val="en-US"/>
        </w:rPr>
        <w:tab/>
        <w:t xml:space="preserve">Li, Z.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FTO Plays an Oncogenic Role in Acute Myeloid Leukemia as a N6-Methyladenosine RNA Demethylase. </w:t>
      </w:r>
      <w:r w:rsidRPr="00CC7AB4">
        <w:rPr>
          <w:rFonts w:ascii="Calibri" w:hAnsi="Calibri" w:cs="Calibri"/>
          <w:i/>
          <w:iCs/>
          <w:color w:val="000000"/>
          <w:sz w:val="20"/>
          <w:lang w:val="en-US"/>
        </w:rPr>
        <w:t>Cancer Cell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31</w:t>
      </w:r>
      <w:r w:rsidRPr="00CC7AB4">
        <w:rPr>
          <w:rFonts w:ascii="Calibri" w:hAnsi="Calibri" w:cs="Calibri"/>
          <w:color w:val="000000"/>
          <w:sz w:val="20"/>
          <w:lang w:val="en-US"/>
        </w:rPr>
        <w:t>, 127–141 (2017).</w:t>
      </w:r>
    </w:p>
    <w:p w14:paraId="1D285F5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198.</w:t>
      </w:r>
      <w:r w:rsidRPr="00CC7AB4">
        <w:rPr>
          <w:rFonts w:ascii="Calibri" w:hAnsi="Calibri" w:cs="Calibri"/>
          <w:color w:val="000000"/>
          <w:sz w:val="20"/>
          <w:lang w:val="en-US"/>
        </w:rPr>
        <w:tab/>
        <w:t xml:space="preserve">Fu, X.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2-Hydroxyglutarate Inhibits ATP Synthase and mTOR Signaling. </w:t>
      </w:r>
      <w:r w:rsidRPr="00CC7AB4">
        <w:rPr>
          <w:rFonts w:ascii="Calibri" w:hAnsi="Calibri" w:cs="Calibri"/>
          <w:i/>
          <w:iCs/>
          <w:color w:val="000000"/>
          <w:sz w:val="20"/>
          <w:lang w:val="en-US"/>
        </w:rPr>
        <w:t>Cell Metabolism</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22</w:t>
      </w:r>
      <w:r w:rsidRPr="00CC7AB4">
        <w:rPr>
          <w:rFonts w:ascii="Calibri" w:hAnsi="Calibri" w:cs="Calibri"/>
          <w:color w:val="000000"/>
          <w:sz w:val="20"/>
          <w:lang w:val="en-US"/>
        </w:rPr>
        <w:t>, 508–515 (2015).</w:t>
      </w:r>
    </w:p>
    <w:p w14:paraId="30DE07D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199.</w:t>
      </w:r>
      <w:r w:rsidRPr="00CC7AB4">
        <w:rPr>
          <w:rFonts w:ascii="Calibri" w:hAnsi="Calibri" w:cs="Calibri"/>
          <w:color w:val="000000"/>
          <w:sz w:val="20"/>
          <w:lang w:val="en-US"/>
        </w:rPr>
        <w:tab/>
        <w:t xml:space="preserve">Cancer Genome Atlas Research Network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Comprehensive, Integrative Genomic Analysis of Diffuse Lower-Grade Gliomas. </w:t>
      </w:r>
      <w:r w:rsidRPr="00CC7AB4">
        <w:rPr>
          <w:rFonts w:ascii="Calibri" w:hAnsi="Calibri" w:cs="Calibri"/>
          <w:i/>
          <w:iCs/>
          <w:color w:val="000000"/>
          <w:sz w:val="20"/>
          <w:lang w:val="en-US"/>
        </w:rPr>
        <w:t>N. Engl. J. Med.</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372</w:t>
      </w:r>
      <w:r w:rsidRPr="00CC7AB4">
        <w:rPr>
          <w:rFonts w:ascii="Calibri" w:hAnsi="Calibri" w:cs="Calibri"/>
          <w:color w:val="000000"/>
          <w:sz w:val="20"/>
          <w:lang w:val="en-US"/>
        </w:rPr>
        <w:t>, 2481–2498 (2015).</w:t>
      </w:r>
    </w:p>
    <w:p w14:paraId="50DE786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200.</w:t>
      </w:r>
      <w:r w:rsidRPr="00CC7AB4">
        <w:rPr>
          <w:rFonts w:ascii="Calibri" w:hAnsi="Calibri" w:cs="Calibri"/>
          <w:color w:val="000000"/>
          <w:sz w:val="20"/>
          <w:lang w:val="en-US"/>
        </w:rPr>
        <w:tab/>
        <w:t xml:space="preserve">Colvin, 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Oncometabolite D-2-Hydroxyglurate Directly Induces Epithelial-Mesenchymal Transition and is Associated with Distant Metastasis in Colorectal Cancer. </w:t>
      </w:r>
      <w:r w:rsidRPr="00CC7AB4">
        <w:rPr>
          <w:rFonts w:ascii="Calibri" w:hAnsi="Calibri" w:cs="Calibri"/>
          <w:i/>
          <w:iCs/>
          <w:color w:val="000000"/>
          <w:sz w:val="20"/>
          <w:lang w:val="en-US"/>
        </w:rPr>
        <w:t>Scientific Reports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6</w:t>
      </w:r>
      <w:r w:rsidRPr="00CC7AB4">
        <w:rPr>
          <w:rFonts w:ascii="Calibri" w:hAnsi="Calibri" w:cs="Calibri"/>
          <w:color w:val="000000"/>
          <w:sz w:val="20"/>
          <w:lang w:val="en-US"/>
        </w:rPr>
        <w:t>, 36289 (2016).</w:t>
      </w:r>
    </w:p>
    <w:p w14:paraId="01BEBA7A"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201.</w:t>
      </w:r>
      <w:r w:rsidRPr="00CC7AB4">
        <w:rPr>
          <w:rFonts w:ascii="Calibri" w:hAnsi="Calibri" w:cs="Calibri"/>
          <w:color w:val="000000"/>
          <w:sz w:val="20"/>
          <w:lang w:val="en-US"/>
        </w:rPr>
        <w:tab/>
        <w:t xml:space="preserve">Adam,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 Role for Cytosolic Fumarate Hydratase in Urea Cycle Metabolism and Renal Neoplasia. </w:t>
      </w:r>
      <w:r w:rsidRPr="00CC7AB4">
        <w:rPr>
          <w:rFonts w:ascii="Calibri" w:hAnsi="Calibri" w:cs="Calibri"/>
          <w:i/>
          <w:iCs/>
          <w:color w:val="000000"/>
          <w:sz w:val="20"/>
          <w:lang w:val="en-US"/>
        </w:rPr>
        <w:t>Cell Rep</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w:t>
      </w:r>
      <w:r w:rsidRPr="00CC7AB4">
        <w:rPr>
          <w:rFonts w:ascii="Calibri" w:hAnsi="Calibri" w:cs="Calibri"/>
          <w:color w:val="000000"/>
          <w:sz w:val="20"/>
          <w:lang w:val="en-US"/>
        </w:rPr>
        <w:t>, 1440–1448 (2013).</w:t>
      </w:r>
    </w:p>
    <w:p w14:paraId="0D049BB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202.</w:t>
      </w:r>
      <w:r w:rsidRPr="00CC7AB4">
        <w:rPr>
          <w:rFonts w:ascii="Calibri" w:hAnsi="Calibri" w:cs="Calibri"/>
          <w:color w:val="000000"/>
          <w:sz w:val="20"/>
          <w:lang w:val="en-US"/>
        </w:rPr>
        <w:tab/>
        <w:t xml:space="preserve">Nassereddine, S., Lap, C. J., Haroun, F. &amp; Tabbara, I. The role of mutant IDH1 and IDH2 inhibitors in the treatment of acute myeloid leukemia. </w:t>
      </w:r>
      <w:r w:rsidRPr="00CC7AB4">
        <w:rPr>
          <w:rFonts w:ascii="Calibri" w:hAnsi="Calibri" w:cs="Calibri"/>
          <w:i/>
          <w:iCs/>
          <w:color w:val="000000"/>
          <w:sz w:val="20"/>
          <w:lang w:val="en-US"/>
        </w:rPr>
        <w:t>Ann. Hematol.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96</w:t>
      </w:r>
      <w:r w:rsidRPr="00CC7AB4">
        <w:rPr>
          <w:rFonts w:ascii="Calibri" w:hAnsi="Calibri" w:cs="Calibri"/>
          <w:color w:val="000000"/>
          <w:sz w:val="20"/>
          <w:lang w:val="en-US"/>
        </w:rPr>
        <w:t>, 1983–1991 (2017).</w:t>
      </w:r>
    </w:p>
    <w:p w14:paraId="04D744B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203.</w:t>
      </w:r>
      <w:r w:rsidRPr="00CC7AB4">
        <w:rPr>
          <w:rFonts w:ascii="Calibri" w:hAnsi="Calibri" w:cs="Calibri"/>
          <w:color w:val="000000"/>
          <w:sz w:val="20"/>
          <w:lang w:val="en-US"/>
        </w:rPr>
        <w:tab/>
        <w:t xml:space="preserve">Kats, L.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 pharmacogenomic approach validates AG-221 as an effective and on-target therapy in IDH2 mutant AML. </w:t>
      </w:r>
      <w:r w:rsidRPr="00CC7AB4">
        <w:rPr>
          <w:rFonts w:ascii="Calibri" w:hAnsi="Calibri" w:cs="Calibri"/>
          <w:i/>
          <w:iCs/>
          <w:color w:val="000000"/>
          <w:sz w:val="20"/>
          <w:lang w:val="en-US"/>
        </w:rPr>
        <w:t>Leukemia</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31</w:t>
      </w:r>
      <w:r w:rsidRPr="00CC7AB4">
        <w:rPr>
          <w:rFonts w:ascii="Calibri" w:hAnsi="Calibri" w:cs="Calibri"/>
          <w:color w:val="000000"/>
          <w:sz w:val="20"/>
          <w:lang w:val="en-US"/>
        </w:rPr>
        <w:t>, 1466–1470 (2017).</w:t>
      </w:r>
    </w:p>
    <w:p w14:paraId="517484B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204.</w:t>
      </w:r>
      <w:r w:rsidRPr="00CC7AB4">
        <w:rPr>
          <w:rFonts w:ascii="Calibri" w:hAnsi="Calibri" w:cs="Calibri"/>
          <w:color w:val="000000"/>
          <w:sz w:val="20"/>
          <w:lang w:val="en-US"/>
        </w:rPr>
        <w:tab/>
        <w:t xml:space="preserve">Kernytsky, A.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IDH2 mutation-induced histone and DNA hypermethylation is progressively reversed by small-molecule inhibition. </w:t>
      </w:r>
      <w:r w:rsidRPr="00CC7AB4">
        <w:rPr>
          <w:rFonts w:ascii="Calibri" w:hAnsi="Calibri" w:cs="Calibri"/>
          <w:i/>
          <w:iCs/>
          <w:color w:val="000000"/>
          <w:sz w:val="20"/>
          <w:lang w:val="en-US"/>
        </w:rPr>
        <w:t>Blood</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125</w:t>
      </w:r>
      <w:r w:rsidRPr="00CC7AB4">
        <w:rPr>
          <w:rFonts w:ascii="Calibri" w:hAnsi="Calibri" w:cs="Calibri"/>
          <w:color w:val="000000"/>
          <w:sz w:val="20"/>
          <w:lang w:val="en-US"/>
        </w:rPr>
        <w:t>, 296–303 (2015).</w:t>
      </w:r>
    </w:p>
    <w:p w14:paraId="7E13C29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205.</w:t>
      </w:r>
      <w:r w:rsidRPr="00CC7AB4">
        <w:rPr>
          <w:rFonts w:ascii="Calibri" w:hAnsi="Calibri" w:cs="Calibri"/>
          <w:color w:val="000000"/>
          <w:sz w:val="20"/>
          <w:lang w:val="en-US"/>
        </w:rPr>
        <w:tab/>
        <w:t xml:space="preserve">Wang, F.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Targeted inhibition of mutant IDH2 in leukemia cells induces cellular differentiation. </w:t>
      </w:r>
      <w:r w:rsidRPr="00CC7AB4">
        <w:rPr>
          <w:rFonts w:ascii="Calibri" w:hAnsi="Calibri" w:cs="Calibri"/>
          <w:i/>
          <w:iCs/>
          <w:color w:val="000000"/>
          <w:sz w:val="20"/>
          <w:lang w:val="en-US"/>
        </w:rPr>
        <w:t>Science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340</w:t>
      </w:r>
      <w:r w:rsidRPr="00CC7AB4">
        <w:rPr>
          <w:rFonts w:ascii="Calibri" w:hAnsi="Calibri" w:cs="Calibri"/>
          <w:color w:val="000000"/>
          <w:sz w:val="20"/>
          <w:lang w:val="en-US"/>
        </w:rPr>
        <w:t>, 622–626 (2013).</w:t>
      </w:r>
    </w:p>
    <w:p w14:paraId="571DD01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206.</w:t>
      </w:r>
      <w:r w:rsidRPr="00CC7AB4">
        <w:rPr>
          <w:rFonts w:ascii="Calibri" w:hAnsi="Calibri" w:cs="Calibri"/>
          <w:color w:val="000000"/>
          <w:sz w:val="20"/>
          <w:lang w:val="en-US"/>
        </w:rPr>
        <w:tab/>
        <w:t xml:space="preserve">Birendra, K. C. &amp; DiNardo, C. D. Evidence for Clinical Differentiation and Differentiation Syndrome in Patients With Acute Myeloid Leukemia and IDH1 Mutations Treated With the Targeted Mutant IDH1 Inhibitor, AG-120. </w:t>
      </w:r>
      <w:r w:rsidRPr="00CC7AB4">
        <w:rPr>
          <w:rFonts w:ascii="Calibri" w:hAnsi="Calibri" w:cs="Calibri"/>
          <w:i/>
          <w:iCs/>
          <w:color w:val="000000"/>
          <w:sz w:val="20"/>
          <w:lang w:val="en-US"/>
        </w:rPr>
        <w:t>Clin Lymphoma Myeloma Leuk</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16</w:t>
      </w:r>
      <w:r w:rsidRPr="00CC7AB4">
        <w:rPr>
          <w:rFonts w:ascii="Calibri" w:hAnsi="Calibri" w:cs="Calibri"/>
          <w:color w:val="000000"/>
          <w:sz w:val="20"/>
          <w:lang w:val="en-US"/>
        </w:rPr>
        <w:t>, 460–465 (2016).</w:t>
      </w:r>
    </w:p>
    <w:p w14:paraId="2DC4A7B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207.</w:t>
      </w:r>
      <w:r w:rsidRPr="00CC7AB4">
        <w:rPr>
          <w:rFonts w:ascii="Calibri" w:hAnsi="Calibri" w:cs="Calibri"/>
          <w:color w:val="000000"/>
          <w:sz w:val="20"/>
          <w:lang w:val="en-US"/>
        </w:rPr>
        <w:tab/>
        <w:t xml:space="preserve">Norsworthy, K.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FDA Approval Summary: Ivosidenib for Relapsed or Refractory Acute Myeloid Leukemia with an Isocitrate Dehydrogenase-1 Mutation. </w:t>
      </w:r>
      <w:r w:rsidRPr="00CC7AB4">
        <w:rPr>
          <w:rFonts w:ascii="Calibri" w:hAnsi="Calibri" w:cs="Calibri"/>
          <w:i/>
          <w:iCs/>
          <w:color w:val="000000"/>
          <w:sz w:val="20"/>
          <w:lang w:val="en-US"/>
        </w:rPr>
        <w:t>Clin. Cancer Res.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25</w:t>
      </w:r>
      <w:r w:rsidRPr="00CC7AB4">
        <w:rPr>
          <w:rFonts w:ascii="Calibri" w:hAnsi="Calibri" w:cs="Calibri"/>
          <w:color w:val="000000"/>
          <w:sz w:val="20"/>
          <w:lang w:val="en-US"/>
        </w:rPr>
        <w:t>, 3205–3209 (2019).</w:t>
      </w:r>
    </w:p>
    <w:p w14:paraId="6C64165D"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208.</w:t>
      </w:r>
      <w:r w:rsidRPr="00CC7AB4">
        <w:rPr>
          <w:rFonts w:ascii="Calibri" w:hAnsi="Calibri" w:cs="Calibri"/>
          <w:color w:val="000000"/>
          <w:sz w:val="20"/>
          <w:lang w:val="en-US"/>
        </w:rPr>
        <w:tab/>
        <w:t xml:space="preserve">Terunuma, A.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MYC-driven accumulation of 2-hydroxyglutarate is associated with breast cancer prognosis. </w:t>
      </w:r>
      <w:r w:rsidRPr="00CC7AB4">
        <w:rPr>
          <w:rFonts w:ascii="Calibri" w:hAnsi="Calibri" w:cs="Calibri"/>
          <w:i/>
          <w:iCs/>
          <w:color w:val="000000"/>
          <w:sz w:val="20"/>
          <w:lang w:val="en-US"/>
        </w:rPr>
        <w:t>J Clin Invest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124</w:t>
      </w:r>
      <w:r w:rsidRPr="00CC7AB4">
        <w:rPr>
          <w:rFonts w:ascii="Calibri" w:hAnsi="Calibri" w:cs="Calibri"/>
          <w:color w:val="000000"/>
          <w:sz w:val="20"/>
          <w:lang w:val="en-US"/>
        </w:rPr>
        <w:t>, 398–412 (2014).</w:t>
      </w:r>
    </w:p>
    <w:p w14:paraId="56BACEA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209.</w:t>
      </w:r>
      <w:r w:rsidRPr="00CC7AB4">
        <w:rPr>
          <w:rFonts w:ascii="Calibri" w:hAnsi="Calibri" w:cs="Calibri"/>
          <w:color w:val="000000"/>
          <w:sz w:val="20"/>
          <w:lang w:val="en-US"/>
        </w:rPr>
        <w:tab/>
        <w:t xml:space="preserve">Salamanca-Cardona, L.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In Vivo Imaging of Glutamine Metabolism to the Oncometabolite 2-Hydroxyglutarate in IDH1/2 Mutant Tumors. </w:t>
      </w:r>
      <w:r w:rsidRPr="00CC7AB4">
        <w:rPr>
          <w:rFonts w:ascii="Calibri" w:hAnsi="Calibri" w:cs="Calibri"/>
          <w:i/>
          <w:iCs/>
          <w:color w:val="000000"/>
          <w:sz w:val="20"/>
          <w:lang w:val="en-US"/>
        </w:rPr>
        <w:t>Cell Metabolism</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26</w:t>
      </w:r>
      <w:r w:rsidRPr="00CC7AB4">
        <w:rPr>
          <w:rFonts w:ascii="Calibri" w:hAnsi="Calibri" w:cs="Calibri"/>
          <w:color w:val="000000"/>
          <w:sz w:val="20"/>
          <w:lang w:val="en-US"/>
        </w:rPr>
        <w:t>, 830-841.e3 (2017).</w:t>
      </w:r>
    </w:p>
    <w:p w14:paraId="57974AB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210.</w:t>
      </w:r>
      <w:r w:rsidRPr="00CC7AB4">
        <w:rPr>
          <w:rFonts w:ascii="Calibri" w:hAnsi="Calibri" w:cs="Calibri"/>
          <w:color w:val="000000"/>
          <w:sz w:val="20"/>
          <w:lang w:val="en-US"/>
        </w:rPr>
        <w:tab/>
        <w:t xml:space="preserve">Abu Aboud, O.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Glutamine Addiction in Kidney Cancer Suppresses Oxidative Stress and Can Be Exploited for Real-Time Imaging. </w:t>
      </w:r>
      <w:r w:rsidRPr="00CC7AB4">
        <w:rPr>
          <w:rFonts w:ascii="Calibri" w:hAnsi="Calibri" w:cs="Calibri"/>
          <w:i/>
          <w:iCs/>
          <w:color w:val="000000"/>
          <w:sz w:val="20"/>
          <w:lang w:val="en-US"/>
        </w:rPr>
        <w:t>Cancer Res.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77</w:t>
      </w:r>
      <w:r w:rsidRPr="00CC7AB4">
        <w:rPr>
          <w:rFonts w:ascii="Calibri" w:hAnsi="Calibri" w:cs="Calibri"/>
          <w:color w:val="000000"/>
          <w:sz w:val="20"/>
          <w:lang w:val="en-US"/>
        </w:rPr>
        <w:t>, 6746–6758 (2017).</w:t>
      </w:r>
    </w:p>
    <w:p w14:paraId="621A2B1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211.</w:t>
      </w:r>
      <w:r w:rsidRPr="00CC7AB4">
        <w:rPr>
          <w:rFonts w:ascii="Calibri" w:hAnsi="Calibri" w:cs="Calibri"/>
          <w:color w:val="000000"/>
          <w:sz w:val="20"/>
          <w:lang w:val="en-US"/>
        </w:rPr>
        <w:tab/>
        <w:t xml:space="preserve">Gameiro, P. A.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In Vivo HIF-Mediated Reductive Carboxylation Is Regulated by Citrate Levels and Sensitizes VHL-Deficient Cells to Glutamine Deprivation. </w:t>
      </w:r>
      <w:r w:rsidRPr="00CC7AB4">
        <w:rPr>
          <w:rFonts w:ascii="Calibri" w:hAnsi="Calibri" w:cs="Calibri"/>
          <w:i/>
          <w:iCs/>
          <w:color w:val="000000"/>
          <w:sz w:val="20"/>
          <w:lang w:val="en-US"/>
        </w:rPr>
        <w:t>Cell Metab</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17</w:t>
      </w:r>
      <w:r w:rsidRPr="00CC7AB4">
        <w:rPr>
          <w:rFonts w:ascii="Calibri" w:hAnsi="Calibri" w:cs="Calibri"/>
          <w:color w:val="000000"/>
          <w:sz w:val="20"/>
          <w:lang w:val="en-US"/>
        </w:rPr>
        <w:t>, 372–385 (2013).</w:t>
      </w:r>
    </w:p>
    <w:p w14:paraId="20F3FEA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212.</w:t>
      </w:r>
      <w:r w:rsidRPr="00CC7AB4">
        <w:rPr>
          <w:rFonts w:ascii="Calibri" w:hAnsi="Calibri" w:cs="Calibri"/>
          <w:color w:val="000000"/>
          <w:sz w:val="20"/>
          <w:lang w:val="en-US"/>
        </w:rPr>
        <w:tab/>
        <w:t xml:space="preserve">Raczka, A. M. &amp; Reynolds, P. A. Glutaminase inhibition in renal cell carcinoma therapy. </w:t>
      </w:r>
      <w:r w:rsidRPr="00CC7AB4">
        <w:rPr>
          <w:rFonts w:ascii="Calibri" w:hAnsi="Calibri" w:cs="Calibri"/>
          <w:i/>
          <w:iCs/>
          <w:color w:val="000000"/>
          <w:sz w:val="20"/>
          <w:lang w:val="en-US"/>
        </w:rPr>
        <w:t>Cancer Drug Resistance</w:t>
      </w:r>
      <w:r w:rsidRPr="00CC7AB4">
        <w:rPr>
          <w:rFonts w:ascii="Calibri" w:hAnsi="Calibri" w:cs="Calibri"/>
          <w:color w:val="000000"/>
          <w:sz w:val="20"/>
          <w:lang w:val="en-US"/>
        </w:rPr>
        <w:t xml:space="preserve"> (2019). doi:10.20517/cdr.2018.004</w:t>
      </w:r>
    </w:p>
    <w:p w14:paraId="4B7E0D3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213.</w:t>
      </w:r>
      <w:r w:rsidRPr="00CC7AB4">
        <w:rPr>
          <w:rFonts w:ascii="Calibri" w:hAnsi="Calibri" w:cs="Calibri"/>
          <w:color w:val="000000"/>
          <w:sz w:val="20"/>
          <w:lang w:val="en-US"/>
        </w:rPr>
        <w:tab/>
        <w:t xml:space="preserve">Song, M., Kim, S.-H., Im, C. Y. &amp; Hwang, H.-J. Recent Development of Small Molecule Glutaminase Inhibitors. </w:t>
      </w:r>
      <w:r w:rsidRPr="00CC7AB4">
        <w:rPr>
          <w:rFonts w:ascii="Calibri" w:hAnsi="Calibri" w:cs="Calibri"/>
          <w:i/>
          <w:iCs/>
          <w:color w:val="000000"/>
          <w:sz w:val="20"/>
          <w:lang w:val="en-US"/>
        </w:rPr>
        <w:t>Curr Top Med Chem</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18</w:t>
      </w:r>
      <w:r w:rsidRPr="00CC7AB4">
        <w:rPr>
          <w:rFonts w:ascii="Calibri" w:hAnsi="Calibri" w:cs="Calibri"/>
          <w:color w:val="000000"/>
          <w:sz w:val="20"/>
          <w:lang w:val="en-US"/>
        </w:rPr>
        <w:t>, 432–443 (2018).</w:t>
      </w:r>
    </w:p>
    <w:p w14:paraId="3DCDACB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214.</w:t>
      </w:r>
      <w:r w:rsidRPr="00CC7AB4">
        <w:rPr>
          <w:rFonts w:ascii="Calibri" w:hAnsi="Calibri" w:cs="Calibri"/>
          <w:color w:val="000000"/>
          <w:sz w:val="20"/>
          <w:lang w:val="en-US"/>
        </w:rPr>
        <w:tab/>
        <w:t xml:space="preserve">Tannir, N. M.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CANTATA: A randomized phase 2 study of CB-839 in combination with cabozantinib vs. placebo with cabozantinib in patients with advanced/metastatic renal cell carcinoma. </w:t>
      </w:r>
      <w:r w:rsidRPr="00CC7AB4">
        <w:rPr>
          <w:rFonts w:ascii="Calibri" w:hAnsi="Calibri" w:cs="Calibri"/>
          <w:i/>
          <w:iCs/>
          <w:color w:val="000000"/>
          <w:sz w:val="20"/>
          <w:lang w:val="en-US"/>
        </w:rPr>
        <w:t>JCO</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36</w:t>
      </w:r>
      <w:r w:rsidRPr="00CC7AB4">
        <w:rPr>
          <w:rFonts w:ascii="Calibri" w:hAnsi="Calibri" w:cs="Calibri"/>
          <w:color w:val="000000"/>
          <w:sz w:val="20"/>
          <w:lang w:val="en-US"/>
        </w:rPr>
        <w:t>, TPS4601–TPS4601 (2018).</w:t>
      </w:r>
    </w:p>
    <w:p w14:paraId="1667584D"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215.</w:t>
      </w:r>
      <w:r w:rsidRPr="00CC7AB4">
        <w:rPr>
          <w:rFonts w:ascii="Calibri" w:hAnsi="Calibri" w:cs="Calibri"/>
          <w:color w:val="000000"/>
          <w:sz w:val="20"/>
          <w:lang w:val="en-US"/>
        </w:rPr>
        <w:tab/>
        <w:t xml:space="preserve">Vancura, A., Bu, P., Bhagwat, M., Zeng, J. &amp; Vancurova, I. Metformin as an Anticancer Agent. </w:t>
      </w:r>
      <w:r w:rsidRPr="00CC7AB4">
        <w:rPr>
          <w:rFonts w:ascii="Calibri" w:hAnsi="Calibri" w:cs="Calibri"/>
          <w:i/>
          <w:iCs/>
          <w:color w:val="000000"/>
          <w:sz w:val="20"/>
          <w:lang w:val="en-US"/>
        </w:rPr>
        <w:t>Trends in Pharmacological Sciences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39</w:t>
      </w:r>
      <w:r w:rsidRPr="00CC7AB4">
        <w:rPr>
          <w:rFonts w:ascii="Calibri" w:hAnsi="Calibri" w:cs="Calibri"/>
          <w:color w:val="000000"/>
          <w:sz w:val="20"/>
          <w:lang w:val="en-US"/>
        </w:rPr>
        <w:t>, 867–878 (2018).</w:t>
      </w:r>
    </w:p>
    <w:p w14:paraId="15B32C7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216.</w:t>
      </w:r>
      <w:r w:rsidRPr="00CC7AB4">
        <w:rPr>
          <w:rFonts w:ascii="Calibri" w:hAnsi="Calibri" w:cs="Calibri"/>
          <w:color w:val="000000"/>
          <w:sz w:val="20"/>
          <w:lang w:val="en-US"/>
        </w:rPr>
        <w:tab/>
        <w:t xml:space="preserve">Brière, J.-J.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Mitochondrial succinate is instrumental for HIF1alpha nuclear translocation in SDHA-mutant fibroblasts under normoxic conditions. </w:t>
      </w:r>
      <w:r w:rsidRPr="00CC7AB4">
        <w:rPr>
          <w:rFonts w:ascii="Calibri" w:hAnsi="Calibri" w:cs="Calibri"/>
          <w:i/>
          <w:iCs/>
          <w:color w:val="000000"/>
          <w:sz w:val="20"/>
          <w:lang w:val="en-US"/>
        </w:rPr>
        <w:t>Hum. Mol.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14</w:t>
      </w:r>
      <w:r w:rsidRPr="00CC7AB4">
        <w:rPr>
          <w:rFonts w:ascii="Calibri" w:hAnsi="Calibri" w:cs="Calibri"/>
          <w:color w:val="000000"/>
          <w:sz w:val="20"/>
          <w:lang w:val="en-US"/>
        </w:rPr>
        <w:t>, 3263–3269 (2005).</w:t>
      </w:r>
    </w:p>
    <w:p w14:paraId="15BD5DF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217.</w:t>
      </w:r>
      <w:r w:rsidRPr="00CC7AB4">
        <w:rPr>
          <w:rFonts w:ascii="Calibri" w:hAnsi="Calibri" w:cs="Calibri"/>
          <w:color w:val="000000"/>
          <w:sz w:val="20"/>
          <w:lang w:val="en-US"/>
        </w:rPr>
        <w:tab/>
        <w:t xml:space="preserve">MacKenzie, E. D.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Cell-permeating alpha-ketoglutarate derivatives alleviate pseudohypoxia in succinate dehydrogenase-deficient cells. </w:t>
      </w:r>
      <w:r w:rsidRPr="00CC7AB4">
        <w:rPr>
          <w:rFonts w:ascii="Calibri" w:hAnsi="Calibri" w:cs="Calibri"/>
          <w:i/>
          <w:iCs/>
          <w:color w:val="000000"/>
          <w:sz w:val="20"/>
          <w:lang w:val="en-US"/>
        </w:rPr>
        <w:t>Mol. Cell. Biol.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27</w:t>
      </w:r>
      <w:r w:rsidRPr="00CC7AB4">
        <w:rPr>
          <w:rFonts w:ascii="Calibri" w:hAnsi="Calibri" w:cs="Calibri"/>
          <w:color w:val="000000"/>
          <w:sz w:val="20"/>
          <w:lang w:val="en-US"/>
        </w:rPr>
        <w:t>, 3282–3289 (2007).</w:t>
      </w:r>
    </w:p>
    <w:p w14:paraId="1CCAC84A"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218.</w:t>
      </w:r>
      <w:r w:rsidRPr="00CC7AB4">
        <w:rPr>
          <w:rFonts w:ascii="Calibri" w:hAnsi="Calibri" w:cs="Calibri"/>
          <w:color w:val="000000"/>
          <w:sz w:val="20"/>
          <w:lang w:val="en-US"/>
        </w:rPr>
        <w:tab/>
        <w:t xml:space="preserve">Matsumoto, K.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2-Oxoglutarate downregulates expression of vascular endothelial growth factor and erythropoietin through decreasing hypoxia-inducible factor-1alpha and inhibits angiogenesis. </w:t>
      </w:r>
      <w:r w:rsidRPr="00CC7AB4">
        <w:rPr>
          <w:rFonts w:ascii="Calibri" w:hAnsi="Calibri" w:cs="Calibri"/>
          <w:i/>
          <w:iCs/>
          <w:color w:val="000000"/>
          <w:sz w:val="20"/>
          <w:lang w:val="en-US"/>
        </w:rPr>
        <w:t>J. Cell. Physiol.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209</w:t>
      </w:r>
      <w:r w:rsidRPr="00CC7AB4">
        <w:rPr>
          <w:rFonts w:ascii="Calibri" w:hAnsi="Calibri" w:cs="Calibri"/>
          <w:color w:val="000000"/>
          <w:sz w:val="20"/>
          <w:lang w:val="en-US"/>
        </w:rPr>
        <w:t>, 333–340 (2006).</w:t>
      </w:r>
    </w:p>
    <w:p w14:paraId="2A72868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219.</w:t>
      </w:r>
      <w:r w:rsidRPr="00CC7AB4">
        <w:rPr>
          <w:rFonts w:ascii="Calibri" w:hAnsi="Calibri" w:cs="Calibri"/>
          <w:color w:val="000000"/>
          <w:sz w:val="20"/>
          <w:lang w:val="en-US"/>
        </w:rPr>
        <w:tab/>
        <w:t xml:space="preserve">Matsumoto, K.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Antitumor effects of 2‐oxoglutarate through inhibition of angiogenesis in a murine tumor model. </w:t>
      </w:r>
      <w:r w:rsidRPr="00CC7AB4">
        <w:rPr>
          <w:rFonts w:ascii="Calibri" w:hAnsi="Calibri" w:cs="Calibri"/>
          <w:i/>
          <w:iCs/>
          <w:color w:val="000000"/>
          <w:sz w:val="20"/>
          <w:lang w:val="en-US"/>
        </w:rPr>
        <w:t>Cancer Science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100</w:t>
      </w:r>
      <w:r w:rsidRPr="00CC7AB4">
        <w:rPr>
          <w:rFonts w:ascii="Calibri" w:hAnsi="Calibri" w:cs="Calibri"/>
          <w:color w:val="000000"/>
          <w:sz w:val="20"/>
          <w:lang w:val="en-US"/>
        </w:rPr>
        <w:t>, 1639–1647 (2009).</w:t>
      </w:r>
    </w:p>
    <w:p w14:paraId="069F424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220.</w:t>
      </w:r>
      <w:r w:rsidRPr="00CC7AB4">
        <w:rPr>
          <w:rFonts w:ascii="Calibri" w:hAnsi="Calibri" w:cs="Calibri"/>
          <w:color w:val="000000"/>
          <w:sz w:val="20"/>
          <w:lang w:val="en-US"/>
        </w:rPr>
        <w:tab/>
        <w:t xml:space="preserve">Tennant, D. A.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Reactivating HIF prolyl hydroxylases under hypoxia results in metabolic catastrophe and cell death. </w:t>
      </w:r>
      <w:r w:rsidRPr="00CC7AB4">
        <w:rPr>
          <w:rFonts w:ascii="Calibri" w:hAnsi="Calibri" w:cs="Calibri"/>
          <w:i/>
          <w:iCs/>
          <w:color w:val="000000"/>
          <w:sz w:val="20"/>
          <w:lang w:val="en-US"/>
        </w:rPr>
        <w:t>Oncogene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28</w:t>
      </w:r>
      <w:r w:rsidRPr="00CC7AB4">
        <w:rPr>
          <w:rFonts w:ascii="Calibri" w:hAnsi="Calibri" w:cs="Calibri"/>
          <w:color w:val="000000"/>
          <w:sz w:val="20"/>
          <w:lang w:val="en-US"/>
        </w:rPr>
        <w:t>, 4009–4021 (2009).</w:t>
      </w:r>
    </w:p>
    <w:p w14:paraId="26BF87B3"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221.</w:t>
      </w:r>
      <w:r w:rsidRPr="00CC7AB4">
        <w:rPr>
          <w:rFonts w:ascii="Calibri" w:hAnsi="Calibri" w:cs="Calibri"/>
          <w:color w:val="000000"/>
          <w:sz w:val="20"/>
          <w:lang w:val="en-US"/>
        </w:rPr>
        <w:tab/>
        <w:t xml:space="preserve">Chen, W.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Targeting renal cell carcinoma with a HIF-2 antagonist.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539</w:t>
      </w:r>
      <w:r w:rsidRPr="00CC7AB4">
        <w:rPr>
          <w:rFonts w:ascii="Calibri" w:hAnsi="Calibri" w:cs="Calibri"/>
          <w:color w:val="000000"/>
          <w:sz w:val="20"/>
          <w:lang w:val="en-US"/>
        </w:rPr>
        <w:t>, 112–117 (2016).</w:t>
      </w:r>
    </w:p>
    <w:p w14:paraId="1CC59DF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222.</w:t>
      </w:r>
      <w:r w:rsidRPr="00CC7AB4">
        <w:rPr>
          <w:rFonts w:ascii="Calibri" w:hAnsi="Calibri" w:cs="Calibri"/>
          <w:color w:val="000000"/>
          <w:sz w:val="20"/>
          <w:lang w:val="en-US"/>
        </w:rPr>
        <w:tab/>
        <w:t xml:space="preserve">Cho, H.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On-target efficacy of a HIF-2α antagonist in preclinical kidney cancer models.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539</w:t>
      </w:r>
      <w:r w:rsidRPr="00CC7AB4">
        <w:rPr>
          <w:rFonts w:ascii="Calibri" w:hAnsi="Calibri" w:cs="Calibri"/>
          <w:color w:val="000000"/>
          <w:sz w:val="20"/>
          <w:lang w:val="en-US"/>
        </w:rPr>
        <w:t>, 107–111 (2016).</w:t>
      </w:r>
    </w:p>
    <w:p w14:paraId="6448FE11"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223.</w:t>
      </w:r>
      <w:r w:rsidRPr="00CC7AB4">
        <w:rPr>
          <w:rFonts w:ascii="Calibri" w:hAnsi="Calibri" w:cs="Calibri"/>
          <w:color w:val="000000"/>
          <w:sz w:val="20"/>
          <w:lang w:val="en-US"/>
        </w:rPr>
        <w:tab/>
        <w:t xml:space="preserve">Courtney, K. D.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Phase I Dose-Escalation Trial of PT2385, a First-in-Class Hypoxia-Inducible Factor-2α Antagonist in Patients With Previously Treated Advanced Clear Cell Renal Cell Carcinoma. </w:t>
      </w:r>
      <w:r w:rsidRPr="00CC7AB4">
        <w:rPr>
          <w:rFonts w:ascii="Calibri" w:hAnsi="Calibri" w:cs="Calibri"/>
          <w:i/>
          <w:iCs/>
          <w:color w:val="000000"/>
          <w:sz w:val="20"/>
          <w:lang w:val="en-US"/>
        </w:rPr>
        <w:t>J. Clin. 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36</w:t>
      </w:r>
      <w:r w:rsidRPr="00CC7AB4">
        <w:rPr>
          <w:rFonts w:ascii="Calibri" w:hAnsi="Calibri" w:cs="Calibri"/>
          <w:color w:val="000000"/>
          <w:sz w:val="20"/>
          <w:lang w:val="en-US"/>
        </w:rPr>
        <w:t>, 867–874 (2018).</w:t>
      </w:r>
    </w:p>
    <w:p w14:paraId="5F47B202"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224.</w:t>
      </w:r>
      <w:r w:rsidRPr="00CC7AB4">
        <w:rPr>
          <w:rFonts w:ascii="Calibri" w:hAnsi="Calibri" w:cs="Calibri"/>
          <w:color w:val="000000"/>
          <w:sz w:val="20"/>
          <w:lang w:val="en-US"/>
        </w:rPr>
        <w:tab/>
        <w:t xml:space="preserve">Fenaux, P.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Efficacy of azacitidine compared with that of conventional care regimens in the treatment of higher-risk myelodysplastic syndromes: a randomised, open-label, phase III study. </w:t>
      </w:r>
      <w:r w:rsidRPr="00CC7AB4">
        <w:rPr>
          <w:rFonts w:ascii="Calibri" w:hAnsi="Calibri" w:cs="Calibri"/>
          <w:i/>
          <w:iCs/>
          <w:color w:val="000000"/>
          <w:sz w:val="20"/>
          <w:lang w:val="en-US"/>
        </w:rPr>
        <w:t>Lancet 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10</w:t>
      </w:r>
      <w:r w:rsidRPr="00CC7AB4">
        <w:rPr>
          <w:rFonts w:ascii="Calibri" w:hAnsi="Calibri" w:cs="Calibri"/>
          <w:color w:val="000000"/>
          <w:sz w:val="20"/>
          <w:lang w:val="en-US"/>
        </w:rPr>
        <w:t>, 223–232 (2009).</w:t>
      </w:r>
    </w:p>
    <w:p w14:paraId="5C84DCC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225.</w:t>
      </w:r>
      <w:r w:rsidRPr="00CC7AB4">
        <w:rPr>
          <w:rFonts w:ascii="Calibri" w:hAnsi="Calibri" w:cs="Calibri"/>
          <w:color w:val="000000"/>
          <w:sz w:val="20"/>
          <w:lang w:val="en-US"/>
        </w:rPr>
        <w:tab/>
        <w:t xml:space="preserve">Gurion, R.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5-azacitidine prolongs overall survival in patients with myelodysplastic syndrome - a systematic review and meta-analysis. </w:t>
      </w:r>
      <w:r w:rsidRPr="00CC7AB4">
        <w:rPr>
          <w:rFonts w:ascii="Calibri" w:hAnsi="Calibri" w:cs="Calibri"/>
          <w:i/>
          <w:iCs/>
          <w:color w:val="000000"/>
          <w:sz w:val="20"/>
          <w:lang w:val="en-US"/>
        </w:rPr>
        <w:t>Haematologica</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95</w:t>
      </w:r>
      <w:r w:rsidRPr="00CC7AB4">
        <w:rPr>
          <w:rFonts w:ascii="Calibri" w:hAnsi="Calibri" w:cs="Calibri"/>
          <w:color w:val="000000"/>
          <w:sz w:val="20"/>
          <w:lang w:val="en-US"/>
        </w:rPr>
        <w:t>, 303–310 (2010).</w:t>
      </w:r>
    </w:p>
    <w:p w14:paraId="7016A74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226.</w:t>
      </w:r>
      <w:r w:rsidRPr="00CC7AB4">
        <w:rPr>
          <w:rFonts w:ascii="Calibri" w:hAnsi="Calibri" w:cs="Calibri"/>
          <w:color w:val="000000"/>
          <w:sz w:val="20"/>
          <w:lang w:val="en-US"/>
        </w:rPr>
        <w:tab/>
        <w:t xml:space="preserve">Turcan,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Efficient induction of differentiation and growth inhibition in IDH1 mutant glioma cells by the DNMT Inhibitor Decitabine. </w:t>
      </w:r>
      <w:r w:rsidRPr="00CC7AB4">
        <w:rPr>
          <w:rFonts w:ascii="Calibri" w:hAnsi="Calibri" w:cs="Calibri"/>
          <w:i/>
          <w:iCs/>
          <w:color w:val="000000"/>
          <w:sz w:val="20"/>
          <w:lang w:val="en-US"/>
        </w:rPr>
        <w:t>Oncotarget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w:t>
      </w:r>
      <w:r w:rsidRPr="00CC7AB4">
        <w:rPr>
          <w:rFonts w:ascii="Calibri" w:hAnsi="Calibri" w:cs="Calibri"/>
          <w:color w:val="000000"/>
          <w:sz w:val="20"/>
          <w:lang w:val="en-US"/>
        </w:rPr>
        <w:t>, 1729–1736 (2013).</w:t>
      </w:r>
    </w:p>
    <w:p w14:paraId="301BC7E7"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227.</w:t>
      </w:r>
      <w:r w:rsidRPr="00CC7AB4">
        <w:rPr>
          <w:rFonts w:ascii="Calibri" w:hAnsi="Calibri" w:cs="Calibri"/>
          <w:color w:val="000000"/>
          <w:sz w:val="20"/>
          <w:lang w:val="en-US"/>
        </w:rPr>
        <w:tab/>
        <w:t xml:space="preserve">Yoo, K. H. &amp; Hennighausen, L. EZH2 methyltransferase and H3K27 methylation in breast cancer. </w:t>
      </w:r>
      <w:r w:rsidRPr="00CC7AB4">
        <w:rPr>
          <w:rFonts w:ascii="Calibri" w:hAnsi="Calibri" w:cs="Calibri"/>
          <w:i/>
          <w:iCs/>
          <w:color w:val="000000"/>
          <w:sz w:val="20"/>
          <w:lang w:val="en-US"/>
        </w:rPr>
        <w:t>Int. J. Biol. Sci.</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8</w:t>
      </w:r>
      <w:r w:rsidRPr="00CC7AB4">
        <w:rPr>
          <w:rFonts w:ascii="Calibri" w:hAnsi="Calibri" w:cs="Calibri"/>
          <w:color w:val="000000"/>
          <w:sz w:val="20"/>
          <w:lang w:val="en-US"/>
        </w:rPr>
        <w:t>, 59–65 (2012).</w:t>
      </w:r>
    </w:p>
    <w:p w14:paraId="34D0A77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228.</w:t>
      </w:r>
      <w:r w:rsidRPr="00CC7AB4">
        <w:rPr>
          <w:rFonts w:ascii="Calibri" w:hAnsi="Calibri" w:cs="Calibri"/>
          <w:color w:val="000000"/>
          <w:sz w:val="20"/>
          <w:lang w:val="en-US"/>
        </w:rPr>
        <w:tab/>
        <w:t xml:space="preserve">Dalgliesh, G. L.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Systematic sequencing of renal carcinoma reveals inactivation of histone modifying genes. </w:t>
      </w:r>
      <w:r w:rsidRPr="00CC7AB4">
        <w:rPr>
          <w:rFonts w:ascii="Calibri" w:hAnsi="Calibri" w:cs="Calibri"/>
          <w:i/>
          <w:iCs/>
          <w:color w:val="000000"/>
          <w:sz w:val="20"/>
          <w:lang w:val="en-US"/>
        </w:rPr>
        <w:t>Nature</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463</w:t>
      </w:r>
      <w:r w:rsidRPr="00CC7AB4">
        <w:rPr>
          <w:rFonts w:ascii="Calibri" w:hAnsi="Calibri" w:cs="Calibri"/>
          <w:color w:val="000000"/>
          <w:sz w:val="20"/>
          <w:lang w:val="en-US"/>
        </w:rPr>
        <w:t>, 360–363 (2010).</w:t>
      </w:r>
    </w:p>
    <w:p w14:paraId="43B60D3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229.</w:t>
      </w:r>
      <w:r w:rsidRPr="00CC7AB4">
        <w:rPr>
          <w:rFonts w:ascii="Calibri" w:hAnsi="Calibri" w:cs="Calibri"/>
          <w:color w:val="000000"/>
          <w:sz w:val="20"/>
          <w:lang w:val="en-US"/>
        </w:rPr>
        <w:tab/>
        <w:t xml:space="preserve">van Haaften, G.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Somatic mutations of the histone H3K27 demethylase gene UTX in human cancer. </w:t>
      </w:r>
      <w:r w:rsidRPr="00CC7AB4">
        <w:rPr>
          <w:rFonts w:ascii="Calibri" w:hAnsi="Calibri" w:cs="Calibri"/>
          <w:i/>
          <w:iCs/>
          <w:color w:val="000000"/>
          <w:sz w:val="20"/>
          <w:lang w:val="en-US"/>
        </w:rPr>
        <w:t>Nat. Genet.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41</w:t>
      </w:r>
      <w:r w:rsidRPr="00CC7AB4">
        <w:rPr>
          <w:rFonts w:ascii="Calibri" w:hAnsi="Calibri" w:cs="Calibri"/>
          <w:color w:val="000000"/>
          <w:sz w:val="20"/>
          <w:lang w:val="en-US"/>
        </w:rPr>
        <w:t>, 521–523 (2009).</w:t>
      </w:r>
    </w:p>
    <w:p w14:paraId="3A2620F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230.</w:t>
      </w:r>
      <w:r w:rsidRPr="00CC7AB4">
        <w:rPr>
          <w:rFonts w:ascii="Calibri" w:hAnsi="Calibri" w:cs="Calibri"/>
          <w:color w:val="000000"/>
          <w:sz w:val="20"/>
          <w:lang w:val="en-US"/>
        </w:rPr>
        <w:tab/>
        <w:t xml:space="preserve">Hu, C. Y.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Kidney cancer is characterized by aberrant methylation of tissue-specific enhancers that are prognostic for overall survival. </w:t>
      </w:r>
      <w:r w:rsidRPr="00CC7AB4">
        <w:rPr>
          <w:rFonts w:ascii="Calibri" w:hAnsi="Calibri" w:cs="Calibri"/>
          <w:i/>
          <w:iCs/>
          <w:color w:val="000000"/>
          <w:sz w:val="20"/>
          <w:lang w:val="en-US"/>
        </w:rPr>
        <w:t>Clin. Cancer Res.</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20</w:t>
      </w:r>
      <w:r w:rsidRPr="00CC7AB4">
        <w:rPr>
          <w:rFonts w:ascii="Calibri" w:hAnsi="Calibri" w:cs="Calibri"/>
          <w:color w:val="000000"/>
          <w:sz w:val="20"/>
          <w:lang w:val="en-US"/>
        </w:rPr>
        <w:t>, 4349–4360 (2014).</w:t>
      </w:r>
    </w:p>
    <w:p w14:paraId="63CC8F9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231.</w:t>
      </w:r>
      <w:r w:rsidRPr="00CC7AB4">
        <w:rPr>
          <w:rFonts w:ascii="Calibri" w:hAnsi="Calibri" w:cs="Calibri"/>
          <w:color w:val="000000"/>
          <w:sz w:val="20"/>
          <w:lang w:val="en-US"/>
        </w:rPr>
        <w:tab/>
        <w:t xml:space="preserve">To, K. K. W., Zhan, Z. &amp; Bates, S. E. Aberrant Promoter Methylation of the ABCG2 Gene in Renal Carcinoma. </w:t>
      </w:r>
      <w:r w:rsidRPr="00CC7AB4">
        <w:rPr>
          <w:rFonts w:ascii="Calibri" w:hAnsi="Calibri" w:cs="Calibri"/>
          <w:i/>
          <w:iCs/>
          <w:color w:val="000000"/>
          <w:sz w:val="20"/>
          <w:lang w:val="en-US"/>
        </w:rPr>
        <w:t>Mol Cell Biol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26</w:t>
      </w:r>
      <w:r w:rsidRPr="00CC7AB4">
        <w:rPr>
          <w:rFonts w:ascii="Calibri" w:hAnsi="Calibri" w:cs="Calibri"/>
          <w:color w:val="000000"/>
          <w:sz w:val="20"/>
          <w:lang w:val="en-US"/>
        </w:rPr>
        <w:t>, 8572–8585 (2006).</w:t>
      </w:r>
    </w:p>
    <w:p w14:paraId="39AD22C4"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232.</w:t>
      </w:r>
      <w:r w:rsidRPr="00CC7AB4">
        <w:rPr>
          <w:rFonts w:ascii="Calibri" w:hAnsi="Calibri" w:cs="Calibri"/>
          <w:color w:val="000000"/>
          <w:sz w:val="20"/>
          <w:lang w:val="en-US"/>
        </w:rPr>
        <w:tab/>
        <w:t xml:space="preserve">Reu, F.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Overcoming resistance to interferon-induced apoptosis of renal carcinoma and melanoma cells by DNA demethylation. </w:t>
      </w:r>
      <w:r w:rsidRPr="00CC7AB4">
        <w:rPr>
          <w:rFonts w:ascii="Calibri" w:hAnsi="Calibri" w:cs="Calibri"/>
          <w:i/>
          <w:iCs/>
          <w:color w:val="000000"/>
          <w:sz w:val="20"/>
          <w:lang w:val="en-US"/>
        </w:rPr>
        <w:t>J. Clin. 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24</w:t>
      </w:r>
      <w:r w:rsidRPr="00CC7AB4">
        <w:rPr>
          <w:rFonts w:ascii="Calibri" w:hAnsi="Calibri" w:cs="Calibri"/>
          <w:color w:val="000000"/>
          <w:sz w:val="20"/>
          <w:lang w:val="en-US"/>
        </w:rPr>
        <w:t>, 3771–3779 (2006).</w:t>
      </w:r>
    </w:p>
    <w:p w14:paraId="421B98A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233.</w:t>
      </w:r>
      <w:r w:rsidRPr="00CC7AB4">
        <w:rPr>
          <w:rFonts w:ascii="Calibri" w:hAnsi="Calibri" w:cs="Calibri"/>
          <w:color w:val="000000"/>
          <w:sz w:val="20"/>
          <w:lang w:val="en-US"/>
        </w:rPr>
        <w:tab/>
        <w:t xml:space="preserve">Amato, R.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MG98, a second-generation DNMT1 inhibitor, in the treatment of advanced renal cell carcinoma. </w:t>
      </w:r>
      <w:r w:rsidRPr="00CC7AB4">
        <w:rPr>
          <w:rFonts w:ascii="Calibri" w:hAnsi="Calibri" w:cs="Calibri"/>
          <w:i/>
          <w:iCs/>
          <w:color w:val="000000"/>
          <w:sz w:val="20"/>
          <w:lang w:val="en-US"/>
        </w:rPr>
        <w:t>Cancer Invest.</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30</w:t>
      </w:r>
      <w:r w:rsidRPr="00CC7AB4">
        <w:rPr>
          <w:rFonts w:ascii="Calibri" w:hAnsi="Calibri" w:cs="Calibri"/>
          <w:color w:val="000000"/>
          <w:sz w:val="20"/>
          <w:lang w:val="en-US"/>
        </w:rPr>
        <w:t>, 415–421 (2012).</w:t>
      </w:r>
    </w:p>
    <w:p w14:paraId="37BC74F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234.</w:t>
      </w:r>
      <w:r w:rsidRPr="00CC7AB4">
        <w:rPr>
          <w:rFonts w:ascii="Calibri" w:hAnsi="Calibri" w:cs="Calibri"/>
          <w:color w:val="000000"/>
          <w:sz w:val="20"/>
          <w:lang w:val="en-US"/>
        </w:rPr>
        <w:tab/>
        <w:t xml:space="preserve">Brindle, K. M. Imaging metabolism with hyperpolarized (13)C-labeled cell substrates. </w:t>
      </w:r>
      <w:r w:rsidRPr="00CC7AB4">
        <w:rPr>
          <w:rFonts w:ascii="Calibri" w:hAnsi="Calibri" w:cs="Calibri"/>
          <w:i/>
          <w:iCs/>
          <w:color w:val="000000"/>
          <w:sz w:val="20"/>
          <w:lang w:val="en-US"/>
        </w:rPr>
        <w:t>J. Am. Chem. Soc.</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137</w:t>
      </w:r>
      <w:r w:rsidRPr="00CC7AB4">
        <w:rPr>
          <w:rFonts w:ascii="Calibri" w:hAnsi="Calibri" w:cs="Calibri"/>
          <w:color w:val="000000"/>
          <w:sz w:val="20"/>
          <w:lang w:val="en-US"/>
        </w:rPr>
        <w:t>, 6418–6427 (2015).</w:t>
      </w:r>
    </w:p>
    <w:p w14:paraId="53E0254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235.</w:t>
      </w:r>
      <w:r w:rsidRPr="00CC7AB4">
        <w:rPr>
          <w:rFonts w:ascii="Calibri" w:hAnsi="Calibri" w:cs="Calibri"/>
          <w:color w:val="000000"/>
          <w:sz w:val="20"/>
          <w:lang w:val="en-US"/>
        </w:rPr>
        <w:tab/>
        <w:t xml:space="preserve">Skinner, J. G.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Metabolic and Molecular Imaging with Hyperpolarised Tracers. </w:t>
      </w:r>
      <w:r w:rsidRPr="00CC7AB4">
        <w:rPr>
          <w:rFonts w:ascii="Calibri" w:hAnsi="Calibri" w:cs="Calibri"/>
          <w:i/>
          <w:iCs/>
          <w:color w:val="000000"/>
          <w:sz w:val="20"/>
          <w:lang w:val="en-US"/>
        </w:rPr>
        <w:t>Mol Imaging Biol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20</w:t>
      </w:r>
      <w:r w:rsidRPr="00CC7AB4">
        <w:rPr>
          <w:rFonts w:ascii="Calibri" w:hAnsi="Calibri" w:cs="Calibri"/>
          <w:color w:val="000000"/>
          <w:sz w:val="20"/>
          <w:lang w:val="en-US"/>
        </w:rPr>
        <w:t>, 902–918 (2018).</w:t>
      </w:r>
    </w:p>
    <w:p w14:paraId="5904320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236.</w:t>
      </w:r>
      <w:r w:rsidRPr="00CC7AB4">
        <w:rPr>
          <w:rFonts w:ascii="Calibri" w:hAnsi="Calibri" w:cs="Calibri"/>
          <w:color w:val="000000"/>
          <w:sz w:val="20"/>
          <w:lang w:val="en-US"/>
        </w:rPr>
        <w:tab/>
        <w:t xml:space="preserve">Dong, Y.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Hyperpolarized MRI visualizes Warburg effects and predicts treatment response to mTOR inhibitors in patient-derived ccRCC xenograft models. </w:t>
      </w:r>
      <w:r w:rsidRPr="00CC7AB4">
        <w:rPr>
          <w:rFonts w:ascii="Calibri" w:hAnsi="Calibri" w:cs="Calibri"/>
          <w:i/>
          <w:iCs/>
          <w:color w:val="000000"/>
          <w:sz w:val="20"/>
          <w:lang w:val="en-US"/>
        </w:rPr>
        <w:t>Cancer Research</w:t>
      </w:r>
      <w:r w:rsidRPr="00CC7AB4">
        <w:rPr>
          <w:rFonts w:ascii="Calibri" w:hAnsi="Calibri" w:cs="Calibri"/>
          <w:color w:val="000000"/>
          <w:sz w:val="20"/>
          <w:lang w:val="en-US"/>
        </w:rPr>
        <w:t xml:space="preserve"> canres.2231.2018 (2018). doi:10.1158/0008-5472.CAN-18-2231</w:t>
      </w:r>
    </w:p>
    <w:p w14:paraId="10FFE05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237.</w:t>
      </w:r>
      <w:r w:rsidRPr="00CC7AB4">
        <w:rPr>
          <w:rFonts w:ascii="Calibri" w:hAnsi="Calibri" w:cs="Calibri"/>
          <w:color w:val="000000"/>
          <w:sz w:val="20"/>
          <w:lang w:val="en-US"/>
        </w:rPr>
        <w:tab/>
        <w:t xml:space="preserve">Casey, R. T.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Translating in vivo metabolomic analysis of succinate dehydrogenase deficient tumours into clinical utility. </w:t>
      </w:r>
      <w:r w:rsidRPr="00CC7AB4">
        <w:rPr>
          <w:rFonts w:ascii="Calibri" w:hAnsi="Calibri" w:cs="Calibri"/>
          <w:i/>
          <w:iCs/>
          <w:color w:val="000000"/>
          <w:sz w:val="20"/>
          <w:lang w:val="en-US"/>
        </w:rPr>
        <w:t>JCO Precis 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w:t>
      </w:r>
      <w:r w:rsidRPr="00CC7AB4">
        <w:rPr>
          <w:rFonts w:ascii="Calibri" w:hAnsi="Calibri" w:cs="Calibri"/>
          <w:color w:val="000000"/>
          <w:sz w:val="20"/>
          <w:lang w:val="en-US"/>
        </w:rPr>
        <w:t>, 1–12 (2018).</w:t>
      </w:r>
    </w:p>
    <w:p w14:paraId="434EC42C"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238.</w:t>
      </w:r>
      <w:r w:rsidRPr="00CC7AB4">
        <w:rPr>
          <w:rFonts w:ascii="Calibri" w:hAnsi="Calibri" w:cs="Calibri"/>
          <w:color w:val="000000"/>
          <w:sz w:val="20"/>
          <w:lang w:val="en-US"/>
        </w:rPr>
        <w:tab/>
        <w:t xml:space="preserve">Lussey-Lepoutre, C.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In Vivo Detection of Succinate by Magnetic Resonance Spectroscopy as a Hallmark of SDHx Mutations in Paraganglioma. </w:t>
      </w:r>
      <w:r w:rsidRPr="00CC7AB4">
        <w:rPr>
          <w:rFonts w:ascii="Calibri" w:hAnsi="Calibri" w:cs="Calibri"/>
          <w:i/>
          <w:iCs/>
          <w:color w:val="000000"/>
          <w:sz w:val="20"/>
          <w:lang w:val="en-US"/>
        </w:rPr>
        <w:t>Clinical Cancer Research</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22</w:t>
      </w:r>
      <w:r w:rsidRPr="00CC7AB4">
        <w:rPr>
          <w:rFonts w:ascii="Calibri" w:hAnsi="Calibri" w:cs="Calibri"/>
          <w:color w:val="000000"/>
          <w:sz w:val="20"/>
          <w:lang w:val="en-US"/>
        </w:rPr>
        <w:t>, 1120–1129 (2016).</w:t>
      </w:r>
    </w:p>
    <w:p w14:paraId="3FC89FE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239.</w:t>
      </w:r>
      <w:r w:rsidRPr="00CC7AB4">
        <w:rPr>
          <w:rFonts w:ascii="Calibri" w:hAnsi="Calibri" w:cs="Calibri"/>
          <w:color w:val="000000"/>
          <w:sz w:val="20"/>
          <w:lang w:val="en-US"/>
        </w:rPr>
        <w:tab/>
        <w:t xml:space="preserve">Bisdas,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MR spectroscopy for in vivo assessment of the oncometabolite 2-hydroxyglutarate and its effects on cellular metabolism in human brain gliomas at 9.4T. </w:t>
      </w:r>
      <w:r w:rsidRPr="00CC7AB4">
        <w:rPr>
          <w:rFonts w:ascii="Calibri" w:hAnsi="Calibri" w:cs="Calibri"/>
          <w:i/>
          <w:iCs/>
          <w:color w:val="000000"/>
          <w:sz w:val="20"/>
          <w:lang w:val="en-US"/>
        </w:rPr>
        <w:t>J Magn Reson Imaging</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44</w:t>
      </w:r>
      <w:r w:rsidRPr="00CC7AB4">
        <w:rPr>
          <w:rFonts w:ascii="Calibri" w:hAnsi="Calibri" w:cs="Calibri"/>
          <w:color w:val="000000"/>
          <w:sz w:val="20"/>
          <w:lang w:val="en-US"/>
        </w:rPr>
        <w:t>, 823–833 (2016).</w:t>
      </w:r>
    </w:p>
    <w:p w14:paraId="0EAB4B8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240.</w:t>
      </w:r>
      <w:r w:rsidRPr="00CC7AB4">
        <w:rPr>
          <w:rFonts w:ascii="Calibri" w:hAnsi="Calibri" w:cs="Calibri"/>
          <w:color w:val="000000"/>
          <w:sz w:val="20"/>
          <w:lang w:val="en-US"/>
        </w:rPr>
        <w:tab/>
        <w:t xml:space="preserve">de la Fuente, M. I.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Integration of 2-hydroxyglutarate-proton magnetic resonance spectroscopy into clinical practice for disease monitoring in isocitrate dehydrogenase-mutant glioma. </w:t>
      </w:r>
      <w:r w:rsidRPr="00CC7AB4">
        <w:rPr>
          <w:rFonts w:ascii="Calibri" w:hAnsi="Calibri" w:cs="Calibri"/>
          <w:i/>
          <w:iCs/>
          <w:color w:val="000000"/>
          <w:sz w:val="20"/>
          <w:lang w:val="en-US"/>
        </w:rPr>
        <w:t>Neuro 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18</w:t>
      </w:r>
      <w:r w:rsidRPr="00CC7AB4">
        <w:rPr>
          <w:rFonts w:ascii="Calibri" w:hAnsi="Calibri" w:cs="Calibri"/>
          <w:color w:val="000000"/>
          <w:sz w:val="20"/>
          <w:lang w:val="en-US"/>
        </w:rPr>
        <w:t>, 283–290 (2016).</w:t>
      </w:r>
    </w:p>
    <w:p w14:paraId="5C7DD92E"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241.</w:t>
      </w:r>
      <w:r w:rsidRPr="00CC7AB4">
        <w:rPr>
          <w:rFonts w:ascii="Calibri" w:hAnsi="Calibri" w:cs="Calibri"/>
          <w:color w:val="000000"/>
          <w:sz w:val="20"/>
          <w:lang w:val="en-US"/>
        </w:rPr>
        <w:tab/>
        <w:t xml:space="preserve">Kim, I.-Y., Suh, S.-H., Lee, I.-K. &amp; Wolfe, R. R. Applications of stable, nonradioactive isotope tracers in in vivo human metabolic research. </w:t>
      </w:r>
      <w:r w:rsidRPr="00CC7AB4">
        <w:rPr>
          <w:rFonts w:ascii="Calibri" w:hAnsi="Calibri" w:cs="Calibri"/>
          <w:i/>
          <w:iCs/>
          <w:color w:val="000000"/>
          <w:sz w:val="20"/>
          <w:lang w:val="en-US"/>
        </w:rPr>
        <w:t>Exp Mol Med</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48</w:t>
      </w:r>
      <w:r w:rsidRPr="00CC7AB4">
        <w:rPr>
          <w:rFonts w:ascii="Calibri" w:hAnsi="Calibri" w:cs="Calibri"/>
          <w:color w:val="000000"/>
          <w:sz w:val="20"/>
          <w:lang w:val="en-US"/>
        </w:rPr>
        <w:t>, e203 (2016).</w:t>
      </w:r>
    </w:p>
    <w:p w14:paraId="630190B3"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242.</w:t>
      </w:r>
      <w:r w:rsidRPr="00CC7AB4">
        <w:rPr>
          <w:rFonts w:ascii="Calibri" w:hAnsi="Calibri" w:cs="Calibri"/>
          <w:color w:val="000000"/>
          <w:sz w:val="20"/>
          <w:lang w:val="en-US"/>
        </w:rPr>
        <w:tab/>
        <w:t xml:space="preserve">Süllentrop, F., Hahn, J. &amp; Moka, D. In Vitro and In Vivo 1H-MR Spectroscopic Examination of the Renal Cell Carcinoma. </w:t>
      </w:r>
      <w:r w:rsidRPr="00CC7AB4">
        <w:rPr>
          <w:rFonts w:ascii="Calibri" w:hAnsi="Calibri" w:cs="Calibri"/>
          <w:i/>
          <w:iCs/>
          <w:color w:val="000000"/>
          <w:sz w:val="20"/>
          <w:lang w:val="en-US"/>
        </w:rPr>
        <w:t>Int J Biomed Sci</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8</w:t>
      </w:r>
      <w:r w:rsidRPr="00CC7AB4">
        <w:rPr>
          <w:rFonts w:ascii="Calibri" w:hAnsi="Calibri" w:cs="Calibri"/>
          <w:color w:val="000000"/>
          <w:sz w:val="20"/>
          <w:lang w:val="en-US"/>
        </w:rPr>
        <w:t>, 94–108 (2012).</w:t>
      </w:r>
    </w:p>
    <w:p w14:paraId="4E191ECF"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243.</w:t>
      </w:r>
      <w:r w:rsidRPr="00CC7AB4">
        <w:rPr>
          <w:rFonts w:ascii="Calibri" w:hAnsi="Calibri" w:cs="Calibri"/>
          <w:color w:val="000000"/>
          <w:sz w:val="20"/>
          <w:lang w:val="en-US"/>
        </w:rPr>
        <w:tab/>
        <w:t xml:space="preserve">Santagata,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Intraoperative mass spectrometry mapping of an onco-metabolite to guide brain tumor surgery. </w:t>
      </w:r>
      <w:r w:rsidRPr="00CC7AB4">
        <w:rPr>
          <w:rFonts w:ascii="Calibri" w:hAnsi="Calibri" w:cs="Calibri"/>
          <w:i/>
          <w:iCs/>
          <w:color w:val="000000"/>
          <w:sz w:val="20"/>
          <w:lang w:val="en-US"/>
        </w:rPr>
        <w:t>Proc. Natl. Acad. Sci. U.S.A.</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111</w:t>
      </w:r>
      <w:r w:rsidRPr="00CC7AB4">
        <w:rPr>
          <w:rFonts w:ascii="Calibri" w:hAnsi="Calibri" w:cs="Calibri"/>
          <w:color w:val="000000"/>
          <w:sz w:val="20"/>
          <w:lang w:val="en-US"/>
        </w:rPr>
        <w:t>, 11121–11126 (2014).</w:t>
      </w:r>
    </w:p>
    <w:p w14:paraId="34BFC7BD"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244.</w:t>
      </w:r>
      <w:r w:rsidRPr="00CC7AB4">
        <w:rPr>
          <w:rFonts w:ascii="Calibri" w:hAnsi="Calibri" w:cs="Calibri"/>
          <w:color w:val="000000"/>
          <w:sz w:val="20"/>
          <w:lang w:val="en-US"/>
        </w:rPr>
        <w:tab/>
        <w:t xml:space="preserve">Ljungberg, B.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EAU GUIDELINES ON RENAL CELL CARCINOMA. 21</w:t>
      </w:r>
    </w:p>
    <w:p w14:paraId="3C5E5DA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245.</w:t>
      </w:r>
      <w:r w:rsidRPr="00CC7AB4">
        <w:rPr>
          <w:rFonts w:ascii="Calibri" w:hAnsi="Calibri" w:cs="Calibri"/>
          <w:color w:val="000000"/>
          <w:sz w:val="20"/>
          <w:lang w:val="en-US"/>
        </w:rPr>
        <w:tab/>
        <w:t xml:space="preserve">Petros, F. G.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Oncologic outcomes of patients with positive surgical margin after partial nephrectomy: a 25-year single institution experience. </w:t>
      </w:r>
      <w:r w:rsidRPr="00CC7AB4">
        <w:rPr>
          <w:rFonts w:ascii="Calibri" w:hAnsi="Calibri" w:cs="Calibri"/>
          <w:i/>
          <w:iCs/>
          <w:color w:val="000000"/>
          <w:sz w:val="20"/>
          <w:lang w:val="en-US"/>
        </w:rPr>
        <w:t>World J Urol</w:t>
      </w:r>
      <w:r w:rsidRPr="00CC7AB4">
        <w:rPr>
          <w:rFonts w:ascii="Calibri" w:hAnsi="Calibri" w:cs="Calibri"/>
          <w:color w:val="000000"/>
          <w:sz w:val="20"/>
          <w:lang w:val="en-US"/>
        </w:rPr>
        <w:t xml:space="preserve"> 1–9 (2018). doi:10.1007/s00345-018-2241-7</w:t>
      </w:r>
    </w:p>
    <w:p w14:paraId="0B3B87CB"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246.</w:t>
      </w:r>
      <w:r w:rsidRPr="00CC7AB4">
        <w:rPr>
          <w:rFonts w:ascii="Calibri" w:hAnsi="Calibri" w:cs="Calibri"/>
          <w:color w:val="000000"/>
          <w:sz w:val="20"/>
          <w:lang w:val="en-US"/>
        </w:rPr>
        <w:tab/>
        <w:t xml:space="preserve">Maxwell, P. H. Seeing the smoking gun: a sensitive and specific method to visualize loss of the tumour suppressor, fumarate hydratase, in human tissues. </w:t>
      </w:r>
      <w:r w:rsidRPr="00CC7AB4">
        <w:rPr>
          <w:rFonts w:ascii="Calibri" w:hAnsi="Calibri" w:cs="Calibri"/>
          <w:i/>
          <w:iCs/>
          <w:color w:val="000000"/>
          <w:sz w:val="20"/>
          <w:lang w:val="en-US"/>
        </w:rPr>
        <w:t>J. Pathol.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225</w:t>
      </w:r>
      <w:r w:rsidRPr="00CC7AB4">
        <w:rPr>
          <w:rFonts w:ascii="Calibri" w:hAnsi="Calibri" w:cs="Calibri"/>
          <w:color w:val="000000"/>
          <w:sz w:val="20"/>
          <w:lang w:val="en-US"/>
        </w:rPr>
        <w:t>, 1–3 (2011).</w:t>
      </w:r>
    </w:p>
    <w:p w14:paraId="05D52C19"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lastRenderedPageBreak/>
        <w:t>247.</w:t>
      </w:r>
      <w:r w:rsidRPr="00CC7AB4">
        <w:rPr>
          <w:rFonts w:ascii="Calibri" w:hAnsi="Calibri" w:cs="Calibri"/>
          <w:color w:val="000000"/>
          <w:sz w:val="20"/>
          <w:lang w:val="en-US"/>
        </w:rPr>
        <w:tab/>
        <w:t xml:space="preserve">Yang, M., Soga, T., Pollard, P. J. &amp; Adam, J. The emerging role of fumarate as an oncometabolite. </w:t>
      </w:r>
      <w:r w:rsidRPr="00CC7AB4">
        <w:rPr>
          <w:rFonts w:ascii="Calibri" w:hAnsi="Calibri" w:cs="Calibri"/>
          <w:i/>
          <w:iCs/>
          <w:color w:val="000000"/>
          <w:sz w:val="20"/>
          <w:lang w:val="en-US"/>
        </w:rPr>
        <w:t>Front Oncol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w:t>
      </w:r>
      <w:r w:rsidRPr="00CC7AB4">
        <w:rPr>
          <w:rFonts w:ascii="Calibri" w:hAnsi="Calibri" w:cs="Calibri"/>
          <w:color w:val="000000"/>
          <w:sz w:val="20"/>
          <w:lang w:val="en-US"/>
        </w:rPr>
        <w:t>, 85 (2012).</w:t>
      </w:r>
    </w:p>
    <w:p w14:paraId="5E097B2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248.</w:t>
      </w:r>
      <w:r w:rsidRPr="00CC7AB4">
        <w:rPr>
          <w:rFonts w:ascii="Calibri" w:hAnsi="Calibri" w:cs="Calibri"/>
          <w:color w:val="000000"/>
          <w:sz w:val="20"/>
          <w:lang w:val="en-US"/>
        </w:rPr>
        <w:tab/>
        <w:t xml:space="preserve">Gupta, S.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Primary Renal Paragangliomas and Renal Neoplasia Associated with Pheochromocytoma/Paraganglioma: Analysis of von Hippel-Lindau (VHL), Succinate Dehydrogenase (SDHX) and Transmembrane Protein 127 (TMEM127). </w:t>
      </w:r>
      <w:r w:rsidRPr="00CC7AB4">
        <w:rPr>
          <w:rFonts w:ascii="Calibri" w:hAnsi="Calibri" w:cs="Calibri"/>
          <w:i/>
          <w:iCs/>
          <w:color w:val="000000"/>
          <w:sz w:val="20"/>
          <w:lang w:val="en-US"/>
        </w:rPr>
        <w:t>Endocr. Pathol.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28</w:t>
      </w:r>
      <w:r w:rsidRPr="00CC7AB4">
        <w:rPr>
          <w:rFonts w:ascii="Calibri" w:hAnsi="Calibri" w:cs="Calibri"/>
          <w:color w:val="000000"/>
          <w:sz w:val="20"/>
          <w:lang w:val="en-US"/>
        </w:rPr>
        <w:t>, 253–268 (2017).</w:t>
      </w:r>
    </w:p>
    <w:p w14:paraId="2CC61FE5"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249.</w:t>
      </w:r>
      <w:r w:rsidRPr="00CC7AB4">
        <w:rPr>
          <w:rFonts w:ascii="Calibri" w:hAnsi="Calibri" w:cs="Calibri"/>
          <w:color w:val="000000"/>
          <w:sz w:val="20"/>
          <w:lang w:val="en-US"/>
        </w:rPr>
        <w:tab/>
        <w:t xml:space="preserve">Ozluk, Y.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Renal carcinoma associated with a novel succinate dehydrogenase A mutation: a case report and review of literature of a rare subtype of renal carcinoma. </w:t>
      </w:r>
      <w:r w:rsidRPr="00CC7AB4">
        <w:rPr>
          <w:rFonts w:ascii="Calibri" w:hAnsi="Calibri" w:cs="Calibri"/>
          <w:i/>
          <w:iCs/>
          <w:color w:val="000000"/>
          <w:sz w:val="20"/>
          <w:lang w:val="en-US"/>
        </w:rPr>
        <w:t>Hum. Pathol.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46</w:t>
      </w:r>
      <w:r w:rsidRPr="00CC7AB4">
        <w:rPr>
          <w:rFonts w:ascii="Calibri" w:hAnsi="Calibri" w:cs="Calibri"/>
          <w:color w:val="000000"/>
          <w:sz w:val="20"/>
          <w:lang w:val="en-US"/>
        </w:rPr>
        <w:t>, 1951–1955 (2015).</w:t>
      </w:r>
    </w:p>
    <w:p w14:paraId="47C26BC8"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250.</w:t>
      </w:r>
      <w:r w:rsidRPr="00CC7AB4">
        <w:rPr>
          <w:rFonts w:ascii="Calibri" w:hAnsi="Calibri" w:cs="Calibri"/>
          <w:color w:val="000000"/>
          <w:sz w:val="20"/>
          <w:lang w:val="en-US"/>
        </w:rPr>
        <w:tab/>
        <w:t xml:space="preserve">Ricketts, C. J.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Tumor risks and genotype–phenotype–proteotype analysis in 358 patients with germline mutations in SDHB and SDHD. </w:t>
      </w:r>
      <w:r w:rsidRPr="00CC7AB4">
        <w:rPr>
          <w:rFonts w:ascii="Calibri" w:hAnsi="Calibri" w:cs="Calibri"/>
          <w:i/>
          <w:iCs/>
          <w:color w:val="000000"/>
          <w:sz w:val="20"/>
          <w:lang w:val="en-US"/>
        </w:rPr>
        <w:t>Human Mutation</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31</w:t>
      </w:r>
      <w:r w:rsidRPr="00CC7AB4">
        <w:rPr>
          <w:rFonts w:ascii="Calibri" w:hAnsi="Calibri" w:cs="Calibri"/>
          <w:color w:val="000000"/>
          <w:sz w:val="20"/>
          <w:lang w:val="en-US"/>
        </w:rPr>
        <w:t>, 41–51 (2010).</w:t>
      </w:r>
    </w:p>
    <w:p w14:paraId="08ADBE76"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251.</w:t>
      </w:r>
      <w:r w:rsidRPr="00CC7AB4">
        <w:rPr>
          <w:rFonts w:ascii="Calibri" w:hAnsi="Calibri" w:cs="Calibri"/>
          <w:color w:val="000000"/>
          <w:sz w:val="20"/>
          <w:lang w:val="en-US"/>
        </w:rPr>
        <w:tab/>
        <w:t xml:space="preserve">Sanchez, D. J. &amp; Simon, M. C. Genetic and metabolic hallmarks of clear cell renal cell carcinoma. </w:t>
      </w:r>
      <w:r w:rsidRPr="00CC7AB4">
        <w:rPr>
          <w:rFonts w:ascii="Calibri" w:hAnsi="Calibri" w:cs="Calibri"/>
          <w:i/>
          <w:iCs/>
          <w:color w:val="000000"/>
          <w:sz w:val="20"/>
          <w:lang w:val="en-US"/>
        </w:rPr>
        <w:t>Biochimica et Biophysica Acta (BBA) - Reviews on Cancer</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1870</w:t>
      </w:r>
      <w:r w:rsidRPr="00CC7AB4">
        <w:rPr>
          <w:rFonts w:ascii="Calibri" w:hAnsi="Calibri" w:cs="Calibri"/>
          <w:color w:val="000000"/>
          <w:sz w:val="20"/>
          <w:lang w:val="en-US"/>
        </w:rPr>
        <w:t>, 23–31 (2018).</w:t>
      </w:r>
    </w:p>
    <w:p w14:paraId="0C707070" w14:textId="77777777" w:rsidR="00CC7AB4" w:rsidRPr="00CC7AB4" w:rsidRDefault="00CC7AB4" w:rsidP="00CC7AB4">
      <w:pPr>
        <w:pStyle w:val="Bibliography"/>
        <w:rPr>
          <w:rFonts w:ascii="Calibri" w:hAnsi="Calibri" w:cs="Calibri"/>
          <w:color w:val="000000"/>
          <w:sz w:val="20"/>
          <w:lang w:val="en-US"/>
        </w:rPr>
      </w:pPr>
      <w:r w:rsidRPr="00CC7AB4">
        <w:rPr>
          <w:rFonts w:ascii="Calibri" w:hAnsi="Calibri" w:cs="Calibri"/>
          <w:color w:val="000000"/>
          <w:sz w:val="20"/>
          <w:lang w:val="en-US"/>
        </w:rPr>
        <w:t>252.</w:t>
      </w:r>
      <w:r w:rsidRPr="00CC7AB4">
        <w:rPr>
          <w:rFonts w:ascii="Calibri" w:hAnsi="Calibri" w:cs="Calibri"/>
          <w:color w:val="000000"/>
          <w:sz w:val="20"/>
          <w:lang w:val="en-US"/>
        </w:rPr>
        <w:tab/>
        <w:t xml:space="preserve">Gudbjartsson, T. </w:t>
      </w:r>
      <w:r w:rsidRPr="00CC7AB4">
        <w:rPr>
          <w:rFonts w:ascii="Calibri" w:hAnsi="Calibri" w:cs="Calibri"/>
          <w:i/>
          <w:iCs/>
          <w:color w:val="000000"/>
          <w:sz w:val="20"/>
          <w:lang w:val="en-US"/>
        </w:rPr>
        <w:t>et al.</w:t>
      </w:r>
      <w:r w:rsidRPr="00CC7AB4">
        <w:rPr>
          <w:rFonts w:ascii="Calibri" w:hAnsi="Calibri" w:cs="Calibri"/>
          <w:color w:val="000000"/>
          <w:sz w:val="20"/>
          <w:lang w:val="en-US"/>
        </w:rPr>
        <w:t xml:space="preserve"> Histological subtyping and nuclear grading of renal cell carcinoma and their implications for survival: a retrospective nation-wide study of 629 patients. </w:t>
      </w:r>
      <w:r w:rsidRPr="00CC7AB4">
        <w:rPr>
          <w:rFonts w:ascii="Calibri" w:hAnsi="Calibri" w:cs="Calibri"/>
          <w:i/>
          <w:iCs/>
          <w:color w:val="000000"/>
          <w:sz w:val="20"/>
          <w:lang w:val="en-US"/>
        </w:rPr>
        <w:t>Eur. Urol.</w:t>
      </w:r>
      <w:r w:rsidRPr="00CC7AB4">
        <w:rPr>
          <w:rFonts w:ascii="Calibri" w:hAnsi="Calibri" w:cs="Calibri"/>
          <w:color w:val="000000"/>
          <w:sz w:val="20"/>
          <w:lang w:val="en-US"/>
        </w:rPr>
        <w:t xml:space="preserve"> </w:t>
      </w:r>
      <w:r w:rsidRPr="00CC7AB4">
        <w:rPr>
          <w:rFonts w:ascii="Calibri" w:hAnsi="Calibri" w:cs="Calibri"/>
          <w:b/>
          <w:bCs/>
          <w:color w:val="000000"/>
          <w:sz w:val="20"/>
          <w:lang w:val="en-US"/>
        </w:rPr>
        <w:t>48</w:t>
      </w:r>
      <w:r w:rsidRPr="00CC7AB4">
        <w:rPr>
          <w:rFonts w:ascii="Calibri" w:hAnsi="Calibri" w:cs="Calibri"/>
          <w:color w:val="000000"/>
          <w:sz w:val="20"/>
          <w:lang w:val="en-US"/>
        </w:rPr>
        <w:t>, 593–600 (2005).</w:t>
      </w:r>
    </w:p>
    <w:p w14:paraId="250E7920" w14:textId="3D01685F" w:rsidR="00802F10" w:rsidRPr="00723F25" w:rsidRDefault="00CC7AB4" w:rsidP="00E62F1F">
      <w:pPr>
        <w:rPr>
          <w:rFonts w:ascii="Calibri" w:hAnsi="Calibri" w:cs="Calibri"/>
          <w:color w:val="000000" w:themeColor="text1"/>
          <w:sz w:val="20"/>
          <w:szCs w:val="20"/>
        </w:rPr>
      </w:pPr>
      <w:r>
        <w:rPr>
          <w:rFonts w:ascii="Calibri" w:hAnsi="Calibri" w:cs="Calibri"/>
          <w:color w:val="000000" w:themeColor="text1"/>
          <w:sz w:val="20"/>
          <w:szCs w:val="20"/>
        </w:rPr>
        <w:fldChar w:fldCharType="end"/>
      </w:r>
      <w:r w:rsidR="00574EFA">
        <w:rPr>
          <w:rFonts w:ascii="Calibri" w:hAnsi="Calibri" w:cs="Calibri"/>
          <w:color w:val="000000" w:themeColor="text1"/>
          <w:sz w:val="20"/>
          <w:szCs w:val="20"/>
        </w:rPr>
        <w:fldChar w:fldCharType="begin"/>
      </w:r>
      <w:r w:rsidR="00574EFA">
        <w:rPr>
          <w:rFonts w:ascii="Calibri" w:hAnsi="Calibri" w:cs="Calibri"/>
          <w:color w:val="000000" w:themeColor="text1"/>
          <w:sz w:val="20"/>
          <w:szCs w:val="20"/>
        </w:rPr>
        <w:instrText xml:space="preserve"> ADDIN </w:instrText>
      </w:r>
      <w:r w:rsidR="00574EFA">
        <w:rPr>
          <w:rFonts w:ascii="Calibri" w:hAnsi="Calibri" w:cs="Calibri"/>
          <w:color w:val="000000" w:themeColor="text1"/>
          <w:sz w:val="20"/>
          <w:szCs w:val="20"/>
        </w:rPr>
        <w:fldChar w:fldCharType="end"/>
      </w:r>
    </w:p>
    <w:sectPr w:rsidR="00802F10" w:rsidRPr="00723F25" w:rsidSect="00971F15">
      <w:footerReference w:type="even" r:id="rId11"/>
      <w:footerReference w:type="default" r:id="rId12"/>
      <w:pgSz w:w="11900" w:h="16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FB3E6" w14:textId="77777777" w:rsidR="00737831" w:rsidRDefault="00737831">
      <w:r>
        <w:separator/>
      </w:r>
    </w:p>
  </w:endnote>
  <w:endnote w:type="continuationSeparator" w:id="0">
    <w:p w14:paraId="13003E37" w14:textId="77777777" w:rsidR="00737831" w:rsidRDefault="00737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42607688"/>
      <w:docPartObj>
        <w:docPartGallery w:val="Page Numbers (Bottom of Page)"/>
        <w:docPartUnique/>
      </w:docPartObj>
    </w:sdtPr>
    <w:sdtEndPr>
      <w:rPr>
        <w:rStyle w:val="PageNumber"/>
      </w:rPr>
    </w:sdtEndPr>
    <w:sdtContent>
      <w:p w14:paraId="364086BD" w14:textId="77777777" w:rsidR="009D62A7" w:rsidRDefault="009D62A7" w:rsidP="00F206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7DD21B" w14:textId="77777777" w:rsidR="009D62A7" w:rsidRDefault="009D62A7" w:rsidP="00F206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18546927"/>
      <w:docPartObj>
        <w:docPartGallery w:val="Page Numbers (Bottom of Page)"/>
        <w:docPartUnique/>
      </w:docPartObj>
    </w:sdtPr>
    <w:sdtEndPr>
      <w:rPr>
        <w:rStyle w:val="PageNumber"/>
      </w:rPr>
    </w:sdtEndPr>
    <w:sdtContent>
      <w:p w14:paraId="6DA7479E" w14:textId="1B8A3DD3" w:rsidR="009D62A7" w:rsidRDefault="009D62A7" w:rsidP="00F206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768F8">
          <w:rPr>
            <w:rStyle w:val="PageNumber"/>
            <w:noProof/>
          </w:rPr>
          <w:t>2</w:t>
        </w:r>
        <w:r>
          <w:rPr>
            <w:rStyle w:val="PageNumber"/>
          </w:rPr>
          <w:fldChar w:fldCharType="end"/>
        </w:r>
      </w:p>
    </w:sdtContent>
  </w:sdt>
  <w:p w14:paraId="45736964" w14:textId="77777777" w:rsidR="009D62A7" w:rsidRDefault="009D62A7" w:rsidP="00F206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44FB7" w14:textId="77777777" w:rsidR="00737831" w:rsidRDefault="00737831">
      <w:r>
        <w:separator/>
      </w:r>
    </w:p>
  </w:footnote>
  <w:footnote w:type="continuationSeparator" w:id="0">
    <w:p w14:paraId="63E75EAF" w14:textId="77777777" w:rsidR="00737831" w:rsidRDefault="00737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67F1A"/>
    <w:multiLevelType w:val="hybridMultilevel"/>
    <w:tmpl w:val="AD983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4C64C9"/>
    <w:multiLevelType w:val="hybridMultilevel"/>
    <w:tmpl w:val="E3CE0CC4"/>
    <w:lvl w:ilvl="0" w:tplc="0409000F">
      <w:start w:val="1"/>
      <w:numFmt w:val="decimal"/>
      <w:lvlText w:val="%1."/>
      <w:lvlJc w:val="left"/>
      <w:pPr>
        <w:ind w:left="360" w:hanging="360"/>
      </w:pPr>
      <w:rPr>
        <w:rFonts w:hint="default"/>
      </w:rPr>
    </w:lvl>
    <w:lvl w:ilvl="1" w:tplc="04090019">
      <w:start w:val="1"/>
      <w:numFmt w:val="lowerLetter"/>
      <w:lvlText w:val="%2."/>
      <w:lvlJc w:val="left"/>
      <w:pPr>
        <w:ind w:left="502" w:hanging="360"/>
      </w:pPr>
    </w:lvl>
    <w:lvl w:ilvl="2" w:tplc="04090001">
      <w:start w:val="1"/>
      <w:numFmt w:val="bullet"/>
      <w:lvlText w:val=""/>
      <w:lvlJc w:val="left"/>
      <w:pPr>
        <w:ind w:left="785" w:hanging="360"/>
      </w:pPr>
      <w:rPr>
        <w:rFonts w:ascii="Symbol" w:hAnsi="Symbol" w:hint="default"/>
      </w:rPr>
    </w:lvl>
    <w:lvl w:ilvl="3" w:tplc="04AC8DFE">
      <w:start w:val="1"/>
      <w:numFmt w:val="bullet"/>
      <w:lvlText w:val=""/>
      <w:lvlJc w:val="left"/>
      <w:pPr>
        <w:ind w:left="1210" w:hanging="360"/>
      </w:pPr>
      <w:rPr>
        <w:rFonts w:ascii="Symbol" w:hAnsi="Symbol"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887D8D"/>
    <w:multiLevelType w:val="hybridMultilevel"/>
    <w:tmpl w:val="DA94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72167"/>
    <w:multiLevelType w:val="hybridMultilevel"/>
    <w:tmpl w:val="5D808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110804"/>
    <w:multiLevelType w:val="hybridMultilevel"/>
    <w:tmpl w:val="F85A29F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9715404"/>
    <w:multiLevelType w:val="hybridMultilevel"/>
    <w:tmpl w:val="AD4E1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81EB5"/>
    <w:multiLevelType w:val="hybridMultilevel"/>
    <w:tmpl w:val="8D0C6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3C3C33"/>
    <w:multiLevelType w:val="hybridMultilevel"/>
    <w:tmpl w:val="1A105156"/>
    <w:lvl w:ilvl="0" w:tplc="0409000F">
      <w:start w:val="1"/>
      <w:numFmt w:val="decimal"/>
      <w:lvlText w:val="%1."/>
      <w:lvlJc w:val="left"/>
      <w:pPr>
        <w:ind w:left="360" w:hanging="360"/>
      </w:pPr>
      <w:rPr>
        <w:rFonts w:hint="default"/>
      </w:rPr>
    </w:lvl>
    <w:lvl w:ilvl="1" w:tplc="04090019">
      <w:start w:val="1"/>
      <w:numFmt w:val="lowerLetter"/>
      <w:lvlText w:val="%2."/>
      <w:lvlJc w:val="left"/>
      <w:pPr>
        <w:ind w:left="502" w:hanging="360"/>
      </w:pPr>
    </w:lvl>
    <w:lvl w:ilvl="2" w:tplc="04090001">
      <w:start w:val="1"/>
      <w:numFmt w:val="bullet"/>
      <w:lvlText w:val=""/>
      <w:lvlJc w:val="left"/>
      <w:pPr>
        <w:ind w:left="785" w:hanging="360"/>
      </w:pPr>
      <w:rPr>
        <w:rFonts w:ascii="Symbol" w:hAnsi="Symbol" w:hint="default"/>
      </w:rPr>
    </w:lvl>
    <w:lvl w:ilvl="3" w:tplc="04AC8DFE">
      <w:start w:val="1"/>
      <w:numFmt w:val="bullet"/>
      <w:lvlText w:val=""/>
      <w:lvlJc w:val="left"/>
      <w:pPr>
        <w:ind w:left="1210" w:hanging="360"/>
      </w:pPr>
      <w:rPr>
        <w:rFonts w:ascii="Symbol" w:hAnsi="Symbol"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B220D18"/>
    <w:multiLevelType w:val="hybridMultilevel"/>
    <w:tmpl w:val="BB8C971C"/>
    <w:lvl w:ilvl="0" w:tplc="0409000F">
      <w:start w:val="1"/>
      <w:numFmt w:val="decimal"/>
      <w:lvlText w:val="%1."/>
      <w:lvlJc w:val="left"/>
      <w:pPr>
        <w:ind w:left="360" w:hanging="360"/>
      </w:pPr>
      <w:rPr>
        <w:rFonts w:hint="default"/>
      </w:rPr>
    </w:lvl>
    <w:lvl w:ilvl="1" w:tplc="04090019">
      <w:start w:val="1"/>
      <w:numFmt w:val="lowerLetter"/>
      <w:lvlText w:val="%2."/>
      <w:lvlJc w:val="left"/>
      <w:pPr>
        <w:ind w:left="502" w:hanging="360"/>
      </w:pPr>
    </w:lvl>
    <w:lvl w:ilvl="2" w:tplc="04090001">
      <w:start w:val="1"/>
      <w:numFmt w:val="bullet"/>
      <w:lvlText w:val=""/>
      <w:lvlJc w:val="left"/>
      <w:pPr>
        <w:ind w:left="785" w:hanging="360"/>
      </w:pPr>
      <w:rPr>
        <w:rFonts w:ascii="Symbol" w:hAnsi="Symbol" w:hint="default"/>
      </w:rPr>
    </w:lvl>
    <w:lvl w:ilvl="3" w:tplc="04AC8DFE">
      <w:start w:val="1"/>
      <w:numFmt w:val="bullet"/>
      <w:lvlText w:val=""/>
      <w:lvlJc w:val="left"/>
      <w:pPr>
        <w:ind w:left="1210" w:hanging="360"/>
      </w:pPr>
      <w:rPr>
        <w:rFonts w:ascii="Symbol" w:hAnsi="Symbol"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C825996"/>
    <w:multiLevelType w:val="hybridMultilevel"/>
    <w:tmpl w:val="CCEAE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D664AC"/>
    <w:multiLevelType w:val="hybridMultilevel"/>
    <w:tmpl w:val="CB88DDDA"/>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1" w15:restartNumberingAfterBreak="0">
    <w:nsid w:val="5003435E"/>
    <w:multiLevelType w:val="hybridMultilevel"/>
    <w:tmpl w:val="05C6FBF6"/>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1440" w:hanging="360"/>
      </w:pPr>
      <w:rPr>
        <w:rFonts w:ascii="Courier New" w:hAnsi="Courier New" w:cs="Courier New" w:hint="default"/>
      </w:rPr>
    </w:lvl>
    <w:lvl w:ilvl="5" w:tplc="04090005">
      <w:start w:val="1"/>
      <w:numFmt w:val="bullet"/>
      <w:lvlText w:val=""/>
      <w:lvlJc w:val="left"/>
      <w:pPr>
        <w:ind w:left="2160" w:hanging="360"/>
      </w:pPr>
      <w:rPr>
        <w:rFonts w:ascii="Wingdings" w:hAnsi="Wingdings" w:hint="default"/>
      </w:rPr>
    </w:lvl>
    <w:lvl w:ilvl="6" w:tplc="04090001">
      <w:start w:val="1"/>
      <w:numFmt w:val="bullet"/>
      <w:lvlText w:val=""/>
      <w:lvlJc w:val="left"/>
      <w:pPr>
        <w:ind w:left="2880" w:hanging="360"/>
      </w:pPr>
      <w:rPr>
        <w:rFonts w:ascii="Symbol" w:hAnsi="Symbol" w:hint="default"/>
      </w:rPr>
    </w:lvl>
    <w:lvl w:ilvl="7" w:tplc="04090003">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12" w15:restartNumberingAfterBreak="0">
    <w:nsid w:val="5D6C3072"/>
    <w:multiLevelType w:val="hybridMultilevel"/>
    <w:tmpl w:val="799AAB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0F44DF9"/>
    <w:multiLevelType w:val="hybridMultilevel"/>
    <w:tmpl w:val="1A105156"/>
    <w:lvl w:ilvl="0" w:tplc="0409000F">
      <w:start w:val="1"/>
      <w:numFmt w:val="decimal"/>
      <w:lvlText w:val="%1."/>
      <w:lvlJc w:val="left"/>
      <w:pPr>
        <w:ind w:left="360" w:hanging="360"/>
      </w:pPr>
      <w:rPr>
        <w:rFonts w:hint="default"/>
      </w:rPr>
    </w:lvl>
    <w:lvl w:ilvl="1" w:tplc="04090019">
      <w:start w:val="1"/>
      <w:numFmt w:val="lowerLetter"/>
      <w:lvlText w:val="%2."/>
      <w:lvlJc w:val="left"/>
      <w:pPr>
        <w:ind w:left="502" w:hanging="360"/>
      </w:pPr>
    </w:lvl>
    <w:lvl w:ilvl="2" w:tplc="04090001">
      <w:start w:val="1"/>
      <w:numFmt w:val="bullet"/>
      <w:lvlText w:val=""/>
      <w:lvlJc w:val="left"/>
      <w:pPr>
        <w:ind w:left="785" w:hanging="360"/>
      </w:pPr>
      <w:rPr>
        <w:rFonts w:ascii="Symbol" w:hAnsi="Symbol" w:hint="default"/>
      </w:rPr>
    </w:lvl>
    <w:lvl w:ilvl="3" w:tplc="04AC8DFE">
      <w:start w:val="1"/>
      <w:numFmt w:val="bullet"/>
      <w:lvlText w:val=""/>
      <w:lvlJc w:val="left"/>
      <w:pPr>
        <w:ind w:left="1210" w:hanging="360"/>
      </w:pPr>
      <w:rPr>
        <w:rFonts w:ascii="Symbol" w:hAnsi="Symbol"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1DA2459"/>
    <w:multiLevelType w:val="hybridMultilevel"/>
    <w:tmpl w:val="289C7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7C67CF"/>
    <w:multiLevelType w:val="hybridMultilevel"/>
    <w:tmpl w:val="61AEA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DD4920"/>
    <w:multiLevelType w:val="hybridMultilevel"/>
    <w:tmpl w:val="4606A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532150"/>
    <w:multiLevelType w:val="hybridMultilevel"/>
    <w:tmpl w:val="81A418CA"/>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8" w15:restartNumberingAfterBreak="0">
    <w:nsid w:val="7DF029A3"/>
    <w:multiLevelType w:val="hybridMultilevel"/>
    <w:tmpl w:val="3112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3"/>
  </w:num>
  <w:num w:numId="3">
    <w:abstractNumId w:val="7"/>
  </w:num>
  <w:num w:numId="4">
    <w:abstractNumId w:val="4"/>
  </w:num>
  <w:num w:numId="5">
    <w:abstractNumId w:val="11"/>
  </w:num>
  <w:num w:numId="6">
    <w:abstractNumId w:val="9"/>
  </w:num>
  <w:num w:numId="7">
    <w:abstractNumId w:val="10"/>
  </w:num>
  <w:num w:numId="8">
    <w:abstractNumId w:val="17"/>
  </w:num>
  <w:num w:numId="9">
    <w:abstractNumId w:val="14"/>
  </w:num>
  <w:num w:numId="10">
    <w:abstractNumId w:val="8"/>
  </w:num>
  <w:num w:numId="11">
    <w:abstractNumId w:val="1"/>
  </w:num>
  <w:num w:numId="12">
    <w:abstractNumId w:val="13"/>
  </w:num>
  <w:num w:numId="13">
    <w:abstractNumId w:val="15"/>
  </w:num>
  <w:num w:numId="14">
    <w:abstractNumId w:val="0"/>
  </w:num>
  <w:num w:numId="15">
    <w:abstractNumId w:val="12"/>
  </w:num>
  <w:num w:numId="16">
    <w:abstractNumId w:val="18"/>
  </w:num>
  <w:num w:numId="17">
    <w:abstractNumId w:val="5"/>
  </w:num>
  <w:num w:numId="18">
    <w:abstractNumId w:val="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5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Natur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2edvatd3twvvgee2d7ptazar0trpzdz0wa5&quot;&gt;Nature Endnote&lt;record-ids&gt;&lt;item&gt;279&lt;/item&gt;&lt;item&gt;555&lt;/item&gt;&lt;/record-ids&gt;&lt;/item&gt;&lt;/Libraries&gt;"/>
  </w:docVars>
  <w:rsids>
    <w:rsidRoot w:val="00F131BF"/>
    <w:rsid w:val="00000046"/>
    <w:rsid w:val="000033A8"/>
    <w:rsid w:val="00010936"/>
    <w:rsid w:val="00011082"/>
    <w:rsid w:val="000113D6"/>
    <w:rsid w:val="00013A1D"/>
    <w:rsid w:val="00013FFA"/>
    <w:rsid w:val="00015438"/>
    <w:rsid w:val="000165A9"/>
    <w:rsid w:val="000167D7"/>
    <w:rsid w:val="00020167"/>
    <w:rsid w:val="00021B9A"/>
    <w:rsid w:val="00021D1D"/>
    <w:rsid w:val="00023208"/>
    <w:rsid w:val="00023BD1"/>
    <w:rsid w:val="000247CE"/>
    <w:rsid w:val="00025AA0"/>
    <w:rsid w:val="000262DE"/>
    <w:rsid w:val="000268DC"/>
    <w:rsid w:val="0003195A"/>
    <w:rsid w:val="0003220D"/>
    <w:rsid w:val="000330CE"/>
    <w:rsid w:val="00033105"/>
    <w:rsid w:val="0003451C"/>
    <w:rsid w:val="00035D13"/>
    <w:rsid w:val="00040042"/>
    <w:rsid w:val="000411E0"/>
    <w:rsid w:val="00042E77"/>
    <w:rsid w:val="00044A02"/>
    <w:rsid w:val="00045E9A"/>
    <w:rsid w:val="00046441"/>
    <w:rsid w:val="00047DEA"/>
    <w:rsid w:val="00050BE0"/>
    <w:rsid w:val="000510A2"/>
    <w:rsid w:val="00051DE8"/>
    <w:rsid w:val="00056EB1"/>
    <w:rsid w:val="00057E28"/>
    <w:rsid w:val="00060349"/>
    <w:rsid w:val="00060816"/>
    <w:rsid w:val="0006158D"/>
    <w:rsid w:val="0006393B"/>
    <w:rsid w:val="00064646"/>
    <w:rsid w:val="00064FEA"/>
    <w:rsid w:val="00065FAA"/>
    <w:rsid w:val="0006666E"/>
    <w:rsid w:val="0007137F"/>
    <w:rsid w:val="00071959"/>
    <w:rsid w:val="000721BF"/>
    <w:rsid w:val="000730CD"/>
    <w:rsid w:val="00073441"/>
    <w:rsid w:val="00073A13"/>
    <w:rsid w:val="00074D60"/>
    <w:rsid w:val="00076C21"/>
    <w:rsid w:val="00076DBC"/>
    <w:rsid w:val="000805CD"/>
    <w:rsid w:val="000818DF"/>
    <w:rsid w:val="00084872"/>
    <w:rsid w:val="00085D7B"/>
    <w:rsid w:val="0008765F"/>
    <w:rsid w:val="000900C0"/>
    <w:rsid w:val="00090C63"/>
    <w:rsid w:val="00091868"/>
    <w:rsid w:val="000924D0"/>
    <w:rsid w:val="00092C1F"/>
    <w:rsid w:val="00093CEC"/>
    <w:rsid w:val="00096913"/>
    <w:rsid w:val="000A41ED"/>
    <w:rsid w:val="000A4757"/>
    <w:rsid w:val="000A4F33"/>
    <w:rsid w:val="000A65CC"/>
    <w:rsid w:val="000B2AEB"/>
    <w:rsid w:val="000B2EC8"/>
    <w:rsid w:val="000B35F0"/>
    <w:rsid w:val="000B4076"/>
    <w:rsid w:val="000B4662"/>
    <w:rsid w:val="000B4F18"/>
    <w:rsid w:val="000B703B"/>
    <w:rsid w:val="000C7E39"/>
    <w:rsid w:val="000D08A4"/>
    <w:rsid w:val="000D1DC7"/>
    <w:rsid w:val="000D286B"/>
    <w:rsid w:val="000D2949"/>
    <w:rsid w:val="000D2DAA"/>
    <w:rsid w:val="000D3897"/>
    <w:rsid w:val="000D4503"/>
    <w:rsid w:val="000D47A9"/>
    <w:rsid w:val="000D48B5"/>
    <w:rsid w:val="000D7B31"/>
    <w:rsid w:val="000E4054"/>
    <w:rsid w:val="000E4EED"/>
    <w:rsid w:val="000F0022"/>
    <w:rsid w:val="000F08B5"/>
    <w:rsid w:val="000F5CD0"/>
    <w:rsid w:val="001003A4"/>
    <w:rsid w:val="0010263D"/>
    <w:rsid w:val="00103492"/>
    <w:rsid w:val="001037F9"/>
    <w:rsid w:val="00103D3F"/>
    <w:rsid w:val="0010521A"/>
    <w:rsid w:val="00105BBF"/>
    <w:rsid w:val="00110CBC"/>
    <w:rsid w:val="001110F7"/>
    <w:rsid w:val="0011537B"/>
    <w:rsid w:val="0011696A"/>
    <w:rsid w:val="001200D5"/>
    <w:rsid w:val="00121910"/>
    <w:rsid w:val="00121CE6"/>
    <w:rsid w:val="0012325A"/>
    <w:rsid w:val="0012348C"/>
    <w:rsid w:val="00124270"/>
    <w:rsid w:val="00126323"/>
    <w:rsid w:val="00126409"/>
    <w:rsid w:val="0012725B"/>
    <w:rsid w:val="00127C6C"/>
    <w:rsid w:val="001306B8"/>
    <w:rsid w:val="001315F0"/>
    <w:rsid w:val="00133382"/>
    <w:rsid w:val="001333F6"/>
    <w:rsid w:val="00133FAD"/>
    <w:rsid w:val="00134132"/>
    <w:rsid w:val="00134549"/>
    <w:rsid w:val="00134729"/>
    <w:rsid w:val="001364AA"/>
    <w:rsid w:val="00140DD6"/>
    <w:rsid w:val="00141BD5"/>
    <w:rsid w:val="00141FA3"/>
    <w:rsid w:val="00142B83"/>
    <w:rsid w:val="0014356C"/>
    <w:rsid w:val="00145BCB"/>
    <w:rsid w:val="00146976"/>
    <w:rsid w:val="00154BAF"/>
    <w:rsid w:val="00155D21"/>
    <w:rsid w:val="001571F8"/>
    <w:rsid w:val="00157F49"/>
    <w:rsid w:val="00164E32"/>
    <w:rsid w:val="00165122"/>
    <w:rsid w:val="00166F13"/>
    <w:rsid w:val="001676A4"/>
    <w:rsid w:val="00167752"/>
    <w:rsid w:val="0017058E"/>
    <w:rsid w:val="00170D65"/>
    <w:rsid w:val="001710B2"/>
    <w:rsid w:val="001760AE"/>
    <w:rsid w:val="00176663"/>
    <w:rsid w:val="0018005F"/>
    <w:rsid w:val="00180893"/>
    <w:rsid w:val="00181ACC"/>
    <w:rsid w:val="00183C55"/>
    <w:rsid w:val="001862DD"/>
    <w:rsid w:val="00187A07"/>
    <w:rsid w:val="001900DB"/>
    <w:rsid w:val="00191C37"/>
    <w:rsid w:val="00192601"/>
    <w:rsid w:val="00193079"/>
    <w:rsid w:val="00193AFD"/>
    <w:rsid w:val="00193F12"/>
    <w:rsid w:val="001950E2"/>
    <w:rsid w:val="00195CAC"/>
    <w:rsid w:val="0019708A"/>
    <w:rsid w:val="0019748D"/>
    <w:rsid w:val="001979F6"/>
    <w:rsid w:val="001A0F36"/>
    <w:rsid w:val="001A328F"/>
    <w:rsid w:val="001A35E9"/>
    <w:rsid w:val="001A651A"/>
    <w:rsid w:val="001A6CE1"/>
    <w:rsid w:val="001B0247"/>
    <w:rsid w:val="001B0ACA"/>
    <w:rsid w:val="001B0B1B"/>
    <w:rsid w:val="001B0D46"/>
    <w:rsid w:val="001B21F8"/>
    <w:rsid w:val="001B4FD5"/>
    <w:rsid w:val="001B5AD0"/>
    <w:rsid w:val="001C283D"/>
    <w:rsid w:val="001C2C67"/>
    <w:rsid w:val="001C2FAC"/>
    <w:rsid w:val="001C6EC0"/>
    <w:rsid w:val="001D27CA"/>
    <w:rsid w:val="001D2B77"/>
    <w:rsid w:val="001D446A"/>
    <w:rsid w:val="001D52A1"/>
    <w:rsid w:val="001D6914"/>
    <w:rsid w:val="001E0817"/>
    <w:rsid w:val="001E0ACD"/>
    <w:rsid w:val="001E341B"/>
    <w:rsid w:val="001E39EB"/>
    <w:rsid w:val="001E6476"/>
    <w:rsid w:val="001E7C49"/>
    <w:rsid w:val="001F07E4"/>
    <w:rsid w:val="001F1623"/>
    <w:rsid w:val="001F5813"/>
    <w:rsid w:val="00200BE5"/>
    <w:rsid w:val="00201165"/>
    <w:rsid w:val="002046FA"/>
    <w:rsid w:val="00204E61"/>
    <w:rsid w:val="00205F26"/>
    <w:rsid w:val="00206B26"/>
    <w:rsid w:val="00207746"/>
    <w:rsid w:val="002139BF"/>
    <w:rsid w:val="00214779"/>
    <w:rsid w:val="002200F9"/>
    <w:rsid w:val="00224699"/>
    <w:rsid w:val="002320F1"/>
    <w:rsid w:val="00235916"/>
    <w:rsid w:val="00243593"/>
    <w:rsid w:val="00246AB8"/>
    <w:rsid w:val="00246F1C"/>
    <w:rsid w:val="002530A4"/>
    <w:rsid w:val="0025360A"/>
    <w:rsid w:val="002557E1"/>
    <w:rsid w:val="0025678F"/>
    <w:rsid w:val="00261368"/>
    <w:rsid w:val="00263B95"/>
    <w:rsid w:val="00264E81"/>
    <w:rsid w:val="002668C9"/>
    <w:rsid w:val="00266C9B"/>
    <w:rsid w:val="0026708C"/>
    <w:rsid w:val="0026718B"/>
    <w:rsid w:val="002706FE"/>
    <w:rsid w:val="00270797"/>
    <w:rsid w:val="0027098A"/>
    <w:rsid w:val="002711B2"/>
    <w:rsid w:val="002711D8"/>
    <w:rsid w:val="002716BA"/>
    <w:rsid w:val="002747A7"/>
    <w:rsid w:val="00274F3E"/>
    <w:rsid w:val="00275832"/>
    <w:rsid w:val="00277624"/>
    <w:rsid w:val="0027765D"/>
    <w:rsid w:val="00277EFD"/>
    <w:rsid w:val="00282A4C"/>
    <w:rsid w:val="00283AE0"/>
    <w:rsid w:val="00284B3F"/>
    <w:rsid w:val="002852E8"/>
    <w:rsid w:val="00286934"/>
    <w:rsid w:val="00287D8C"/>
    <w:rsid w:val="00290E05"/>
    <w:rsid w:val="00292DFE"/>
    <w:rsid w:val="00293A8D"/>
    <w:rsid w:val="00296AB9"/>
    <w:rsid w:val="00297D6B"/>
    <w:rsid w:val="002A3324"/>
    <w:rsid w:val="002A3848"/>
    <w:rsid w:val="002A46E8"/>
    <w:rsid w:val="002A5441"/>
    <w:rsid w:val="002A63D3"/>
    <w:rsid w:val="002B0208"/>
    <w:rsid w:val="002B12CF"/>
    <w:rsid w:val="002B45EB"/>
    <w:rsid w:val="002B6C92"/>
    <w:rsid w:val="002B7BA8"/>
    <w:rsid w:val="002C1977"/>
    <w:rsid w:val="002C3034"/>
    <w:rsid w:val="002C3BF7"/>
    <w:rsid w:val="002C42DA"/>
    <w:rsid w:val="002C61AD"/>
    <w:rsid w:val="002C6498"/>
    <w:rsid w:val="002D155D"/>
    <w:rsid w:val="002D1B15"/>
    <w:rsid w:val="002D2C11"/>
    <w:rsid w:val="002D3312"/>
    <w:rsid w:val="002D4CA5"/>
    <w:rsid w:val="002D5B27"/>
    <w:rsid w:val="002D7A51"/>
    <w:rsid w:val="002E0154"/>
    <w:rsid w:val="002E483E"/>
    <w:rsid w:val="002E50BE"/>
    <w:rsid w:val="002E5B5C"/>
    <w:rsid w:val="002E60E0"/>
    <w:rsid w:val="002E72A6"/>
    <w:rsid w:val="002F4AF9"/>
    <w:rsid w:val="002F5C56"/>
    <w:rsid w:val="002F6269"/>
    <w:rsid w:val="00300D7D"/>
    <w:rsid w:val="00300DB4"/>
    <w:rsid w:val="003025E4"/>
    <w:rsid w:val="00305B68"/>
    <w:rsid w:val="00305EBF"/>
    <w:rsid w:val="003100D3"/>
    <w:rsid w:val="00310F16"/>
    <w:rsid w:val="00311AA5"/>
    <w:rsid w:val="00312056"/>
    <w:rsid w:val="0031408E"/>
    <w:rsid w:val="00314ECB"/>
    <w:rsid w:val="0031559F"/>
    <w:rsid w:val="00316671"/>
    <w:rsid w:val="003172E1"/>
    <w:rsid w:val="00322CEA"/>
    <w:rsid w:val="00325C1B"/>
    <w:rsid w:val="00332317"/>
    <w:rsid w:val="00335CBE"/>
    <w:rsid w:val="00336349"/>
    <w:rsid w:val="00337A6B"/>
    <w:rsid w:val="0034052F"/>
    <w:rsid w:val="00341CB0"/>
    <w:rsid w:val="00341CC4"/>
    <w:rsid w:val="00343A44"/>
    <w:rsid w:val="00344EDA"/>
    <w:rsid w:val="0035028F"/>
    <w:rsid w:val="00350596"/>
    <w:rsid w:val="003510B3"/>
    <w:rsid w:val="00351243"/>
    <w:rsid w:val="00351C15"/>
    <w:rsid w:val="00353481"/>
    <w:rsid w:val="00356320"/>
    <w:rsid w:val="00357BDB"/>
    <w:rsid w:val="00360A9D"/>
    <w:rsid w:val="00361B9F"/>
    <w:rsid w:val="00361F16"/>
    <w:rsid w:val="00362488"/>
    <w:rsid w:val="00363763"/>
    <w:rsid w:val="00363DD4"/>
    <w:rsid w:val="003646A6"/>
    <w:rsid w:val="00364EFD"/>
    <w:rsid w:val="00366C47"/>
    <w:rsid w:val="00370179"/>
    <w:rsid w:val="003724A2"/>
    <w:rsid w:val="0037378C"/>
    <w:rsid w:val="003737FB"/>
    <w:rsid w:val="00374FE9"/>
    <w:rsid w:val="003764C7"/>
    <w:rsid w:val="00376FCC"/>
    <w:rsid w:val="00380773"/>
    <w:rsid w:val="00381CEE"/>
    <w:rsid w:val="0038235E"/>
    <w:rsid w:val="00383CD0"/>
    <w:rsid w:val="00384723"/>
    <w:rsid w:val="00390EBB"/>
    <w:rsid w:val="00392415"/>
    <w:rsid w:val="00393B3C"/>
    <w:rsid w:val="00394551"/>
    <w:rsid w:val="00396A86"/>
    <w:rsid w:val="00396F1C"/>
    <w:rsid w:val="003A1AB8"/>
    <w:rsid w:val="003A54EA"/>
    <w:rsid w:val="003A5561"/>
    <w:rsid w:val="003A660E"/>
    <w:rsid w:val="003A7B40"/>
    <w:rsid w:val="003B0533"/>
    <w:rsid w:val="003B7B0E"/>
    <w:rsid w:val="003C0CE6"/>
    <w:rsid w:val="003C18E9"/>
    <w:rsid w:val="003C22D2"/>
    <w:rsid w:val="003C29DE"/>
    <w:rsid w:val="003C4A03"/>
    <w:rsid w:val="003C4AC7"/>
    <w:rsid w:val="003C5935"/>
    <w:rsid w:val="003C6B5C"/>
    <w:rsid w:val="003D1817"/>
    <w:rsid w:val="003D1B55"/>
    <w:rsid w:val="003D206E"/>
    <w:rsid w:val="003D43D9"/>
    <w:rsid w:val="003D4D28"/>
    <w:rsid w:val="003D6329"/>
    <w:rsid w:val="003E01BE"/>
    <w:rsid w:val="003E0B7F"/>
    <w:rsid w:val="003E13E0"/>
    <w:rsid w:val="003E16DB"/>
    <w:rsid w:val="003E706A"/>
    <w:rsid w:val="003F1C5B"/>
    <w:rsid w:val="003F200F"/>
    <w:rsid w:val="003F444B"/>
    <w:rsid w:val="003F60E6"/>
    <w:rsid w:val="003F69D9"/>
    <w:rsid w:val="003F7CD3"/>
    <w:rsid w:val="004014FC"/>
    <w:rsid w:val="004016D4"/>
    <w:rsid w:val="00401918"/>
    <w:rsid w:val="00401926"/>
    <w:rsid w:val="004048CA"/>
    <w:rsid w:val="004066FC"/>
    <w:rsid w:val="00407C62"/>
    <w:rsid w:val="00407FAC"/>
    <w:rsid w:val="004104D7"/>
    <w:rsid w:val="0041183E"/>
    <w:rsid w:val="004144E4"/>
    <w:rsid w:val="0041662D"/>
    <w:rsid w:val="0042048B"/>
    <w:rsid w:val="00421E46"/>
    <w:rsid w:val="00423F93"/>
    <w:rsid w:val="0042764A"/>
    <w:rsid w:val="00430498"/>
    <w:rsid w:val="0043253A"/>
    <w:rsid w:val="004326B9"/>
    <w:rsid w:val="004341C9"/>
    <w:rsid w:val="00434C63"/>
    <w:rsid w:val="00434CCD"/>
    <w:rsid w:val="00434FE4"/>
    <w:rsid w:val="004367F2"/>
    <w:rsid w:val="00436A2C"/>
    <w:rsid w:val="00436C9F"/>
    <w:rsid w:val="0043762C"/>
    <w:rsid w:val="00437D77"/>
    <w:rsid w:val="00444213"/>
    <w:rsid w:val="004459C3"/>
    <w:rsid w:val="00446E80"/>
    <w:rsid w:val="00451B4B"/>
    <w:rsid w:val="00453349"/>
    <w:rsid w:val="00454C04"/>
    <w:rsid w:val="00455316"/>
    <w:rsid w:val="00457FC0"/>
    <w:rsid w:val="0046229C"/>
    <w:rsid w:val="00463260"/>
    <w:rsid w:val="00463FB3"/>
    <w:rsid w:val="004656F7"/>
    <w:rsid w:val="0046593B"/>
    <w:rsid w:val="004661AF"/>
    <w:rsid w:val="00466F8B"/>
    <w:rsid w:val="004714CA"/>
    <w:rsid w:val="00472625"/>
    <w:rsid w:val="004740E9"/>
    <w:rsid w:val="004743B6"/>
    <w:rsid w:val="00480FD6"/>
    <w:rsid w:val="004810E0"/>
    <w:rsid w:val="004812B4"/>
    <w:rsid w:val="00483341"/>
    <w:rsid w:val="00484930"/>
    <w:rsid w:val="00486522"/>
    <w:rsid w:val="00486B78"/>
    <w:rsid w:val="00487A1A"/>
    <w:rsid w:val="004900FE"/>
    <w:rsid w:val="00491769"/>
    <w:rsid w:val="004946D2"/>
    <w:rsid w:val="00494C77"/>
    <w:rsid w:val="00494DA2"/>
    <w:rsid w:val="00496DC3"/>
    <w:rsid w:val="00497BE8"/>
    <w:rsid w:val="004A10D0"/>
    <w:rsid w:val="004A1233"/>
    <w:rsid w:val="004A1614"/>
    <w:rsid w:val="004A305C"/>
    <w:rsid w:val="004A6077"/>
    <w:rsid w:val="004A65BB"/>
    <w:rsid w:val="004A676A"/>
    <w:rsid w:val="004B2E37"/>
    <w:rsid w:val="004B3771"/>
    <w:rsid w:val="004B57CC"/>
    <w:rsid w:val="004B6F79"/>
    <w:rsid w:val="004C08F8"/>
    <w:rsid w:val="004C29EA"/>
    <w:rsid w:val="004C2FDF"/>
    <w:rsid w:val="004C4577"/>
    <w:rsid w:val="004C4AE5"/>
    <w:rsid w:val="004C5888"/>
    <w:rsid w:val="004D0425"/>
    <w:rsid w:val="004D0F35"/>
    <w:rsid w:val="004D13DF"/>
    <w:rsid w:val="004D36CE"/>
    <w:rsid w:val="004D7BD0"/>
    <w:rsid w:val="004E18CB"/>
    <w:rsid w:val="004E2A88"/>
    <w:rsid w:val="004E2B53"/>
    <w:rsid w:val="004E2CCC"/>
    <w:rsid w:val="004E41E2"/>
    <w:rsid w:val="004E5511"/>
    <w:rsid w:val="004E6514"/>
    <w:rsid w:val="004F0640"/>
    <w:rsid w:val="004F090B"/>
    <w:rsid w:val="004F109B"/>
    <w:rsid w:val="004F2534"/>
    <w:rsid w:val="004F2637"/>
    <w:rsid w:val="004F3E17"/>
    <w:rsid w:val="004F5E72"/>
    <w:rsid w:val="004F6907"/>
    <w:rsid w:val="0050077B"/>
    <w:rsid w:val="00500E84"/>
    <w:rsid w:val="005024F9"/>
    <w:rsid w:val="0050325A"/>
    <w:rsid w:val="00507DB4"/>
    <w:rsid w:val="00510CD7"/>
    <w:rsid w:val="0051765C"/>
    <w:rsid w:val="00523A62"/>
    <w:rsid w:val="0052651B"/>
    <w:rsid w:val="00527A56"/>
    <w:rsid w:val="0053122E"/>
    <w:rsid w:val="00531BB5"/>
    <w:rsid w:val="0053595E"/>
    <w:rsid w:val="00535D7B"/>
    <w:rsid w:val="005379C7"/>
    <w:rsid w:val="00537E61"/>
    <w:rsid w:val="0054107C"/>
    <w:rsid w:val="00541922"/>
    <w:rsid w:val="00542814"/>
    <w:rsid w:val="00543AA0"/>
    <w:rsid w:val="00543D48"/>
    <w:rsid w:val="00544520"/>
    <w:rsid w:val="005522E7"/>
    <w:rsid w:val="0055319D"/>
    <w:rsid w:val="005534B6"/>
    <w:rsid w:val="0055465D"/>
    <w:rsid w:val="005556CE"/>
    <w:rsid w:val="00555B69"/>
    <w:rsid w:val="00557044"/>
    <w:rsid w:val="0056098F"/>
    <w:rsid w:val="005615A9"/>
    <w:rsid w:val="00561ABC"/>
    <w:rsid w:val="005643A4"/>
    <w:rsid w:val="00565433"/>
    <w:rsid w:val="00565C60"/>
    <w:rsid w:val="0056703A"/>
    <w:rsid w:val="005670B4"/>
    <w:rsid w:val="005679D9"/>
    <w:rsid w:val="00571360"/>
    <w:rsid w:val="00574483"/>
    <w:rsid w:val="005749C8"/>
    <w:rsid w:val="00574C6F"/>
    <w:rsid w:val="00574EFA"/>
    <w:rsid w:val="00577282"/>
    <w:rsid w:val="00580FB0"/>
    <w:rsid w:val="00582662"/>
    <w:rsid w:val="005835A8"/>
    <w:rsid w:val="00585A5A"/>
    <w:rsid w:val="005862D3"/>
    <w:rsid w:val="00586991"/>
    <w:rsid w:val="00587C9B"/>
    <w:rsid w:val="00592A82"/>
    <w:rsid w:val="00593ED5"/>
    <w:rsid w:val="005940FB"/>
    <w:rsid w:val="005A03B5"/>
    <w:rsid w:val="005A1AA5"/>
    <w:rsid w:val="005A2E46"/>
    <w:rsid w:val="005A40FF"/>
    <w:rsid w:val="005A663D"/>
    <w:rsid w:val="005A6907"/>
    <w:rsid w:val="005B12BE"/>
    <w:rsid w:val="005B1ABB"/>
    <w:rsid w:val="005B1B36"/>
    <w:rsid w:val="005B78D8"/>
    <w:rsid w:val="005C379F"/>
    <w:rsid w:val="005C3B3F"/>
    <w:rsid w:val="005C4571"/>
    <w:rsid w:val="005C5D78"/>
    <w:rsid w:val="005D0468"/>
    <w:rsid w:val="005D16A5"/>
    <w:rsid w:val="005D22D8"/>
    <w:rsid w:val="005D2CE9"/>
    <w:rsid w:val="005D2EBB"/>
    <w:rsid w:val="005D6B88"/>
    <w:rsid w:val="005E3188"/>
    <w:rsid w:val="005E5158"/>
    <w:rsid w:val="005E5D4D"/>
    <w:rsid w:val="005F0DCB"/>
    <w:rsid w:val="005F2BF0"/>
    <w:rsid w:val="005F42BA"/>
    <w:rsid w:val="005F53E9"/>
    <w:rsid w:val="005F558B"/>
    <w:rsid w:val="00600168"/>
    <w:rsid w:val="00603D62"/>
    <w:rsid w:val="00604CA4"/>
    <w:rsid w:val="0060585E"/>
    <w:rsid w:val="00610EDE"/>
    <w:rsid w:val="00611AE7"/>
    <w:rsid w:val="00611E60"/>
    <w:rsid w:val="00612F9B"/>
    <w:rsid w:val="00616344"/>
    <w:rsid w:val="00617A2B"/>
    <w:rsid w:val="00617C51"/>
    <w:rsid w:val="0062035F"/>
    <w:rsid w:val="00621E59"/>
    <w:rsid w:val="00622135"/>
    <w:rsid w:val="0062333E"/>
    <w:rsid w:val="006265DA"/>
    <w:rsid w:val="0063518D"/>
    <w:rsid w:val="006363B2"/>
    <w:rsid w:val="006409FB"/>
    <w:rsid w:val="00640E4B"/>
    <w:rsid w:val="0064168D"/>
    <w:rsid w:val="00642037"/>
    <w:rsid w:val="0064250A"/>
    <w:rsid w:val="0064327A"/>
    <w:rsid w:val="006448F0"/>
    <w:rsid w:val="006468CD"/>
    <w:rsid w:val="00646EB3"/>
    <w:rsid w:val="006474DB"/>
    <w:rsid w:val="00647CE1"/>
    <w:rsid w:val="006546FC"/>
    <w:rsid w:val="00655CF0"/>
    <w:rsid w:val="00657812"/>
    <w:rsid w:val="00661D7B"/>
    <w:rsid w:val="0066222A"/>
    <w:rsid w:val="006625B1"/>
    <w:rsid w:val="006628CE"/>
    <w:rsid w:val="00662B9B"/>
    <w:rsid w:val="006635E7"/>
    <w:rsid w:val="006642F3"/>
    <w:rsid w:val="00664B8B"/>
    <w:rsid w:val="006651F7"/>
    <w:rsid w:val="00666389"/>
    <w:rsid w:val="00666FDD"/>
    <w:rsid w:val="006672BF"/>
    <w:rsid w:val="006719B0"/>
    <w:rsid w:val="00671DCD"/>
    <w:rsid w:val="0067555E"/>
    <w:rsid w:val="006760AF"/>
    <w:rsid w:val="00677B44"/>
    <w:rsid w:val="0068343E"/>
    <w:rsid w:val="00690A6B"/>
    <w:rsid w:val="00692D86"/>
    <w:rsid w:val="00694E03"/>
    <w:rsid w:val="00695537"/>
    <w:rsid w:val="00695BD2"/>
    <w:rsid w:val="00695CEF"/>
    <w:rsid w:val="006A087D"/>
    <w:rsid w:val="006A213C"/>
    <w:rsid w:val="006A4072"/>
    <w:rsid w:val="006A4FB7"/>
    <w:rsid w:val="006A5E93"/>
    <w:rsid w:val="006A6081"/>
    <w:rsid w:val="006B216F"/>
    <w:rsid w:val="006B257D"/>
    <w:rsid w:val="006B30B9"/>
    <w:rsid w:val="006C13E1"/>
    <w:rsid w:val="006C6088"/>
    <w:rsid w:val="006D0D17"/>
    <w:rsid w:val="006D160D"/>
    <w:rsid w:val="006D1CA1"/>
    <w:rsid w:val="006D21D7"/>
    <w:rsid w:val="006D48F7"/>
    <w:rsid w:val="006D5A23"/>
    <w:rsid w:val="006D6022"/>
    <w:rsid w:val="006D6682"/>
    <w:rsid w:val="006E05C6"/>
    <w:rsid w:val="006E2EEF"/>
    <w:rsid w:val="006E5802"/>
    <w:rsid w:val="006E7170"/>
    <w:rsid w:val="006E7260"/>
    <w:rsid w:val="006E7B9A"/>
    <w:rsid w:val="006E7C99"/>
    <w:rsid w:val="006F0133"/>
    <w:rsid w:val="006F10A9"/>
    <w:rsid w:val="006F1BF4"/>
    <w:rsid w:val="00703B95"/>
    <w:rsid w:val="00703EDC"/>
    <w:rsid w:val="007053FA"/>
    <w:rsid w:val="00706618"/>
    <w:rsid w:val="00712C72"/>
    <w:rsid w:val="00712D23"/>
    <w:rsid w:val="00716BCB"/>
    <w:rsid w:val="00717395"/>
    <w:rsid w:val="00720190"/>
    <w:rsid w:val="0072052F"/>
    <w:rsid w:val="00721978"/>
    <w:rsid w:val="00721E03"/>
    <w:rsid w:val="00722DED"/>
    <w:rsid w:val="00723F25"/>
    <w:rsid w:val="00725173"/>
    <w:rsid w:val="00725D9C"/>
    <w:rsid w:val="00731445"/>
    <w:rsid w:val="00735397"/>
    <w:rsid w:val="0073544B"/>
    <w:rsid w:val="00736246"/>
    <w:rsid w:val="00736F0B"/>
    <w:rsid w:val="0073715D"/>
    <w:rsid w:val="007373CA"/>
    <w:rsid w:val="00737831"/>
    <w:rsid w:val="007412B1"/>
    <w:rsid w:val="0074288C"/>
    <w:rsid w:val="0074460A"/>
    <w:rsid w:val="00745751"/>
    <w:rsid w:val="00746863"/>
    <w:rsid w:val="0074764B"/>
    <w:rsid w:val="00750516"/>
    <w:rsid w:val="00750A2D"/>
    <w:rsid w:val="007514EC"/>
    <w:rsid w:val="00753152"/>
    <w:rsid w:val="00755329"/>
    <w:rsid w:val="0075552C"/>
    <w:rsid w:val="00755FE5"/>
    <w:rsid w:val="00757683"/>
    <w:rsid w:val="0075772B"/>
    <w:rsid w:val="00757DC4"/>
    <w:rsid w:val="0076051F"/>
    <w:rsid w:val="00760B06"/>
    <w:rsid w:val="007629CC"/>
    <w:rsid w:val="0076366B"/>
    <w:rsid w:val="00766DBE"/>
    <w:rsid w:val="0077538F"/>
    <w:rsid w:val="0077652B"/>
    <w:rsid w:val="00777803"/>
    <w:rsid w:val="00785B3E"/>
    <w:rsid w:val="00785E64"/>
    <w:rsid w:val="00787636"/>
    <w:rsid w:val="0079450D"/>
    <w:rsid w:val="007946CE"/>
    <w:rsid w:val="007955F2"/>
    <w:rsid w:val="007A0538"/>
    <w:rsid w:val="007A3610"/>
    <w:rsid w:val="007A480C"/>
    <w:rsid w:val="007A5733"/>
    <w:rsid w:val="007A5DC2"/>
    <w:rsid w:val="007A72B1"/>
    <w:rsid w:val="007B0281"/>
    <w:rsid w:val="007B2345"/>
    <w:rsid w:val="007B2E7C"/>
    <w:rsid w:val="007B3984"/>
    <w:rsid w:val="007B4808"/>
    <w:rsid w:val="007B48B1"/>
    <w:rsid w:val="007B503A"/>
    <w:rsid w:val="007B646D"/>
    <w:rsid w:val="007B6D6E"/>
    <w:rsid w:val="007B7766"/>
    <w:rsid w:val="007C1C78"/>
    <w:rsid w:val="007C22D2"/>
    <w:rsid w:val="007C25D9"/>
    <w:rsid w:val="007C3E27"/>
    <w:rsid w:val="007C4211"/>
    <w:rsid w:val="007C435C"/>
    <w:rsid w:val="007C51C4"/>
    <w:rsid w:val="007C5796"/>
    <w:rsid w:val="007C5A5D"/>
    <w:rsid w:val="007C6570"/>
    <w:rsid w:val="007D1E88"/>
    <w:rsid w:val="007D29FB"/>
    <w:rsid w:val="007D52D8"/>
    <w:rsid w:val="007D6518"/>
    <w:rsid w:val="007E1726"/>
    <w:rsid w:val="007E1ED5"/>
    <w:rsid w:val="007E1FD4"/>
    <w:rsid w:val="007E2BCD"/>
    <w:rsid w:val="007E31F8"/>
    <w:rsid w:val="007E3ECF"/>
    <w:rsid w:val="007E415A"/>
    <w:rsid w:val="007E4363"/>
    <w:rsid w:val="007E57D1"/>
    <w:rsid w:val="007E70A8"/>
    <w:rsid w:val="007E73F5"/>
    <w:rsid w:val="007E78EA"/>
    <w:rsid w:val="007F2BE6"/>
    <w:rsid w:val="007F4AB8"/>
    <w:rsid w:val="007F5553"/>
    <w:rsid w:val="007F6011"/>
    <w:rsid w:val="00800252"/>
    <w:rsid w:val="00801C2D"/>
    <w:rsid w:val="00802331"/>
    <w:rsid w:val="008023FE"/>
    <w:rsid w:val="00802F10"/>
    <w:rsid w:val="0080413B"/>
    <w:rsid w:val="00807237"/>
    <w:rsid w:val="00807D73"/>
    <w:rsid w:val="00811650"/>
    <w:rsid w:val="0081360D"/>
    <w:rsid w:val="008148D9"/>
    <w:rsid w:val="00817331"/>
    <w:rsid w:val="00820A94"/>
    <w:rsid w:val="00820B90"/>
    <w:rsid w:val="00820CDE"/>
    <w:rsid w:val="0082180F"/>
    <w:rsid w:val="00822732"/>
    <w:rsid w:val="00823B9E"/>
    <w:rsid w:val="00824FC4"/>
    <w:rsid w:val="00826EEE"/>
    <w:rsid w:val="00827705"/>
    <w:rsid w:val="00830732"/>
    <w:rsid w:val="00832184"/>
    <w:rsid w:val="00833758"/>
    <w:rsid w:val="00834320"/>
    <w:rsid w:val="008346B9"/>
    <w:rsid w:val="00834834"/>
    <w:rsid w:val="00834E34"/>
    <w:rsid w:val="00841179"/>
    <w:rsid w:val="00844527"/>
    <w:rsid w:val="008445B0"/>
    <w:rsid w:val="00845178"/>
    <w:rsid w:val="0084518B"/>
    <w:rsid w:val="00851DFF"/>
    <w:rsid w:val="008551C5"/>
    <w:rsid w:val="008551EE"/>
    <w:rsid w:val="008562B7"/>
    <w:rsid w:val="00865980"/>
    <w:rsid w:val="00865A08"/>
    <w:rsid w:val="00871231"/>
    <w:rsid w:val="008714C1"/>
    <w:rsid w:val="00871D81"/>
    <w:rsid w:val="0087462E"/>
    <w:rsid w:val="00874F0E"/>
    <w:rsid w:val="00880A44"/>
    <w:rsid w:val="00880EB4"/>
    <w:rsid w:val="00881700"/>
    <w:rsid w:val="008820B9"/>
    <w:rsid w:val="00882B85"/>
    <w:rsid w:val="00884229"/>
    <w:rsid w:val="00884B4C"/>
    <w:rsid w:val="00890875"/>
    <w:rsid w:val="00892C23"/>
    <w:rsid w:val="008934C6"/>
    <w:rsid w:val="00893886"/>
    <w:rsid w:val="008946D4"/>
    <w:rsid w:val="0089484E"/>
    <w:rsid w:val="00896838"/>
    <w:rsid w:val="00897E19"/>
    <w:rsid w:val="008A11CE"/>
    <w:rsid w:val="008A18CE"/>
    <w:rsid w:val="008A1D0D"/>
    <w:rsid w:val="008A2550"/>
    <w:rsid w:val="008A3FC7"/>
    <w:rsid w:val="008A75E8"/>
    <w:rsid w:val="008B0014"/>
    <w:rsid w:val="008B1889"/>
    <w:rsid w:val="008B37B7"/>
    <w:rsid w:val="008B4A46"/>
    <w:rsid w:val="008B6589"/>
    <w:rsid w:val="008C0076"/>
    <w:rsid w:val="008C1A12"/>
    <w:rsid w:val="008C1F62"/>
    <w:rsid w:val="008C3821"/>
    <w:rsid w:val="008C4B04"/>
    <w:rsid w:val="008C4D7D"/>
    <w:rsid w:val="008C601F"/>
    <w:rsid w:val="008D1591"/>
    <w:rsid w:val="008D1D04"/>
    <w:rsid w:val="008D3DDD"/>
    <w:rsid w:val="008D4E25"/>
    <w:rsid w:val="008D7543"/>
    <w:rsid w:val="008E0890"/>
    <w:rsid w:val="008E0D9D"/>
    <w:rsid w:val="008E2966"/>
    <w:rsid w:val="008E29F4"/>
    <w:rsid w:val="008E352D"/>
    <w:rsid w:val="008E357A"/>
    <w:rsid w:val="008E35CC"/>
    <w:rsid w:val="008E3776"/>
    <w:rsid w:val="008E6B59"/>
    <w:rsid w:val="008F0CDF"/>
    <w:rsid w:val="008F2B71"/>
    <w:rsid w:val="008F3806"/>
    <w:rsid w:val="008F3950"/>
    <w:rsid w:val="008F5381"/>
    <w:rsid w:val="00900A15"/>
    <w:rsid w:val="00900C6C"/>
    <w:rsid w:val="009011E1"/>
    <w:rsid w:val="00901793"/>
    <w:rsid w:val="00901EA7"/>
    <w:rsid w:val="009028BB"/>
    <w:rsid w:val="00902AF9"/>
    <w:rsid w:val="00904087"/>
    <w:rsid w:val="0090431D"/>
    <w:rsid w:val="00905C92"/>
    <w:rsid w:val="009065BD"/>
    <w:rsid w:val="00906B67"/>
    <w:rsid w:val="00906BA0"/>
    <w:rsid w:val="0090771C"/>
    <w:rsid w:val="00910CFA"/>
    <w:rsid w:val="00913297"/>
    <w:rsid w:val="00913583"/>
    <w:rsid w:val="00922BAE"/>
    <w:rsid w:val="00924867"/>
    <w:rsid w:val="00926184"/>
    <w:rsid w:val="00926866"/>
    <w:rsid w:val="00927530"/>
    <w:rsid w:val="009275EC"/>
    <w:rsid w:val="00934652"/>
    <w:rsid w:val="009347BF"/>
    <w:rsid w:val="00934CF1"/>
    <w:rsid w:val="0093590B"/>
    <w:rsid w:val="00937C99"/>
    <w:rsid w:val="0094125E"/>
    <w:rsid w:val="009432CE"/>
    <w:rsid w:val="00944522"/>
    <w:rsid w:val="00945C58"/>
    <w:rsid w:val="00946FFF"/>
    <w:rsid w:val="0094701A"/>
    <w:rsid w:val="00951145"/>
    <w:rsid w:val="009523AC"/>
    <w:rsid w:val="00954A2C"/>
    <w:rsid w:val="009600F0"/>
    <w:rsid w:val="009641DB"/>
    <w:rsid w:val="0096439D"/>
    <w:rsid w:val="00964766"/>
    <w:rsid w:val="009653B3"/>
    <w:rsid w:val="00970F62"/>
    <w:rsid w:val="009712CC"/>
    <w:rsid w:val="00971F15"/>
    <w:rsid w:val="009725C1"/>
    <w:rsid w:val="00972BE9"/>
    <w:rsid w:val="00975502"/>
    <w:rsid w:val="00977858"/>
    <w:rsid w:val="00982D8A"/>
    <w:rsid w:val="009853CE"/>
    <w:rsid w:val="00985D1D"/>
    <w:rsid w:val="00986123"/>
    <w:rsid w:val="009878DF"/>
    <w:rsid w:val="00991916"/>
    <w:rsid w:val="009929D0"/>
    <w:rsid w:val="00993BB9"/>
    <w:rsid w:val="00995B8E"/>
    <w:rsid w:val="009966A0"/>
    <w:rsid w:val="009A0025"/>
    <w:rsid w:val="009A01D5"/>
    <w:rsid w:val="009A192F"/>
    <w:rsid w:val="009A2518"/>
    <w:rsid w:val="009A2530"/>
    <w:rsid w:val="009A7181"/>
    <w:rsid w:val="009B1731"/>
    <w:rsid w:val="009B24D4"/>
    <w:rsid w:val="009B2590"/>
    <w:rsid w:val="009B476C"/>
    <w:rsid w:val="009B5238"/>
    <w:rsid w:val="009C0780"/>
    <w:rsid w:val="009C0BAE"/>
    <w:rsid w:val="009C3957"/>
    <w:rsid w:val="009C46FE"/>
    <w:rsid w:val="009C48D0"/>
    <w:rsid w:val="009C6C3D"/>
    <w:rsid w:val="009D056E"/>
    <w:rsid w:val="009D05A9"/>
    <w:rsid w:val="009D1E7C"/>
    <w:rsid w:val="009D2C21"/>
    <w:rsid w:val="009D4E65"/>
    <w:rsid w:val="009D5654"/>
    <w:rsid w:val="009D62A7"/>
    <w:rsid w:val="009E44D7"/>
    <w:rsid w:val="009E49C3"/>
    <w:rsid w:val="009E50A7"/>
    <w:rsid w:val="009E5859"/>
    <w:rsid w:val="009E5FBE"/>
    <w:rsid w:val="009E6E74"/>
    <w:rsid w:val="009F1585"/>
    <w:rsid w:val="009F15FD"/>
    <w:rsid w:val="009F2CA8"/>
    <w:rsid w:val="009F2E13"/>
    <w:rsid w:val="009F3012"/>
    <w:rsid w:val="009F63FD"/>
    <w:rsid w:val="009F771F"/>
    <w:rsid w:val="00A044FE"/>
    <w:rsid w:val="00A0574E"/>
    <w:rsid w:val="00A05A77"/>
    <w:rsid w:val="00A0636F"/>
    <w:rsid w:val="00A066DE"/>
    <w:rsid w:val="00A11A9E"/>
    <w:rsid w:val="00A12174"/>
    <w:rsid w:val="00A12D1E"/>
    <w:rsid w:val="00A132C3"/>
    <w:rsid w:val="00A14100"/>
    <w:rsid w:val="00A16522"/>
    <w:rsid w:val="00A1799A"/>
    <w:rsid w:val="00A2034A"/>
    <w:rsid w:val="00A25552"/>
    <w:rsid w:val="00A27791"/>
    <w:rsid w:val="00A3064E"/>
    <w:rsid w:val="00A32A34"/>
    <w:rsid w:val="00A34AE0"/>
    <w:rsid w:val="00A37710"/>
    <w:rsid w:val="00A37743"/>
    <w:rsid w:val="00A37AF9"/>
    <w:rsid w:val="00A40575"/>
    <w:rsid w:val="00A40AB6"/>
    <w:rsid w:val="00A40C36"/>
    <w:rsid w:val="00A41093"/>
    <w:rsid w:val="00A42487"/>
    <w:rsid w:val="00A43890"/>
    <w:rsid w:val="00A44212"/>
    <w:rsid w:val="00A4673F"/>
    <w:rsid w:val="00A511B0"/>
    <w:rsid w:val="00A5530F"/>
    <w:rsid w:val="00A56A06"/>
    <w:rsid w:val="00A57313"/>
    <w:rsid w:val="00A60417"/>
    <w:rsid w:val="00A60BBA"/>
    <w:rsid w:val="00A61313"/>
    <w:rsid w:val="00A61552"/>
    <w:rsid w:val="00A617AC"/>
    <w:rsid w:val="00A61BE7"/>
    <w:rsid w:val="00A61C19"/>
    <w:rsid w:val="00A63014"/>
    <w:rsid w:val="00A6311B"/>
    <w:rsid w:val="00A63DE1"/>
    <w:rsid w:val="00A6527C"/>
    <w:rsid w:val="00A65289"/>
    <w:rsid w:val="00A65C9C"/>
    <w:rsid w:val="00A70635"/>
    <w:rsid w:val="00A72075"/>
    <w:rsid w:val="00A73BBC"/>
    <w:rsid w:val="00A73BC4"/>
    <w:rsid w:val="00A75A50"/>
    <w:rsid w:val="00A768F8"/>
    <w:rsid w:val="00A81239"/>
    <w:rsid w:val="00A813DD"/>
    <w:rsid w:val="00A8253C"/>
    <w:rsid w:val="00A831BF"/>
    <w:rsid w:val="00A84CF7"/>
    <w:rsid w:val="00A84F32"/>
    <w:rsid w:val="00A85E59"/>
    <w:rsid w:val="00A86F68"/>
    <w:rsid w:val="00A87FE6"/>
    <w:rsid w:val="00A90094"/>
    <w:rsid w:val="00A91FC1"/>
    <w:rsid w:val="00A922C3"/>
    <w:rsid w:val="00A9526F"/>
    <w:rsid w:val="00A97762"/>
    <w:rsid w:val="00AA012F"/>
    <w:rsid w:val="00AA15A2"/>
    <w:rsid w:val="00AA2709"/>
    <w:rsid w:val="00AA2B2D"/>
    <w:rsid w:val="00AA4BAF"/>
    <w:rsid w:val="00AA6A44"/>
    <w:rsid w:val="00AA7BA5"/>
    <w:rsid w:val="00AA7FFB"/>
    <w:rsid w:val="00AB0344"/>
    <w:rsid w:val="00AB4A6D"/>
    <w:rsid w:val="00AB5D23"/>
    <w:rsid w:val="00AB68B6"/>
    <w:rsid w:val="00AC0CE2"/>
    <w:rsid w:val="00AC242A"/>
    <w:rsid w:val="00AC3A5E"/>
    <w:rsid w:val="00AC3AB9"/>
    <w:rsid w:val="00AC4530"/>
    <w:rsid w:val="00AC4FE0"/>
    <w:rsid w:val="00AC6F93"/>
    <w:rsid w:val="00AC6FBA"/>
    <w:rsid w:val="00AC7E65"/>
    <w:rsid w:val="00AD0B61"/>
    <w:rsid w:val="00AD2D01"/>
    <w:rsid w:val="00AD31F2"/>
    <w:rsid w:val="00AD4F0E"/>
    <w:rsid w:val="00AD5229"/>
    <w:rsid w:val="00AD6E7B"/>
    <w:rsid w:val="00AD7640"/>
    <w:rsid w:val="00AD7AD5"/>
    <w:rsid w:val="00AE614C"/>
    <w:rsid w:val="00AF18BC"/>
    <w:rsid w:val="00AF19D9"/>
    <w:rsid w:val="00AF2042"/>
    <w:rsid w:val="00AF65BA"/>
    <w:rsid w:val="00AF684F"/>
    <w:rsid w:val="00AF6D76"/>
    <w:rsid w:val="00B04E93"/>
    <w:rsid w:val="00B0672B"/>
    <w:rsid w:val="00B06F93"/>
    <w:rsid w:val="00B102A5"/>
    <w:rsid w:val="00B122D4"/>
    <w:rsid w:val="00B125C8"/>
    <w:rsid w:val="00B133BC"/>
    <w:rsid w:val="00B135EA"/>
    <w:rsid w:val="00B21056"/>
    <w:rsid w:val="00B21BAB"/>
    <w:rsid w:val="00B223DD"/>
    <w:rsid w:val="00B2321F"/>
    <w:rsid w:val="00B2498A"/>
    <w:rsid w:val="00B3026C"/>
    <w:rsid w:val="00B30718"/>
    <w:rsid w:val="00B310DE"/>
    <w:rsid w:val="00B31657"/>
    <w:rsid w:val="00B320D9"/>
    <w:rsid w:val="00B34070"/>
    <w:rsid w:val="00B3412C"/>
    <w:rsid w:val="00B361FA"/>
    <w:rsid w:val="00B37D20"/>
    <w:rsid w:val="00B41CAC"/>
    <w:rsid w:val="00B46B37"/>
    <w:rsid w:val="00B47841"/>
    <w:rsid w:val="00B53676"/>
    <w:rsid w:val="00B540DC"/>
    <w:rsid w:val="00B54531"/>
    <w:rsid w:val="00B54ECA"/>
    <w:rsid w:val="00B55F90"/>
    <w:rsid w:val="00B57C10"/>
    <w:rsid w:val="00B57D28"/>
    <w:rsid w:val="00B57E41"/>
    <w:rsid w:val="00B60839"/>
    <w:rsid w:val="00B61B02"/>
    <w:rsid w:val="00B62103"/>
    <w:rsid w:val="00B66D59"/>
    <w:rsid w:val="00B67671"/>
    <w:rsid w:val="00B67BF3"/>
    <w:rsid w:val="00B72319"/>
    <w:rsid w:val="00B726AA"/>
    <w:rsid w:val="00B75DD0"/>
    <w:rsid w:val="00B768D9"/>
    <w:rsid w:val="00B806CC"/>
    <w:rsid w:val="00B818FA"/>
    <w:rsid w:val="00B8283C"/>
    <w:rsid w:val="00B83161"/>
    <w:rsid w:val="00B84158"/>
    <w:rsid w:val="00B842E2"/>
    <w:rsid w:val="00B865B0"/>
    <w:rsid w:val="00B87DAD"/>
    <w:rsid w:val="00B916DA"/>
    <w:rsid w:val="00B91FD3"/>
    <w:rsid w:val="00B94391"/>
    <w:rsid w:val="00B94629"/>
    <w:rsid w:val="00B946E4"/>
    <w:rsid w:val="00B9506F"/>
    <w:rsid w:val="00B96FF0"/>
    <w:rsid w:val="00BA073A"/>
    <w:rsid w:val="00BA3AF3"/>
    <w:rsid w:val="00BA3BD0"/>
    <w:rsid w:val="00BA4B45"/>
    <w:rsid w:val="00BA5D34"/>
    <w:rsid w:val="00BA65D6"/>
    <w:rsid w:val="00BB6383"/>
    <w:rsid w:val="00BC0E5E"/>
    <w:rsid w:val="00BC2765"/>
    <w:rsid w:val="00BC27F7"/>
    <w:rsid w:val="00BC2CD5"/>
    <w:rsid w:val="00BC4596"/>
    <w:rsid w:val="00BC4AE2"/>
    <w:rsid w:val="00BC6838"/>
    <w:rsid w:val="00BD040D"/>
    <w:rsid w:val="00BD278F"/>
    <w:rsid w:val="00BD4A52"/>
    <w:rsid w:val="00BE048E"/>
    <w:rsid w:val="00BE114B"/>
    <w:rsid w:val="00BE120F"/>
    <w:rsid w:val="00BE24F0"/>
    <w:rsid w:val="00BE2AD0"/>
    <w:rsid w:val="00BE4CCE"/>
    <w:rsid w:val="00BE6271"/>
    <w:rsid w:val="00BE6976"/>
    <w:rsid w:val="00BE6F28"/>
    <w:rsid w:val="00BE70C5"/>
    <w:rsid w:val="00BF643F"/>
    <w:rsid w:val="00BF7A55"/>
    <w:rsid w:val="00C00CE7"/>
    <w:rsid w:val="00C02301"/>
    <w:rsid w:val="00C05434"/>
    <w:rsid w:val="00C05499"/>
    <w:rsid w:val="00C06037"/>
    <w:rsid w:val="00C063CB"/>
    <w:rsid w:val="00C069D6"/>
    <w:rsid w:val="00C100A9"/>
    <w:rsid w:val="00C10FEF"/>
    <w:rsid w:val="00C12F66"/>
    <w:rsid w:val="00C20765"/>
    <w:rsid w:val="00C33A5A"/>
    <w:rsid w:val="00C35389"/>
    <w:rsid w:val="00C35418"/>
    <w:rsid w:val="00C409B1"/>
    <w:rsid w:val="00C4144E"/>
    <w:rsid w:val="00C44E06"/>
    <w:rsid w:val="00C46272"/>
    <w:rsid w:val="00C4757E"/>
    <w:rsid w:val="00C508DC"/>
    <w:rsid w:val="00C54138"/>
    <w:rsid w:val="00C57E1E"/>
    <w:rsid w:val="00C62129"/>
    <w:rsid w:val="00C6528A"/>
    <w:rsid w:val="00C657E5"/>
    <w:rsid w:val="00C67CF0"/>
    <w:rsid w:val="00C67FBF"/>
    <w:rsid w:val="00C80A9B"/>
    <w:rsid w:val="00C84B19"/>
    <w:rsid w:val="00C87EFA"/>
    <w:rsid w:val="00C90457"/>
    <w:rsid w:val="00C92676"/>
    <w:rsid w:val="00C93B13"/>
    <w:rsid w:val="00C942B0"/>
    <w:rsid w:val="00C956C7"/>
    <w:rsid w:val="00C9681B"/>
    <w:rsid w:val="00C96DE0"/>
    <w:rsid w:val="00CA3D37"/>
    <w:rsid w:val="00CA5D14"/>
    <w:rsid w:val="00CA601D"/>
    <w:rsid w:val="00CB1F1C"/>
    <w:rsid w:val="00CB42C0"/>
    <w:rsid w:val="00CB47A7"/>
    <w:rsid w:val="00CB4D7E"/>
    <w:rsid w:val="00CB53E2"/>
    <w:rsid w:val="00CB636B"/>
    <w:rsid w:val="00CB758C"/>
    <w:rsid w:val="00CB7F4A"/>
    <w:rsid w:val="00CC2B84"/>
    <w:rsid w:val="00CC3B5F"/>
    <w:rsid w:val="00CC3C43"/>
    <w:rsid w:val="00CC7AB4"/>
    <w:rsid w:val="00CD1F4A"/>
    <w:rsid w:val="00CD2D6F"/>
    <w:rsid w:val="00CD4435"/>
    <w:rsid w:val="00CD5A0E"/>
    <w:rsid w:val="00CE21AE"/>
    <w:rsid w:val="00CE259E"/>
    <w:rsid w:val="00CE2F9E"/>
    <w:rsid w:val="00CE3706"/>
    <w:rsid w:val="00CF0A40"/>
    <w:rsid w:val="00CF0CDE"/>
    <w:rsid w:val="00CF0E8F"/>
    <w:rsid w:val="00CF11CC"/>
    <w:rsid w:val="00CF3E67"/>
    <w:rsid w:val="00CF4DCF"/>
    <w:rsid w:val="00CF5D0D"/>
    <w:rsid w:val="00CF678A"/>
    <w:rsid w:val="00CF7EC1"/>
    <w:rsid w:val="00D011BA"/>
    <w:rsid w:val="00D04105"/>
    <w:rsid w:val="00D043B5"/>
    <w:rsid w:val="00D06610"/>
    <w:rsid w:val="00D138D1"/>
    <w:rsid w:val="00D1736D"/>
    <w:rsid w:val="00D210EF"/>
    <w:rsid w:val="00D2267B"/>
    <w:rsid w:val="00D2544D"/>
    <w:rsid w:val="00D25F3D"/>
    <w:rsid w:val="00D279C7"/>
    <w:rsid w:val="00D34740"/>
    <w:rsid w:val="00D347CF"/>
    <w:rsid w:val="00D40DDE"/>
    <w:rsid w:val="00D40E08"/>
    <w:rsid w:val="00D40E8A"/>
    <w:rsid w:val="00D42AD6"/>
    <w:rsid w:val="00D445EB"/>
    <w:rsid w:val="00D45F87"/>
    <w:rsid w:val="00D513E1"/>
    <w:rsid w:val="00D54009"/>
    <w:rsid w:val="00D56485"/>
    <w:rsid w:val="00D57930"/>
    <w:rsid w:val="00D62155"/>
    <w:rsid w:val="00D636F4"/>
    <w:rsid w:val="00D637BA"/>
    <w:rsid w:val="00D63ABF"/>
    <w:rsid w:val="00D64BD7"/>
    <w:rsid w:val="00D70F9D"/>
    <w:rsid w:val="00D710EF"/>
    <w:rsid w:val="00D71CE2"/>
    <w:rsid w:val="00D75208"/>
    <w:rsid w:val="00D752E8"/>
    <w:rsid w:val="00D76E1B"/>
    <w:rsid w:val="00D836AF"/>
    <w:rsid w:val="00D84C56"/>
    <w:rsid w:val="00D87FE6"/>
    <w:rsid w:val="00D907A2"/>
    <w:rsid w:val="00D90C97"/>
    <w:rsid w:val="00D9446E"/>
    <w:rsid w:val="00D95712"/>
    <w:rsid w:val="00D96383"/>
    <w:rsid w:val="00DA0469"/>
    <w:rsid w:val="00DA0F98"/>
    <w:rsid w:val="00DA2153"/>
    <w:rsid w:val="00DA3309"/>
    <w:rsid w:val="00DA422F"/>
    <w:rsid w:val="00DA4693"/>
    <w:rsid w:val="00DA4C09"/>
    <w:rsid w:val="00DA516A"/>
    <w:rsid w:val="00DA62A4"/>
    <w:rsid w:val="00DA7ADF"/>
    <w:rsid w:val="00DB0F39"/>
    <w:rsid w:val="00DB14C3"/>
    <w:rsid w:val="00DB2571"/>
    <w:rsid w:val="00DB5C12"/>
    <w:rsid w:val="00DB68DA"/>
    <w:rsid w:val="00DB6F6A"/>
    <w:rsid w:val="00DC0D24"/>
    <w:rsid w:val="00DC1309"/>
    <w:rsid w:val="00DC1D80"/>
    <w:rsid w:val="00DC3CF8"/>
    <w:rsid w:val="00DC4275"/>
    <w:rsid w:val="00DC7564"/>
    <w:rsid w:val="00DD0B0F"/>
    <w:rsid w:val="00DD0E5D"/>
    <w:rsid w:val="00DD2394"/>
    <w:rsid w:val="00DD337A"/>
    <w:rsid w:val="00DD3E99"/>
    <w:rsid w:val="00DD4755"/>
    <w:rsid w:val="00DD5717"/>
    <w:rsid w:val="00DE12B1"/>
    <w:rsid w:val="00DE1FE5"/>
    <w:rsid w:val="00DE3F73"/>
    <w:rsid w:val="00DE4825"/>
    <w:rsid w:val="00DE6089"/>
    <w:rsid w:val="00DE7935"/>
    <w:rsid w:val="00DF2206"/>
    <w:rsid w:val="00DF34D7"/>
    <w:rsid w:val="00DF6088"/>
    <w:rsid w:val="00DF6FB0"/>
    <w:rsid w:val="00E01AD2"/>
    <w:rsid w:val="00E023DB"/>
    <w:rsid w:val="00E026E6"/>
    <w:rsid w:val="00E02A08"/>
    <w:rsid w:val="00E034E0"/>
    <w:rsid w:val="00E05679"/>
    <w:rsid w:val="00E05943"/>
    <w:rsid w:val="00E059AF"/>
    <w:rsid w:val="00E060C8"/>
    <w:rsid w:val="00E06414"/>
    <w:rsid w:val="00E06BAE"/>
    <w:rsid w:val="00E10531"/>
    <w:rsid w:val="00E105DE"/>
    <w:rsid w:val="00E11722"/>
    <w:rsid w:val="00E11C95"/>
    <w:rsid w:val="00E13A2C"/>
    <w:rsid w:val="00E14098"/>
    <w:rsid w:val="00E1415D"/>
    <w:rsid w:val="00E1542C"/>
    <w:rsid w:val="00E167B8"/>
    <w:rsid w:val="00E201FB"/>
    <w:rsid w:val="00E20374"/>
    <w:rsid w:val="00E22000"/>
    <w:rsid w:val="00E24DC3"/>
    <w:rsid w:val="00E25951"/>
    <w:rsid w:val="00E25DD4"/>
    <w:rsid w:val="00E30268"/>
    <w:rsid w:val="00E30FB6"/>
    <w:rsid w:val="00E313CC"/>
    <w:rsid w:val="00E31DA0"/>
    <w:rsid w:val="00E33A39"/>
    <w:rsid w:val="00E33E78"/>
    <w:rsid w:val="00E35101"/>
    <w:rsid w:val="00E360CB"/>
    <w:rsid w:val="00E37025"/>
    <w:rsid w:val="00E37C7E"/>
    <w:rsid w:val="00E4006B"/>
    <w:rsid w:val="00E44E95"/>
    <w:rsid w:val="00E44EFE"/>
    <w:rsid w:val="00E46C58"/>
    <w:rsid w:val="00E47198"/>
    <w:rsid w:val="00E4797F"/>
    <w:rsid w:val="00E5009A"/>
    <w:rsid w:val="00E5062C"/>
    <w:rsid w:val="00E507EE"/>
    <w:rsid w:val="00E50827"/>
    <w:rsid w:val="00E521C9"/>
    <w:rsid w:val="00E52DEA"/>
    <w:rsid w:val="00E52F76"/>
    <w:rsid w:val="00E55950"/>
    <w:rsid w:val="00E6074B"/>
    <w:rsid w:val="00E60AB0"/>
    <w:rsid w:val="00E627AB"/>
    <w:rsid w:val="00E62F1F"/>
    <w:rsid w:val="00E636B0"/>
    <w:rsid w:val="00E63D58"/>
    <w:rsid w:val="00E648DC"/>
    <w:rsid w:val="00E64A46"/>
    <w:rsid w:val="00E66B02"/>
    <w:rsid w:val="00E67C40"/>
    <w:rsid w:val="00E71E12"/>
    <w:rsid w:val="00E73BE4"/>
    <w:rsid w:val="00E75438"/>
    <w:rsid w:val="00E7724B"/>
    <w:rsid w:val="00E7761F"/>
    <w:rsid w:val="00E77698"/>
    <w:rsid w:val="00E82FB9"/>
    <w:rsid w:val="00E83135"/>
    <w:rsid w:val="00E8321B"/>
    <w:rsid w:val="00E8425D"/>
    <w:rsid w:val="00E85697"/>
    <w:rsid w:val="00E86154"/>
    <w:rsid w:val="00E92BB9"/>
    <w:rsid w:val="00E93643"/>
    <w:rsid w:val="00E96966"/>
    <w:rsid w:val="00E976FE"/>
    <w:rsid w:val="00EA2BBB"/>
    <w:rsid w:val="00EA6CDD"/>
    <w:rsid w:val="00EB483D"/>
    <w:rsid w:val="00EB4C5C"/>
    <w:rsid w:val="00EB5291"/>
    <w:rsid w:val="00EB52DA"/>
    <w:rsid w:val="00EB6ABE"/>
    <w:rsid w:val="00EB733F"/>
    <w:rsid w:val="00EB7D40"/>
    <w:rsid w:val="00EC1072"/>
    <w:rsid w:val="00EC16CE"/>
    <w:rsid w:val="00EC2058"/>
    <w:rsid w:val="00EC2A9B"/>
    <w:rsid w:val="00EC5ADB"/>
    <w:rsid w:val="00EC5ED1"/>
    <w:rsid w:val="00ED07D6"/>
    <w:rsid w:val="00ED1386"/>
    <w:rsid w:val="00ED13F8"/>
    <w:rsid w:val="00ED28AC"/>
    <w:rsid w:val="00ED32F4"/>
    <w:rsid w:val="00ED441A"/>
    <w:rsid w:val="00ED6E22"/>
    <w:rsid w:val="00EE2DE1"/>
    <w:rsid w:val="00EE4FC1"/>
    <w:rsid w:val="00EE7B37"/>
    <w:rsid w:val="00EF1620"/>
    <w:rsid w:val="00EF264C"/>
    <w:rsid w:val="00EF2AC0"/>
    <w:rsid w:val="00EF4B2B"/>
    <w:rsid w:val="00EF4FC6"/>
    <w:rsid w:val="00EF531C"/>
    <w:rsid w:val="00EF7863"/>
    <w:rsid w:val="00EF7E30"/>
    <w:rsid w:val="00F01163"/>
    <w:rsid w:val="00F0248B"/>
    <w:rsid w:val="00F05108"/>
    <w:rsid w:val="00F05359"/>
    <w:rsid w:val="00F061D0"/>
    <w:rsid w:val="00F0671B"/>
    <w:rsid w:val="00F06FD5"/>
    <w:rsid w:val="00F11AB4"/>
    <w:rsid w:val="00F131BF"/>
    <w:rsid w:val="00F13855"/>
    <w:rsid w:val="00F2062C"/>
    <w:rsid w:val="00F20C25"/>
    <w:rsid w:val="00F2270A"/>
    <w:rsid w:val="00F23309"/>
    <w:rsid w:val="00F24023"/>
    <w:rsid w:val="00F24289"/>
    <w:rsid w:val="00F24C64"/>
    <w:rsid w:val="00F252DB"/>
    <w:rsid w:val="00F2649A"/>
    <w:rsid w:val="00F316AB"/>
    <w:rsid w:val="00F317E6"/>
    <w:rsid w:val="00F31A15"/>
    <w:rsid w:val="00F31BF8"/>
    <w:rsid w:val="00F32347"/>
    <w:rsid w:val="00F3326F"/>
    <w:rsid w:val="00F33EB3"/>
    <w:rsid w:val="00F35EB2"/>
    <w:rsid w:val="00F37832"/>
    <w:rsid w:val="00F37DF7"/>
    <w:rsid w:val="00F40648"/>
    <w:rsid w:val="00F40763"/>
    <w:rsid w:val="00F40EF3"/>
    <w:rsid w:val="00F41C4B"/>
    <w:rsid w:val="00F41CAC"/>
    <w:rsid w:val="00F41F5D"/>
    <w:rsid w:val="00F50352"/>
    <w:rsid w:val="00F51B55"/>
    <w:rsid w:val="00F528F4"/>
    <w:rsid w:val="00F542BB"/>
    <w:rsid w:val="00F55B35"/>
    <w:rsid w:val="00F561C2"/>
    <w:rsid w:val="00F579F4"/>
    <w:rsid w:val="00F57B3F"/>
    <w:rsid w:val="00F57DE0"/>
    <w:rsid w:val="00F6050C"/>
    <w:rsid w:val="00F60882"/>
    <w:rsid w:val="00F64465"/>
    <w:rsid w:val="00F654D1"/>
    <w:rsid w:val="00F66676"/>
    <w:rsid w:val="00F674C2"/>
    <w:rsid w:val="00F7358E"/>
    <w:rsid w:val="00F73F9B"/>
    <w:rsid w:val="00F74AC4"/>
    <w:rsid w:val="00F7632B"/>
    <w:rsid w:val="00F763AC"/>
    <w:rsid w:val="00F764BE"/>
    <w:rsid w:val="00F7681E"/>
    <w:rsid w:val="00F771D3"/>
    <w:rsid w:val="00F80CD2"/>
    <w:rsid w:val="00F81ADA"/>
    <w:rsid w:val="00F81CA3"/>
    <w:rsid w:val="00F833E4"/>
    <w:rsid w:val="00F83768"/>
    <w:rsid w:val="00F8507C"/>
    <w:rsid w:val="00F8582F"/>
    <w:rsid w:val="00F85844"/>
    <w:rsid w:val="00F867AF"/>
    <w:rsid w:val="00F90ACF"/>
    <w:rsid w:val="00F90ECF"/>
    <w:rsid w:val="00F926D6"/>
    <w:rsid w:val="00F93504"/>
    <w:rsid w:val="00F94C2F"/>
    <w:rsid w:val="00F95D61"/>
    <w:rsid w:val="00F9707C"/>
    <w:rsid w:val="00FA0538"/>
    <w:rsid w:val="00FA1FC6"/>
    <w:rsid w:val="00FA2E49"/>
    <w:rsid w:val="00FA539C"/>
    <w:rsid w:val="00FA5EEB"/>
    <w:rsid w:val="00FA7015"/>
    <w:rsid w:val="00FB0ED7"/>
    <w:rsid w:val="00FB34BA"/>
    <w:rsid w:val="00FB47F4"/>
    <w:rsid w:val="00FB4AEE"/>
    <w:rsid w:val="00FC01D0"/>
    <w:rsid w:val="00FC5539"/>
    <w:rsid w:val="00FC6246"/>
    <w:rsid w:val="00FD189A"/>
    <w:rsid w:val="00FD2639"/>
    <w:rsid w:val="00FD27A2"/>
    <w:rsid w:val="00FD286E"/>
    <w:rsid w:val="00FD28DC"/>
    <w:rsid w:val="00FD4B34"/>
    <w:rsid w:val="00FD58CD"/>
    <w:rsid w:val="00FD63EF"/>
    <w:rsid w:val="00FD7047"/>
    <w:rsid w:val="00FE0BE4"/>
    <w:rsid w:val="00FE187C"/>
    <w:rsid w:val="00FE6620"/>
    <w:rsid w:val="00FE760B"/>
    <w:rsid w:val="00FE76B7"/>
    <w:rsid w:val="00FF0E5F"/>
    <w:rsid w:val="00FF101B"/>
    <w:rsid w:val="00FF180D"/>
    <w:rsid w:val="00FF3F8F"/>
    <w:rsid w:val="00FF4E81"/>
    <w:rsid w:val="00FF5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231D3"/>
  <w15:docId w15:val="{0B6037D5-302B-4F4C-B396-B9A143E46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31B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131BF"/>
    <w:rPr>
      <w:b/>
      <w:bCs/>
    </w:rPr>
  </w:style>
  <w:style w:type="character" w:styleId="Hyperlink">
    <w:name w:val="Hyperlink"/>
    <w:basedOn w:val="DefaultParagraphFont"/>
    <w:uiPriority w:val="99"/>
    <w:unhideWhenUsed/>
    <w:rsid w:val="00F131BF"/>
    <w:rPr>
      <w:color w:val="0000FF"/>
      <w:u w:val="single"/>
    </w:rPr>
  </w:style>
  <w:style w:type="paragraph" w:styleId="ListParagraph">
    <w:name w:val="List Paragraph"/>
    <w:basedOn w:val="Normal"/>
    <w:uiPriority w:val="34"/>
    <w:qFormat/>
    <w:rsid w:val="00F131BF"/>
    <w:pPr>
      <w:ind w:left="720"/>
      <w:contextualSpacing/>
    </w:pPr>
  </w:style>
  <w:style w:type="paragraph" w:styleId="NormalWeb">
    <w:name w:val="Normal (Web)"/>
    <w:basedOn w:val="Normal"/>
    <w:uiPriority w:val="99"/>
    <w:semiHidden/>
    <w:unhideWhenUsed/>
    <w:rsid w:val="00F131BF"/>
    <w:pPr>
      <w:spacing w:before="100" w:beforeAutospacing="1" w:after="100" w:afterAutospacing="1"/>
    </w:pPr>
    <w:rPr>
      <w:rFonts w:eastAsiaTheme="minorEastAsia"/>
    </w:rPr>
  </w:style>
  <w:style w:type="paragraph" w:styleId="Header">
    <w:name w:val="header"/>
    <w:basedOn w:val="Normal"/>
    <w:link w:val="HeaderChar"/>
    <w:uiPriority w:val="99"/>
    <w:unhideWhenUsed/>
    <w:rsid w:val="00F131BF"/>
    <w:pPr>
      <w:tabs>
        <w:tab w:val="center" w:pos="4513"/>
        <w:tab w:val="right" w:pos="9026"/>
      </w:tabs>
    </w:pPr>
  </w:style>
  <w:style w:type="character" w:customStyle="1" w:styleId="HeaderChar">
    <w:name w:val="Header Char"/>
    <w:basedOn w:val="DefaultParagraphFont"/>
    <w:link w:val="Header"/>
    <w:uiPriority w:val="99"/>
    <w:rsid w:val="00F131BF"/>
    <w:rPr>
      <w:rFonts w:ascii="Times New Roman" w:eastAsia="Times New Roman" w:hAnsi="Times New Roman" w:cs="Times New Roman"/>
    </w:rPr>
  </w:style>
  <w:style w:type="paragraph" w:styleId="Footer">
    <w:name w:val="footer"/>
    <w:basedOn w:val="Normal"/>
    <w:link w:val="FooterChar"/>
    <w:uiPriority w:val="99"/>
    <w:unhideWhenUsed/>
    <w:rsid w:val="00F131BF"/>
    <w:pPr>
      <w:tabs>
        <w:tab w:val="center" w:pos="4513"/>
        <w:tab w:val="right" w:pos="9026"/>
      </w:tabs>
    </w:pPr>
  </w:style>
  <w:style w:type="character" w:customStyle="1" w:styleId="FooterChar">
    <w:name w:val="Footer Char"/>
    <w:basedOn w:val="DefaultParagraphFont"/>
    <w:link w:val="Footer"/>
    <w:uiPriority w:val="99"/>
    <w:rsid w:val="00F131BF"/>
    <w:rPr>
      <w:rFonts w:ascii="Times New Roman" w:eastAsia="Times New Roman" w:hAnsi="Times New Roman" w:cs="Times New Roman"/>
    </w:rPr>
  </w:style>
  <w:style w:type="character" w:styleId="PageNumber">
    <w:name w:val="page number"/>
    <w:basedOn w:val="DefaultParagraphFont"/>
    <w:uiPriority w:val="99"/>
    <w:semiHidden/>
    <w:unhideWhenUsed/>
    <w:rsid w:val="00F131BF"/>
  </w:style>
  <w:style w:type="character" w:customStyle="1" w:styleId="BalloonTextChar">
    <w:name w:val="Balloon Text Char"/>
    <w:basedOn w:val="DefaultParagraphFont"/>
    <w:link w:val="BalloonText"/>
    <w:uiPriority w:val="99"/>
    <w:semiHidden/>
    <w:rsid w:val="00F131BF"/>
    <w:rPr>
      <w:rFonts w:ascii="Times New Roman" w:eastAsia="Times New Roman" w:hAnsi="Times New Roman" w:cs="Times New Roman"/>
      <w:sz w:val="18"/>
      <w:szCs w:val="18"/>
    </w:rPr>
  </w:style>
  <w:style w:type="paragraph" w:styleId="BalloonText">
    <w:name w:val="Balloon Text"/>
    <w:basedOn w:val="Normal"/>
    <w:link w:val="BalloonTextChar"/>
    <w:uiPriority w:val="99"/>
    <w:semiHidden/>
    <w:unhideWhenUsed/>
    <w:rsid w:val="00F131BF"/>
    <w:rPr>
      <w:sz w:val="18"/>
      <w:szCs w:val="18"/>
    </w:rPr>
  </w:style>
  <w:style w:type="paragraph" w:styleId="CommentText">
    <w:name w:val="annotation text"/>
    <w:basedOn w:val="Normal"/>
    <w:link w:val="CommentTextChar"/>
    <w:uiPriority w:val="99"/>
    <w:unhideWhenUsed/>
    <w:rsid w:val="00F131BF"/>
    <w:rPr>
      <w:sz w:val="20"/>
      <w:szCs w:val="20"/>
    </w:rPr>
  </w:style>
  <w:style w:type="character" w:customStyle="1" w:styleId="CommentTextChar">
    <w:name w:val="Comment Text Char"/>
    <w:basedOn w:val="DefaultParagraphFont"/>
    <w:link w:val="CommentText"/>
    <w:uiPriority w:val="99"/>
    <w:rsid w:val="00F131BF"/>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F131BF"/>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F131BF"/>
    <w:rPr>
      <w:b/>
      <w:bCs/>
    </w:rPr>
  </w:style>
  <w:style w:type="paragraph" w:styleId="Bibliography">
    <w:name w:val="Bibliography"/>
    <w:basedOn w:val="Normal"/>
    <w:next w:val="Normal"/>
    <w:uiPriority w:val="37"/>
    <w:unhideWhenUsed/>
    <w:rsid w:val="00F131BF"/>
    <w:pPr>
      <w:tabs>
        <w:tab w:val="left" w:pos="500"/>
      </w:tabs>
      <w:spacing w:line="480" w:lineRule="auto"/>
      <w:ind w:left="504" w:hanging="504"/>
    </w:pPr>
  </w:style>
  <w:style w:type="character" w:customStyle="1" w:styleId="EndnoteTextChar">
    <w:name w:val="Endnote Text Char"/>
    <w:basedOn w:val="DefaultParagraphFont"/>
    <w:link w:val="EndnoteText"/>
    <w:uiPriority w:val="99"/>
    <w:semiHidden/>
    <w:rsid w:val="00F131BF"/>
    <w:rPr>
      <w:rFonts w:ascii="Times New Roman" w:eastAsia="Times New Roman" w:hAnsi="Times New Roman" w:cs="Times New Roman"/>
      <w:sz w:val="20"/>
      <w:szCs w:val="20"/>
    </w:rPr>
  </w:style>
  <w:style w:type="paragraph" w:styleId="EndnoteText">
    <w:name w:val="endnote text"/>
    <w:basedOn w:val="Normal"/>
    <w:link w:val="EndnoteTextChar"/>
    <w:uiPriority w:val="99"/>
    <w:semiHidden/>
    <w:unhideWhenUsed/>
    <w:rsid w:val="00F131BF"/>
    <w:rPr>
      <w:sz w:val="20"/>
      <w:szCs w:val="20"/>
    </w:rPr>
  </w:style>
  <w:style w:type="paragraph" w:customStyle="1" w:styleId="Default">
    <w:name w:val="Default"/>
    <w:rsid w:val="00F131BF"/>
    <w:pPr>
      <w:autoSpaceDE w:val="0"/>
      <w:autoSpaceDN w:val="0"/>
      <w:adjustRightInd w:val="0"/>
    </w:pPr>
    <w:rPr>
      <w:rFonts w:ascii="Arial" w:eastAsia="Times New Roman" w:hAnsi="Arial" w:cs="Arial"/>
      <w:color w:val="000000"/>
      <w:lang w:val="en-US"/>
    </w:rPr>
  </w:style>
  <w:style w:type="character" w:customStyle="1" w:styleId="referencesauthorsothers">
    <w:name w:val="references__authors__others"/>
    <w:basedOn w:val="DefaultParagraphFont"/>
    <w:rsid w:val="00F131BF"/>
  </w:style>
  <w:style w:type="character" w:customStyle="1" w:styleId="referencesyear">
    <w:name w:val="references__year"/>
    <w:basedOn w:val="DefaultParagraphFont"/>
    <w:rsid w:val="00F131BF"/>
  </w:style>
  <w:style w:type="character" w:customStyle="1" w:styleId="referencesarticle-title">
    <w:name w:val="references__article-title"/>
    <w:basedOn w:val="DefaultParagraphFont"/>
    <w:rsid w:val="00F131BF"/>
  </w:style>
  <w:style w:type="character" w:customStyle="1" w:styleId="referencessuffix">
    <w:name w:val="references__suffix"/>
    <w:basedOn w:val="DefaultParagraphFont"/>
    <w:rsid w:val="00F131BF"/>
  </w:style>
  <w:style w:type="character" w:styleId="Emphasis">
    <w:name w:val="Emphasis"/>
    <w:basedOn w:val="DefaultParagraphFont"/>
    <w:uiPriority w:val="20"/>
    <w:qFormat/>
    <w:rsid w:val="00F131BF"/>
    <w:rPr>
      <w:i/>
      <w:iCs/>
    </w:rPr>
  </w:style>
  <w:style w:type="table" w:customStyle="1" w:styleId="ListTable2-Accent51">
    <w:name w:val="List Table 2 - Accent 51"/>
    <w:basedOn w:val="TableNormal"/>
    <w:uiPriority w:val="47"/>
    <w:rsid w:val="00F131BF"/>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11">
    <w:name w:val="Plain Table 11"/>
    <w:basedOn w:val="TableNormal"/>
    <w:uiPriority w:val="41"/>
    <w:rsid w:val="00300D7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TableNormal"/>
    <w:uiPriority w:val="40"/>
    <w:rsid w:val="00300D7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300D7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Accent11">
    <w:name w:val="Grid Table 1 Light - Accent 11"/>
    <w:basedOn w:val="TableNormal"/>
    <w:uiPriority w:val="46"/>
    <w:rsid w:val="00300D7D"/>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67555E"/>
    <w:rPr>
      <w:color w:val="808080"/>
      <w:shd w:val="clear" w:color="auto" w:fill="E6E6E6"/>
    </w:rPr>
  </w:style>
  <w:style w:type="character" w:styleId="CommentReference">
    <w:name w:val="annotation reference"/>
    <w:basedOn w:val="DefaultParagraphFont"/>
    <w:uiPriority w:val="99"/>
    <w:semiHidden/>
    <w:unhideWhenUsed/>
    <w:rsid w:val="00B55F90"/>
    <w:rPr>
      <w:sz w:val="16"/>
      <w:szCs w:val="16"/>
    </w:rPr>
  </w:style>
  <w:style w:type="paragraph" w:styleId="Revision">
    <w:name w:val="Revision"/>
    <w:hidden/>
    <w:uiPriority w:val="99"/>
    <w:semiHidden/>
    <w:rsid w:val="0075772B"/>
    <w:rPr>
      <w:rFonts w:ascii="Times New Roman" w:eastAsia="Times New Roman" w:hAnsi="Times New Roman" w:cs="Times New Roman"/>
    </w:rPr>
  </w:style>
  <w:style w:type="character" w:styleId="LineNumber">
    <w:name w:val="line number"/>
    <w:basedOn w:val="DefaultParagraphFont"/>
    <w:uiPriority w:val="99"/>
    <w:semiHidden/>
    <w:unhideWhenUsed/>
    <w:rsid w:val="00F83768"/>
  </w:style>
  <w:style w:type="character" w:styleId="FollowedHyperlink">
    <w:name w:val="FollowedHyperlink"/>
    <w:basedOn w:val="DefaultParagraphFont"/>
    <w:uiPriority w:val="99"/>
    <w:semiHidden/>
    <w:unhideWhenUsed/>
    <w:rsid w:val="003100D3"/>
    <w:rPr>
      <w:color w:val="954F72" w:themeColor="followedHyperlink"/>
      <w:u w:val="single"/>
    </w:rPr>
  </w:style>
  <w:style w:type="character" w:customStyle="1" w:styleId="UnresolvedMention">
    <w:name w:val="Unresolved Mention"/>
    <w:basedOn w:val="DefaultParagraphFont"/>
    <w:uiPriority w:val="99"/>
    <w:semiHidden/>
    <w:unhideWhenUsed/>
    <w:rsid w:val="009D05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1805">
      <w:bodyDiv w:val="1"/>
      <w:marLeft w:val="0"/>
      <w:marRight w:val="0"/>
      <w:marTop w:val="0"/>
      <w:marBottom w:val="0"/>
      <w:divBdr>
        <w:top w:val="none" w:sz="0" w:space="0" w:color="auto"/>
        <w:left w:val="none" w:sz="0" w:space="0" w:color="auto"/>
        <w:bottom w:val="none" w:sz="0" w:space="0" w:color="auto"/>
        <w:right w:val="none" w:sz="0" w:space="0" w:color="auto"/>
      </w:divBdr>
    </w:div>
    <w:div w:id="106311712">
      <w:bodyDiv w:val="1"/>
      <w:marLeft w:val="0"/>
      <w:marRight w:val="0"/>
      <w:marTop w:val="0"/>
      <w:marBottom w:val="0"/>
      <w:divBdr>
        <w:top w:val="none" w:sz="0" w:space="0" w:color="auto"/>
        <w:left w:val="none" w:sz="0" w:space="0" w:color="auto"/>
        <w:bottom w:val="none" w:sz="0" w:space="0" w:color="auto"/>
        <w:right w:val="none" w:sz="0" w:space="0" w:color="auto"/>
      </w:divBdr>
    </w:div>
    <w:div w:id="457384531">
      <w:bodyDiv w:val="1"/>
      <w:marLeft w:val="0"/>
      <w:marRight w:val="0"/>
      <w:marTop w:val="0"/>
      <w:marBottom w:val="0"/>
      <w:divBdr>
        <w:top w:val="none" w:sz="0" w:space="0" w:color="auto"/>
        <w:left w:val="none" w:sz="0" w:space="0" w:color="auto"/>
        <w:bottom w:val="none" w:sz="0" w:space="0" w:color="auto"/>
        <w:right w:val="none" w:sz="0" w:space="0" w:color="auto"/>
      </w:divBdr>
    </w:div>
    <w:div w:id="644698524">
      <w:bodyDiv w:val="1"/>
      <w:marLeft w:val="0"/>
      <w:marRight w:val="0"/>
      <w:marTop w:val="0"/>
      <w:marBottom w:val="0"/>
      <w:divBdr>
        <w:top w:val="none" w:sz="0" w:space="0" w:color="auto"/>
        <w:left w:val="none" w:sz="0" w:space="0" w:color="auto"/>
        <w:bottom w:val="none" w:sz="0" w:space="0" w:color="auto"/>
        <w:right w:val="none" w:sz="0" w:space="0" w:color="auto"/>
      </w:divBdr>
    </w:div>
    <w:div w:id="700134322">
      <w:bodyDiv w:val="1"/>
      <w:marLeft w:val="0"/>
      <w:marRight w:val="0"/>
      <w:marTop w:val="0"/>
      <w:marBottom w:val="0"/>
      <w:divBdr>
        <w:top w:val="none" w:sz="0" w:space="0" w:color="auto"/>
        <w:left w:val="none" w:sz="0" w:space="0" w:color="auto"/>
        <w:bottom w:val="none" w:sz="0" w:space="0" w:color="auto"/>
        <w:right w:val="none" w:sz="0" w:space="0" w:color="auto"/>
      </w:divBdr>
    </w:div>
    <w:div w:id="780104666">
      <w:bodyDiv w:val="1"/>
      <w:marLeft w:val="0"/>
      <w:marRight w:val="0"/>
      <w:marTop w:val="0"/>
      <w:marBottom w:val="0"/>
      <w:divBdr>
        <w:top w:val="none" w:sz="0" w:space="0" w:color="auto"/>
        <w:left w:val="none" w:sz="0" w:space="0" w:color="auto"/>
        <w:bottom w:val="none" w:sz="0" w:space="0" w:color="auto"/>
        <w:right w:val="none" w:sz="0" w:space="0" w:color="auto"/>
      </w:divBdr>
    </w:div>
    <w:div w:id="840465327">
      <w:bodyDiv w:val="1"/>
      <w:marLeft w:val="0"/>
      <w:marRight w:val="0"/>
      <w:marTop w:val="0"/>
      <w:marBottom w:val="0"/>
      <w:divBdr>
        <w:top w:val="none" w:sz="0" w:space="0" w:color="auto"/>
        <w:left w:val="none" w:sz="0" w:space="0" w:color="auto"/>
        <w:bottom w:val="none" w:sz="0" w:space="0" w:color="auto"/>
        <w:right w:val="none" w:sz="0" w:space="0" w:color="auto"/>
      </w:divBdr>
    </w:div>
    <w:div w:id="1328173317">
      <w:bodyDiv w:val="1"/>
      <w:marLeft w:val="0"/>
      <w:marRight w:val="0"/>
      <w:marTop w:val="0"/>
      <w:marBottom w:val="0"/>
      <w:divBdr>
        <w:top w:val="none" w:sz="0" w:space="0" w:color="auto"/>
        <w:left w:val="none" w:sz="0" w:space="0" w:color="auto"/>
        <w:bottom w:val="none" w:sz="0" w:space="0" w:color="auto"/>
        <w:right w:val="none" w:sz="0" w:space="0" w:color="auto"/>
      </w:divBdr>
    </w:div>
    <w:div w:id="1499341479">
      <w:bodyDiv w:val="1"/>
      <w:marLeft w:val="0"/>
      <w:marRight w:val="0"/>
      <w:marTop w:val="0"/>
      <w:marBottom w:val="0"/>
      <w:divBdr>
        <w:top w:val="none" w:sz="0" w:space="0" w:color="auto"/>
        <w:left w:val="none" w:sz="0" w:space="0" w:color="auto"/>
        <w:bottom w:val="none" w:sz="0" w:space="0" w:color="auto"/>
        <w:right w:val="none" w:sz="0" w:space="0" w:color="auto"/>
      </w:divBdr>
    </w:div>
    <w:div w:id="1742672694">
      <w:bodyDiv w:val="1"/>
      <w:marLeft w:val="0"/>
      <w:marRight w:val="0"/>
      <w:marTop w:val="0"/>
      <w:marBottom w:val="0"/>
      <w:divBdr>
        <w:top w:val="none" w:sz="0" w:space="0" w:color="auto"/>
        <w:left w:val="none" w:sz="0" w:space="0" w:color="auto"/>
        <w:bottom w:val="none" w:sz="0" w:space="0" w:color="auto"/>
        <w:right w:val="none" w:sz="0" w:space="0" w:color="auto"/>
      </w:divBdr>
    </w:div>
    <w:div w:id="214580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f366@mrc-cu.cam.ac.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bioportal.org/" TargetMode="External"/><Relationship Id="rId4" Type="http://schemas.openxmlformats.org/officeDocument/2006/relationships/settings" Target="settings.xml"/><Relationship Id="rId9" Type="http://schemas.openxmlformats.org/officeDocument/2006/relationships/hyperlink" Target="mailto:gds35@cam.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E1E37-F282-4558-B209-D7EFAEF33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292342</Words>
  <Characters>1666351</Characters>
  <Application>Microsoft Office Word</Application>
  <DocSecurity>0</DocSecurity>
  <Lines>13886</Lines>
  <Paragraphs>3909</Paragraphs>
  <ScaleCrop>false</ScaleCrop>
  <HeadingPairs>
    <vt:vector size="2" baseType="variant">
      <vt:variant>
        <vt:lpstr>Title</vt:lpstr>
      </vt:variant>
      <vt:variant>
        <vt:i4>1</vt:i4>
      </vt:variant>
    </vt:vector>
  </HeadingPairs>
  <TitlesOfParts>
    <vt:vector size="1" baseType="lpstr">
      <vt:lpstr/>
    </vt:vector>
  </TitlesOfParts>
  <Company>Springer-SBM</Company>
  <LinksUpToDate>false</LinksUpToDate>
  <CharactersWithSpaces>1954784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Cissy Yong</dc:creator>
  <cp:keywords/>
  <dc:description/>
  <cp:lastModifiedBy>Phillipa Grimstone</cp:lastModifiedBy>
  <cp:revision>2</cp:revision>
  <dcterms:created xsi:type="dcterms:W3CDTF">2019-09-18T14:00:00Z</dcterms:created>
  <dcterms:modified xsi:type="dcterms:W3CDTF">2019-09-18T14:00:00Z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zotero-version="5.0.73"&gt;&lt;session id="6F4oOkLo"/&gt;&lt;style id="http://www.zotero.org/styles/nature" hasBibliography="1" bibliographyStyleHasBeenSet="1"/&gt;&lt;prefs&gt;&lt;pref name="fieldType" value="Field"/&gt;&lt;pref name="dontAskDelayCitationUpdate</vt:lpwstr>
  </property>
  <property fmtid="{D5CDD505-2E9C-101B-9397-08002B2CF9AE}" pid="3" name="ZOTERO_PREF_2">
    <vt:lpwstr>s" value="true"/&gt;&lt;pref name="delayCitationUpdates" value="true"/&gt;&lt;/prefs&gt;&lt;/data&gt;</vt:lpwstr>
  </property>
</Properties>
</file>