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962" w:rsidRDefault="00110962" w:rsidP="00FC4841">
      <w:pPr>
        <w:spacing w:line="480" w:lineRule="auto"/>
        <w:jc w:val="center"/>
        <w:rPr>
          <w:b/>
        </w:rPr>
      </w:pPr>
      <w:bookmarkStart w:id="0" w:name="_GoBack"/>
      <w:bookmarkEnd w:id="0"/>
      <w:r>
        <w:rPr>
          <w:b/>
        </w:rPr>
        <w:t xml:space="preserve">Trees, trade and textiles: </w:t>
      </w:r>
      <w:r w:rsidR="00D14B42">
        <w:rPr>
          <w:b/>
        </w:rPr>
        <w:t>potash imports and ecological dependency in</w:t>
      </w:r>
      <w:r>
        <w:rPr>
          <w:b/>
        </w:rPr>
        <w:t xml:space="preserve"> British industry, </w:t>
      </w:r>
      <w:r w:rsidR="00D14B42">
        <w:rPr>
          <w:b/>
        </w:rPr>
        <w:t>c.1550- 177</w:t>
      </w:r>
      <w:r>
        <w:rPr>
          <w:b/>
        </w:rPr>
        <w:t>0</w:t>
      </w:r>
    </w:p>
    <w:p w:rsidR="002E46E8" w:rsidRDefault="002E46E8" w:rsidP="00FC4841">
      <w:pPr>
        <w:spacing w:line="480" w:lineRule="auto"/>
        <w:jc w:val="center"/>
        <w:rPr>
          <w:b/>
        </w:rPr>
      </w:pPr>
    </w:p>
    <w:p w:rsidR="00371FC0" w:rsidRDefault="00371FC0" w:rsidP="00FC4841">
      <w:pPr>
        <w:spacing w:line="480" w:lineRule="auto"/>
        <w:jc w:val="center"/>
        <w:rPr>
          <w:b/>
        </w:rPr>
      </w:pPr>
      <w:r>
        <w:rPr>
          <w:b/>
        </w:rPr>
        <w:t>Word count</w:t>
      </w:r>
    </w:p>
    <w:p w:rsidR="004B3819" w:rsidRPr="004B3819" w:rsidRDefault="008606BF" w:rsidP="00FC4841">
      <w:pPr>
        <w:spacing w:line="480" w:lineRule="auto"/>
        <w:jc w:val="center"/>
      </w:pPr>
      <w:r>
        <w:t>Main text: 9279. With footnotes: 13 903</w:t>
      </w:r>
      <w:r w:rsidR="004B3819">
        <w:t>.</w:t>
      </w:r>
    </w:p>
    <w:p w:rsidR="00FC4841" w:rsidRDefault="00FC4841" w:rsidP="00FC4841">
      <w:pPr>
        <w:spacing w:line="480" w:lineRule="auto"/>
        <w:jc w:val="center"/>
        <w:rPr>
          <w:b/>
        </w:rPr>
      </w:pPr>
    </w:p>
    <w:p w:rsidR="00371FC0" w:rsidRDefault="00371FC0" w:rsidP="00FC4841">
      <w:pPr>
        <w:spacing w:line="480" w:lineRule="auto"/>
        <w:jc w:val="center"/>
        <w:rPr>
          <w:b/>
        </w:rPr>
      </w:pPr>
      <w:r>
        <w:rPr>
          <w:b/>
        </w:rPr>
        <w:t>Abstract</w:t>
      </w:r>
    </w:p>
    <w:p w:rsidR="001D4CD5" w:rsidRPr="00514780" w:rsidRDefault="00514780" w:rsidP="00FC4841">
      <w:pPr>
        <w:spacing w:line="480" w:lineRule="auto"/>
        <w:jc w:val="both"/>
      </w:pPr>
      <w:r>
        <w:t>This article charts the development of the trade in a key input into early modern British industry</w:t>
      </w:r>
      <w:r w:rsidR="00FC4841">
        <w:t xml:space="preserve">: potash, </w:t>
      </w:r>
      <w:r>
        <w:t>used as a source of alkali, predomina</w:t>
      </w:r>
      <w:r w:rsidR="00386B29">
        <w:t>ntl</w:t>
      </w:r>
      <w:r>
        <w:t>y in the making of soap for washing woollens, and the bleaching the linen. Although an essential intermediary input into the manufacturing processes through precursors to the modern chemical industry, this trade and its ecological impact have gone almost entirely unnoticed by historians. The article sets out the scale of the trade and its organisation reaching to regions of supply in the Baltic and Russia, before a rapid switch towards North American suppliers after 1760.</w:t>
      </w:r>
      <w:r w:rsidR="00FC4841">
        <w:t xml:space="preserve"> Knowledge of the potash trade expands the scope and understanding of the ‘organic economy’ to a product that accounted for the largest share of ‘ghost acres’ abroad used to underpin British industrial development and whose wood requirements came to far exceed the production of wood within Britain. Data on the ash trade provides an indicator for the scale of industrial output, and relative size of the textile finishing sector in England and the Netherlands that may modify our understanding of the relative fortunes of industries in both countries.</w:t>
      </w:r>
    </w:p>
    <w:p w:rsidR="00B74835" w:rsidRPr="00B01185" w:rsidRDefault="00B74835" w:rsidP="00FC4841">
      <w:pPr>
        <w:spacing w:line="480" w:lineRule="auto"/>
        <w:rPr>
          <w:b/>
        </w:rPr>
      </w:pPr>
    </w:p>
    <w:p w:rsidR="00BF2F9C" w:rsidRDefault="00BF2F9C" w:rsidP="00FC4841">
      <w:pPr>
        <w:pStyle w:val="ListParagraph"/>
        <w:spacing w:line="480" w:lineRule="auto"/>
        <w:rPr>
          <w:b/>
        </w:rPr>
      </w:pPr>
    </w:p>
    <w:p w:rsidR="00FC4841" w:rsidRDefault="00FC4841" w:rsidP="00FC4841">
      <w:pPr>
        <w:tabs>
          <w:tab w:val="left" w:pos="1134"/>
        </w:tabs>
        <w:spacing w:line="480" w:lineRule="auto"/>
        <w:jc w:val="both"/>
      </w:pPr>
    </w:p>
    <w:p w:rsidR="00FC4841" w:rsidRDefault="00FC4841" w:rsidP="00FC4841">
      <w:pPr>
        <w:tabs>
          <w:tab w:val="left" w:pos="1134"/>
        </w:tabs>
        <w:spacing w:line="480" w:lineRule="auto"/>
        <w:jc w:val="both"/>
      </w:pPr>
    </w:p>
    <w:p w:rsidR="00FC4841" w:rsidRDefault="00FC4841" w:rsidP="00FC4841">
      <w:pPr>
        <w:tabs>
          <w:tab w:val="left" w:pos="1134"/>
        </w:tabs>
        <w:spacing w:line="480" w:lineRule="auto"/>
        <w:jc w:val="both"/>
      </w:pPr>
    </w:p>
    <w:p w:rsidR="008606BF" w:rsidRDefault="008606BF" w:rsidP="008606BF">
      <w:pPr>
        <w:spacing w:line="480" w:lineRule="auto"/>
        <w:jc w:val="center"/>
        <w:rPr>
          <w:b/>
        </w:rPr>
      </w:pPr>
      <w:r>
        <w:rPr>
          <w:b/>
        </w:rPr>
        <w:lastRenderedPageBreak/>
        <w:t>Trees, trade and textiles: potash imports and ecological dependency in British industry, c.1550- 1770</w:t>
      </w:r>
      <w:r>
        <w:rPr>
          <w:rStyle w:val="FootnoteReference"/>
          <w:b/>
        </w:rPr>
        <w:footnoteReference w:customMarkFollows="1" w:id="1"/>
        <w:t>*</w:t>
      </w:r>
    </w:p>
    <w:p w:rsidR="008606BF" w:rsidRDefault="008606BF" w:rsidP="00FC4841">
      <w:pPr>
        <w:tabs>
          <w:tab w:val="left" w:pos="1134"/>
        </w:tabs>
        <w:spacing w:line="480" w:lineRule="auto"/>
        <w:jc w:val="both"/>
      </w:pPr>
    </w:p>
    <w:p w:rsidR="00BF2F9C" w:rsidRPr="001B42DB" w:rsidRDefault="00BF2F9C" w:rsidP="00FC4841">
      <w:pPr>
        <w:tabs>
          <w:tab w:val="left" w:pos="1134"/>
        </w:tabs>
        <w:spacing w:line="480" w:lineRule="auto"/>
        <w:jc w:val="both"/>
      </w:pPr>
      <w:r w:rsidRPr="001B42DB">
        <w:t xml:space="preserve">In the middle of the sixteenth century the </w:t>
      </w:r>
      <w:r w:rsidR="00110962">
        <w:t xml:space="preserve">English Parliament </w:t>
      </w:r>
      <w:r w:rsidRPr="001B42DB">
        <w:t>passed an Act ‘</w:t>
      </w:r>
      <w:proofErr w:type="spellStart"/>
      <w:r w:rsidRPr="001B42DB">
        <w:t>againste</w:t>
      </w:r>
      <w:proofErr w:type="spellEnd"/>
      <w:r w:rsidRPr="001B42DB">
        <w:t xml:space="preserve"> the carriage of White Ashes out of this </w:t>
      </w:r>
      <w:proofErr w:type="spellStart"/>
      <w:r w:rsidRPr="001B42DB">
        <w:t>Realme</w:t>
      </w:r>
      <w:proofErr w:type="spellEnd"/>
      <w:r w:rsidRPr="001B42DB">
        <w:t xml:space="preserve">’. Ashes, proclaimed the </w:t>
      </w:r>
      <w:proofErr w:type="spellStart"/>
      <w:r w:rsidRPr="001B42DB">
        <w:t>the</w:t>
      </w:r>
      <w:proofErr w:type="spellEnd"/>
      <w:r w:rsidRPr="001B42DB">
        <w:t xml:space="preserve"> Act, were ‘</w:t>
      </w:r>
      <w:proofErr w:type="spellStart"/>
      <w:r w:rsidRPr="001B42DB">
        <w:t>verie</w:t>
      </w:r>
      <w:proofErr w:type="spellEnd"/>
      <w:r w:rsidRPr="001B42DB">
        <w:t xml:space="preserve"> necessaries and expedient for the making of </w:t>
      </w:r>
      <w:proofErr w:type="spellStart"/>
      <w:r w:rsidRPr="001B42DB">
        <w:t>Sope</w:t>
      </w:r>
      <w:proofErr w:type="spellEnd"/>
      <w:r w:rsidRPr="001B42DB">
        <w:t xml:space="preserve"> and </w:t>
      </w:r>
      <w:proofErr w:type="spellStart"/>
      <w:r w:rsidRPr="001B42DB">
        <w:t>Salte</w:t>
      </w:r>
      <w:proofErr w:type="spellEnd"/>
      <w:r w:rsidRPr="001B42DB">
        <w:t xml:space="preserve"> Peter, and for the </w:t>
      </w:r>
      <w:proofErr w:type="spellStart"/>
      <w:r w:rsidRPr="001B42DB">
        <w:t>whitinge</w:t>
      </w:r>
      <w:proofErr w:type="spellEnd"/>
      <w:r w:rsidRPr="001B42DB">
        <w:t xml:space="preserve"> of </w:t>
      </w:r>
      <w:proofErr w:type="spellStart"/>
      <w:r w:rsidRPr="001B42DB">
        <w:t>lynnen</w:t>
      </w:r>
      <w:proofErr w:type="spellEnd"/>
      <w:r w:rsidRPr="001B42DB">
        <w:t xml:space="preserve"> Clothe, </w:t>
      </w:r>
      <w:proofErr w:type="spellStart"/>
      <w:r w:rsidRPr="001B42DB">
        <w:t>dyinge</w:t>
      </w:r>
      <w:proofErr w:type="spellEnd"/>
      <w:r w:rsidRPr="001B42DB">
        <w:t xml:space="preserve"> and </w:t>
      </w:r>
      <w:proofErr w:type="spellStart"/>
      <w:r w:rsidRPr="001B42DB">
        <w:t>scowringe</w:t>
      </w:r>
      <w:proofErr w:type="spellEnd"/>
      <w:r w:rsidRPr="001B42DB">
        <w:t xml:space="preserve"> of </w:t>
      </w:r>
      <w:proofErr w:type="spellStart"/>
      <w:r w:rsidRPr="001B42DB">
        <w:t>wollenn</w:t>
      </w:r>
      <w:proofErr w:type="spellEnd"/>
      <w:r w:rsidRPr="001B42DB">
        <w:t xml:space="preserve"> </w:t>
      </w:r>
      <w:proofErr w:type="spellStart"/>
      <w:r w:rsidRPr="001B42DB">
        <w:t>Colthe</w:t>
      </w:r>
      <w:proofErr w:type="spellEnd"/>
      <w:r w:rsidRPr="001B42DB">
        <w:t xml:space="preserve"> and for other </w:t>
      </w:r>
      <w:proofErr w:type="spellStart"/>
      <w:r w:rsidRPr="001B42DB">
        <w:t>nedefull</w:t>
      </w:r>
      <w:proofErr w:type="spellEnd"/>
      <w:r w:rsidRPr="001B42DB">
        <w:t xml:space="preserve"> things’.</w:t>
      </w:r>
      <w:r w:rsidRPr="001B42DB">
        <w:rPr>
          <w:rStyle w:val="FootnoteReference"/>
        </w:rPr>
        <w:footnoteReference w:id="2"/>
      </w:r>
      <w:r w:rsidRPr="001B42DB">
        <w:t xml:space="preserve"> In other words, ash was an essential input into the processes of two of England’s major industries, the production of linen and woollen cloth.</w:t>
      </w:r>
      <w:r w:rsidR="00AA5C90">
        <w:rPr>
          <w:rStyle w:val="FootnoteReference"/>
        </w:rPr>
        <w:footnoteReference w:id="3"/>
      </w:r>
      <w:r w:rsidRPr="001B42DB">
        <w:t xml:space="preserve"> Two centuries later, Malachy </w:t>
      </w:r>
      <w:proofErr w:type="spellStart"/>
      <w:r w:rsidRPr="001B42DB">
        <w:t>Post</w:t>
      </w:r>
      <w:r w:rsidR="00197786">
        <w:t>leth</w:t>
      </w:r>
      <w:r w:rsidRPr="001B42DB">
        <w:t>wayt’s</w:t>
      </w:r>
      <w:proofErr w:type="spellEnd"/>
      <w:r w:rsidRPr="001B42DB">
        <w:t xml:space="preserve"> translation of </w:t>
      </w:r>
      <w:proofErr w:type="spellStart"/>
      <w:r w:rsidRPr="001B42DB">
        <w:t>Savary’s</w:t>
      </w:r>
      <w:proofErr w:type="spellEnd"/>
      <w:r w:rsidRPr="001B42DB">
        <w:t xml:space="preserve"> dictionary declared potash ‘a commodity that no nation </w:t>
      </w:r>
      <w:proofErr w:type="gramStart"/>
      <w:r w:rsidRPr="001B42DB">
        <w:t>can hardly</w:t>
      </w:r>
      <w:proofErr w:type="gramEnd"/>
      <w:r w:rsidRPr="001B42DB">
        <w:t xml:space="preserve"> well be without, either for making soap, glass, dyeing, or bleaching’.</w:t>
      </w:r>
      <w:r w:rsidRPr="001B42DB">
        <w:rPr>
          <w:rStyle w:val="FootnoteReference"/>
        </w:rPr>
        <w:footnoteReference w:id="4"/>
      </w:r>
      <w:r w:rsidRPr="001B42DB">
        <w:t xml:space="preserve"> The use of ash was the precursor </w:t>
      </w:r>
      <w:r w:rsidR="00726D68">
        <w:t>to the modern chemical industry. I</w:t>
      </w:r>
      <w:r w:rsidRPr="001B42DB">
        <w:t xml:space="preserve">t provided the main source of alkalis in range of industrial processes, especially soap-making (the output of which was primarily used in the textile industry </w:t>
      </w:r>
      <w:r w:rsidR="007F6DF8">
        <w:t xml:space="preserve">rather than for hygiene); and </w:t>
      </w:r>
      <w:r w:rsidRPr="001B42DB">
        <w:t xml:space="preserve">also glass-making and ceramics. </w:t>
      </w:r>
      <w:r w:rsidR="005E47CD">
        <w:t xml:space="preserve">The very first patent granted by the United States patent office, on 31 January 1790, was for an improved technique in potash manufacture. </w:t>
      </w:r>
      <w:r w:rsidRPr="001B42DB">
        <w:t xml:space="preserve">Only in the </w:t>
      </w:r>
      <w:r w:rsidR="00B01185">
        <w:t xml:space="preserve">late </w:t>
      </w:r>
      <w:r w:rsidRPr="001B42DB">
        <w:t>eighteenth century were artificial alkalis developed,</w:t>
      </w:r>
      <w:r w:rsidRPr="001B42DB">
        <w:rPr>
          <w:rStyle w:val="FootnoteReference"/>
        </w:rPr>
        <w:footnoteReference w:id="5"/>
      </w:r>
      <w:r w:rsidRPr="001B42DB">
        <w:t xml:space="preserve"> </w:t>
      </w:r>
      <w:r w:rsidR="00467BAD">
        <w:t>and hydrochloric ac</w:t>
      </w:r>
      <w:r w:rsidR="00110962">
        <w:t xml:space="preserve">id for use as a bleaching agent; and it was later </w:t>
      </w:r>
      <w:r w:rsidR="00467BAD">
        <w:t xml:space="preserve">in the </w:t>
      </w:r>
      <w:r w:rsidRPr="001B42DB">
        <w:lastRenderedPageBreak/>
        <w:t xml:space="preserve">in the nineteenth century </w:t>
      </w:r>
      <w:r w:rsidR="00110962">
        <w:t xml:space="preserve">when </w:t>
      </w:r>
      <w:r w:rsidR="00467BAD">
        <w:t xml:space="preserve">vegetable potash </w:t>
      </w:r>
      <w:r w:rsidR="00110962">
        <w:t xml:space="preserve">was </w:t>
      </w:r>
      <w:r w:rsidR="00467BAD">
        <w:t xml:space="preserve">replaced by </w:t>
      </w:r>
      <w:r w:rsidRPr="001B42DB">
        <w:t>mineral potash.</w:t>
      </w:r>
      <w:r w:rsidR="005E47CD">
        <w:t xml:space="preserve"> </w:t>
      </w:r>
      <w:r w:rsidRPr="001B42DB">
        <w:t>Before this all ash came from the combustion of plant matter.</w:t>
      </w:r>
    </w:p>
    <w:p w:rsidR="00BF2F9C" w:rsidRPr="001B42DB" w:rsidRDefault="00BF2F9C" w:rsidP="00FC4841">
      <w:pPr>
        <w:spacing w:line="480" w:lineRule="auto"/>
        <w:jc w:val="both"/>
      </w:pPr>
    </w:p>
    <w:p w:rsidR="00BF2F9C" w:rsidRPr="001B42DB" w:rsidRDefault="00BF2F9C" w:rsidP="00FC4841">
      <w:pPr>
        <w:spacing w:line="480" w:lineRule="auto"/>
        <w:jc w:val="both"/>
      </w:pPr>
      <w:r w:rsidRPr="001B42DB">
        <w:t>Ash wa</w:t>
      </w:r>
      <w:r w:rsidR="007F6DF8">
        <w:t>s not a homogeneous product. It</w:t>
      </w:r>
      <w:r w:rsidRPr="001B42DB">
        <w:t xml:space="preserve"> came from a variety of plants</w:t>
      </w:r>
      <w:r w:rsidR="007F6DF8">
        <w:t>, which had different alkali contents and could be refined to different degrees.</w:t>
      </w:r>
      <w:r w:rsidRPr="001B42DB">
        <w:t xml:space="preserve"> For making high-quality glass or </w:t>
      </w:r>
      <w:proofErr w:type="gramStart"/>
      <w:r w:rsidRPr="001B42DB">
        <w:t>hard</w:t>
      </w:r>
      <w:proofErr w:type="gramEnd"/>
      <w:r w:rsidRPr="001B42DB">
        <w:t xml:space="preserve"> soaps manufacturers preferred barilla ash, obtained from </w:t>
      </w:r>
      <w:r w:rsidR="00726D68">
        <w:t xml:space="preserve">the </w:t>
      </w:r>
      <w:r w:rsidRPr="001B42DB">
        <w:t>Mediterranean</w:t>
      </w:r>
      <w:r w:rsidR="00726D68">
        <w:t>.</w:t>
      </w:r>
      <w:r w:rsidRPr="001B42DB">
        <w:rPr>
          <w:rStyle w:val="FootnoteReference"/>
        </w:rPr>
        <w:footnoteReference w:id="6"/>
      </w:r>
      <w:r w:rsidRPr="001B42DB">
        <w:t xml:space="preserve"> </w:t>
      </w:r>
      <w:r w:rsidR="00B01185">
        <w:t>Different qualities of ‘a</w:t>
      </w:r>
      <w:r w:rsidRPr="001B42DB">
        <w:t xml:space="preserve">shes’ were variously known as ‘Wood ashes’, </w:t>
      </w:r>
      <w:r w:rsidR="007F6DF8">
        <w:t>‘</w:t>
      </w:r>
      <w:proofErr w:type="spellStart"/>
      <w:r w:rsidR="007F6DF8">
        <w:t>Woad</w:t>
      </w:r>
      <w:proofErr w:type="spellEnd"/>
      <w:r w:rsidR="007F6DF8">
        <w:t xml:space="preserve"> ashes’, </w:t>
      </w:r>
      <w:r w:rsidRPr="001B42DB">
        <w:t>‘White Ashes’, ‘Blue Ashes’, ‘Pearl Ashes’ but most commonly as simply ‘Soap Ashes’.</w:t>
      </w:r>
      <w:r w:rsidRPr="001B42DB">
        <w:rPr>
          <w:rStyle w:val="FootnoteReference"/>
        </w:rPr>
        <w:footnoteReference w:id="7"/>
      </w:r>
      <w:r w:rsidR="00B01185">
        <w:t xml:space="preserve"> </w:t>
      </w:r>
      <w:r w:rsidR="00726D68">
        <w:t>‘Potash’ wa</w:t>
      </w:r>
      <w:r w:rsidRPr="001B42DB">
        <w:t xml:space="preserve">s a more refined product that only appeared on the </w:t>
      </w:r>
      <w:r w:rsidR="00726D68">
        <w:t xml:space="preserve">English </w:t>
      </w:r>
      <w:r w:rsidRPr="001B42DB">
        <w:t xml:space="preserve">market during the 1590s but that rapidly came to dominate it. </w:t>
      </w:r>
      <w:r w:rsidR="000E0DB3" w:rsidRPr="001B42DB">
        <w:t xml:space="preserve">In the eighteenth century, a major industry developed in the </w:t>
      </w:r>
      <w:proofErr w:type="spellStart"/>
      <w:r w:rsidR="000E0DB3" w:rsidRPr="001B42DB">
        <w:t>Hebridian</w:t>
      </w:r>
      <w:proofErr w:type="spellEnd"/>
      <w:r w:rsidR="000E0DB3" w:rsidRPr="001B42DB">
        <w:t xml:space="preserve"> and Orkney Islands burning kelp on the seashore to produce soda that was exported south to the Clyde, Mersey, and Tyne.</w:t>
      </w:r>
      <w:r w:rsidR="000E0DB3" w:rsidRPr="001B42DB">
        <w:rPr>
          <w:rStyle w:val="FootnoteReference"/>
        </w:rPr>
        <w:footnoteReference w:id="8"/>
      </w:r>
      <w:r w:rsidR="000E0DB3" w:rsidRPr="001B42DB">
        <w:t xml:space="preserve"> Any agricultural waste and bracken could be a source of ash. </w:t>
      </w:r>
      <w:r w:rsidR="000E0DB3">
        <w:t>However</w:t>
      </w:r>
      <w:r w:rsidRPr="001B42DB">
        <w:t xml:space="preserve"> far the greatest amount </w:t>
      </w:r>
      <w:r w:rsidR="007F6DF8">
        <w:t xml:space="preserve">of ash </w:t>
      </w:r>
      <w:r w:rsidRPr="001B42DB">
        <w:t xml:space="preserve">came from burning </w:t>
      </w:r>
      <w:proofErr w:type="gramStart"/>
      <w:r w:rsidRPr="001B42DB">
        <w:t>wood,</w:t>
      </w:r>
      <w:proofErr w:type="gramEnd"/>
      <w:r w:rsidRPr="001B42DB">
        <w:t xml:space="preserve"> and preferably good quality hardwoods such as beech.</w:t>
      </w:r>
      <w:r w:rsidRPr="001B42DB">
        <w:rPr>
          <w:rStyle w:val="FootnoteReference"/>
        </w:rPr>
        <w:footnoteReference w:id="9"/>
      </w:r>
      <w:r w:rsidR="004E0CAC">
        <w:t xml:space="preserve"> T</w:t>
      </w:r>
      <w:r w:rsidR="004E0CAC" w:rsidRPr="001B42DB">
        <w:t xml:space="preserve">he crucial chemical compound </w:t>
      </w:r>
      <w:r w:rsidR="004E0CAC">
        <w:t>was</w:t>
      </w:r>
      <w:r w:rsidR="004E0CAC" w:rsidRPr="001B42DB">
        <w:t xml:space="preserve"> </w:t>
      </w:r>
      <w:r w:rsidR="004E0CAC" w:rsidRPr="001B42DB">
        <w:lastRenderedPageBreak/>
        <w:t>potassium carbonate (K</w:t>
      </w:r>
      <w:r w:rsidR="004E0CAC" w:rsidRPr="001B42DB">
        <w:rPr>
          <w:vertAlign w:val="subscript"/>
        </w:rPr>
        <w:t>2</w:t>
      </w:r>
      <w:r w:rsidR="004E0CAC" w:rsidRPr="001B42DB">
        <w:t>CO</w:t>
      </w:r>
      <w:r w:rsidR="004E0CAC" w:rsidRPr="001B42DB">
        <w:rPr>
          <w:vertAlign w:val="subscript"/>
        </w:rPr>
        <w:t>3</w:t>
      </w:r>
      <w:r w:rsidR="004E0CAC" w:rsidRPr="001B42DB">
        <w:t>)</w:t>
      </w:r>
      <w:r w:rsidR="004E0CAC">
        <w:t>, the name potassium of course being derived from the word ‘potash’.</w:t>
      </w:r>
      <w:r w:rsidR="004E0CAC" w:rsidRPr="001B42DB">
        <w:rPr>
          <w:rStyle w:val="FootnoteReference"/>
        </w:rPr>
        <w:footnoteReference w:id="10"/>
      </w:r>
    </w:p>
    <w:p w:rsidR="00BF2F9C" w:rsidRPr="001B42DB" w:rsidRDefault="00BF2F9C" w:rsidP="00FC4841">
      <w:pPr>
        <w:spacing w:line="480" w:lineRule="auto"/>
        <w:jc w:val="both"/>
      </w:pPr>
    </w:p>
    <w:p w:rsidR="004E0CAC" w:rsidRDefault="00BF2F9C" w:rsidP="00FC4841">
      <w:pPr>
        <w:pStyle w:val="ListParagraph"/>
        <w:spacing w:line="480" w:lineRule="auto"/>
        <w:ind w:left="0"/>
        <w:jc w:val="both"/>
      </w:pPr>
      <w:r w:rsidRPr="001B42DB">
        <w:t xml:space="preserve">It is obvious that to obtain a large amount of ash one needs to burn a very large amount of wood. The multiple of volume between the wood burned and the ash so obtained is very large – </w:t>
      </w:r>
      <w:r w:rsidR="00726D68">
        <w:t xml:space="preserve">up to </w:t>
      </w:r>
      <w:r w:rsidRPr="001B42DB">
        <w:t xml:space="preserve">a thousand-fold. It is equally obvious that </w:t>
      </w:r>
      <w:r w:rsidR="00726D68">
        <w:t>a</w:t>
      </w:r>
      <w:r w:rsidRPr="001B42DB">
        <w:t xml:space="preserve"> country like England </w:t>
      </w:r>
      <w:r w:rsidR="00726D68">
        <w:t xml:space="preserve">lacked very extensive wood reserves. </w:t>
      </w:r>
      <w:r w:rsidR="000E0DB3" w:rsidRPr="001B42DB">
        <w:t>English and Scottish ash was generally produced from straw, rushes and ferns or bracken and was of much lower quality: ‘entirely unfit for making white glass: they make a very coarse and strong kind of soap; they are too foul, sharp and corrosive for bleaching and are as unfit for dyeing, as least many colours’.</w:t>
      </w:r>
      <w:r w:rsidR="000E0DB3" w:rsidRPr="001B42DB">
        <w:rPr>
          <w:rStyle w:val="FootnoteReference"/>
        </w:rPr>
        <w:footnoteReference w:id="11"/>
      </w:r>
      <w:r w:rsidR="000E0DB3" w:rsidRPr="001B42DB">
        <w:t xml:space="preserve"> Experiments conducted in Scotland in 1783 showed that while the alkali content of imported pot- or pearl ashes could reach 40-50%, while experiments with domestic plants did not yield much more than 7% at best.</w:t>
      </w:r>
      <w:r w:rsidR="000E0DB3" w:rsidRPr="001B42DB">
        <w:rPr>
          <w:rStyle w:val="FootnoteReference"/>
        </w:rPr>
        <w:footnoteReference w:id="12"/>
      </w:r>
      <w:r w:rsidR="000E0DB3" w:rsidRPr="001B42DB">
        <w:t xml:space="preserve"> </w:t>
      </w:r>
      <w:r w:rsidRPr="001B42DB">
        <w:t>Hence this essential source of alkali was imported, largely from the Baltic ports and Archangel</w:t>
      </w:r>
      <w:r w:rsidR="007F6DF8">
        <w:t xml:space="preserve"> on the White Sea in northern Russia</w:t>
      </w:r>
      <w:r w:rsidRPr="001B42DB">
        <w:t>, and later North America.</w:t>
      </w:r>
      <w:r w:rsidR="004E0CAC">
        <w:t xml:space="preserve"> This</w:t>
      </w:r>
      <w:r w:rsidRPr="001B42DB">
        <w:t xml:space="preserve"> ash trade was a key input into England’s major industries during the early modern period,</w:t>
      </w:r>
      <w:r w:rsidR="007F6DF8">
        <w:t xml:space="preserve"> and </w:t>
      </w:r>
      <w:r w:rsidR="00E54973">
        <w:t>came to be an enormous ecological foot</w:t>
      </w:r>
      <w:r w:rsidRPr="001B42DB">
        <w:t>print that never could have been sustained within the British Isles. Demand for wood that was turned into ash and imported into Britain and the Netherlands completely dwar</w:t>
      </w:r>
      <w:r w:rsidR="004E0CAC">
        <w:t>fed the demand from much better-</w:t>
      </w:r>
      <w:r w:rsidRPr="001B42DB">
        <w:t xml:space="preserve">known trades for timber and naval stores. </w:t>
      </w:r>
    </w:p>
    <w:p w:rsidR="004E0CAC" w:rsidRDefault="004E0CAC" w:rsidP="00FC4841">
      <w:pPr>
        <w:pStyle w:val="ListParagraph"/>
        <w:spacing w:line="480" w:lineRule="auto"/>
        <w:ind w:left="0"/>
        <w:jc w:val="both"/>
      </w:pPr>
    </w:p>
    <w:p w:rsidR="00BF2F9C" w:rsidRPr="001B42DB" w:rsidRDefault="004E0CAC" w:rsidP="00FC4841">
      <w:pPr>
        <w:pStyle w:val="ListParagraph"/>
        <w:spacing w:line="480" w:lineRule="auto"/>
        <w:ind w:left="0"/>
        <w:jc w:val="both"/>
      </w:pPr>
      <w:r>
        <w:t>Contemporaries were certainly aware of t</w:t>
      </w:r>
      <w:r w:rsidR="00E54973">
        <w:t xml:space="preserve">his dependency and some </w:t>
      </w:r>
      <w:r>
        <w:t xml:space="preserve">sought remedies. Oldenburg, secretary of the Royal Society, sought the secret of good potash making from </w:t>
      </w:r>
      <w:proofErr w:type="spellStart"/>
      <w:r>
        <w:t>Danzigers</w:t>
      </w:r>
      <w:proofErr w:type="spellEnd"/>
      <w:r>
        <w:t xml:space="preserve"> in the 1660s; there were repeated attempts to manufacture potash in t</w:t>
      </w:r>
      <w:r w:rsidR="007F6DF8">
        <w:t xml:space="preserve">he American colonies </w:t>
      </w:r>
      <w:r w:rsidR="00C227A6">
        <w:t>before the industry blossomed around</w:t>
      </w:r>
      <w:r w:rsidR="007F6DF8">
        <w:t xml:space="preserve"> </w:t>
      </w:r>
      <w:r w:rsidR="003978CC">
        <w:t>in the mid-1760s</w:t>
      </w:r>
      <w:r>
        <w:t xml:space="preserve">, encouraged </w:t>
      </w:r>
      <w:r w:rsidR="00C227A6">
        <w:t>by</w:t>
      </w:r>
      <w:r w:rsidR="003978CC">
        <w:t xml:space="preserve"> </w:t>
      </w:r>
      <w:r w:rsidRPr="001B42DB">
        <w:t>the dropping of duties on American ash by Parliamentary Act in 1751</w:t>
      </w:r>
      <w:r>
        <w:t xml:space="preserve"> but probably more closely connected</w:t>
      </w:r>
      <w:r w:rsidR="003978CC">
        <w:t xml:space="preserve"> with the eventual transfer of less capital-intensive and competitive European techniques which could be employed on the settlement frontier</w:t>
      </w:r>
      <w:r w:rsidRPr="001B42DB">
        <w:t>.</w:t>
      </w:r>
      <w:r w:rsidRPr="001B42DB">
        <w:rPr>
          <w:rStyle w:val="FootnoteReference"/>
        </w:rPr>
        <w:footnoteReference w:id="13"/>
      </w:r>
      <w:r>
        <w:t xml:space="preserve"> W</w:t>
      </w:r>
      <w:r w:rsidR="00BF2F9C" w:rsidRPr="001B42DB">
        <w:t xml:space="preserve">hen the rising price of ash became a cause of increasing concern to the linen industry </w:t>
      </w:r>
      <w:r>
        <w:t xml:space="preserve">at that time, </w:t>
      </w:r>
      <w:r w:rsidR="00BF2F9C" w:rsidRPr="001B42DB">
        <w:t xml:space="preserve">some of the </w:t>
      </w:r>
      <w:r>
        <w:t xml:space="preserve">nation’s </w:t>
      </w:r>
      <w:r w:rsidR="00BF2F9C" w:rsidRPr="001B42DB">
        <w:t xml:space="preserve">leading chemists, </w:t>
      </w:r>
      <w:r>
        <w:t xml:space="preserve">such as </w:t>
      </w:r>
      <w:r w:rsidR="00BF2F9C" w:rsidRPr="001B42DB">
        <w:t xml:space="preserve">Frances Home, William Cullen and Joseph Black devoted </w:t>
      </w:r>
      <w:r>
        <w:t>time to seeking substitutes, while</w:t>
      </w:r>
      <w:r w:rsidR="00BF2F9C" w:rsidRPr="001B42DB">
        <w:t xml:space="preserve"> Scotland’s </w:t>
      </w:r>
      <w:r w:rsidR="00BF2F9C" w:rsidRPr="001B42DB">
        <w:rPr>
          <w:i/>
        </w:rPr>
        <w:t xml:space="preserve">Board of Trustees for Fisheries, manufactures and Improvements </w:t>
      </w:r>
      <w:r w:rsidR="00BF2F9C" w:rsidRPr="001B42DB">
        <w:t>paid out handsome premiums for advances in bleaching techniques and alkali production.</w:t>
      </w:r>
      <w:r w:rsidR="00BF2F9C" w:rsidRPr="001B42DB">
        <w:rPr>
          <w:rStyle w:val="FootnoteReference"/>
        </w:rPr>
        <w:footnoteReference w:id="14"/>
      </w:r>
      <w:r w:rsidR="00BF2F9C" w:rsidRPr="001B42DB">
        <w:t xml:space="preserve"> Towards the end of the century the artificial production of alkalis presented one of the key technical breakthroughs of the Industrial Revolution. Yet there has been virtually no scholarship that add</w:t>
      </w:r>
      <w:r>
        <w:t>resses any aspect of this trade.</w:t>
      </w:r>
      <w:r w:rsidR="00BF2F9C" w:rsidRPr="001B42DB">
        <w:rPr>
          <w:rStyle w:val="FootnoteReference"/>
        </w:rPr>
        <w:footnoteReference w:id="15"/>
      </w:r>
    </w:p>
    <w:p w:rsidR="00BF2F9C" w:rsidRPr="001B42DB" w:rsidRDefault="00BF2F9C" w:rsidP="00FC4841">
      <w:pPr>
        <w:spacing w:line="480" w:lineRule="auto"/>
        <w:jc w:val="both"/>
      </w:pPr>
    </w:p>
    <w:p w:rsidR="00F30C1B" w:rsidRDefault="000E0DB3" w:rsidP="00FC4841">
      <w:pPr>
        <w:pStyle w:val="ListParagraph"/>
        <w:spacing w:line="480" w:lineRule="auto"/>
        <w:ind w:left="0"/>
        <w:jc w:val="both"/>
        <w:rPr>
          <w:b/>
        </w:rPr>
      </w:pPr>
      <w:r w:rsidRPr="001B42DB">
        <w:t>This article seeks to redress this neglect, and to begin to establish the parameters of the trade and a hi</w:t>
      </w:r>
      <w:r w:rsidR="00E54973">
        <w:t>therto overlooked aspect resource-dependency in the</w:t>
      </w:r>
      <w:r w:rsidRPr="001B42DB">
        <w:t xml:space="preserve"> trading system of early modern </w:t>
      </w:r>
      <w:r w:rsidRPr="001B42DB">
        <w:lastRenderedPageBreak/>
        <w:t>Britain. It begins by reconstructing the most basic information required for such a study: the sources by which the trade may be traced, and their reliability. It goes onto provide some quantification of the trade, the price of ash and the marked shifts between different kinds of ash-products until the middle of the eighteenth-century</w:t>
      </w:r>
      <w:r>
        <w:t xml:space="preserve">. It </w:t>
      </w:r>
      <w:r w:rsidR="00F84888">
        <w:t xml:space="preserve">then moves </w:t>
      </w:r>
      <w:r w:rsidR="004E0CAC">
        <w:t>on to examine the organisation of the trade a</w:t>
      </w:r>
      <w:r w:rsidR="00F84888">
        <w:t>nd the sources of the good. We</w:t>
      </w:r>
      <w:r w:rsidR="004E0CAC">
        <w:t xml:space="preserve"> will then consider the impact on the supplier regions before returning to the question of consumption, and what the ash trade can tell us about the process of British industrialisation.</w:t>
      </w:r>
      <w:r w:rsidR="00153031">
        <w:t xml:space="preserve"> It is suggested that appreciation of an ‘intermediary good’ such as potash as an input into industrial processes may help shed considerable light both on the timing of industrial change, but also the demands on land use, trade, and labour regimes far from the ‘core’ of production attendant on that change.</w:t>
      </w:r>
    </w:p>
    <w:p w:rsidR="00F30C1B" w:rsidRDefault="00F30C1B" w:rsidP="00FC4841">
      <w:pPr>
        <w:pStyle w:val="ListParagraph"/>
        <w:spacing w:line="480" w:lineRule="auto"/>
        <w:rPr>
          <w:b/>
        </w:rPr>
      </w:pPr>
    </w:p>
    <w:p w:rsidR="00B74835" w:rsidRDefault="00B74835" w:rsidP="00FC4841">
      <w:pPr>
        <w:pStyle w:val="ListParagraph"/>
        <w:numPr>
          <w:ilvl w:val="0"/>
          <w:numId w:val="1"/>
        </w:numPr>
        <w:spacing w:line="480" w:lineRule="auto"/>
        <w:rPr>
          <w:b/>
        </w:rPr>
      </w:pPr>
      <w:r>
        <w:rPr>
          <w:b/>
        </w:rPr>
        <w:t>The scale of the English trade</w:t>
      </w:r>
    </w:p>
    <w:p w:rsidR="00BF2F9C" w:rsidRDefault="00BF2F9C" w:rsidP="00FC4841">
      <w:pPr>
        <w:pStyle w:val="ListParagraph"/>
        <w:spacing w:line="480" w:lineRule="auto"/>
        <w:rPr>
          <w:b/>
        </w:rPr>
      </w:pPr>
    </w:p>
    <w:p w:rsidR="00F84888" w:rsidRDefault="00237592" w:rsidP="00FC4841">
      <w:pPr>
        <w:pStyle w:val="ListParagraph"/>
        <w:spacing w:line="480" w:lineRule="auto"/>
        <w:ind w:left="0"/>
        <w:jc w:val="both"/>
      </w:pPr>
      <w:r>
        <w:t>Reconstructing the ash trade is not a simple task. The</w:t>
      </w:r>
      <w:r w:rsidR="00F84888">
        <w:t xml:space="preserve"> first main source is</w:t>
      </w:r>
      <w:r>
        <w:t xml:space="preserve"> Englis</w:t>
      </w:r>
      <w:r w:rsidR="00F84888">
        <w:t xml:space="preserve">h customs and exchequer records. </w:t>
      </w:r>
      <w:r w:rsidR="00F84888" w:rsidRPr="001B42DB">
        <w:t xml:space="preserve">Before 1699 the most important </w:t>
      </w:r>
      <w:r w:rsidR="00F84888">
        <w:t xml:space="preserve">of these are </w:t>
      </w:r>
      <w:r w:rsidR="00F84888" w:rsidRPr="001B42DB">
        <w:t>the ‘Port Books’ kept by customs officials, especially those that survive from after a major reform of the customs bureaucracy in 1564.</w:t>
      </w:r>
      <w:r w:rsidR="00F84888" w:rsidRPr="001B42DB">
        <w:rPr>
          <w:rStyle w:val="FootnoteReference"/>
        </w:rPr>
        <w:footnoteReference w:id="16"/>
      </w:r>
      <w:r w:rsidR="00F84888" w:rsidRPr="001B42DB">
        <w:t xml:space="preserve"> These comprised a number of volumes maintained by different officials in the customs house and at the dockside of each port that were supposed to both provide a mea</w:t>
      </w:r>
      <w:r w:rsidR="00E54973">
        <w:t>ns of resolving disputes and allowed the E</w:t>
      </w:r>
      <w:r w:rsidR="00F84888" w:rsidRPr="001B42DB">
        <w:t>xchequer to audit the record-keeping, and probity, of each officer. The books were to correspond to a system of warrants and dockets issued to shipmasters permitting the transit of goods.</w:t>
      </w:r>
      <w:r w:rsidR="00F84888">
        <w:t xml:space="preserve"> </w:t>
      </w:r>
      <w:r w:rsidR="00F84888" w:rsidRPr="001B42DB">
        <w:t>On completion each year’s port books were to be supplied to the Exchequer, and it is these volumes (or in some cases, more likely good copies specially made for th</w:t>
      </w:r>
      <w:r w:rsidR="00F84888">
        <w:t xml:space="preserve">is purpose) that survive today. </w:t>
      </w:r>
      <w:r w:rsidR="00F84888" w:rsidRPr="001B42DB">
        <w:t xml:space="preserve">As they were subject </w:t>
      </w:r>
      <w:r w:rsidR="00F84888" w:rsidRPr="001B42DB">
        <w:lastRenderedPageBreak/>
        <w:t xml:space="preserve">to different levels of dues, the shipments of native and alien merchants were recorded separately. In many places these were bound together in the same volume, but in the case of larger ports discrete books deal with each kind of merchant. This means that to get a full picture of the trade in any given year, the returns from both native and alien merchants must survive – </w:t>
      </w:r>
      <w:r w:rsidR="00F84888">
        <w:t>a rare occurrence, and hence pre-1699 records are very fragmentary</w:t>
      </w:r>
      <w:r w:rsidR="00D72213">
        <w:t>, although they may be complemented in some years with records of aggregate customs receipts</w:t>
      </w:r>
      <w:r w:rsidR="00F84888">
        <w:t xml:space="preserve">. </w:t>
      </w:r>
      <w:r w:rsidR="00692FC8">
        <w:t>The aggregate trade must also be assembled shipment by shipment, or more accurately, with each lot that passed under the eye of customs officials, meaning that the assembly of</w:t>
      </w:r>
      <w:r w:rsidR="00E54973">
        <w:t xml:space="preserve"> this data has required working through</w:t>
      </w:r>
      <w:r w:rsidR="00692FC8">
        <w:t xml:space="preserve"> the entire</w:t>
      </w:r>
      <w:r w:rsidR="00560A4C">
        <w:t>t</w:t>
      </w:r>
      <w:r w:rsidR="00692FC8">
        <w:t>y of the ledgers of English imports during these years.</w:t>
      </w:r>
      <w:r w:rsidR="00553CCA">
        <w:rPr>
          <w:rStyle w:val="FootnoteReference"/>
        </w:rPr>
        <w:footnoteReference w:id="17"/>
      </w:r>
      <w:r w:rsidR="00692FC8">
        <w:t xml:space="preserve"> </w:t>
      </w:r>
    </w:p>
    <w:p w:rsidR="00F84888" w:rsidRDefault="00F84888" w:rsidP="00FC4841">
      <w:pPr>
        <w:pStyle w:val="ListParagraph"/>
        <w:spacing w:line="480" w:lineRule="auto"/>
        <w:ind w:left="0"/>
        <w:jc w:val="both"/>
      </w:pPr>
    </w:p>
    <w:p w:rsidR="00F84888" w:rsidRPr="001B42DB" w:rsidRDefault="00F84888" w:rsidP="00FC4841">
      <w:pPr>
        <w:spacing w:line="480" w:lineRule="auto"/>
        <w:jc w:val="both"/>
      </w:pPr>
      <w:r w:rsidRPr="001B42DB">
        <w:t>From 1699 English exchequer officials began to keep aggregated records of national trade, now filed under the ‘Customs 3’ in the National Archives. These provide a full account of imports and exports (at least those that came the attention of honest excise men), divided firstly between London, and all other ports; and then by the polity or region of origin. The northern trades were divided between the Kingdom of Denmark (which included Norway), Sweden (which included Finland), Germany (primarily Hamburg), and ‘the East Co</w:t>
      </w:r>
      <w:r w:rsidR="00E54973">
        <w:t>untry’, those lands which had fell</w:t>
      </w:r>
      <w:r w:rsidRPr="001B42DB">
        <w:t xml:space="preserve"> under the trading </w:t>
      </w:r>
      <w:r w:rsidR="00E54973">
        <w:t xml:space="preserve">monopoly trading rights </w:t>
      </w:r>
      <w:r w:rsidRPr="001B42DB">
        <w:t>of the Eastland Company in the sixteenth and seventeenth centuries along the southern and eastern shores of the Baltic. These customs records provide the first continual annual account of total imports.</w:t>
      </w:r>
    </w:p>
    <w:p w:rsidR="00F84888" w:rsidRDefault="00F84888" w:rsidP="00FC4841">
      <w:pPr>
        <w:pStyle w:val="ListParagraph"/>
        <w:spacing w:line="480" w:lineRule="auto"/>
        <w:ind w:left="0"/>
        <w:jc w:val="both"/>
      </w:pPr>
      <w:r w:rsidRPr="001B42DB">
        <w:t xml:space="preserve"> </w:t>
      </w:r>
    </w:p>
    <w:p w:rsidR="002C7E6D" w:rsidRPr="001B42DB" w:rsidRDefault="00F84888" w:rsidP="00FC4841">
      <w:pPr>
        <w:spacing w:line="480" w:lineRule="auto"/>
        <w:jc w:val="both"/>
      </w:pPr>
      <w:r>
        <w:t>The second main source</w:t>
      </w:r>
      <w:r w:rsidR="00237592">
        <w:t xml:space="preserve"> and the tolls levied at the Danish Sound at </w:t>
      </w:r>
      <w:proofErr w:type="spellStart"/>
      <w:r w:rsidR="00237592">
        <w:t>Helsingør</w:t>
      </w:r>
      <w:proofErr w:type="spellEnd"/>
      <w:r w:rsidR="00237592">
        <w:t xml:space="preserve">, which provide a </w:t>
      </w:r>
      <w:r w:rsidR="00FB3C89">
        <w:t xml:space="preserve">complete record of shipments heading west from 1562, but where their destination is only </w:t>
      </w:r>
      <w:r w:rsidR="00FB3C89">
        <w:lastRenderedPageBreak/>
        <w:t xml:space="preserve">recorded </w:t>
      </w:r>
      <w:r w:rsidR="00E54973">
        <w:t>f</w:t>
      </w:r>
      <w:r w:rsidR="00FB3C89">
        <w:t>r</w:t>
      </w:r>
      <w:r w:rsidR="00E54973">
        <w:t>o</w:t>
      </w:r>
      <w:r w:rsidR="00FB3C89">
        <w:t>m 1669</w:t>
      </w:r>
      <w:r w:rsidR="00FB3C89" w:rsidRPr="00107692">
        <w:t>.</w:t>
      </w:r>
      <w:r w:rsidR="00A751CA">
        <w:rPr>
          <w:rStyle w:val="FootnoteReference"/>
        </w:rPr>
        <w:footnoteReference w:id="18"/>
      </w:r>
      <w:r w:rsidR="00FB3C89" w:rsidRPr="00107692">
        <w:t xml:space="preserve"> </w:t>
      </w:r>
      <w:r w:rsidRPr="001B42DB">
        <w:t>As we know that cargoes to Britain were frequently carried by ships domiciled in other places, an estimate of the trade based upon cargoes carried only by English ships is likely to understate its extent</w:t>
      </w:r>
      <w:r>
        <w:t xml:space="preserve"> before this latter date</w:t>
      </w:r>
      <w:r w:rsidRPr="001B42DB">
        <w:t>, and only provides a minimum figure.</w:t>
      </w:r>
      <w:r>
        <w:t xml:space="preserve"> R</w:t>
      </w:r>
      <w:r w:rsidRPr="001B42DB">
        <w:t xml:space="preserve">ecords survive for nearly every single year </w:t>
      </w:r>
      <w:r>
        <w:t>from 1562</w:t>
      </w:r>
      <w:r w:rsidRPr="001B42DB">
        <w:t xml:space="preserve">, </w:t>
      </w:r>
      <w:r w:rsidRPr="001B42DB">
        <w:rPr>
          <w:bCs/>
        </w:rPr>
        <w:t>broken only occasionally in years of strife in the southern Baltic, such as the early 1570s, 1634 and the late 1650s</w:t>
      </w:r>
      <w:r w:rsidRPr="001B42DB">
        <w:t>. While this provides by far the most comprehensive source before 1699, it is well known that the Sound Toll records have serious pitfalls. As with any customs records, we have to be aware of the possibility of smuggling and lax supervision by officials. Reform of Danish customs in 1618 is thought to have reduced smuggling, and there is a notable leap in the volume of potash carried by Dutch ships this year, although it seems to make no difference to the English trade.</w:t>
      </w:r>
      <w:r w:rsidRPr="001B42DB">
        <w:rPr>
          <w:rStyle w:val="FootnoteReference"/>
        </w:rPr>
        <w:footnoteReference w:id="19"/>
      </w:r>
      <w:r w:rsidRPr="001B42DB">
        <w:t xml:space="preserve"> For some periods nations enjoyed exemptions.</w:t>
      </w:r>
      <w:r w:rsidR="00BA5C10">
        <w:rPr>
          <w:rStyle w:val="FootnoteReference"/>
        </w:rPr>
        <w:footnoteReference w:id="20"/>
      </w:r>
      <w:r w:rsidRPr="001B42DB">
        <w:t xml:space="preserve"> While overall </w:t>
      </w:r>
      <w:r>
        <w:t xml:space="preserve">both </w:t>
      </w:r>
      <w:r w:rsidRPr="001B42DB">
        <w:t xml:space="preserve">the </w:t>
      </w:r>
      <w:r>
        <w:t xml:space="preserve">English and Danish </w:t>
      </w:r>
      <w:r w:rsidRPr="001B42DB">
        <w:t xml:space="preserve">customs records can only be indicative of the trade rather than provide an exact record, </w:t>
      </w:r>
      <w:r>
        <w:t xml:space="preserve">in England </w:t>
      </w:r>
      <w:r w:rsidRPr="001B42DB">
        <w:t>the evidence of fraud bears more on the side of evasion of export duties than under-recording of imports, at least before the well-known smuggling culture developed in response to seventeenth-century excise taxes.</w:t>
      </w:r>
      <w:r w:rsidRPr="001B42DB">
        <w:rPr>
          <w:rStyle w:val="FootnoteReference"/>
        </w:rPr>
        <w:footnoteReference w:id="21"/>
      </w:r>
      <w:r>
        <w:t xml:space="preserve"> In fact, a comparison</w:t>
      </w:r>
      <w:r w:rsidR="007C0F07">
        <w:t xml:space="preserve"> of the returns to </w:t>
      </w:r>
      <w:r>
        <w:t>the Sound Tolls</w:t>
      </w:r>
      <w:r w:rsidR="007C0F07">
        <w:t xml:space="preserve"> and</w:t>
      </w:r>
      <w:r>
        <w:t xml:space="preserve"> the</w:t>
      </w:r>
      <w:r w:rsidR="007C0F07">
        <w:t xml:space="preserve"> English Customs records</w:t>
      </w:r>
      <w:r>
        <w:t xml:space="preserve"> shows a remarkable congruity</w:t>
      </w:r>
      <w:r w:rsidR="007C0F07">
        <w:t>: on a ship-by-ship basis i</w:t>
      </w:r>
      <w:r>
        <w:t>n the seventeenth century, and a</w:t>
      </w:r>
      <w:r w:rsidR="007C0F07">
        <w:t xml:space="preserve">n aggregate basis </w:t>
      </w:r>
      <w:r w:rsidR="00CD734B">
        <w:t xml:space="preserve">when this is possible from 1700. </w:t>
      </w:r>
      <w:r w:rsidR="002C7E6D">
        <w:t>The Sound Toll totals averaged</w:t>
      </w:r>
      <w:r w:rsidR="002C7E6D" w:rsidRPr="001B42DB">
        <w:t xml:space="preserve"> </w:t>
      </w:r>
      <w:r w:rsidR="00E54973">
        <w:t xml:space="preserve">at </w:t>
      </w:r>
      <w:r w:rsidR="002C7E6D" w:rsidRPr="001B42DB">
        <w:t xml:space="preserve">98% of the potash </w:t>
      </w:r>
      <w:r w:rsidR="002C7E6D">
        <w:t xml:space="preserve">recorded as being </w:t>
      </w:r>
      <w:r w:rsidR="002C7E6D" w:rsidRPr="001B42DB">
        <w:t xml:space="preserve">landed </w:t>
      </w:r>
      <w:r w:rsidR="002C7E6D">
        <w:t xml:space="preserve">from the Baltic </w:t>
      </w:r>
      <w:r w:rsidR="002C7E6D" w:rsidRPr="001B42DB">
        <w:t>in England 1699-1726.</w:t>
      </w:r>
      <w:r w:rsidR="002C7E6D" w:rsidRPr="001B42DB">
        <w:rPr>
          <w:rStyle w:val="FootnoteReference"/>
        </w:rPr>
        <w:footnoteReference w:id="22"/>
      </w:r>
      <w:r w:rsidR="002C7E6D" w:rsidRPr="001B42DB">
        <w:t xml:space="preserve"> During the period of disruption after 1703 when </w:t>
      </w:r>
      <w:r w:rsidR="002C7E6D" w:rsidRPr="001B42DB">
        <w:lastRenderedPageBreak/>
        <w:t>foreign ships came to predominate in the English trade, it is noticeable however that the amounts recorded as shipped by the English in the Sound Tolls falls far more than  that recorded as landed by the English at home.</w:t>
      </w:r>
      <w:r w:rsidR="002C7E6D" w:rsidRPr="001B42DB">
        <w:rPr>
          <w:rStyle w:val="FootnoteReference"/>
        </w:rPr>
        <w:footnoteReference w:id="23"/>
      </w:r>
      <w:r w:rsidR="002C7E6D" w:rsidRPr="001B42DB">
        <w:t xml:space="preserve"> It may well be that some of the trade was carried out in reflagged English ships who had abandoned the pretence by the time they reached home waters.</w:t>
      </w:r>
    </w:p>
    <w:p w:rsidR="00F30C1B" w:rsidRDefault="00F30C1B" w:rsidP="00FC4841">
      <w:pPr>
        <w:pStyle w:val="ListParagraph"/>
        <w:spacing w:line="480" w:lineRule="auto"/>
        <w:rPr>
          <w:b/>
        </w:rPr>
      </w:pPr>
    </w:p>
    <w:p w:rsidR="00BF2F9C" w:rsidRDefault="00BF2F9C" w:rsidP="00FC4841">
      <w:pPr>
        <w:tabs>
          <w:tab w:val="right" w:pos="9360"/>
        </w:tabs>
        <w:spacing w:line="480" w:lineRule="auto"/>
        <w:jc w:val="both"/>
      </w:pPr>
      <w:r w:rsidRPr="001B42DB">
        <w:t xml:space="preserve">Ash was being exported from the </w:t>
      </w:r>
      <w:r w:rsidR="00FB3C89">
        <w:t xml:space="preserve">eastern </w:t>
      </w:r>
      <w:r w:rsidRPr="001B42DB">
        <w:t>Baltic in late medieval times, at least from the early fourteenth century.</w:t>
      </w:r>
      <w:r w:rsidRPr="001B42DB">
        <w:rPr>
          <w:rStyle w:val="FootnoteReference"/>
        </w:rPr>
        <w:footnoteReference w:id="24"/>
      </w:r>
      <w:r w:rsidRPr="001B42DB">
        <w:t xml:space="preserve"> The Master of the Teutonic Order gave permission for ash (among other products) to be transported across his territory from Russi</w:t>
      </w:r>
      <w:r w:rsidR="00C227A6">
        <w:t>a, Poland and Lithuania in 1415</w:t>
      </w:r>
      <w:r w:rsidRPr="001B42DB">
        <w:t>.</w:t>
      </w:r>
      <w:r w:rsidRPr="001B42DB">
        <w:rPr>
          <w:rStyle w:val="FootnoteReference"/>
        </w:rPr>
        <w:footnoteReference w:id="25"/>
      </w:r>
      <w:r w:rsidRPr="001B42DB">
        <w:t xml:space="preserve"> Officers to check and seal barrels of ash were appointed in Danzig in 1428, </w:t>
      </w:r>
      <w:proofErr w:type="spellStart"/>
      <w:r w:rsidRPr="001B42DB">
        <w:t>Königsberg</w:t>
      </w:r>
      <w:proofErr w:type="spellEnd"/>
      <w:r w:rsidRPr="001B42DB">
        <w:t xml:space="preserve"> in 1450 and Riga in 1452.</w:t>
      </w:r>
      <w:r w:rsidRPr="001B42DB">
        <w:rPr>
          <w:rStyle w:val="FootnoteReference"/>
        </w:rPr>
        <w:footnoteReference w:id="26"/>
      </w:r>
      <w:r w:rsidRPr="001B42DB">
        <w:t xml:space="preserve"> These would remain the primary exporting cities for the next two centuries. </w:t>
      </w:r>
      <w:r w:rsidR="007B1070">
        <w:t>Shipments were recorded arriving in London in the 1480s.</w:t>
      </w:r>
      <w:r w:rsidR="0054662C">
        <w:t xml:space="preserve"> </w:t>
      </w:r>
      <w:r w:rsidR="0054662C" w:rsidRPr="001B42DB">
        <w:rPr>
          <w:bCs/>
        </w:rPr>
        <w:t>The trade was overwhelmingly dominated by London</w:t>
      </w:r>
      <w:r w:rsidR="0054662C">
        <w:rPr>
          <w:bCs/>
        </w:rPr>
        <w:t>, partly a function of the overwhelming concentration of the making of soft soap in the metropolis.</w:t>
      </w:r>
      <w:r w:rsidR="0054662C">
        <w:rPr>
          <w:rStyle w:val="FootnoteReference"/>
          <w:bCs/>
        </w:rPr>
        <w:footnoteReference w:id="27"/>
      </w:r>
      <w:r w:rsidR="0054662C" w:rsidRPr="001B42DB">
        <w:rPr>
          <w:bCs/>
        </w:rPr>
        <w:t xml:space="preserve"> </w:t>
      </w:r>
      <w:r w:rsidR="0054662C">
        <w:rPr>
          <w:bCs/>
        </w:rPr>
        <w:t xml:space="preserve">In 1685 when we have a complete picture of the trade, </w:t>
      </w:r>
      <w:r w:rsidR="0054662C" w:rsidRPr="001B42DB">
        <w:rPr>
          <w:bCs/>
        </w:rPr>
        <w:t>over 99% of the ash was shipped to London.</w:t>
      </w:r>
      <w:r w:rsidR="0054662C" w:rsidRPr="001B42DB">
        <w:rPr>
          <w:rStyle w:val="FootnoteReference"/>
          <w:bCs/>
        </w:rPr>
        <w:footnoteReference w:id="28"/>
      </w:r>
      <w:r w:rsidR="0054662C">
        <w:rPr>
          <w:bCs/>
        </w:rPr>
        <w:t xml:space="preserve"> </w:t>
      </w:r>
      <w:r w:rsidR="0054662C" w:rsidRPr="001B42DB">
        <w:rPr>
          <w:bCs/>
        </w:rPr>
        <w:t xml:space="preserve">This </w:t>
      </w:r>
      <w:r w:rsidR="00892C48">
        <w:rPr>
          <w:bCs/>
        </w:rPr>
        <w:t xml:space="preserve">concentration on London </w:t>
      </w:r>
      <w:r w:rsidR="0054662C" w:rsidRPr="001B42DB">
        <w:rPr>
          <w:bCs/>
        </w:rPr>
        <w:t>is a stroke of fortune for the historian, because survival of Port Books is extremely uneven for any individual port, never mind the total trade of a range of ports for any given year.</w:t>
      </w:r>
      <w:r w:rsidR="0054662C">
        <w:rPr>
          <w:bCs/>
        </w:rPr>
        <w:t xml:space="preserve"> </w:t>
      </w:r>
      <w:r w:rsidR="0054662C" w:rsidRPr="001B42DB">
        <w:rPr>
          <w:bCs/>
        </w:rPr>
        <w:t xml:space="preserve">Surveys of a large number of surviving Port Books suggest that the trade elsewhere was tiny across </w:t>
      </w:r>
      <w:r w:rsidR="0054662C" w:rsidRPr="001B42DB">
        <w:rPr>
          <w:bCs/>
        </w:rPr>
        <w:lastRenderedPageBreak/>
        <w:t xml:space="preserve">the seventeenth century, with evidence of only small shipments to Hull and Ipswich (both important trading bases for the </w:t>
      </w:r>
      <w:proofErr w:type="spellStart"/>
      <w:r w:rsidR="0054662C" w:rsidRPr="001B42DB">
        <w:rPr>
          <w:bCs/>
        </w:rPr>
        <w:t>Eastlands</w:t>
      </w:r>
      <w:proofErr w:type="spellEnd"/>
      <w:r w:rsidR="0054662C" w:rsidRPr="001B42DB">
        <w:rPr>
          <w:bCs/>
        </w:rPr>
        <w:t xml:space="preserve"> Company).</w:t>
      </w:r>
      <w:r w:rsidR="0054662C" w:rsidRPr="001B42DB">
        <w:rPr>
          <w:rStyle w:val="FootnoteReference"/>
          <w:bCs/>
        </w:rPr>
        <w:footnoteReference w:id="29"/>
      </w:r>
      <w:r w:rsidR="0054662C" w:rsidRPr="001B42DB">
        <w:rPr>
          <w:b/>
          <w:bCs/>
        </w:rPr>
        <w:t xml:space="preserve"> </w:t>
      </w:r>
      <w:r w:rsidR="0054662C" w:rsidRPr="001B42DB">
        <w:rPr>
          <w:bCs/>
        </w:rPr>
        <w:t>The more complete customs records after 1699 confirm this picture. Potash shipments to ports other than London were generally much less than 5% of the trade, with only occasional peaks of around a tenth. Nearly all of these shipments come from the Baltic</w:t>
      </w:r>
      <w:r w:rsidR="0054662C">
        <w:rPr>
          <w:bCs/>
        </w:rPr>
        <w:t>, and hence were also found in the Sound Tolls</w:t>
      </w:r>
      <w:r w:rsidR="0054662C" w:rsidRPr="001B42DB">
        <w:rPr>
          <w:bCs/>
        </w:rPr>
        <w:t>.</w:t>
      </w:r>
      <w:r w:rsidR="0054662C" w:rsidRPr="001B42DB">
        <w:rPr>
          <w:rStyle w:val="FootnoteReference"/>
          <w:bCs/>
        </w:rPr>
        <w:footnoteReference w:id="30"/>
      </w:r>
    </w:p>
    <w:p w:rsidR="007B1070" w:rsidRDefault="007B1070" w:rsidP="00FC4841">
      <w:pPr>
        <w:tabs>
          <w:tab w:val="right" w:pos="9360"/>
        </w:tabs>
        <w:spacing w:line="480" w:lineRule="auto"/>
        <w:jc w:val="both"/>
      </w:pPr>
    </w:p>
    <w:p w:rsidR="00D63FB8" w:rsidRDefault="00D63FB8" w:rsidP="00FC4841">
      <w:pPr>
        <w:tabs>
          <w:tab w:val="right" w:pos="9360"/>
        </w:tabs>
        <w:spacing w:line="480" w:lineRule="auto"/>
        <w:jc w:val="center"/>
        <w:rPr>
          <w:b/>
        </w:rPr>
      </w:pPr>
    </w:p>
    <w:p w:rsidR="00D63FB8" w:rsidRDefault="00D63FB8" w:rsidP="00FC4841">
      <w:pPr>
        <w:tabs>
          <w:tab w:val="right" w:pos="9360"/>
        </w:tabs>
        <w:spacing w:line="480" w:lineRule="auto"/>
        <w:jc w:val="center"/>
        <w:rPr>
          <w:b/>
        </w:rPr>
      </w:pPr>
    </w:p>
    <w:p w:rsidR="00D72213" w:rsidRDefault="00D72213" w:rsidP="00FC4841">
      <w:pPr>
        <w:tabs>
          <w:tab w:val="right" w:pos="9360"/>
        </w:tabs>
        <w:spacing w:line="480" w:lineRule="auto"/>
        <w:jc w:val="center"/>
        <w:rPr>
          <w:b/>
        </w:rPr>
      </w:pPr>
      <w:proofErr w:type="gramStart"/>
      <w:r>
        <w:rPr>
          <w:b/>
        </w:rPr>
        <w:t>Figure 1.</w:t>
      </w:r>
      <w:proofErr w:type="gramEnd"/>
      <w:r>
        <w:rPr>
          <w:b/>
        </w:rPr>
        <w:t xml:space="preserve"> Total ash imports to England (lbs of potash equivalent)</w:t>
      </w:r>
    </w:p>
    <w:p w:rsidR="00D72213" w:rsidRDefault="00D72213" w:rsidP="00FC4841">
      <w:pPr>
        <w:tabs>
          <w:tab w:val="right" w:pos="9360"/>
        </w:tabs>
        <w:spacing w:line="480" w:lineRule="auto"/>
        <w:jc w:val="center"/>
        <w:rPr>
          <w:b/>
        </w:rPr>
      </w:pPr>
    </w:p>
    <w:p w:rsidR="004B3819" w:rsidRDefault="004B3819" w:rsidP="00FC4841">
      <w:pPr>
        <w:tabs>
          <w:tab w:val="right" w:pos="9360"/>
        </w:tabs>
        <w:spacing w:line="480" w:lineRule="auto"/>
        <w:rPr>
          <w:sz w:val="20"/>
          <w:szCs w:val="20"/>
        </w:rPr>
      </w:pPr>
      <w:r>
        <w:rPr>
          <w:noProof/>
          <w:lang w:eastAsia="en-GB"/>
        </w:rPr>
        <w:drawing>
          <wp:inline distT="0" distB="0" distL="0" distR="0" wp14:anchorId="29E97DE8" wp14:editId="7D9001CC">
            <wp:extent cx="5514975" cy="409575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sz w:val="20"/>
          <w:szCs w:val="20"/>
        </w:rPr>
        <w:t xml:space="preserve"> </w:t>
      </w:r>
    </w:p>
    <w:p w:rsidR="004B3819" w:rsidRDefault="004B3819" w:rsidP="00FC4841">
      <w:pPr>
        <w:tabs>
          <w:tab w:val="right" w:pos="9360"/>
        </w:tabs>
        <w:spacing w:line="480" w:lineRule="auto"/>
        <w:rPr>
          <w:sz w:val="20"/>
          <w:szCs w:val="20"/>
        </w:rPr>
      </w:pPr>
      <w:r>
        <w:rPr>
          <w:sz w:val="20"/>
          <w:szCs w:val="20"/>
        </w:rPr>
        <w:t xml:space="preserve">Legend: grey indicates source is Port Books or proxy estimates from other records; black from </w:t>
      </w:r>
      <w:proofErr w:type="spellStart"/>
      <w:r>
        <w:rPr>
          <w:sz w:val="20"/>
          <w:szCs w:val="20"/>
        </w:rPr>
        <w:t>Cust</w:t>
      </w:r>
      <w:proofErr w:type="spellEnd"/>
      <w:r>
        <w:rPr>
          <w:sz w:val="20"/>
          <w:szCs w:val="20"/>
        </w:rPr>
        <w:t xml:space="preserve"> 3.</w:t>
      </w:r>
    </w:p>
    <w:p w:rsidR="00D72213" w:rsidRDefault="00D72213" w:rsidP="00FC4841">
      <w:pPr>
        <w:tabs>
          <w:tab w:val="right" w:pos="9360"/>
        </w:tabs>
        <w:spacing w:line="480" w:lineRule="auto"/>
        <w:rPr>
          <w:sz w:val="20"/>
          <w:szCs w:val="20"/>
        </w:rPr>
      </w:pPr>
      <w:r>
        <w:rPr>
          <w:sz w:val="20"/>
          <w:szCs w:val="20"/>
        </w:rPr>
        <w:lastRenderedPageBreak/>
        <w:t>Note: As ashes are not a homogeneous product, ‘</w:t>
      </w:r>
      <w:proofErr w:type="spellStart"/>
      <w:r>
        <w:rPr>
          <w:sz w:val="20"/>
          <w:szCs w:val="20"/>
        </w:rPr>
        <w:t>woad</w:t>
      </w:r>
      <w:proofErr w:type="spellEnd"/>
      <w:r>
        <w:rPr>
          <w:sz w:val="20"/>
          <w:szCs w:val="20"/>
        </w:rPr>
        <w:t xml:space="preserve"> ashes’ or ‘soap ashes’ have been converted into the wood required for their manufacture wood equivalent and converted into potash equivalent by treating them as if that wood had been used in the manufacture of potash. On wood inputs into potash, see below. For the years up until 1627 aggregate customs receipts have been used and converted into ash inputs on the basis of the impost levied and the price of ash (derived from checking both official sources and individual valuations of shipments in the Port Books). In 1589, the data only covers Easter to Michaelmas, and comes directly from the Port Books. For all other years direct records of imports is available.</w:t>
      </w:r>
    </w:p>
    <w:p w:rsidR="00474F1B" w:rsidRDefault="00D72213" w:rsidP="00FC4841">
      <w:pPr>
        <w:pStyle w:val="FootnoteText"/>
        <w:spacing w:line="480" w:lineRule="auto"/>
      </w:pPr>
      <w:r>
        <w:t xml:space="preserve">Sources: </w:t>
      </w:r>
      <w:r w:rsidR="00F47B1D">
        <w:t xml:space="preserve">TNA SP 12/8. </w:t>
      </w:r>
      <w:proofErr w:type="gramStart"/>
      <w:r w:rsidR="00F47B1D">
        <w:t>ff.</w:t>
      </w:r>
      <w:r w:rsidR="00474F1B" w:rsidRPr="00474F1B">
        <w:t>63-4</w:t>
      </w:r>
      <w:proofErr w:type="gramEnd"/>
      <w:r w:rsidR="00474F1B" w:rsidRPr="00474F1B">
        <w:t xml:space="preserve">; </w:t>
      </w:r>
      <w:r w:rsidR="00F47B1D">
        <w:rPr>
          <w:rStyle w:val="definition"/>
        </w:rPr>
        <w:t>SP 16/87 f.65</w:t>
      </w:r>
      <w:r w:rsidR="00F47B1D">
        <w:t xml:space="preserve">   </w:t>
      </w:r>
      <w:r w:rsidR="00474F1B" w:rsidRPr="00474F1B">
        <w:t xml:space="preserve">British Library </w:t>
      </w:r>
      <w:proofErr w:type="spellStart"/>
      <w:r w:rsidR="00474F1B" w:rsidRPr="00474F1B">
        <w:t>Landsdowne</w:t>
      </w:r>
      <w:proofErr w:type="spellEnd"/>
      <w:r w:rsidR="00474F1B" w:rsidRPr="00474F1B">
        <w:t xml:space="preserve"> MS 8 ff.75-6; BL Cotton Titus MS B IV</w:t>
      </w:r>
      <w:r w:rsidR="00474F1B">
        <w:t xml:space="preserve">; </w:t>
      </w:r>
      <w:r w:rsidR="00474F1B" w:rsidRPr="00474F1B">
        <w:t>Add MS 36785 fols.4-5, 91-2;</w:t>
      </w:r>
      <w:r w:rsidR="00474F1B">
        <w:rPr>
          <w:b/>
        </w:rPr>
        <w:t xml:space="preserve"> </w:t>
      </w:r>
      <w:r w:rsidR="00474F1B">
        <w:t xml:space="preserve">TNA CUST 3 </w:t>
      </w:r>
      <w:r w:rsidR="00474F1B">
        <w:rPr>
          <w:i/>
        </w:rPr>
        <w:t>passim</w:t>
      </w:r>
      <w:r w:rsidR="00474F1B">
        <w:t xml:space="preserve">; Millard (1941) </w:t>
      </w:r>
      <w:proofErr w:type="spellStart"/>
      <w:r w:rsidR="00474F1B">
        <w:t>App.II</w:t>
      </w:r>
      <w:proofErr w:type="spellEnd"/>
      <w:r w:rsidR="00474F1B">
        <w:t xml:space="preserve"> Table 5.2; Gittins, L., ‘Innovations in textile bleaching in Britain in the eighteenth century’, </w:t>
      </w:r>
      <w:r w:rsidR="00474F1B">
        <w:rPr>
          <w:i/>
        </w:rPr>
        <w:t xml:space="preserve">Business History Review </w:t>
      </w:r>
      <w:r w:rsidR="00474F1B">
        <w:t>53/2 (1979), p.199.</w:t>
      </w:r>
    </w:p>
    <w:p w:rsidR="00D72213" w:rsidRPr="00474F1B" w:rsidRDefault="00D72213" w:rsidP="00FC4841">
      <w:pPr>
        <w:tabs>
          <w:tab w:val="right" w:pos="9360"/>
        </w:tabs>
        <w:spacing w:line="480" w:lineRule="auto"/>
        <w:rPr>
          <w:sz w:val="20"/>
          <w:szCs w:val="20"/>
        </w:rPr>
      </w:pPr>
    </w:p>
    <w:p w:rsidR="00D72213" w:rsidRDefault="00D72213" w:rsidP="00FC4841">
      <w:pPr>
        <w:tabs>
          <w:tab w:val="right" w:pos="9360"/>
        </w:tabs>
        <w:spacing w:line="480" w:lineRule="auto"/>
        <w:jc w:val="both"/>
      </w:pPr>
    </w:p>
    <w:p w:rsidR="007B1070" w:rsidRDefault="0054662C" w:rsidP="00FC4841">
      <w:pPr>
        <w:tabs>
          <w:tab w:val="right" w:pos="9360"/>
        </w:tabs>
        <w:spacing w:line="480" w:lineRule="auto"/>
        <w:jc w:val="both"/>
      </w:pPr>
      <w:r>
        <w:t xml:space="preserve">Figure 1 </w:t>
      </w:r>
      <w:r w:rsidR="007F6DF8">
        <w:t>provides my</w:t>
      </w:r>
      <w:r w:rsidR="007B1070">
        <w:t xml:space="preserve"> reconstruction of the import trade for the entire period from 1560. </w:t>
      </w:r>
      <w:r w:rsidRPr="001B42DB">
        <w:rPr>
          <w:bCs/>
        </w:rPr>
        <w:t xml:space="preserve">Ash shipments through the Sound were recorded in two kinds, either as plain ‘ash’ usually measured in </w:t>
      </w:r>
      <w:r w:rsidRPr="001B42DB">
        <w:rPr>
          <w:bCs/>
          <w:i/>
        </w:rPr>
        <w:t xml:space="preserve">Last, </w:t>
      </w:r>
      <w:r w:rsidRPr="001B42DB">
        <w:rPr>
          <w:bCs/>
        </w:rPr>
        <w:t xml:space="preserve">or potash usually measured in </w:t>
      </w:r>
      <w:r w:rsidR="00892C48">
        <w:rPr>
          <w:bCs/>
          <w:i/>
        </w:rPr>
        <w:t>ship-pounds</w:t>
      </w:r>
      <w:r w:rsidRPr="001B42DB">
        <w:rPr>
          <w:bCs/>
        </w:rPr>
        <w:t>.</w:t>
      </w:r>
      <w:r>
        <w:rPr>
          <w:bCs/>
        </w:rPr>
        <w:t xml:space="preserve"> Those landed in England were noted as either </w:t>
      </w:r>
      <w:r>
        <w:rPr>
          <w:bCs/>
          <w:i/>
        </w:rPr>
        <w:t xml:space="preserve">Last </w:t>
      </w:r>
      <w:r>
        <w:rPr>
          <w:bCs/>
        </w:rPr>
        <w:t>(typically for soap ashes) or as pounds or hundredweight.</w:t>
      </w:r>
      <w:r w:rsidRPr="001B42DB">
        <w:rPr>
          <w:rStyle w:val="FootnoteReference"/>
          <w:bCs/>
        </w:rPr>
        <w:footnoteReference w:id="31"/>
      </w:r>
      <w:r w:rsidRPr="001B42DB">
        <w:rPr>
          <w:bCs/>
        </w:rPr>
        <w:t xml:space="preserve"> However, as the two products were of different qualities</w:t>
      </w:r>
      <w:r w:rsidR="00892C48">
        <w:rPr>
          <w:bCs/>
        </w:rPr>
        <w:t xml:space="preserve"> with </w:t>
      </w:r>
      <w:proofErr w:type="gramStart"/>
      <w:r w:rsidR="00892C48">
        <w:rPr>
          <w:bCs/>
        </w:rPr>
        <w:t>a different</w:t>
      </w:r>
      <w:proofErr w:type="gramEnd"/>
      <w:r w:rsidR="00892C48">
        <w:rPr>
          <w:bCs/>
        </w:rPr>
        <w:t xml:space="preserve"> alkali content</w:t>
      </w:r>
      <w:r w:rsidRPr="001B42DB">
        <w:rPr>
          <w:bCs/>
        </w:rPr>
        <w:t xml:space="preserve">, it is misleading to </w:t>
      </w:r>
      <w:r w:rsidRPr="001B42DB">
        <w:rPr>
          <w:bCs/>
        </w:rPr>
        <w:lastRenderedPageBreak/>
        <w:t>aggregate these raw figures.</w:t>
      </w:r>
      <w:r w:rsidRPr="001B42DB">
        <w:rPr>
          <w:rStyle w:val="FootnoteReference"/>
          <w:bCs/>
        </w:rPr>
        <w:footnoteReference w:id="32"/>
      </w:r>
      <w:r w:rsidRPr="001B42DB">
        <w:rPr>
          <w:bCs/>
        </w:rPr>
        <w:t xml:space="preserve"> A more reliable indicator of the relative importance of the trade in each product is to convert them to a common measure, in this case </w:t>
      </w:r>
      <w:r w:rsidR="00474F1B">
        <w:rPr>
          <w:bCs/>
        </w:rPr>
        <w:t xml:space="preserve">as if all ash shipped was in fact potash. </w:t>
      </w:r>
      <w:r w:rsidR="00553CCA">
        <w:rPr>
          <w:bCs/>
        </w:rPr>
        <w:t xml:space="preserve">Details of the information available </w:t>
      </w:r>
      <w:r w:rsidR="00474F1B">
        <w:rPr>
          <w:bCs/>
        </w:rPr>
        <w:t xml:space="preserve">directly </w:t>
      </w:r>
      <w:r w:rsidR="00553CCA">
        <w:rPr>
          <w:bCs/>
        </w:rPr>
        <w:t>on potash, and the sources</w:t>
      </w:r>
      <w:r w:rsidR="00474F1B">
        <w:rPr>
          <w:bCs/>
        </w:rPr>
        <w:t xml:space="preserve"> for that product</w:t>
      </w:r>
      <w:r w:rsidR="00553CCA">
        <w:rPr>
          <w:bCs/>
        </w:rPr>
        <w:t xml:space="preserve">, are provided in the Appendix. </w:t>
      </w:r>
      <w:r w:rsidR="00DF0A21">
        <w:t>A fairly dramatic leap appears to have occurred in the Jacobean period, or from the 1590s at the earliest, followed by a more modest increase in proportional terms so that by the early e</w:t>
      </w:r>
      <w:r>
        <w:t>ighteenth century imports were three to four</w:t>
      </w:r>
      <w:r w:rsidR="00DF0A21">
        <w:t xml:space="preserve"> times higher than in the late sixteenth century. </w:t>
      </w:r>
      <w:r w:rsidR="003C33D1">
        <w:t>An aggregate of the total trade before 1699 must rely on English customs records only, as the Baltic trade only represented part of the whole, and ash was also shipp</w:t>
      </w:r>
      <w:r w:rsidR="00892C48">
        <w:t xml:space="preserve">ed via the Dutch </w:t>
      </w:r>
      <w:proofErr w:type="spellStart"/>
      <w:r w:rsidR="00892C48">
        <w:t>entrepôt</w:t>
      </w:r>
      <w:proofErr w:type="spellEnd"/>
      <w:r w:rsidR="00892C48">
        <w:t>. P</w:t>
      </w:r>
      <w:r w:rsidR="003C33D1" w:rsidRPr="001B42DB">
        <w:rPr>
          <w:bCs/>
        </w:rPr>
        <w:t>roclamations in 1622 and 1630 that sought to limit the carrying of import</w:t>
      </w:r>
      <w:r w:rsidR="003C33D1">
        <w:rPr>
          <w:bCs/>
        </w:rPr>
        <w:t>ed</w:t>
      </w:r>
      <w:r w:rsidR="003C33D1" w:rsidRPr="001B42DB">
        <w:rPr>
          <w:bCs/>
        </w:rPr>
        <w:t xml:space="preserve"> </w:t>
      </w:r>
      <w:r w:rsidR="003C33D1">
        <w:rPr>
          <w:bCs/>
        </w:rPr>
        <w:t xml:space="preserve">Baltic goods to English vessels </w:t>
      </w:r>
      <w:r w:rsidR="00892C48">
        <w:rPr>
          <w:bCs/>
        </w:rPr>
        <w:t xml:space="preserve">were </w:t>
      </w:r>
      <w:r w:rsidR="003C33D1">
        <w:rPr>
          <w:bCs/>
        </w:rPr>
        <w:t>only applied</w:t>
      </w:r>
      <w:r w:rsidR="00892C48">
        <w:rPr>
          <w:bCs/>
        </w:rPr>
        <w:t xml:space="preserve"> gradually</w:t>
      </w:r>
      <w:r w:rsidR="003C33D1">
        <w:rPr>
          <w:bCs/>
        </w:rPr>
        <w:t>.</w:t>
      </w:r>
      <w:r w:rsidR="003C33D1" w:rsidRPr="001B42DB">
        <w:rPr>
          <w:rStyle w:val="FootnoteReference"/>
          <w:bCs/>
        </w:rPr>
        <w:footnoteReference w:id="33"/>
      </w:r>
      <w:r w:rsidR="00892C48">
        <w:t xml:space="preserve"> Nevertheless the Baltic share of the trade</w:t>
      </w:r>
      <w:r w:rsidR="003C33D1">
        <w:t xml:space="preserve"> was very significant, and we can use the Danish data to trace significant changes in the structure of trade during the seventeenth century.  </w:t>
      </w:r>
    </w:p>
    <w:p w:rsidR="007B1070" w:rsidRPr="001B42DB" w:rsidRDefault="007B1070" w:rsidP="00FC4841">
      <w:pPr>
        <w:tabs>
          <w:tab w:val="right" w:pos="9360"/>
        </w:tabs>
        <w:spacing w:after="120" w:line="480" w:lineRule="auto"/>
        <w:jc w:val="both"/>
        <w:rPr>
          <w:b/>
        </w:rPr>
      </w:pPr>
    </w:p>
    <w:p w:rsidR="00BF2F9C" w:rsidRDefault="003C33D1" w:rsidP="00FC4841">
      <w:pPr>
        <w:pStyle w:val="ListParagraph"/>
        <w:spacing w:line="480" w:lineRule="auto"/>
        <w:ind w:left="0"/>
        <w:jc w:val="both"/>
      </w:pPr>
      <w:r w:rsidRPr="001B42DB">
        <w:rPr>
          <w:bCs/>
        </w:rPr>
        <w:t>Up until around 1620 international trade was almost entirely in wood ash (or ‘soap ashes’). Potash made its first appearance in the Port Books with a shipment from Danzig (in a ship from Hamburg) in May 1589, but its presence remained marginal for many years. It only appeared in Sound Toll records going to the Netherlands in 1598 and to England in 1613. Thereafter there was a very rapid switchover to potash around 1618-9, found in both English and Dutch shipments.</w:t>
      </w:r>
      <w:r w:rsidRPr="001B42DB">
        <w:rPr>
          <w:rStyle w:val="FootnoteReference"/>
          <w:bCs/>
        </w:rPr>
        <w:footnoteReference w:id="34"/>
      </w:r>
      <w:r w:rsidRPr="001B42DB">
        <w:rPr>
          <w:bCs/>
        </w:rPr>
        <w:t xml:space="preserve"> The causes of the shift towards the</w:t>
      </w:r>
      <w:r w:rsidR="00892C48">
        <w:rPr>
          <w:bCs/>
        </w:rPr>
        <w:t xml:space="preserve"> more highly refined potash</w:t>
      </w:r>
      <w:r w:rsidRPr="001B42DB">
        <w:rPr>
          <w:bCs/>
        </w:rPr>
        <w:t xml:space="preserve"> remain unclear. It may have been a technological switch that improved refining techniques. However, the timing also fits well with the rapid debasement of much of </w:t>
      </w:r>
      <w:proofErr w:type="gramStart"/>
      <w:r w:rsidRPr="001B42DB">
        <w:rPr>
          <w:bCs/>
        </w:rPr>
        <w:t>eastern</w:t>
      </w:r>
      <w:proofErr w:type="gramEnd"/>
      <w:r w:rsidRPr="001B42DB">
        <w:rPr>
          <w:bCs/>
        </w:rPr>
        <w:t xml:space="preserve"> Europe’s silver coinage, especially the Polish </w:t>
      </w:r>
      <w:r w:rsidRPr="001B42DB">
        <w:rPr>
          <w:bCs/>
          <w:i/>
        </w:rPr>
        <w:t>z</w:t>
      </w:r>
      <w:r w:rsidRPr="001B42DB">
        <w:rPr>
          <w:bCs/>
          <w:i/>
        </w:rPr>
        <w:softHyphen/>
        <w:t xml:space="preserve">loty. </w:t>
      </w:r>
      <w:r w:rsidRPr="001B42DB">
        <w:rPr>
          <w:bCs/>
        </w:rPr>
        <w:t xml:space="preserve">As this effectively cut labour costs it may have </w:t>
      </w:r>
      <w:r w:rsidRPr="001B42DB">
        <w:rPr>
          <w:bCs/>
        </w:rPr>
        <w:lastRenderedPageBreak/>
        <w:t xml:space="preserve">lowered processing and transport costs, encouraging the switch to a more refined </w:t>
      </w:r>
      <w:r w:rsidR="00892C48">
        <w:rPr>
          <w:bCs/>
        </w:rPr>
        <w:t>product requiring both more time to make and frequently brought much greater distances</w:t>
      </w:r>
      <w:r w:rsidRPr="001B42DB">
        <w:rPr>
          <w:bCs/>
        </w:rPr>
        <w:t>.</w:t>
      </w:r>
      <w:r w:rsidRPr="001B42DB">
        <w:rPr>
          <w:rStyle w:val="FootnoteReference"/>
          <w:bCs/>
        </w:rPr>
        <w:footnoteReference w:id="35"/>
      </w:r>
      <w:r w:rsidRPr="001B42DB">
        <w:rPr>
          <w:bCs/>
        </w:rPr>
        <w:t xml:space="preserve"> Wood ash was already freighted west in fairly substanti</w:t>
      </w:r>
      <w:r>
        <w:rPr>
          <w:bCs/>
        </w:rPr>
        <w:t>al sums from Danzig in the</w:t>
      </w:r>
      <w:r w:rsidRPr="001B42DB">
        <w:rPr>
          <w:bCs/>
        </w:rPr>
        <w:t xml:space="preserve"> fifteenth century, with around 1 000 </w:t>
      </w:r>
      <w:r w:rsidRPr="001B42DB">
        <w:rPr>
          <w:bCs/>
          <w:i/>
        </w:rPr>
        <w:t xml:space="preserve">last </w:t>
      </w:r>
      <w:r w:rsidRPr="001B42DB">
        <w:rPr>
          <w:bCs/>
        </w:rPr>
        <w:t xml:space="preserve">per year shipped from 1490-2, and at least 184.5 </w:t>
      </w:r>
      <w:r w:rsidRPr="001B42DB">
        <w:rPr>
          <w:bCs/>
          <w:i/>
        </w:rPr>
        <w:t xml:space="preserve">Last </w:t>
      </w:r>
      <w:r w:rsidRPr="001B42DB">
        <w:rPr>
          <w:bCs/>
        </w:rPr>
        <w:t>and some additional barrels were landed in London between April and June 1481.</w:t>
      </w:r>
      <w:r w:rsidRPr="001B42DB">
        <w:rPr>
          <w:rStyle w:val="FootnoteReference"/>
        </w:rPr>
        <w:footnoteReference w:id="36"/>
      </w:r>
      <w:r w:rsidRPr="001B42DB">
        <w:rPr>
          <w:bCs/>
        </w:rPr>
        <w:t xml:space="preserve"> During the sixteenth century the Dutch were almost certainly dominant as suppliers and consumers. In the mid-1570s, when up to of 13 000 </w:t>
      </w:r>
      <w:r w:rsidRPr="001B42DB">
        <w:rPr>
          <w:bCs/>
          <w:i/>
        </w:rPr>
        <w:t xml:space="preserve">Last </w:t>
      </w:r>
      <w:r w:rsidRPr="001B42DB">
        <w:rPr>
          <w:bCs/>
        </w:rPr>
        <w:t>was dispatched each year from the eastern Baltic, it seems unlikely that much more of a tenth of this reached England.</w:t>
      </w:r>
      <w:r w:rsidRPr="001B42DB">
        <w:rPr>
          <w:rStyle w:val="FootnoteReference"/>
          <w:bCs/>
        </w:rPr>
        <w:footnoteReference w:id="37"/>
      </w:r>
      <w:r w:rsidRPr="001B42DB">
        <w:rPr>
          <w:bCs/>
        </w:rPr>
        <w:t xml:space="preserve"> Soap ashes valued at £4 665 were landed in 1559-60, and £2 600 were imported in London in 1565. If, as in 1567-8, a </w:t>
      </w:r>
      <w:r w:rsidRPr="001B42DB">
        <w:rPr>
          <w:bCs/>
          <w:i/>
        </w:rPr>
        <w:t xml:space="preserve">Last </w:t>
      </w:r>
      <w:r w:rsidRPr="001B42DB">
        <w:rPr>
          <w:bCs/>
        </w:rPr>
        <w:t xml:space="preserve">was valued at £3, this implies around 1 000 </w:t>
      </w:r>
      <w:r w:rsidRPr="001B42DB">
        <w:rPr>
          <w:bCs/>
          <w:i/>
        </w:rPr>
        <w:t xml:space="preserve">Last </w:t>
      </w:r>
      <w:r w:rsidRPr="001B42DB">
        <w:rPr>
          <w:bCs/>
        </w:rPr>
        <w:t>per year arriving at this time</w:t>
      </w:r>
      <w:r w:rsidR="00947D68">
        <w:rPr>
          <w:bCs/>
        </w:rPr>
        <w:t xml:space="preserve"> (approximately 1 850 tons)</w:t>
      </w:r>
      <w:r w:rsidRPr="001B42DB">
        <w:rPr>
          <w:bCs/>
        </w:rPr>
        <w:t>. A memo drawn up for the English Crown of ‘</w:t>
      </w:r>
      <w:proofErr w:type="spellStart"/>
      <w:r w:rsidRPr="001B42DB">
        <w:rPr>
          <w:bCs/>
        </w:rPr>
        <w:t>foren</w:t>
      </w:r>
      <w:proofErr w:type="spellEnd"/>
      <w:r w:rsidRPr="001B42DB">
        <w:rPr>
          <w:bCs/>
        </w:rPr>
        <w:t xml:space="preserve"> commodities </w:t>
      </w:r>
      <w:proofErr w:type="spellStart"/>
      <w:r w:rsidRPr="001B42DB">
        <w:rPr>
          <w:bCs/>
        </w:rPr>
        <w:t>shypt</w:t>
      </w:r>
      <w:proofErr w:type="spellEnd"/>
      <w:r w:rsidRPr="001B42DB">
        <w:rPr>
          <w:bCs/>
        </w:rPr>
        <w:t xml:space="preserve"> into this </w:t>
      </w:r>
      <w:proofErr w:type="spellStart"/>
      <w:r w:rsidRPr="001B42DB">
        <w:rPr>
          <w:bCs/>
        </w:rPr>
        <w:t>rallme</w:t>
      </w:r>
      <w:proofErr w:type="spellEnd"/>
      <w:r w:rsidRPr="001B42DB">
        <w:rPr>
          <w:bCs/>
        </w:rPr>
        <w:t>’ for 1570 does not mention ashes at all.</w:t>
      </w:r>
      <w:r w:rsidRPr="001B42DB">
        <w:rPr>
          <w:rStyle w:val="FootnoteReference"/>
          <w:bCs/>
        </w:rPr>
        <w:footnoteReference w:id="38"/>
      </w:r>
      <w:r w:rsidRPr="001B42DB">
        <w:rPr>
          <w:bCs/>
        </w:rPr>
        <w:t xml:space="preserve"> In 1589, Port Books provide the imports both of alien and domestic merchants, albeit only for the summer months. These amounted to 1 198 </w:t>
      </w:r>
      <w:r w:rsidRPr="001B42DB">
        <w:rPr>
          <w:bCs/>
          <w:i/>
        </w:rPr>
        <w:t xml:space="preserve">Last. </w:t>
      </w:r>
      <w:r w:rsidRPr="001B42DB">
        <w:rPr>
          <w:bCs/>
        </w:rPr>
        <w:t>Comparison of Port Books and Sound Tolls suggests that wood ash was largely imported into England by domestic merchants using foreign vessels at this time.</w:t>
      </w:r>
      <w:r w:rsidRPr="001B42DB">
        <w:rPr>
          <w:rStyle w:val="FootnoteReference"/>
          <w:bCs/>
        </w:rPr>
        <w:footnoteReference w:id="39"/>
      </w:r>
      <w:r w:rsidRPr="001B42DB">
        <w:rPr>
          <w:bCs/>
        </w:rPr>
        <w:t xml:space="preserve"> </w:t>
      </w:r>
      <w:r w:rsidR="00947D68">
        <w:rPr>
          <w:bCs/>
        </w:rPr>
        <w:lastRenderedPageBreak/>
        <w:t xml:space="preserve">After the Jacobean expansion, </w:t>
      </w:r>
      <w:r w:rsidR="00947D68">
        <w:t>i</w:t>
      </w:r>
      <w:r w:rsidR="00BF2F9C" w:rsidRPr="001B42DB">
        <w:t>mports from the Baltic dropped dramatically</w:t>
      </w:r>
      <w:r w:rsidR="00DF0A21">
        <w:t xml:space="preserve"> from the 1640s</w:t>
      </w:r>
      <w:r w:rsidR="00196358">
        <w:t xml:space="preserve"> and did not fully recover until the eighteenth century. This was largely caused by geopolitical disruption,</w:t>
      </w:r>
      <w:r w:rsidR="00BF2F9C" w:rsidRPr="001B42DB">
        <w:t xml:space="preserve"> first</w:t>
      </w:r>
      <w:r w:rsidR="00196358">
        <w:t xml:space="preserve">ly </w:t>
      </w:r>
      <w:r w:rsidR="00BF2F9C" w:rsidRPr="001B42DB">
        <w:t xml:space="preserve">the </w:t>
      </w:r>
      <w:r w:rsidR="00196358">
        <w:t xml:space="preserve">great </w:t>
      </w:r>
      <w:r w:rsidR="00BF2F9C" w:rsidRPr="001B42DB">
        <w:t xml:space="preserve">Cossack uprising (1648-1657), and then the Polish-Russian war (1654-1667) and Second Northern War which saw Swedish invasions of Poland and Denmark (1655-1660), as well as a Dutch-Danish alliance against the English. </w:t>
      </w:r>
      <w:r w:rsidRPr="001B42DB">
        <w:t xml:space="preserve">The disruptions further east led to the brief florescence of potash production in the beech woods of </w:t>
      </w:r>
      <w:proofErr w:type="spellStart"/>
      <w:r w:rsidRPr="001B42DB">
        <w:t>Blekinge</w:t>
      </w:r>
      <w:proofErr w:type="spellEnd"/>
      <w:r w:rsidRPr="001B42DB">
        <w:t xml:space="preserve"> (now in southern Sweden, then under Danish rule) and above all </w:t>
      </w:r>
      <w:r w:rsidR="00947D68">
        <w:t xml:space="preserve">in </w:t>
      </w:r>
      <w:r w:rsidRPr="001B42DB">
        <w:t>Swedish districts to the north.</w:t>
      </w:r>
      <w:r w:rsidRPr="001B42DB">
        <w:rPr>
          <w:rStyle w:val="FootnoteReference"/>
        </w:rPr>
        <w:footnoteReference w:id="40"/>
      </w:r>
      <w:r w:rsidRPr="001B42DB">
        <w:t xml:space="preserve"> </w:t>
      </w:r>
      <w:r w:rsidR="00BF2F9C" w:rsidRPr="001B42DB">
        <w:t xml:space="preserve">But even before these upheavals, English merchants </w:t>
      </w:r>
      <w:r w:rsidR="004B33BB">
        <w:t>followed the Dutch in opening</w:t>
      </w:r>
      <w:r w:rsidR="00BF2F9C" w:rsidRPr="001B42DB">
        <w:t xml:space="preserve"> up a northern supply </w:t>
      </w:r>
      <w:r w:rsidR="00196358">
        <w:t xml:space="preserve">route in 1642 </w:t>
      </w:r>
      <w:r w:rsidR="00BF2F9C" w:rsidRPr="001B42DB">
        <w:t>from Archangel, and in 1644 o</w:t>
      </w:r>
      <w:r w:rsidR="00196358">
        <w:t>btained a seven-year gra</w:t>
      </w:r>
      <w:r w:rsidR="00C227A6">
        <w:t>nt for a production monopoly in the Dvina basin</w:t>
      </w:r>
      <w:r w:rsidR="004B33BB">
        <w:t xml:space="preserve"> to the south-east of the White Sea, wresting this from a Dutch merchants</w:t>
      </w:r>
      <w:r w:rsidR="00BF2F9C" w:rsidRPr="001B42DB">
        <w:t>. Their monopoly was peremptorily abolished in 1649 on the execution of Charles I</w:t>
      </w:r>
      <w:r w:rsidR="00947D68">
        <w:t xml:space="preserve">. </w:t>
      </w:r>
      <w:r w:rsidR="002C7E6D" w:rsidRPr="001B42DB">
        <w:t xml:space="preserve">From 1645-9 they managed production levels that may have been as much as 310 tons </w:t>
      </w:r>
      <w:r w:rsidR="002C7E6D" w:rsidRPr="001B42DB">
        <w:rPr>
          <w:i/>
        </w:rPr>
        <w:t xml:space="preserve">per annum, </w:t>
      </w:r>
      <w:r w:rsidR="002C7E6D" w:rsidRPr="001B42DB">
        <w:t xml:space="preserve">consuming over a million cubic metres of wood, at the very peak. </w:t>
      </w:r>
      <w:r w:rsidR="00947D68">
        <w:t>The 1650</w:t>
      </w:r>
      <w:r w:rsidR="00196358">
        <w:t>s are a more obscure decade, during which intermediaries must have sustained the trade, along with temporary supplies f</w:t>
      </w:r>
      <w:r w:rsidR="00C227A6">
        <w:t>rom what is now southern Sweden</w:t>
      </w:r>
      <w:r w:rsidR="00196358">
        <w:t>.</w:t>
      </w:r>
      <w:r w:rsidR="00BF2F9C" w:rsidRPr="001B42DB">
        <w:rPr>
          <w:rStyle w:val="FootnoteReference"/>
        </w:rPr>
        <w:footnoteReference w:id="41"/>
      </w:r>
    </w:p>
    <w:p w:rsidR="00CD734B" w:rsidRPr="001B42DB" w:rsidRDefault="00CD734B" w:rsidP="00FC4841">
      <w:pPr>
        <w:pStyle w:val="ListParagraph"/>
        <w:spacing w:line="480" w:lineRule="auto"/>
        <w:ind w:left="0"/>
        <w:jc w:val="both"/>
      </w:pPr>
    </w:p>
    <w:p w:rsidR="00BF2F9C" w:rsidRDefault="00196358" w:rsidP="00FC4841">
      <w:pPr>
        <w:spacing w:line="480" w:lineRule="auto"/>
        <w:jc w:val="both"/>
      </w:pPr>
      <w:r>
        <w:t xml:space="preserve">The Russian trade was revived from 1676, at first via </w:t>
      </w:r>
      <w:proofErr w:type="spellStart"/>
      <w:r>
        <w:t>Narva</w:t>
      </w:r>
      <w:proofErr w:type="spellEnd"/>
      <w:r w:rsidR="00C227A6">
        <w:t xml:space="preserve"> on the Baltic</w:t>
      </w:r>
      <w:r>
        <w:t xml:space="preserve"> but soon focused again on Archangel. </w:t>
      </w:r>
      <w:r w:rsidR="002C7E6D" w:rsidRPr="001B42DB">
        <w:t>Danzig still retained some role due to the quality of its potash.</w:t>
      </w:r>
      <w:r w:rsidR="002C7E6D" w:rsidRPr="001B42DB">
        <w:rPr>
          <w:rStyle w:val="FootnoteReference"/>
        </w:rPr>
        <w:footnoteReference w:id="42"/>
      </w:r>
      <w:r w:rsidR="002C7E6D" w:rsidRPr="001B42DB">
        <w:t xml:space="preserve"> </w:t>
      </w:r>
      <w:r w:rsidR="002C7E6D" w:rsidRPr="002C7E6D">
        <w:t>Figure</w:t>
      </w:r>
      <w:r w:rsidR="00947D68">
        <w:t xml:space="preserve"> 2</w:t>
      </w:r>
      <w:r w:rsidR="002C7E6D" w:rsidRPr="002C7E6D">
        <w:t xml:space="preserve"> provides </w:t>
      </w:r>
      <w:r w:rsidR="002C7E6D">
        <w:t xml:space="preserve">a breakdown of sources of supply </w:t>
      </w:r>
      <w:r w:rsidR="00947D68">
        <w:t xml:space="preserve">when we have a complete picture </w:t>
      </w:r>
      <w:r w:rsidR="002C7E6D">
        <w:t xml:space="preserve">from 1699. </w:t>
      </w:r>
      <w:r w:rsidR="00BF2F9C" w:rsidRPr="001B42DB">
        <w:t xml:space="preserve">Russian ash was completely dominant around 1700 </w:t>
      </w:r>
      <w:r>
        <w:t xml:space="preserve">but the southern Baltic ports saw a </w:t>
      </w:r>
      <w:r>
        <w:lastRenderedPageBreak/>
        <w:t xml:space="preserve">revival during </w:t>
      </w:r>
      <w:r w:rsidR="00BF2F9C" w:rsidRPr="001B42DB">
        <w:t>the Great Northern War, especially between 1703 and 1711</w:t>
      </w:r>
      <w:r w:rsidR="007A0A24">
        <w:t>, then gradually fell back.</w:t>
      </w:r>
      <w:r w:rsidR="00BF2F9C" w:rsidRPr="001B42DB">
        <w:t xml:space="preserve"> </w:t>
      </w:r>
      <w:r w:rsidR="007A0A24">
        <w:t>There was also</w:t>
      </w:r>
      <w:r w:rsidR="00913FB1">
        <w:t xml:space="preserve"> a sea change in the way ash was freighted. Before 1650 it is clear that Dutch and German ships had the majority share of the trade to England; London was the recipient of over 40% of the total trade in the 1620s but only a quarter came in English vessels.</w:t>
      </w:r>
      <w:r w:rsidR="00553CCA">
        <w:rPr>
          <w:rStyle w:val="FootnoteReference"/>
        </w:rPr>
        <w:footnoteReference w:id="43"/>
      </w:r>
      <w:r w:rsidR="00913FB1">
        <w:t xml:space="preserve"> After 1650 the Dutch were almost completely excluded and English shipping came to dominate domestic supply, with occasional apparent upsurges in the role of Baltic fleets that may well have just been re-flagging for political convenience.</w:t>
      </w:r>
    </w:p>
    <w:p w:rsidR="00196358" w:rsidRDefault="00196358" w:rsidP="00FC4841">
      <w:pPr>
        <w:spacing w:line="480" w:lineRule="auto"/>
        <w:jc w:val="both"/>
      </w:pPr>
    </w:p>
    <w:p w:rsidR="00FC4841" w:rsidRDefault="00FC4841" w:rsidP="00FC4841">
      <w:pPr>
        <w:spacing w:line="480" w:lineRule="auto"/>
        <w:jc w:val="center"/>
        <w:rPr>
          <w:b/>
        </w:rPr>
      </w:pPr>
    </w:p>
    <w:p w:rsidR="00947D68" w:rsidRDefault="004B3819" w:rsidP="00FC4841">
      <w:pPr>
        <w:spacing w:line="480" w:lineRule="auto"/>
        <w:jc w:val="center"/>
        <w:rPr>
          <w:b/>
        </w:rPr>
      </w:pPr>
      <w:proofErr w:type="gramStart"/>
      <w:r>
        <w:rPr>
          <w:b/>
        </w:rPr>
        <w:t>Figure 2</w:t>
      </w:r>
      <w:r w:rsidR="00947D68">
        <w:rPr>
          <w:b/>
        </w:rPr>
        <w:t>.</w:t>
      </w:r>
      <w:proofErr w:type="gramEnd"/>
      <w:r w:rsidR="00D63FB8">
        <w:rPr>
          <w:b/>
        </w:rPr>
        <w:t xml:space="preserve"> Share of trade by region, 1700-1750 (%)</w:t>
      </w:r>
    </w:p>
    <w:p w:rsidR="00D63FB8" w:rsidRDefault="00D63FB8" w:rsidP="00FC4841">
      <w:pPr>
        <w:spacing w:line="480" w:lineRule="auto"/>
        <w:jc w:val="center"/>
        <w:rPr>
          <w:b/>
        </w:rPr>
      </w:pPr>
      <w:r>
        <w:rPr>
          <w:noProof/>
          <w:lang w:eastAsia="en-GB"/>
        </w:rPr>
        <w:drawing>
          <wp:inline distT="0" distB="0" distL="0" distR="0" wp14:anchorId="18A1EB1E" wp14:editId="16C5A90E">
            <wp:extent cx="5572125" cy="36480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B3819" w:rsidRDefault="004B3819" w:rsidP="00FC4841">
      <w:pPr>
        <w:spacing w:line="480" w:lineRule="auto"/>
        <w:jc w:val="center"/>
        <w:rPr>
          <w:b/>
        </w:rPr>
      </w:pPr>
    </w:p>
    <w:p w:rsidR="004B3819" w:rsidRPr="004B3819" w:rsidRDefault="004B3819" w:rsidP="00FC4841">
      <w:pPr>
        <w:spacing w:line="480" w:lineRule="auto"/>
        <w:rPr>
          <w:sz w:val="20"/>
          <w:szCs w:val="20"/>
        </w:rPr>
      </w:pPr>
      <w:r>
        <w:rPr>
          <w:sz w:val="20"/>
          <w:szCs w:val="20"/>
        </w:rPr>
        <w:t>Source: TNA CUST 3.</w:t>
      </w:r>
    </w:p>
    <w:p w:rsidR="00947D68" w:rsidRPr="001B42DB" w:rsidRDefault="00947D68" w:rsidP="00FC4841">
      <w:pPr>
        <w:spacing w:line="480" w:lineRule="auto"/>
        <w:jc w:val="both"/>
      </w:pPr>
    </w:p>
    <w:p w:rsidR="00BF2F9C" w:rsidRDefault="00913FB1" w:rsidP="00FC4841">
      <w:pPr>
        <w:spacing w:line="480" w:lineRule="auto"/>
        <w:jc w:val="both"/>
      </w:pPr>
      <w:r>
        <w:lastRenderedPageBreak/>
        <w:t>Imports continued to expand</w:t>
      </w:r>
      <w:r w:rsidR="008C4BD4">
        <w:t>, and i</w:t>
      </w:r>
      <w:r w:rsidR="00BF2F9C" w:rsidRPr="001B42DB">
        <w:t xml:space="preserve">n the years before the American Revolution well over 5 million lbs found passage to Britain each year, half of which </w:t>
      </w:r>
      <w:r>
        <w:t xml:space="preserve">now </w:t>
      </w:r>
      <w:r w:rsidR="00BF2F9C" w:rsidRPr="001B42DB">
        <w:t xml:space="preserve">came across the ocean in 1767, and </w:t>
      </w:r>
      <w:r>
        <w:t xml:space="preserve">three-quarters by 1772. </w:t>
      </w:r>
      <w:r w:rsidR="002C7E6D">
        <w:t>It was claimed that the higher quality American potash, once the process of production was successfully transplanted across the Atlantic, offered a particularly pure product suitable especially for bleaching.</w:t>
      </w:r>
      <w:r w:rsidR="002C7E6D">
        <w:rPr>
          <w:rStyle w:val="FootnoteReference"/>
        </w:rPr>
        <w:footnoteReference w:id="44"/>
      </w:r>
      <w:r w:rsidR="002C7E6D">
        <w:t xml:space="preserve"> </w:t>
      </w:r>
      <w:r w:rsidR="00BF2F9C" w:rsidRPr="001B42DB">
        <w:t xml:space="preserve">By the end of the century, truly colossal amounts were arriving in Britain as a whole: 14.2 million lbs in </w:t>
      </w:r>
      <w:proofErr w:type="gramStart"/>
      <w:r w:rsidR="00BF2F9C" w:rsidRPr="001B42DB">
        <w:t>1792,</w:t>
      </w:r>
      <w:proofErr w:type="gramEnd"/>
      <w:r w:rsidR="00BF2F9C" w:rsidRPr="001B42DB">
        <w:t xml:space="preserve"> and a staggering 36 million lbs</w:t>
      </w:r>
      <w:r w:rsidR="00CD734B">
        <w:t xml:space="preserve"> (16 000 tons)</w:t>
      </w:r>
      <w:r w:rsidR="00BF2F9C" w:rsidRPr="001B42DB">
        <w:t xml:space="preserve"> on the eve of renewed hostilities in 1810, reduced to 19.6 million lbs in 1811. In this last year the largest single supplier was Canada and the transatlan</w:t>
      </w:r>
      <w:r>
        <w:t>t</w:t>
      </w:r>
      <w:r w:rsidR="002C7E6D">
        <w:t>ic trade took 70% of the total.</w:t>
      </w:r>
      <w:r w:rsidR="002C7E6D" w:rsidRPr="001B42DB">
        <w:rPr>
          <w:rStyle w:val="FootnoteReference"/>
        </w:rPr>
        <w:footnoteReference w:id="45"/>
      </w:r>
      <w:r w:rsidR="005B2727">
        <w:t xml:space="preserve"> This compares with the probabl</w:t>
      </w:r>
      <w:r w:rsidR="00690F6C">
        <w:t>e</w:t>
      </w:r>
      <w:r w:rsidR="005B2727">
        <w:t xml:space="preserve"> scale of an annual trade well under 1 million lbs in the sixteenth century, between 1 and 3 million during much of the seventeenth, and with considerable variation between 3 and 5 million for much of the period eighteenth century. </w:t>
      </w:r>
    </w:p>
    <w:p w:rsidR="002C7E6D" w:rsidRDefault="002C7E6D" w:rsidP="00FC4841">
      <w:pPr>
        <w:spacing w:line="480" w:lineRule="auto"/>
        <w:jc w:val="both"/>
      </w:pPr>
    </w:p>
    <w:p w:rsidR="00226DA6" w:rsidRDefault="002C7E6D" w:rsidP="00FC4841">
      <w:pPr>
        <w:spacing w:line="480" w:lineRule="auto"/>
        <w:jc w:val="both"/>
      </w:pPr>
      <w:r w:rsidRPr="001B42DB">
        <w:t xml:space="preserve">To round off this quantitative reconstruction of the trade, we must examine prices. These are, however, few and far between. For soap ash, the </w:t>
      </w:r>
      <w:r>
        <w:rPr>
          <w:i/>
        </w:rPr>
        <w:t xml:space="preserve">rateable value </w:t>
      </w:r>
      <w:r w:rsidRPr="001B42DB">
        <w:t>seem</w:t>
      </w:r>
      <w:r w:rsidR="00947D68">
        <w:t>s</w:t>
      </w:r>
      <w:r w:rsidRPr="001B42DB">
        <w:t xml:space="preserve"> to have been around £3 per </w:t>
      </w:r>
      <w:r w:rsidRPr="001B42DB">
        <w:rPr>
          <w:i/>
        </w:rPr>
        <w:t xml:space="preserve">Last </w:t>
      </w:r>
      <w:r w:rsidRPr="001B42DB">
        <w:t xml:space="preserve">from the 1560s until 1600 but had leapt to £6 per </w:t>
      </w:r>
      <w:r w:rsidRPr="001B42DB">
        <w:rPr>
          <w:i/>
        </w:rPr>
        <w:t xml:space="preserve">Last </w:t>
      </w:r>
      <w:r w:rsidRPr="001B42DB">
        <w:t>by 1608.</w:t>
      </w:r>
      <w:r w:rsidRPr="001B42DB">
        <w:rPr>
          <w:rStyle w:val="FootnoteReference"/>
        </w:rPr>
        <w:footnoteReference w:id="46"/>
      </w:r>
      <w:r>
        <w:t xml:space="preserve"> But by 1610 it was observed that this was a major under-valuation and the real price was £16.</w:t>
      </w:r>
      <w:r>
        <w:rPr>
          <w:rStyle w:val="FootnoteReference"/>
        </w:rPr>
        <w:footnoteReference w:id="47"/>
      </w:r>
      <w:r>
        <w:t xml:space="preserve"> </w:t>
      </w:r>
      <w:r w:rsidRPr="001B42DB">
        <w:t xml:space="preserve">Valuations for potash are provided in the Port Books between 1609 and 1640 but these are clearly formulaic values related to dues rather than market prices, being fixed at £1 5s </w:t>
      </w:r>
      <w:r>
        <w:t xml:space="preserve">(25s) </w:t>
      </w:r>
      <w:r w:rsidRPr="001B42DB">
        <w:t xml:space="preserve">per 100 pounds of potash. The value of potash computed as valued at the Danish Sound using </w:t>
      </w:r>
      <w:r w:rsidRPr="001B42DB">
        <w:lastRenderedPageBreak/>
        <w:t>Hinton’s exchange rate was very much lower, but there was no large market for the ash there.</w:t>
      </w:r>
      <w:r w:rsidRPr="001B42DB">
        <w:rPr>
          <w:rStyle w:val="FootnoteReference"/>
        </w:rPr>
        <w:footnoteReference w:id="48"/>
      </w:r>
      <w:r w:rsidR="00947D68">
        <w:t xml:space="preserve"> In 1624, opposing an </w:t>
      </w:r>
      <w:r w:rsidRPr="001B42DB">
        <w:t xml:space="preserve">import ban </w:t>
      </w:r>
      <w:r w:rsidR="00947D68">
        <w:t xml:space="preserve">that was being proposed to underpin a </w:t>
      </w:r>
      <w:r w:rsidRPr="001B42DB">
        <w:t xml:space="preserve">domestic monopoly, the Eastland company claimed, with every incentive to exaggerate, that potash brought £30 000 of revenue each year. This might very roughly imply a value of one hundredweight of potash at about 30s, </w:t>
      </w:r>
      <w:r w:rsidR="00947D68">
        <w:t xml:space="preserve">in fact </w:t>
      </w:r>
      <w:r w:rsidRPr="001B42DB">
        <w:t>a not implausible amount</w:t>
      </w:r>
      <w:r>
        <w:t xml:space="preserve"> although Edward Williams claimed a much lower figure of 12s in compa</w:t>
      </w:r>
      <w:r w:rsidR="00947D68">
        <w:t xml:space="preserve">ring it with 1650 prices of £2. 12s is </w:t>
      </w:r>
      <w:r>
        <w:t xml:space="preserve">much closer to the </w:t>
      </w:r>
      <w:r w:rsidR="00947D68">
        <w:t xml:space="preserve">Danish valuation and </w:t>
      </w:r>
      <w:r w:rsidR="00226DA6">
        <w:t>thus may</w:t>
      </w:r>
      <w:r>
        <w:t xml:space="preserve"> reflect purchase prices in the east</w:t>
      </w:r>
      <w:r w:rsidRPr="001B42DB">
        <w:t>.</w:t>
      </w:r>
      <w:r>
        <w:t xml:space="preserve"> On the other hand, merchant William Cockayne entered into an agreement with those same putative monopolists in 1624, agreeing to buy £1000 of potash at a cost of £25 per ton, or 25s – precisely the official customs valuation. </w:t>
      </w:r>
      <w:r w:rsidRPr="001B42DB">
        <w:t>At the official landing values quoted by customs, the potash shipped through the Sound that year would be worth around £25 000, so the assumptio</w:t>
      </w:r>
      <w:r>
        <w:t>n historians have made that the Eastland company’s valuation</w:t>
      </w:r>
      <w:r w:rsidRPr="001B42DB">
        <w:t xml:space="preserve"> was a convenient exaggeration on the part of t</w:t>
      </w:r>
      <w:r>
        <w:t>he company seem overstated; it was not so far off the mark</w:t>
      </w:r>
      <w:r w:rsidRPr="001B42DB">
        <w:t>.</w:t>
      </w:r>
      <w:r w:rsidRPr="001B42DB">
        <w:rPr>
          <w:rStyle w:val="FootnoteReference"/>
        </w:rPr>
        <w:footnoteReference w:id="49"/>
      </w:r>
      <w:r w:rsidRPr="001B42DB">
        <w:t xml:space="preserve"> In 1657 customs duties re-valued one hundredweight of potash at £2.</w:t>
      </w:r>
      <w:r w:rsidRPr="001B42DB">
        <w:rPr>
          <w:rStyle w:val="FootnoteReference"/>
        </w:rPr>
        <w:footnoteReference w:id="50"/>
      </w:r>
      <w:r w:rsidRPr="001B42DB">
        <w:t xml:space="preserve"> </w:t>
      </w:r>
      <w:r>
        <w:t>In 1658, the Swedish Hamilton Company sold potash in London at 27s 3d per hundredweight.</w:t>
      </w:r>
      <w:r>
        <w:rPr>
          <w:rStyle w:val="FootnoteReference"/>
        </w:rPr>
        <w:footnoteReference w:id="51"/>
      </w:r>
      <w:r>
        <w:t xml:space="preserve"> </w:t>
      </w:r>
      <w:r w:rsidRPr="001B42DB">
        <w:t xml:space="preserve">Valuations of imports for the years 1663 and 1669 suggest in turn an actual price per hundredweight of potash of 33s and 37s respectively and </w:t>
      </w:r>
      <w:proofErr w:type="spellStart"/>
      <w:r w:rsidRPr="001B42DB">
        <w:t>Åstrom</w:t>
      </w:r>
      <w:proofErr w:type="spellEnd"/>
      <w:r w:rsidRPr="001B42DB">
        <w:t xml:space="preserve"> reckoned it was about 30s in 1685.</w:t>
      </w:r>
      <w:r w:rsidRPr="001B42DB">
        <w:rPr>
          <w:rStyle w:val="FootnoteReference"/>
        </w:rPr>
        <w:footnoteReference w:id="52"/>
      </w:r>
      <w:r w:rsidRPr="001B42DB">
        <w:t xml:space="preserve"> </w:t>
      </w:r>
      <w:r>
        <w:t xml:space="preserve">The </w:t>
      </w:r>
      <w:r>
        <w:lastRenderedPageBreak/>
        <w:t>official valuation of imports 1704-6 undertaken to estimate the potential value of opening up production in America set the price at 28s per hundredweight, exactly the same as the pre-1657 customs records.</w:t>
      </w:r>
      <w:r>
        <w:rPr>
          <w:rStyle w:val="FootnoteReference"/>
        </w:rPr>
        <w:footnoteReference w:id="53"/>
      </w:r>
      <w:r w:rsidR="00947D68">
        <w:t xml:space="preserve"> I</w:t>
      </w:r>
      <w:r w:rsidRPr="001B42DB">
        <w:t xml:space="preserve">n 1736 the ‘free on board’ price was as little as 22s per hundredweight, and in the 1760s, ‘pearly ashes’ could be got at a mere 34-36 s for a hundredweight, at a time when their expense was triggering efforts at import substitution. </w:t>
      </w:r>
      <w:r>
        <w:t xml:space="preserve">There had been a price spike of over 60s per hundredweight around 1750, the result of deliberate closure of Russian exports that hit Britain and was another incentive to invest in American ash. </w:t>
      </w:r>
      <w:r w:rsidRPr="001B42DB">
        <w:t>The British Linen Company (a Scottish institution) founded in 1746 sought to distribute ashes at subsidised prices to producers.</w:t>
      </w:r>
      <w:r w:rsidRPr="001B42DB">
        <w:rPr>
          <w:rStyle w:val="FootnoteReference"/>
        </w:rPr>
        <w:footnoteReference w:id="54"/>
      </w:r>
      <w:r w:rsidRPr="001B42DB">
        <w:t xml:space="preserve"> </w:t>
      </w:r>
    </w:p>
    <w:p w:rsidR="00226DA6" w:rsidRDefault="00226DA6" w:rsidP="00FC4841">
      <w:pPr>
        <w:spacing w:line="480" w:lineRule="auto"/>
        <w:jc w:val="both"/>
      </w:pPr>
    </w:p>
    <w:p w:rsidR="003416F0" w:rsidRPr="003416F0" w:rsidRDefault="003416F0" w:rsidP="00FC4841">
      <w:pPr>
        <w:spacing w:line="480" w:lineRule="auto"/>
        <w:jc w:val="center"/>
        <w:rPr>
          <w:b/>
        </w:rPr>
      </w:pPr>
      <w:proofErr w:type="gramStart"/>
      <w:r>
        <w:rPr>
          <w:b/>
        </w:rPr>
        <w:t>Figure 3.</w:t>
      </w:r>
      <w:proofErr w:type="gramEnd"/>
      <w:r w:rsidR="00D63FB8">
        <w:rPr>
          <w:b/>
        </w:rPr>
        <w:t xml:space="preserve"> Prices of Ash in Amsterdam (guilders)</w:t>
      </w:r>
    </w:p>
    <w:p w:rsidR="003416F0" w:rsidRDefault="003416F0" w:rsidP="00FC4841">
      <w:pPr>
        <w:spacing w:line="480" w:lineRule="auto"/>
        <w:jc w:val="both"/>
      </w:pPr>
    </w:p>
    <w:p w:rsidR="00D63FB8" w:rsidRDefault="00D63FB8" w:rsidP="00FC4841">
      <w:pPr>
        <w:spacing w:line="480" w:lineRule="auto"/>
        <w:jc w:val="both"/>
      </w:pPr>
      <w:r>
        <w:rPr>
          <w:noProof/>
          <w:lang w:eastAsia="en-GB"/>
        </w:rPr>
        <w:lastRenderedPageBreak/>
        <w:drawing>
          <wp:inline distT="0" distB="0" distL="0" distR="0" wp14:anchorId="4B6EF948" wp14:editId="7B5E0CC7">
            <wp:extent cx="5731510" cy="4435773"/>
            <wp:effectExtent l="0" t="0" r="21590" b="222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B3819" w:rsidRPr="004B3819" w:rsidRDefault="004B3819" w:rsidP="00FC4841">
      <w:pPr>
        <w:spacing w:line="480" w:lineRule="auto"/>
        <w:jc w:val="both"/>
        <w:rPr>
          <w:i/>
        </w:rPr>
      </w:pPr>
      <w:r w:rsidRPr="004B3819">
        <w:rPr>
          <w:sz w:val="20"/>
          <w:szCs w:val="20"/>
        </w:rPr>
        <w:t xml:space="preserve">Source: Posthumous, </w:t>
      </w:r>
      <w:r w:rsidRPr="004B3819">
        <w:rPr>
          <w:i/>
          <w:sz w:val="20"/>
          <w:szCs w:val="20"/>
        </w:rPr>
        <w:t>Inquiry</w:t>
      </w:r>
      <w:r>
        <w:rPr>
          <w:i/>
        </w:rPr>
        <w:t>.</w:t>
      </w:r>
    </w:p>
    <w:p w:rsidR="002C7E6D" w:rsidRPr="001B42DB" w:rsidRDefault="003416F0" w:rsidP="00FC4841">
      <w:pPr>
        <w:spacing w:line="480" w:lineRule="auto"/>
        <w:jc w:val="both"/>
      </w:pPr>
      <w:r>
        <w:t>Figure 3</w:t>
      </w:r>
      <w:r w:rsidR="00226DA6">
        <w:t xml:space="preserve"> provides a more detailed trend from the Dutch market, which is unlikely to have deviated from English trends significantly. T</w:t>
      </w:r>
      <w:r>
        <w:t>his</w:t>
      </w:r>
      <w:r w:rsidR="002C7E6D" w:rsidRPr="001B42DB">
        <w:t xml:space="preserve"> show clearly one remarkable general phenomenon: the long-term trend in prices between the early seventeenth and the mid-eighteenth century was stable or even slightly down</w:t>
      </w:r>
      <w:r w:rsidR="002C7E6D">
        <w:t>, and certainly fell in real terms</w:t>
      </w:r>
      <w:r w:rsidR="002C7E6D" w:rsidRPr="001B42DB">
        <w:t>.</w:t>
      </w:r>
      <w:r w:rsidR="002C7E6D" w:rsidRPr="001B42DB">
        <w:rPr>
          <w:rStyle w:val="FootnoteReference"/>
        </w:rPr>
        <w:footnoteReference w:id="55"/>
      </w:r>
      <w:r w:rsidR="002C7E6D" w:rsidRPr="001B42DB">
        <w:t xml:space="preserve"> Highly disruptive spikes in price can be seen, such as the period 1648-52 associated with the Cossack revolt and the War of Austrian succession in the 1740s. An English petition of 1649 also spoke of potashes having recently increased fivefold in price, doubtless a result of the interruption to commerce caused first by the revolt in the east, and then the closure of the Archangel route</w:t>
      </w:r>
      <w:r>
        <w:t xml:space="preserve"> after the execution of Charles I. Imports </w:t>
      </w:r>
      <w:r w:rsidR="002C7E6D" w:rsidRPr="001B42DB">
        <w:t xml:space="preserve">remained </w:t>
      </w:r>
      <w:r>
        <w:t xml:space="preserve">low for several years </w:t>
      </w:r>
      <w:r w:rsidR="002C7E6D" w:rsidRPr="001B42DB">
        <w:t xml:space="preserve">due </w:t>
      </w:r>
      <w:r w:rsidR="002C7E6D" w:rsidRPr="001B42DB">
        <w:lastRenderedPageBreak/>
        <w:t>to the Anglo-Dutch war of 1652-4.</w:t>
      </w:r>
      <w:r w:rsidR="002C7E6D" w:rsidRPr="001B42DB">
        <w:rPr>
          <w:rStyle w:val="FootnoteReference"/>
        </w:rPr>
        <w:footnoteReference w:id="56"/>
      </w:r>
      <w:r w:rsidR="002C7E6D" w:rsidRPr="001B42DB">
        <w:t xml:space="preserve"> Noti</w:t>
      </w:r>
      <w:r>
        <w:t xml:space="preserve">ceable is the variable ratio between the </w:t>
      </w:r>
      <w:r w:rsidR="002C7E6D" w:rsidRPr="001B42DB">
        <w:t>value of bears’ foot (wood) ashes and potashes, both from Danzig.</w:t>
      </w:r>
      <w:r w:rsidR="002C7E6D" w:rsidRPr="001B42DB">
        <w:rPr>
          <w:rStyle w:val="FootnoteReference"/>
        </w:rPr>
        <w:footnoteReference w:id="57"/>
      </w:r>
      <w:r w:rsidR="002C7E6D" w:rsidRPr="001B42DB">
        <w:t xml:space="preserve"> As the latter had a higher alkali content, one would expect a premium, but the gap between the two fell dramatically between 1609 and 1624, the time of the great transition to potash use, opened up again in the early eighteenth century, and narrowed from the 1730s. This probably reflected the access of Danzig to more distant sources of potash supply, and created clear incentives for western consumers to buy potash. More pointedly for the overall stability of prices in the west, we can see that the </w:t>
      </w:r>
      <w:r w:rsidR="002C7E6D" w:rsidRPr="001B42DB">
        <w:rPr>
          <w:i/>
        </w:rPr>
        <w:t xml:space="preserve">silver </w:t>
      </w:r>
      <w:r w:rsidR="002C7E6D" w:rsidRPr="001B42DB">
        <w:t xml:space="preserve">price of Danzig potashes tended to decline in the long-run. This reflects the gradual debasement of the Polish currency, a shift in the terms of trade </w:t>
      </w:r>
      <w:r>
        <w:t xml:space="preserve">away from the east and </w:t>
      </w:r>
      <w:r w:rsidR="002C7E6D" w:rsidRPr="001B42DB">
        <w:t>decline of silver wages paid in Danzig relative to those of Amsterdam that began at the beginning of the seventeenth century. By the 1750s silver wages in the east had fallen by a quarter relative to 1600 and this would have lowered the costs of ash and expanded the horizons of supply for western industry.</w:t>
      </w:r>
      <w:r w:rsidR="002C7E6D" w:rsidRPr="001B42DB">
        <w:rPr>
          <w:rStyle w:val="FootnoteReference"/>
        </w:rPr>
        <w:footnoteReference w:id="58"/>
      </w:r>
      <w:r w:rsidR="002C7E6D" w:rsidRPr="001B42DB">
        <w:t xml:space="preserve"> While this made potash cheaper it also stimulated the </w:t>
      </w:r>
      <w:r>
        <w:t xml:space="preserve">further </w:t>
      </w:r>
      <w:r w:rsidR="002C7E6D" w:rsidRPr="001B42DB">
        <w:t>development of an import trade to avoid having to accept debased Polish currency in payment for western exports.</w:t>
      </w:r>
      <w:r w:rsidR="002C7E6D" w:rsidRPr="001B42DB">
        <w:rPr>
          <w:rStyle w:val="FootnoteReference"/>
        </w:rPr>
        <w:footnoteReference w:id="59"/>
      </w:r>
    </w:p>
    <w:p w:rsidR="00BF2F9C" w:rsidRDefault="00BF2F9C" w:rsidP="00FC4841">
      <w:pPr>
        <w:pStyle w:val="ListParagraph"/>
        <w:spacing w:line="480" w:lineRule="auto"/>
        <w:rPr>
          <w:b/>
        </w:rPr>
      </w:pPr>
    </w:p>
    <w:p w:rsidR="00B74835" w:rsidRDefault="00B74835" w:rsidP="00FC4841">
      <w:pPr>
        <w:pStyle w:val="ListParagraph"/>
        <w:numPr>
          <w:ilvl w:val="0"/>
          <w:numId w:val="1"/>
        </w:numPr>
        <w:spacing w:line="480" w:lineRule="auto"/>
        <w:rPr>
          <w:b/>
        </w:rPr>
      </w:pPr>
      <w:r>
        <w:rPr>
          <w:b/>
        </w:rPr>
        <w:t xml:space="preserve">The organisation of the trade </w:t>
      </w:r>
    </w:p>
    <w:p w:rsidR="00BF2F9C" w:rsidRDefault="00BF2F9C" w:rsidP="00FC4841">
      <w:pPr>
        <w:pStyle w:val="ListParagraph"/>
        <w:spacing w:line="480" w:lineRule="auto"/>
        <w:rPr>
          <w:b/>
        </w:rPr>
      </w:pPr>
    </w:p>
    <w:p w:rsidR="00BF2F9C" w:rsidRDefault="00BF2F9C" w:rsidP="00FC4841">
      <w:pPr>
        <w:spacing w:line="480" w:lineRule="auto"/>
        <w:jc w:val="both"/>
      </w:pPr>
      <w:r w:rsidRPr="001B42DB">
        <w:t xml:space="preserve">From 1579 the </w:t>
      </w:r>
      <w:r w:rsidR="008C4BD4">
        <w:t xml:space="preserve">direct </w:t>
      </w:r>
      <w:r w:rsidR="00913FB1">
        <w:t xml:space="preserve">ash </w:t>
      </w:r>
      <w:r w:rsidRPr="001B42DB">
        <w:t>trade to the Baltic was conducted under th</w:t>
      </w:r>
      <w:r w:rsidR="00913FB1">
        <w:t xml:space="preserve">e aegis of the </w:t>
      </w:r>
      <w:r w:rsidR="008C4BD4">
        <w:t xml:space="preserve">chartered monopoly of the </w:t>
      </w:r>
      <w:r w:rsidR="00913FB1">
        <w:t xml:space="preserve">Eastland Company, a development that went hand-in-hand </w:t>
      </w:r>
      <w:r w:rsidRPr="001B42DB">
        <w:t xml:space="preserve">with the </w:t>
      </w:r>
      <w:r>
        <w:t xml:space="preserve">final demolition of the privileges of the </w:t>
      </w:r>
      <w:proofErr w:type="spellStart"/>
      <w:r>
        <w:t>Hansa</w:t>
      </w:r>
      <w:proofErr w:type="spellEnd"/>
      <w:r>
        <w:t xml:space="preserve"> merchants in plyin</w:t>
      </w:r>
      <w:r w:rsidR="008C4BD4">
        <w:t>g the Baltic trade with England. The Company set up a</w:t>
      </w:r>
      <w:r w:rsidRPr="001B42DB">
        <w:t xml:space="preserve"> staple market for English goods, primarily woollen broadcloths, at the </w:t>
      </w:r>
      <w:r w:rsidRPr="001B42DB">
        <w:lastRenderedPageBreak/>
        <w:t xml:space="preserve">town of </w:t>
      </w:r>
      <w:proofErr w:type="spellStart"/>
      <w:r w:rsidRPr="001B42DB">
        <w:t>Elbing</w:t>
      </w:r>
      <w:proofErr w:type="spellEnd"/>
      <w:r w:rsidR="00913FB1">
        <w:t xml:space="preserve">. </w:t>
      </w:r>
      <w:r w:rsidRPr="001B42DB">
        <w:t xml:space="preserve">Although the company’s ships sailed out of Hull, Newcastle, Ipswich and London, the return port for ashes was almost always London. </w:t>
      </w:r>
      <w:proofErr w:type="spellStart"/>
      <w:r w:rsidR="00913FB1">
        <w:t>Elbing</w:t>
      </w:r>
      <w:proofErr w:type="spellEnd"/>
      <w:r w:rsidR="00913FB1">
        <w:t xml:space="preserve"> is a near neighbour of </w:t>
      </w:r>
      <w:proofErr w:type="spellStart"/>
      <w:r w:rsidRPr="001B42DB">
        <w:t>Königsberg</w:t>
      </w:r>
      <w:proofErr w:type="spellEnd"/>
      <w:r w:rsidR="00913FB1">
        <w:t xml:space="preserve"> and thi</w:t>
      </w:r>
      <w:r w:rsidR="008C4BD4">
        <w:t xml:space="preserve">s city was the main export centre for English merchants. </w:t>
      </w:r>
      <w:r w:rsidRPr="001B42DB">
        <w:t>Potash seems to have comprised about 10-15% of the total value of the Eastland trade in t</w:t>
      </w:r>
      <w:r w:rsidR="00FD560F">
        <w:t xml:space="preserve">he 1620s and 40s, as valued at </w:t>
      </w:r>
      <w:proofErr w:type="spellStart"/>
      <w:r w:rsidR="00FD560F">
        <w:t>He</w:t>
      </w:r>
      <w:r w:rsidRPr="001B42DB">
        <w:t>lsin</w:t>
      </w:r>
      <w:r w:rsidR="00FD560F">
        <w:t>gø</w:t>
      </w:r>
      <w:r w:rsidRPr="001B42DB">
        <w:t>r</w:t>
      </w:r>
      <w:proofErr w:type="spellEnd"/>
      <w:r w:rsidR="008C4BD4">
        <w:t xml:space="preserve"> on the Danish Sound</w:t>
      </w:r>
      <w:r w:rsidR="00FD560F">
        <w:t>.  I</w:t>
      </w:r>
      <w:r w:rsidR="00913FB1">
        <w:t>n 1624</w:t>
      </w:r>
      <w:r w:rsidRPr="001B42DB">
        <w:t xml:space="preserve"> </w:t>
      </w:r>
      <w:r w:rsidR="008C4BD4">
        <w:t>during</w:t>
      </w:r>
      <w:r w:rsidR="00FD560F">
        <w:t xml:space="preserve"> a dispute over monopoly rights in soap-making </w:t>
      </w:r>
      <w:r w:rsidR="003416F0">
        <w:t>in England, the Eastland</w:t>
      </w:r>
      <w:r w:rsidR="008C4BD4">
        <w:t xml:space="preserve"> </w:t>
      </w:r>
      <w:r w:rsidRPr="001B42DB">
        <w:t>Company claimed ashes supplied a quarter of their total return</w:t>
      </w:r>
      <w:r w:rsidR="00FD560F">
        <w:t xml:space="preserve"> in London and argued </w:t>
      </w:r>
      <w:r w:rsidR="008C4BD4">
        <w:t xml:space="preserve">that </w:t>
      </w:r>
      <w:r w:rsidR="00FD560F">
        <w:t xml:space="preserve">they were </w:t>
      </w:r>
      <w:r w:rsidR="008C4BD4">
        <w:t xml:space="preserve">thus </w:t>
      </w:r>
      <w:r w:rsidR="00FD560F">
        <w:t>essential for the exp</w:t>
      </w:r>
      <w:r w:rsidR="008C4BD4">
        <w:t xml:space="preserve">ort of </w:t>
      </w:r>
      <w:r w:rsidR="00C227A6">
        <w:t xml:space="preserve">woollen </w:t>
      </w:r>
      <w:r w:rsidR="008C4BD4">
        <w:t>broadcloths to the East,</w:t>
      </w:r>
      <w:r w:rsidRPr="001B42DB">
        <w:t xml:space="preserve"> as Poles could not purchase goods in cash </w:t>
      </w:r>
      <w:r w:rsidR="00CD734B">
        <w:t xml:space="preserve">(or would do so in debased currency) </w:t>
      </w:r>
      <w:r w:rsidRPr="001B42DB">
        <w:t xml:space="preserve">and had to exchange commodities. </w:t>
      </w:r>
      <w:r w:rsidR="008C4BD4">
        <w:t>It seems however that i</w:t>
      </w:r>
      <w:r w:rsidR="00FD560F">
        <w:t xml:space="preserve">nstitutional changes on the demand and supply side, such as the setting up of a </w:t>
      </w:r>
      <w:proofErr w:type="spellStart"/>
      <w:r w:rsidR="00FD560F">
        <w:t>soapboilers</w:t>
      </w:r>
      <w:proofErr w:type="spellEnd"/>
      <w:r w:rsidR="00FD560F">
        <w:t xml:space="preserve">’ company </w:t>
      </w:r>
      <w:r w:rsidR="008C4BD4">
        <w:t xml:space="preserve">in London </w:t>
      </w:r>
      <w:r w:rsidR="00FD560F">
        <w:t xml:space="preserve">with monopoly rights in 1631, or geopolitical crises, never </w:t>
      </w:r>
      <w:r w:rsidRPr="001B42DB">
        <w:t xml:space="preserve">had more than a temporary impact on the </w:t>
      </w:r>
      <w:r w:rsidR="008C4BD4">
        <w:t xml:space="preserve">rise </w:t>
      </w:r>
      <w:r w:rsidRPr="001B42DB">
        <w:t xml:space="preserve">of potash imports. This was even the case after the staple of the Eastland Company at </w:t>
      </w:r>
      <w:proofErr w:type="spellStart"/>
      <w:r w:rsidRPr="001B42DB">
        <w:t>E</w:t>
      </w:r>
      <w:r w:rsidR="008C4BD4">
        <w:t>lbing</w:t>
      </w:r>
      <w:proofErr w:type="spellEnd"/>
      <w:r w:rsidR="008C4BD4">
        <w:t xml:space="preserve"> was occupied by the Swedish army</w:t>
      </w:r>
      <w:r w:rsidRPr="001B42DB">
        <w:t xml:space="preserve"> in 1626 </w:t>
      </w:r>
      <w:r w:rsidR="001F14A8">
        <w:t>interrupting</w:t>
      </w:r>
      <w:r w:rsidRPr="001B42DB">
        <w:t xml:space="preserve"> its privi</w:t>
      </w:r>
      <w:r w:rsidR="008C4BD4">
        <w:t xml:space="preserve">leges </w:t>
      </w:r>
      <w:r w:rsidR="00C227A6">
        <w:t>to trade with supplying regions of Poland</w:t>
      </w:r>
      <w:r w:rsidRPr="001B42DB">
        <w:t>. Overall the trade still expande</w:t>
      </w:r>
      <w:r w:rsidR="00FD560F">
        <w:t>d dramatically</w:t>
      </w:r>
      <w:r w:rsidRPr="001B42DB">
        <w:t>.</w:t>
      </w:r>
      <w:r w:rsidRPr="001B42DB">
        <w:rPr>
          <w:rStyle w:val="FootnoteReference"/>
        </w:rPr>
        <w:footnoteReference w:id="60"/>
      </w:r>
      <w:r w:rsidR="00226DA6">
        <w:t xml:space="preserve"> </w:t>
      </w:r>
      <w:r w:rsidR="00226DA6" w:rsidRPr="001B42DB">
        <w:t xml:space="preserve">From the 1650s a series of Navigation Acts were passed to require goods to </w:t>
      </w:r>
      <w:r w:rsidR="003416F0">
        <w:t xml:space="preserve">be </w:t>
      </w:r>
      <w:r w:rsidR="00226DA6" w:rsidRPr="001B42DB">
        <w:t xml:space="preserve">imported by English vessels, or directly in those of the exporting nation, while in Scotland various monopolies operated in the seventeenth century relating to either domestic potash production for the soap industry, or between 1661 and 1680 </w:t>
      </w:r>
      <w:r w:rsidR="00226DA6">
        <w:t xml:space="preserve">for control of </w:t>
      </w:r>
      <w:r w:rsidR="00226DA6" w:rsidRPr="001B42DB">
        <w:t>the wider trade.</w:t>
      </w:r>
      <w:r w:rsidR="00226DA6" w:rsidRPr="001B42DB">
        <w:rPr>
          <w:rStyle w:val="FootnoteReference"/>
        </w:rPr>
        <w:footnoteReference w:id="61"/>
      </w:r>
      <w:r w:rsidR="00226DA6" w:rsidRPr="001B42DB">
        <w:t xml:space="preserve"> In 1674, as Russian trade revived, a further Act was passed to prevent Russian ashes being shipped via </w:t>
      </w:r>
      <w:r w:rsidR="003416F0">
        <w:t xml:space="preserve">the </w:t>
      </w:r>
      <w:r w:rsidR="00226DA6" w:rsidRPr="001B42DB">
        <w:t xml:space="preserve">Netherlands, although licenses to permit this trade were also </w:t>
      </w:r>
      <w:r w:rsidR="003416F0">
        <w:t>sometimes issued</w:t>
      </w:r>
      <w:r w:rsidR="00226DA6" w:rsidRPr="001B42DB">
        <w:t>.</w:t>
      </w:r>
      <w:r w:rsidR="00226DA6" w:rsidRPr="001B42DB">
        <w:rPr>
          <w:rStyle w:val="FootnoteReference"/>
        </w:rPr>
        <w:footnoteReference w:id="62"/>
      </w:r>
      <w:r w:rsidR="00226DA6">
        <w:t xml:space="preserve"> </w:t>
      </w:r>
      <w:r w:rsidR="005E47CD">
        <w:t xml:space="preserve"> By the 1680s the grip of the Eastland Company on the trade was clearly weakening, </w:t>
      </w:r>
      <w:r w:rsidR="00226DA6">
        <w:t xml:space="preserve">but the English had become dominant </w:t>
      </w:r>
      <w:r w:rsidR="00226DA6">
        <w:lastRenderedPageBreak/>
        <w:t xml:space="preserve">in supplying </w:t>
      </w:r>
      <w:proofErr w:type="gramStart"/>
      <w:r w:rsidR="00226DA6">
        <w:t>their own</w:t>
      </w:r>
      <w:proofErr w:type="gramEnd"/>
      <w:r w:rsidR="00226DA6">
        <w:t xml:space="preserve"> needs. T</w:t>
      </w:r>
      <w:r w:rsidR="005E47CD">
        <w:t>here was generally a sharp division between those merchants who traded to Archangel, and those who plied the Baltic.</w:t>
      </w:r>
    </w:p>
    <w:p w:rsidR="00012DC7" w:rsidRDefault="00012DC7" w:rsidP="00FC4841">
      <w:pPr>
        <w:spacing w:line="480" w:lineRule="auto"/>
        <w:jc w:val="both"/>
      </w:pPr>
    </w:p>
    <w:p w:rsidR="00012DC7" w:rsidRDefault="00012DC7" w:rsidP="00FC4841">
      <w:pPr>
        <w:spacing w:line="480" w:lineRule="auto"/>
        <w:jc w:val="both"/>
      </w:pPr>
      <w:r>
        <w:t xml:space="preserve">We do not currently have direct estimates of the profitability of the ash trade, which was in any case one nearly always conducted as part of a wider set of exchanges by general merchants. Profits calculated by Maria </w:t>
      </w:r>
      <w:proofErr w:type="spellStart"/>
      <w:r>
        <w:t>Bogucka</w:t>
      </w:r>
      <w:proofErr w:type="spellEnd"/>
      <w:r>
        <w:t xml:space="preserve"> for the Danzig-Amsterdam trade 1634-1648 show a very high degree of </w:t>
      </w:r>
      <w:proofErr w:type="gramStart"/>
      <w:r>
        <w:t>variability,</w:t>
      </w:r>
      <w:proofErr w:type="gramEnd"/>
      <w:r>
        <w:t xml:space="preserve"> mostly the result of swings in Amsterdam prices determined by the volume of shipments through the Sound, itself a result of geopolitical events. It is difficult to draw any wider conclusions from these, other than that the sustained high level of imports indicates that they were worth pursuing.</w:t>
      </w:r>
      <w:r>
        <w:rPr>
          <w:rStyle w:val="FootnoteReference"/>
        </w:rPr>
        <w:footnoteReference w:id="63"/>
      </w:r>
      <w:r>
        <w:t xml:space="preserve"> However, one detailed account of the costs of delivering 40 casks of potash to London from the Swedish (but Irish and Scottish-run) Hamilton potash company in 1658 can give us some idea of the distribution of costs. This was a substantial cargo, as each cask contained over a long ton of potash and the total was over 100 000 lbs. Unfortunately, we do not know the purchase price of ash, or costs of production near Kalmar in Sweden. However, the potash sold at 27.25s the hundredweight in London to a soap-boiler, and the costs of getting it to the consumer made up 17.3% of the final price. Of this share, 24% was the freight (overwhelmingly the sea freight from Stockholm to London), 38% from tolls and taxes (nearly all English) and 23% from insurance (</w:t>
      </w:r>
      <w:r>
        <w:rPr>
          <w:i/>
        </w:rPr>
        <w:t xml:space="preserve">assurance </w:t>
      </w:r>
      <w:proofErr w:type="spellStart"/>
      <w:r>
        <w:rPr>
          <w:i/>
        </w:rPr>
        <w:t>för</w:t>
      </w:r>
      <w:proofErr w:type="spellEnd"/>
      <w:r>
        <w:rPr>
          <w:i/>
        </w:rPr>
        <w:t xml:space="preserve"> 2666 ¾ </w:t>
      </w:r>
      <w:proofErr w:type="spellStart"/>
      <w:r>
        <w:rPr>
          <w:i/>
        </w:rPr>
        <w:t>rixd</w:t>
      </w:r>
      <w:proofErr w:type="spellEnd"/>
      <w:r>
        <w:rPr>
          <w:i/>
        </w:rPr>
        <w:t xml:space="preserve"> a 9 </w:t>
      </w:r>
      <w:proofErr w:type="spellStart"/>
      <w:r>
        <w:rPr>
          <w:i/>
        </w:rPr>
        <w:t>procento</w:t>
      </w:r>
      <w:proofErr w:type="spellEnd"/>
      <w:r>
        <w:t>). The Company factor was paid partly in cash and partly in soap.</w:t>
      </w:r>
      <w:r>
        <w:rPr>
          <w:rStyle w:val="FootnoteReference"/>
        </w:rPr>
        <w:footnoteReference w:id="64"/>
      </w:r>
      <w:r>
        <w:t xml:space="preserve"> The high shares for tolls and taxes must have been </w:t>
      </w:r>
      <w:r>
        <w:lastRenderedPageBreak/>
        <w:t>facilitated by the general stability or downward trend in price, while insurance costs indicate the volatility of the Eastland trade in general.</w:t>
      </w:r>
    </w:p>
    <w:p w:rsidR="00012DC7" w:rsidRPr="001B42DB" w:rsidRDefault="00012DC7" w:rsidP="00FC4841">
      <w:pPr>
        <w:spacing w:line="480" w:lineRule="auto"/>
        <w:jc w:val="both"/>
      </w:pPr>
    </w:p>
    <w:p w:rsidR="005E47CD" w:rsidRDefault="00012DC7" w:rsidP="00FC4841">
      <w:pPr>
        <w:spacing w:line="480" w:lineRule="auto"/>
        <w:jc w:val="both"/>
      </w:pPr>
      <w:r>
        <w:t xml:space="preserve">However, this Swedish case of ash being produced in proximity to the coast probably had rather lower transport costs than average. </w:t>
      </w:r>
      <w:r w:rsidR="005E47CD" w:rsidRPr="001B42DB">
        <w:t xml:space="preserve">While ash </w:t>
      </w:r>
      <w:r w:rsidR="005E47CD">
        <w:t xml:space="preserve">was </w:t>
      </w:r>
      <w:r w:rsidR="005E47CD" w:rsidRPr="001B42DB">
        <w:t>produced close to the Balti</w:t>
      </w:r>
      <w:r w:rsidR="005E47CD">
        <w:t>c shore in southern Scandinavia and</w:t>
      </w:r>
      <w:r w:rsidR="005E47CD" w:rsidRPr="001B42DB">
        <w:t xml:space="preserve"> Royal Prussia, the majority of the trade </w:t>
      </w:r>
      <w:r w:rsidR="005E47CD">
        <w:t xml:space="preserve">drew </w:t>
      </w:r>
      <w:r w:rsidR="008C4BD4">
        <w:t xml:space="preserve">on </w:t>
      </w:r>
      <w:r w:rsidR="005E47CD" w:rsidRPr="001B42DB">
        <w:t xml:space="preserve">regions far inland and access along the great rivers of the east. Danzig </w:t>
      </w:r>
      <w:r w:rsidR="00C227A6">
        <w:t xml:space="preserve">and </w:t>
      </w:r>
      <w:proofErr w:type="spellStart"/>
      <w:r w:rsidR="00C227A6">
        <w:t>Königsberg</w:t>
      </w:r>
      <w:proofErr w:type="spellEnd"/>
      <w:r w:rsidR="00C227A6">
        <w:t xml:space="preserve"> </w:t>
      </w:r>
      <w:r w:rsidR="005E47CD" w:rsidRPr="001B42DB">
        <w:t xml:space="preserve">merchants drew on the basin of the Vistula and its tributaries, sometimes directly leasing forests as far away as Ruthenia in the 1630s. Lublin and </w:t>
      </w:r>
      <w:proofErr w:type="spellStart"/>
      <w:r w:rsidR="005E47CD" w:rsidRPr="001B42DB">
        <w:t>Lemberg</w:t>
      </w:r>
      <w:proofErr w:type="spellEnd"/>
      <w:r w:rsidR="005E47CD" w:rsidRPr="001B42DB">
        <w:t xml:space="preserve"> (Lvov) were the main marketplaces in the interior, and an English agent in Danzig in 1673 noted that ‘in times of peace’ it was usual to source potash from Wallachia, then far to the south on the Ottoman frontier. </w:t>
      </w:r>
      <w:r w:rsidR="005E47CD" w:rsidRPr="001B42DB">
        <w:rPr>
          <w:rStyle w:val="FootnoteReference"/>
        </w:rPr>
        <w:footnoteReference w:id="65"/>
      </w:r>
      <w:r w:rsidR="005E47CD" w:rsidRPr="001B42DB">
        <w:t xml:space="preserve"> </w:t>
      </w:r>
      <w:r w:rsidRPr="001B42DB">
        <w:t xml:space="preserve">In Russia, the forests of the middle Volga </w:t>
      </w:r>
      <w:r w:rsidR="00CA5DC5">
        <w:t xml:space="preserve">several hundred miles east of Moscow </w:t>
      </w:r>
      <w:r w:rsidRPr="001B42DB">
        <w:t>were the major source, where oak, elm, maple and lime were burned.</w:t>
      </w:r>
      <w:r w:rsidRPr="001B42DB">
        <w:rPr>
          <w:rStyle w:val="FootnoteReference"/>
        </w:rPr>
        <w:footnoteReference w:id="66"/>
      </w:r>
      <w:r w:rsidRPr="001B42DB">
        <w:t xml:space="preserve"> Nevertheless, all of the lands surrounding the Baltic continued to produce potash long into the nineteenth century.</w:t>
      </w:r>
      <w:r w:rsidRPr="001B42DB">
        <w:rPr>
          <w:rStyle w:val="FootnoteReference"/>
        </w:rPr>
        <w:footnoteReference w:id="67"/>
      </w:r>
      <w:r w:rsidRPr="001B42DB">
        <w:t xml:space="preserve"> </w:t>
      </w:r>
    </w:p>
    <w:p w:rsidR="001F14A8" w:rsidRDefault="001F14A8" w:rsidP="00FC4841">
      <w:pPr>
        <w:spacing w:after="120" w:line="480" w:lineRule="auto"/>
        <w:jc w:val="both"/>
      </w:pPr>
    </w:p>
    <w:p w:rsidR="005E47CD" w:rsidRPr="001B42DB" w:rsidRDefault="005E47CD" w:rsidP="00FC4841">
      <w:pPr>
        <w:spacing w:after="120" w:line="480" w:lineRule="auto"/>
        <w:jc w:val="both"/>
      </w:pPr>
      <w:r w:rsidRPr="001B42DB">
        <w:t>Near the Baltic shores there is evidence of smallholding peasants being active in producing ash,</w:t>
      </w:r>
      <w:r w:rsidRPr="001B42DB">
        <w:rPr>
          <w:rStyle w:val="FootnoteReference"/>
        </w:rPr>
        <w:footnoteReference w:id="68"/>
      </w:r>
      <w:r w:rsidRPr="001B42DB">
        <w:t xml:space="preserve"> but over time it appears that the mainstay of the trade moved</w:t>
      </w:r>
      <w:r w:rsidR="007D3CD3">
        <w:t xml:space="preserve"> further inland and became </w:t>
      </w:r>
      <w:r w:rsidRPr="001B42DB">
        <w:t>dominated by magnates and rulers, often using serf labour but with the emergenc</w:t>
      </w:r>
      <w:r>
        <w:t>e of ash-burning specialists.</w:t>
      </w:r>
      <w:r w:rsidR="007D3CD3">
        <w:t xml:space="preserve"> Landowners and rulers granted concessions to ash-producing companies that in turn provided the large amounts of capital tied up </w:t>
      </w:r>
      <w:r w:rsidR="001F14A8">
        <w:t xml:space="preserve">in </w:t>
      </w:r>
      <w:r w:rsidR="007D3CD3">
        <w:t xml:space="preserve">shifting major shipments long distances to ports. </w:t>
      </w:r>
      <w:r>
        <w:t>Ash</w:t>
      </w:r>
      <w:r w:rsidRPr="001B42DB">
        <w:t xml:space="preserve"> was typically produced in the winter months and could be more easily </w:t>
      </w:r>
      <w:r w:rsidRPr="001B42DB">
        <w:lastRenderedPageBreak/>
        <w:t>re</w:t>
      </w:r>
      <w:r w:rsidR="007D3CD3">
        <w:t>moved from the forests on sleds</w:t>
      </w:r>
      <w:r w:rsidRPr="001B42DB">
        <w:t>.</w:t>
      </w:r>
      <w:r w:rsidRPr="001B42DB">
        <w:rPr>
          <w:rStyle w:val="FootnoteReference"/>
        </w:rPr>
        <w:footnoteReference w:id="69"/>
      </w:r>
      <w:r w:rsidRPr="001B42DB">
        <w:t xml:space="preserve"> The Lithuanian parliament of 1547 made the establishment of the forest huts from which the ash-burners worked contingent on a fee and the permission of the Grand Duke</w:t>
      </w:r>
      <w:r>
        <w:t>,</w:t>
      </w:r>
      <w:r w:rsidRPr="001B42DB">
        <w:rPr>
          <w:rStyle w:val="FootnoteReference"/>
        </w:rPr>
        <w:footnoteReference w:id="70"/>
      </w:r>
      <w:r>
        <w:t xml:space="preserve"> b</w:t>
      </w:r>
      <w:r w:rsidRPr="001B42DB">
        <w:t xml:space="preserve">ut by 1559 this power was in the hands of the landlords. </w:t>
      </w:r>
      <w:r w:rsidR="00357C65">
        <w:t>In Russia the tsar gave concessions to Dutch and then English syndicates to produce potash in the 1630s and 1640s, but from</w:t>
      </w:r>
      <w:r w:rsidRPr="001B42DB">
        <w:t xml:space="preserve"> 1662 created a state monopoly.</w:t>
      </w:r>
      <w:r w:rsidRPr="001B42DB">
        <w:rPr>
          <w:rStyle w:val="FootnoteReference"/>
        </w:rPr>
        <w:footnoteReference w:id="71"/>
      </w:r>
      <w:r w:rsidRPr="001B42DB">
        <w:rPr>
          <w:rStyle w:val="FootnoteReference"/>
        </w:rPr>
        <w:t xml:space="preserve"> </w:t>
      </w:r>
      <w:r w:rsidRPr="005E47CD">
        <w:rPr>
          <w:rStyle w:val="FootnoteReference"/>
          <w:vertAlign w:val="baseline"/>
        </w:rPr>
        <w:t xml:space="preserve">From 1620 the right to manufacture or control all commerce potash in </w:t>
      </w:r>
      <w:proofErr w:type="spellStart"/>
      <w:r w:rsidRPr="005E47CD">
        <w:rPr>
          <w:rStyle w:val="FootnoteReference"/>
          <w:vertAlign w:val="baseline"/>
        </w:rPr>
        <w:t>Västergötland</w:t>
      </w:r>
      <w:proofErr w:type="spellEnd"/>
      <w:r w:rsidRPr="005E47CD">
        <w:rPr>
          <w:rStyle w:val="FootnoteReference"/>
          <w:vertAlign w:val="baseline"/>
        </w:rPr>
        <w:t xml:space="preserve"> in Sweden similarly became a royal concession to a Dutch entrepreneur, while in 1655 the right to make potash on Crown lands or buy up any other production was transferred to the new company of the Irish entrepreneur Hugo Hamilton</w:t>
      </w:r>
      <w:r>
        <w:rPr>
          <w:rStyle w:val="FootnoteReference"/>
          <w:vertAlign w:val="baseline"/>
        </w:rPr>
        <w:t xml:space="preserve">. </w:t>
      </w:r>
      <w:r w:rsidR="00012DC7" w:rsidRPr="00012DC7">
        <w:rPr>
          <w:rStyle w:val="FootnoteReference"/>
          <w:vertAlign w:val="baseline"/>
        </w:rPr>
        <w:t xml:space="preserve">His efforts in </w:t>
      </w:r>
      <w:proofErr w:type="spellStart"/>
      <w:r w:rsidR="00012DC7" w:rsidRPr="00012DC7">
        <w:rPr>
          <w:rStyle w:val="FootnoteReference"/>
          <w:vertAlign w:val="baseline"/>
        </w:rPr>
        <w:t>Småland</w:t>
      </w:r>
      <w:proofErr w:type="spellEnd"/>
      <w:r w:rsidR="00012DC7" w:rsidRPr="00012DC7">
        <w:rPr>
          <w:rStyle w:val="FootnoteReference"/>
          <w:vertAlign w:val="baseline"/>
        </w:rPr>
        <w:t xml:space="preserve"> initially required the support of credit from the Crown, and local officials. In Sweden it seems that wood ash was initially produced in the forest by peasants who then supplied </w:t>
      </w:r>
      <w:proofErr w:type="spellStart"/>
      <w:r w:rsidR="00012DC7" w:rsidRPr="00012DC7">
        <w:rPr>
          <w:rStyle w:val="FootnoteReference"/>
          <w:vertAlign w:val="baseline"/>
        </w:rPr>
        <w:t>potasheries</w:t>
      </w:r>
      <w:proofErr w:type="spellEnd"/>
      <w:r w:rsidR="00CA5DC5">
        <w:rPr>
          <w:rStyle w:val="FootnoteReference"/>
          <w:vertAlign w:val="baseline"/>
        </w:rPr>
        <w:t xml:space="preserve"> for refining</w:t>
      </w:r>
      <w:r w:rsidR="00012DC7" w:rsidRPr="00012DC7">
        <w:rPr>
          <w:rStyle w:val="FootnoteReference"/>
          <w:vertAlign w:val="baseline"/>
        </w:rPr>
        <w:t>.</w:t>
      </w:r>
      <w:r w:rsidR="00012DC7">
        <w:t xml:space="preserve"> </w:t>
      </w:r>
      <w:r>
        <w:t xml:space="preserve">Hamilton recruited a Scot, John Doughty, and his two sons, who claimed to have produced potash in Virginia and Barbados as well as worked in the soap industry in England. This seems almost certain to be the same John Doughty who sued for money owed after the British </w:t>
      </w:r>
      <w:proofErr w:type="spellStart"/>
      <w:r>
        <w:t>potasheries</w:t>
      </w:r>
      <w:proofErr w:type="spellEnd"/>
      <w:r>
        <w:t xml:space="preserve"> were closed down in Russia after the execution of Charles I, showing how a </w:t>
      </w:r>
      <w:r w:rsidR="00577FF8">
        <w:t xml:space="preserve">footloose </w:t>
      </w:r>
      <w:r>
        <w:t>potash entrepreneur</w:t>
      </w:r>
      <w:r w:rsidR="00577FF8">
        <w:t xml:space="preserve"> could operate</w:t>
      </w:r>
      <w:r>
        <w:t>.</w:t>
      </w:r>
      <w:r w:rsidR="00577FF8">
        <w:t xml:space="preserve"> But the westerners lacked the expertise to actually refine the product, relying on </w:t>
      </w:r>
      <w:proofErr w:type="spellStart"/>
      <w:r w:rsidR="00577FF8">
        <w:t>Livonians</w:t>
      </w:r>
      <w:proofErr w:type="spellEnd"/>
      <w:r w:rsidR="00577FF8">
        <w:t xml:space="preserve"> and Swedes.</w:t>
      </w:r>
      <w:r w:rsidRPr="001B42DB">
        <w:rPr>
          <w:rStyle w:val="FootnoteReference"/>
        </w:rPr>
        <w:footnoteReference w:id="72"/>
      </w:r>
    </w:p>
    <w:p w:rsidR="005E47CD" w:rsidRPr="001B42DB" w:rsidRDefault="005E47CD" w:rsidP="00FC4841">
      <w:pPr>
        <w:spacing w:line="480" w:lineRule="auto"/>
        <w:jc w:val="both"/>
      </w:pPr>
    </w:p>
    <w:p w:rsidR="005E47CD" w:rsidRPr="001B42DB" w:rsidRDefault="005E47CD" w:rsidP="00FC4841">
      <w:pPr>
        <w:spacing w:line="480" w:lineRule="auto"/>
        <w:jc w:val="both"/>
      </w:pPr>
      <w:r w:rsidRPr="001B42DB">
        <w:t>The geopolitical uncertainties of trading in the east made for an opening for projectors to suggest that North America</w:t>
      </w:r>
      <w:r w:rsidR="00107692">
        <w:t>, or more rarely Ireland</w:t>
      </w:r>
      <w:r w:rsidR="00012DC7">
        <w:t>,</w:t>
      </w:r>
      <w:r w:rsidR="00107692">
        <w:rPr>
          <w:rStyle w:val="FootnoteReference"/>
        </w:rPr>
        <w:footnoteReference w:id="73"/>
      </w:r>
      <w:r w:rsidRPr="001B42DB">
        <w:t xml:space="preserve"> could be more secure and ‘domestic’ </w:t>
      </w:r>
      <w:r w:rsidRPr="001B42DB">
        <w:lastRenderedPageBreak/>
        <w:t>source of the same goo</w:t>
      </w:r>
      <w:r w:rsidR="00577FF8">
        <w:t>ds</w:t>
      </w:r>
      <w:r w:rsidRPr="001B42DB">
        <w:t xml:space="preserve">. For much of the seventeenth century it was quite typical </w:t>
      </w:r>
      <w:r w:rsidR="007D3CD3">
        <w:t xml:space="preserve">for </w:t>
      </w:r>
      <w:r w:rsidR="00577FF8">
        <w:t xml:space="preserve">those marketing </w:t>
      </w:r>
      <w:r w:rsidRPr="001B42DB">
        <w:t xml:space="preserve">the potential of </w:t>
      </w:r>
      <w:r w:rsidR="00577FF8">
        <w:t xml:space="preserve">America </w:t>
      </w:r>
      <w:r w:rsidRPr="001B42DB">
        <w:t xml:space="preserve">to dwell on precisely the list of resources that one would expect to find on a ship from Danzig or Archangel: naval stores, timber, ash, furs, and possibly metals. In a few cases, such as the Puritan Matthew Craddock who was highly active in the Massachusetts Bay Company, this imaginative transferral </w:t>
      </w:r>
      <w:r w:rsidR="00577FF8">
        <w:t>came</w:t>
      </w:r>
      <w:r w:rsidR="007D3CD3">
        <w:t xml:space="preserve"> from direct experience.</w:t>
      </w:r>
      <w:r w:rsidR="00577FF8">
        <w:t xml:space="preserve"> </w:t>
      </w:r>
      <w:r w:rsidRPr="001B42DB">
        <w:t>Apparently Polish ash-burners were recruited for this purpose as early as 1609.</w:t>
      </w:r>
      <w:r w:rsidRPr="001B42DB">
        <w:rPr>
          <w:rStyle w:val="FootnoteReference"/>
        </w:rPr>
        <w:footnoteReference w:id="74"/>
      </w:r>
      <w:r w:rsidRPr="001B42DB">
        <w:t xml:space="preserve"> However, whether for lack of </w:t>
      </w:r>
      <w:r w:rsidR="007D3CD3">
        <w:t>effort, expertise or simply high costs such</w:t>
      </w:r>
      <w:r w:rsidRPr="001B42DB">
        <w:t xml:space="preserve"> </w:t>
      </w:r>
      <w:r w:rsidR="007D3CD3">
        <w:t xml:space="preserve"> attempts</w:t>
      </w:r>
      <w:r w:rsidRPr="001B42DB">
        <w:t xml:space="preserve"> came</w:t>
      </w:r>
      <w:r>
        <w:t xml:space="preserve"> to nothing; in 1700 the governor of Massachusetts Bay, the earl of </w:t>
      </w:r>
      <w:proofErr w:type="spellStart"/>
      <w:r>
        <w:t>Bellomont</w:t>
      </w:r>
      <w:proofErr w:type="spellEnd"/>
      <w:r>
        <w:t>, argued, ‘</w:t>
      </w:r>
      <w:r w:rsidRPr="00035253">
        <w:t xml:space="preserve">the </w:t>
      </w:r>
      <w:proofErr w:type="spellStart"/>
      <w:r w:rsidRPr="00035253">
        <w:t>dearnesse</w:t>
      </w:r>
      <w:proofErr w:type="spellEnd"/>
      <w:r w:rsidRPr="00035253">
        <w:t xml:space="preserve"> of labour is the main impediment, for the </w:t>
      </w:r>
      <w:r>
        <w:t>woods are infinite’, but 19 years later lack of expertise was being blamed.</w:t>
      </w:r>
      <w:r>
        <w:rPr>
          <w:rStyle w:val="FootnoteReference"/>
        </w:rPr>
        <w:footnoteReference w:id="75"/>
      </w:r>
      <w:r w:rsidRPr="001B42DB">
        <w:t xml:space="preserve"> </w:t>
      </w:r>
      <w:r>
        <w:t xml:space="preserve">In </w:t>
      </w:r>
      <w:r w:rsidRPr="001B42DB">
        <w:t xml:space="preserve">the eighteenth century, </w:t>
      </w:r>
      <w:r w:rsidR="00577FF8">
        <w:t xml:space="preserve">entrepreneurs frequently petitioned </w:t>
      </w:r>
      <w:r w:rsidRPr="001B42DB">
        <w:t>for a monopoly on ash production in one of the colonies</w:t>
      </w:r>
      <w:r w:rsidR="00534690">
        <w:t>, as well as Ireland in the 1690s</w:t>
      </w:r>
      <w:r w:rsidR="00577FF8">
        <w:t>.</w:t>
      </w:r>
      <w:r w:rsidRPr="001B42DB">
        <w:rPr>
          <w:rStyle w:val="FootnoteReference"/>
        </w:rPr>
        <w:footnoteReference w:id="76"/>
      </w:r>
      <w:r w:rsidRPr="001B42DB">
        <w:t xml:space="preserve"> In 1708, it was claimed in another petition that only one-thir</w:t>
      </w:r>
      <w:r w:rsidR="007D3CD3">
        <w:t xml:space="preserve">d of potash purchases from </w:t>
      </w:r>
      <w:r w:rsidRPr="001B42DB">
        <w:t xml:space="preserve">Russia </w:t>
      </w:r>
      <w:r w:rsidR="007D3CD3">
        <w:t>were paid for by exported</w:t>
      </w:r>
      <w:r w:rsidRPr="001B42DB">
        <w:t xml:space="preserve"> goods, so to prevent drainage of coin </w:t>
      </w:r>
      <w:r w:rsidR="00CA5DC5">
        <w:t xml:space="preserve">the author </w:t>
      </w:r>
      <w:r w:rsidRPr="001B42DB">
        <w:t>recommended extension of credit to stimulate American production; another claimed the</w:t>
      </w:r>
      <w:r w:rsidR="007D3CD3">
        <w:t xml:space="preserve"> nation was ex</w:t>
      </w:r>
      <w:r w:rsidRPr="001B42DB">
        <w:t xml:space="preserve">pending £100 000 </w:t>
      </w:r>
      <w:r w:rsidRPr="001B42DB">
        <w:rPr>
          <w:i/>
        </w:rPr>
        <w:t xml:space="preserve">per annum </w:t>
      </w:r>
      <w:r w:rsidRPr="001B42DB">
        <w:t>on pot- and pearl ashes in 1729.</w:t>
      </w:r>
      <w:r w:rsidRPr="001B42DB">
        <w:rPr>
          <w:rStyle w:val="FootnoteReference"/>
        </w:rPr>
        <w:footnoteReference w:id="77"/>
      </w:r>
      <w:r w:rsidRPr="001B42DB">
        <w:t xml:space="preserve"> </w:t>
      </w:r>
      <w:r w:rsidR="00012DC7">
        <w:t xml:space="preserve">South Carolina offered bounties, and potash production was a major goal in </w:t>
      </w:r>
      <w:r w:rsidR="00CA5DC5">
        <w:t>the newly-</w:t>
      </w:r>
      <w:r w:rsidR="00012DC7">
        <w:t xml:space="preserve">established the colony of Georgia, but without </w:t>
      </w:r>
      <w:r w:rsidR="00012DC7">
        <w:lastRenderedPageBreak/>
        <w:t>success; it turn</w:t>
      </w:r>
      <w:r w:rsidR="00CA5DC5">
        <w:t xml:space="preserve">ed out that southern trees </w:t>
      </w:r>
      <w:r w:rsidR="00012DC7">
        <w:t>gave low yields of ash.</w:t>
      </w:r>
      <w:r w:rsidR="00012DC7">
        <w:rPr>
          <w:rStyle w:val="FootnoteReference"/>
        </w:rPr>
        <w:footnoteReference w:id="78"/>
      </w:r>
      <w:r w:rsidR="00012DC7">
        <w:t xml:space="preserve"> </w:t>
      </w:r>
      <w:r w:rsidR="00534690">
        <w:t xml:space="preserve">Early </w:t>
      </w:r>
      <w:r w:rsidR="00CA5DC5">
        <w:t xml:space="preserve">American </w:t>
      </w:r>
      <w:r w:rsidR="00534690">
        <w:t xml:space="preserve">producers relied on the collection of urban hearth-ashes and used processes and labour that remained too expensive for the international market. It was only in the middle of the 1760s that production began to take off and </w:t>
      </w:r>
      <w:r w:rsidR="00534690" w:rsidRPr="001B42DB">
        <w:t>rise up to its extraordinary level in the first decade of the nineteenth century.</w:t>
      </w:r>
      <w:r w:rsidR="00534690">
        <w:t xml:space="preserve"> </w:t>
      </w:r>
      <w:r w:rsidR="00F01221">
        <w:t>Although premiums were offered to stimulate imports, t</w:t>
      </w:r>
      <w:r w:rsidR="00534690">
        <w:t xml:space="preserve">his seems to </w:t>
      </w:r>
      <w:r w:rsidR="00F01221">
        <w:t xml:space="preserve">above all </w:t>
      </w:r>
      <w:r w:rsidR="00534690">
        <w:t>be associated with the introduction of cheaper methods and a shift in the geographical basis of production towards the settlement frontier</w:t>
      </w:r>
      <w:r w:rsidR="00560A4C">
        <w:t>. B</w:t>
      </w:r>
      <w:r w:rsidR="00534690">
        <w:t>y the 1770s it was commonly made by farmers, making it competitive with ash from the east produced in more similar circumstances.</w:t>
      </w:r>
      <w:r w:rsidR="00560A4C">
        <w:t xml:space="preserve"> </w:t>
      </w:r>
      <w:r w:rsidR="00762B35">
        <w:t xml:space="preserve">It </w:t>
      </w:r>
      <w:r w:rsidR="00690F6C">
        <w:t>is</w:t>
      </w:r>
      <w:r w:rsidR="00762B35">
        <w:t xml:space="preserve"> hoped that wider appreciation of the importance of potash as an industrial input will stimulate more research on the precise means by which this transition occurred.</w:t>
      </w:r>
      <w:r w:rsidR="00534690" w:rsidRPr="001B42DB">
        <w:rPr>
          <w:rStyle w:val="FootnoteReference"/>
        </w:rPr>
        <w:footnoteReference w:id="79"/>
      </w:r>
    </w:p>
    <w:p w:rsidR="00BF2F9C" w:rsidRPr="001B42DB" w:rsidRDefault="00BF2F9C" w:rsidP="00FC4841">
      <w:pPr>
        <w:spacing w:line="480" w:lineRule="auto"/>
        <w:jc w:val="both"/>
      </w:pPr>
    </w:p>
    <w:p w:rsidR="00577FF8" w:rsidRDefault="00B74835" w:rsidP="00FC4841">
      <w:pPr>
        <w:pStyle w:val="ListParagraph"/>
        <w:numPr>
          <w:ilvl w:val="0"/>
          <w:numId w:val="1"/>
        </w:numPr>
        <w:spacing w:line="480" w:lineRule="auto"/>
        <w:rPr>
          <w:b/>
        </w:rPr>
      </w:pPr>
      <w:r>
        <w:rPr>
          <w:b/>
        </w:rPr>
        <w:t>Ecological impacts</w:t>
      </w:r>
    </w:p>
    <w:p w:rsidR="00577FF8" w:rsidRDefault="00577FF8" w:rsidP="00FC4841">
      <w:pPr>
        <w:pStyle w:val="ListParagraph"/>
        <w:spacing w:line="480" w:lineRule="auto"/>
        <w:rPr>
          <w:b/>
        </w:rPr>
      </w:pPr>
    </w:p>
    <w:p w:rsidR="0045287F" w:rsidRDefault="00BF2F9C" w:rsidP="00FC4841">
      <w:pPr>
        <w:spacing w:line="480" w:lineRule="auto"/>
        <w:jc w:val="both"/>
      </w:pPr>
      <w:r w:rsidRPr="001B42DB">
        <w:t xml:space="preserve">Producing ash required the destruction of many trees. </w:t>
      </w:r>
      <w:r w:rsidR="0045287F" w:rsidRPr="001B42DB">
        <w:t xml:space="preserve">As we have seen, deciduous hardwoods were preferred. </w:t>
      </w:r>
      <w:proofErr w:type="spellStart"/>
      <w:r w:rsidR="0045287F" w:rsidRPr="001B42DB">
        <w:t>Linneaus</w:t>
      </w:r>
      <w:proofErr w:type="spellEnd"/>
      <w:r w:rsidR="0045287F" w:rsidRPr="001B42DB">
        <w:t xml:space="preserve"> described the making of potash in Sweden in 1749. Old beech trunks and stocks were used, reduced to ash, collected and brought to huts where it was kneaded into dough with water. This was then smeared as a paste onto sticks of fir or pine that were burned in stacks, and the ash removed when red hot and starting to liquefy. This produced the blueish woo</w:t>
      </w:r>
      <w:r w:rsidR="00CA5DC5">
        <w:t xml:space="preserve">d-ash. To make potash, this wood or </w:t>
      </w:r>
      <w:proofErr w:type="spellStart"/>
      <w:r w:rsidR="00CA5DC5">
        <w:t>woad</w:t>
      </w:r>
      <w:proofErr w:type="spellEnd"/>
      <w:r w:rsidR="00CA5DC5">
        <w:t xml:space="preserve">-ash was </w:t>
      </w:r>
      <w:r w:rsidR="0045287F" w:rsidRPr="001B42DB">
        <w:t xml:space="preserve">dissolved in water to make lye that was heated in a pot, leaving a dark alkaline residue. For the highest quality, this could be further heated in an oven to produce a </w:t>
      </w:r>
      <w:proofErr w:type="spellStart"/>
      <w:r w:rsidR="0045287F" w:rsidRPr="001B42DB">
        <w:t>calcinated</w:t>
      </w:r>
      <w:proofErr w:type="spellEnd"/>
      <w:r w:rsidR="0045287F" w:rsidRPr="001B42DB">
        <w:t xml:space="preserve"> white, cake-like </w:t>
      </w:r>
      <w:r w:rsidR="0045287F" w:rsidRPr="001B42DB">
        <w:lastRenderedPageBreak/>
        <w:t>residue (sometimes varieties of which were called ‘pearl-ash’</w:t>
      </w:r>
      <w:r w:rsidR="0045287F">
        <w:t>, preferred by dyers</w:t>
      </w:r>
      <w:r w:rsidR="0045287F" w:rsidRPr="001B42DB">
        <w:t>).</w:t>
      </w:r>
      <w:r w:rsidR="0045287F">
        <w:t xml:space="preserve"> This would have been done in purpose-built </w:t>
      </w:r>
      <w:proofErr w:type="spellStart"/>
      <w:r w:rsidR="0045287F">
        <w:t>potasheries</w:t>
      </w:r>
      <w:proofErr w:type="spellEnd"/>
      <w:r w:rsidR="0045287F">
        <w:t>.</w:t>
      </w:r>
      <w:r w:rsidR="0045287F" w:rsidRPr="001B42DB">
        <w:rPr>
          <w:rStyle w:val="FootnoteReference"/>
        </w:rPr>
        <w:footnoteReference w:id="80"/>
      </w:r>
      <w:r w:rsidR="0045287F" w:rsidRPr="001B42DB">
        <w:t xml:space="preserve"> Much later sources in </w:t>
      </w:r>
      <w:proofErr w:type="gramStart"/>
      <w:r w:rsidR="0045287F" w:rsidRPr="001B42DB">
        <w:t>eastern</w:t>
      </w:r>
      <w:proofErr w:type="gramEnd"/>
      <w:r w:rsidR="0045287F" w:rsidRPr="001B42DB">
        <w:t xml:space="preserve"> Europe refer to ‘Polish’ or ‘Hungarian’ methods, so there was clearly some regional differentiation</w:t>
      </w:r>
      <w:r w:rsidR="0045287F">
        <w:t>, and Dunbar described a related but more primitive process for Scottish ash-making in 1736</w:t>
      </w:r>
      <w:r w:rsidR="0045287F" w:rsidRPr="001B42DB">
        <w:t>.</w:t>
      </w:r>
      <w:r w:rsidR="0045287F" w:rsidRPr="001B42DB">
        <w:rPr>
          <w:rStyle w:val="FootnoteReference"/>
        </w:rPr>
        <w:footnoteReference w:id="81"/>
      </w:r>
      <w:r w:rsidR="00CA5DC5">
        <w:t xml:space="preserve"> In the </w:t>
      </w:r>
      <w:r w:rsidR="0045287F">
        <w:t xml:space="preserve">early nineteenth century </w:t>
      </w:r>
      <w:proofErr w:type="spellStart"/>
      <w:r w:rsidR="0045287F">
        <w:t>Krünitz</w:t>
      </w:r>
      <w:proofErr w:type="spellEnd"/>
      <w:r w:rsidR="0045287F">
        <w:t xml:space="preserve"> compiled a very extensive discussion of different methods for making varied qualities of ash.</w:t>
      </w:r>
      <w:r w:rsidR="003A1F0D">
        <w:t xml:space="preserve"> A</w:t>
      </w:r>
      <w:r w:rsidR="00CA5DC5">
        <w:t>rchangel ash, for example, was</w:t>
      </w:r>
      <w:r w:rsidR="003A1F0D">
        <w:t xml:space="preserve"> produced by the combustion of entire beech trees, while Danzig ash was preferred by dyers. The burners of Silesia and Lusatia, whose ash was used in linen-bleaching, preferred the particular qualities of ash produced from old rotten silver firs, but rejecting either the stump or young wood. The ash market distinguished qualities by region and colour, although confusingly, the same term could be applied to quite different grades of ash. Baltic ports maintained marking schemes to indicate varying grades, and expert traders had a variety of techniques, from taste and smell to chemical investigation, to determine quality.</w:t>
      </w:r>
      <w:r w:rsidR="003A1F0D">
        <w:rPr>
          <w:rStyle w:val="FootnoteReference"/>
        </w:rPr>
        <w:footnoteReference w:id="82"/>
      </w:r>
    </w:p>
    <w:p w:rsidR="0045287F" w:rsidRDefault="0045287F" w:rsidP="00FC4841">
      <w:pPr>
        <w:spacing w:line="480" w:lineRule="auto"/>
        <w:jc w:val="both"/>
      </w:pPr>
    </w:p>
    <w:p w:rsidR="003A1F0D" w:rsidRPr="004421D7" w:rsidRDefault="00BF2F9C" w:rsidP="00FC4841">
      <w:pPr>
        <w:spacing w:line="480" w:lineRule="auto"/>
        <w:jc w:val="both"/>
        <w:rPr>
          <w:b/>
        </w:rPr>
      </w:pPr>
      <w:r w:rsidRPr="001B42DB">
        <w:t xml:space="preserve">This raises the question of the impact of this trade, both </w:t>
      </w:r>
      <w:r w:rsidR="007D3CD3">
        <w:t xml:space="preserve">economic and ecological, on </w:t>
      </w:r>
      <w:r w:rsidRPr="001B42DB">
        <w:t xml:space="preserve">regions of supply. </w:t>
      </w:r>
      <w:r w:rsidR="003A1F0D">
        <w:t xml:space="preserve">Unquestionably ash was highly demanding of wood, but how demanding exactly? </w:t>
      </w:r>
      <w:r w:rsidR="003A1F0D" w:rsidRPr="001B42DB">
        <w:t xml:space="preserve">Working from a Canadian source, </w:t>
      </w:r>
      <w:proofErr w:type="spellStart"/>
      <w:r w:rsidR="003A1F0D" w:rsidRPr="001B42DB">
        <w:t>Knoppers</w:t>
      </w:r>
      <w:proofErr w:type="spellEnd"/>
      <w:r w:rsidR="003A1F0D" w:rsidRPr="001B42DB">
        <w:t xml:space="preserve"> and Nicholls reckoned that 1 m</w:t>
      </w:r>
      <w:r w:rsidR="003A1F0D" w:rsidRPr="001B42DB">
        <w:rPr>
          <w:vertAlign w:val="superscript"/>
        </w:rPr>
        <w:t>3</w:t>
      </w:r>
      <w:r w:rsidR="003A1F0D" w:rsidRPr="001B42DB">
        <w:t xml:space="preserve"> of oak made 0.62 kg of potash.</w:t>
      </w:r>
      <w:r w:rsidR="003A1F0D" w:rsidRPr="001B42DB">
        <w:rPr>
          <w:rStyle w:val="FootnoteReference"/>
        </w:rPr>
        <w:footnoteReference w:id="83"/>
      </w:r>
      <w:r w:rsidR="003A1F0D" w:rsidRPr="001B42DB">
        <w:t xml:space="preserve"> Joachim </w:t>
      </w:r>
      <w:proofErr w:type="spellStart"/>
      <w:r w:rsidR="003A1F0D" w:rsidRPr="001B42DB">
        <w:t>Radkau</w:t>
      </w:r>
      <w:proofErr w:type="spellEnd"/>
      <w:r w:rsidR="003A1F0D" w:rsidRPr="001B42DB">
        <w:t xml:space="preserve"> quotes </w:t>
      </w:r>
      <w:proofErr w:type="spellStart"/>
      <w:r w:rsidR="003A1F0D" w:rsidRPr="001B42DB">
        <w:t>Blau</w:t>
      </w:r>
      <w:proofErr w:type="spellEnd"/>
      <w:r w:rsidR="003A1F0D" w:rsidRPr="001B42DB">
        <w:t xml:space="preserve"> from 1917 that 700kg was beech required for 1 kg potash, and 2000 kg</w:t>
      </w:r>
      <w:r w:rsidR="00CA5DC5">
        <w:t xml:space="preserve"> spruce. This would imply </w:t>
      </w:r>
      <w:r w:rsidR="003A1F0D" w:rsidRPr="001B42DB">
        <w:t>that 1 m</w:t>
      </w:r>
      <w:r w:rsidR="003A1F0D" w:rsidRPr="001B42DB">
        <w:rPr>
          <w:vertAlign w:val="superscript"/>
        </w:rPr>
        <w:t xml:space="preserve">3 </w:t>
      </w:r>
      <w:r w:rsidR="003A1F0D" w:rsidRPr="001B42DB">
        <w:t xml:space="preserve">of beech made about 0.8 kg </w:t>
      </w:r>
      <w:r w:rsidR="003A1F0D" w:rsidRPr="001B42DB">
        <w:lastRenderedPageBreak/>
        <w:t>of potash.</w:t>
      </w:r>
      <w:r w:rsidR="003A1F0D" w:rsidRPr="001B42DB">
        <w:rPr>
          <w:rStyle w:val="FootnoteReference"/>
        </w:rPr>
        <w:footnoteReference w:id="84"/>
      </w:r>
      <w:r w:rsidR="003A1F0D">
        <w:t xml:space="preserve"> Rather out of line is an estimate from Delaware that only a little over 0.5 m</w:t>
      </w:r>
      <w:r w:rsidR="003A1F0D">
        <w:rPr>
          <w:vertAlign w:val="superscript"/>
        </w:rPr>
        <w:t>3</w:t>
      </w:r>
      <w:r w:rsidR="003A1F0D">
        <w:t xml:space="preserve"> were required per kg, but the quality of ash is uncertain.</w:t>
      </w:r>
      <w:r w:rsidR="003A1F0D">
        <w:rPr>
          <w:rStyle w:val="FootnoteReference"/>
        </w:rPr>
        <w:footnoteReference w:id="85"/>
      </w:r>
      <w:r w:rsidR="003A1F0D" w:rsidRPr="001B42DB">
        <w:t xml:space="preserve"> </w:t>
      </w:r>
      <w:r w:rsidR="003A1F0D">
        <w:t xml:space="preserve">More contemporary testimony from </w:t>
      </w:r>
      <w:r w:rsidR="00CA5DC5">
        <w:t>Royal Prussia from Bock in 1783</w:t>
      </w:r>
      <w:r w:rsidR="003A1F0D" w:rsidRPr="001B42DB">
        <w:t xml:space="preserve"> </w:t>
      </w:r>
      <w:r w:rsidR="003A1F0D">
        <w:t>implied</w:t>
      </w:r>
      <w:r w:rsidR="003A1F0D" w:rsidRPr="001B42DB">
        <w:t xml:space="preserve"> that 1.6 m</w:t>
      </w:r>
      <w:r w:rsidR="003A1F0D" w:rsidRPr="001B42DB">
        <w:rPr>
          <w:vertAlign w:val="superscript"/>
        </w:rPr>
        <w:t xml:space="preserve">3 </w:t>
      </w:r>
      <w:r w:rsidR="003A1F0D" w:rsidRPr="001B42DB">
        <w:t>was needed per kilo of potash or that 1 m</w:t>
      </w:r>
      <w:r w:rsidR="003A1F0D" w:rsidRPr="001B42DB">
        <w:rPr>
          <w:vertAlign w:val="superscript"/>
        </w:rPr>
        <w:t xml:space="preserve">3 </w:t>
      </w:r>
      <w:r w:rsidR="003A1F0D" w:rsidRPr="001B42DB">
        <w:t xml:space="preserve">of wood made 0.62 kg of potash, identical to the Canadian figure. </w:t>
      </w:r>
      <w:r w:rsidR="003A1F0D">
        <w:t xml:space="preserve">A later eighteenth-century description of the making of Polish ‘blue crown’ potash implied about 1.9 </w:t>
      </w:r>
      <w:r w:rsidR="003A1F0D" w:rsidRPr="00785B52">
        <w:t>m</w:t>
      </w:r>
      <w:r w:rsidR="003A1F0D">
        <w:rPr>
          <w:vertAlign w:val="superscript"/>
        </w:rPr>
        <w:t xml:space="preserve">3 </w:t>
      </w:r>
      <w:r w:rsidR="003A1F0D">
        <w:t>hardwood per kg final produ</w:t>
      </w:r>
      <w:r w:rsidR="00CA5DC5">
        <w:t>ct, although conversions are</w:t>
      </w:r>
      <w:r w:rsidR="003A1F0D">
        <w:t xml:space="preserve"> uncertain.</w:t>
      </w:r>
      <w:r w:rsidR="003A1F0D">
        <w:rPr>
          <w:rStyle w:val="FootnoteReference"/>
        </w:rPr>
        <w:footnoteReference w:id="86"/>
      </w:r>
      <w:r w:rsidR="003A1F0D">
        <w:t xml:space="preserve"> </w:t>
      </w:r>
      <w:r w:rsidR="003A1F0D" w:rsidRPr="00785B52">
        <w:t xml:space="preserve">Jan </w:t>
      </w:r>
      <w:r w:rsidR="003A1F0D" w:rsidRPr="001B42DB">
        <w:t>Kunnas cites a range of nineteenth-century Finnish estimates that from 0.3-1.5 m</w:t>
      </w:r>
      <w:r w:rsidR="003A1F0D" w:rsidRPr="001B42DB">
        <w:rPr>
          <w:vertAlign w:val="superscript"/>
        </w:rPr>
        <w:t xml:space="preserve">3 </w:t>
      </w:r>
      <w:r w:rsidR="003A1F0D" w:rsidRPr="001B42DB">
        <w:t>birch-wood was needed to make 1 kg of potash; and some sources on quantities of stacked wood imply a higher ratio.</w:t>
      </w:r>
      <w:r w:rsidR="003A1F0D" w:rsidRPr="001B42DB">
        <w:rPr>
          <w:rStyle w:val="FootnoteReference"/>
        </w:rPr>
        <w:footnoteReference w:id="87"/>
      </w:r>
      <w:r w:rsidR="003A1F0D" w:rsidRPr="001B42DB">
        <w:t xml:space="preserve"> Bock further reckoned that good potash required sixtyfold the amount of ‘basic’ wood ash from the initial burning of w</w:t>
      </w:r>
      <w:r w:rsidR="003A1F0D">
        <w:t xml:space="preserve">ood, but </w:t>
      </w:r>
      <w:proofErr w:type="spellStart"/>
      <w:r w:rsidR="003A1F0D" w:rsidRPr="001B42DB">
        <w:rPr>
          <w:i/>
        </w:rPr>
        <w:t>Waidasche</w:t>
      </w:r>
      <w:proofErr w:type="spellEnd"/>
      <w:r w:rsidR="003A1F0D" w:rsidRPr="001B42DB">
        <w:rPr>
          <w:i/>
        </w:rPr>
        <w:t xml:space="preserve"> </w:t>
      </w:r>
      <w:r w:rsidR="003A1F0D" w:rsidRPr="001B42DB">
        <w:t>(blue and soap ashes) only a third as much.</w:t>
      </w:r>
      <w:r w:rsidR="003A1F0D" w:rsidRPr="001B42DB">
        <w:rPr>
          <w:rStyle w:val="FootnoteReference"/>
        </w:rPr>
        <w:footnoteReference w:id="88"/>
      </w:r>
      <w:r w:rsidR="003A1F0D" w:rsidRPr="001B42DB">
        <w:t xml:space="preserve"> In 1657 English customs valued potash much more modestly at twice the price per hundredweight as soap ashes, and the average </w:t>
      </w:r>
      <w:r w:rsidR="003A1F0D">
        <w:t xml:space="preserve">ratio </w:t>
      </w:r>
      <w:r w:rsidR="003A1F0D" w:rsidRPr="001B42DB">
        <w:t xml:space="preserve">of prices of a </w:t>
      </w:r>
      <w:r w:rsidR="003A1F0D" w:rsidRPr="001B42DB">
        <w:rPr>
          <w:i/>
        </w:rPr>
        <w:t xml:space="preserve">last </w:t>
      </w:r>
      <w:r w:rsidR="003A1F0D" w:rsidRPr="001B42DB">
        <w:t>of potash and soap ashes in Amsterdam between 1609 and 1760 is 1.72</w:t>
      </w:r>
      <w:r w:rsidR="003A1F0D">
        <w:t>, similar to that found in England in 1621</w:t>
      </w:r>
      <w:r w:rsidR="003A1F0D" w:rsidRPr="001B42DB">
        <w:t>.</w:t>
      </w:r>
      <w:r w:rsidR="00CA5DC5">
        <w:t xml:space="preserve"> </w:t>
      </w:r>
      <w:r w:rsidR="003A1F0D" w:rsidRPr="001B42DB">
        <w:t xml:space="preserve">In a Swedish toll ordinance of 1650, </w:t>
      </w:r>
      <w:proofErr w:type="spellStart"/>
      <w:r w:rsidR="003A1F0D" w:rsidRPr="001B42DB">
        <w:rPr>
          <w:i/>
        </w:rPr>
        <w:t>weijd-asche</w:t>
      </w:r>
      <w:proofErr w:type="spellEnd"/>
      <w:r w:rsidR="003A1F0D" w:rsidRPr="001B42DB">
        <w:rPr>
          <w:i/>
        </w:rPr>
        <w:t xml:space="preserve"> </w:t>
      </w:r>
      <w:r w:rsidR="003A1F0D" w:rsidRPr="001B42DB">
        <w:t xml:space="preserve">(i.e. </w:t>
      </w:r>
      <w:proofErr w:type="spellStart"/>
      <w:r w:rsidR="003A1F0D" w:rsidRPr="001B42DB">
        <w:rPr>
          <w:i/>
        </w:rPr>
        <w:t>Waidasche</w:t>
      </w:r>
      <w:proofErr w:type="spellEnd"/>
      <w:r w:rsidR="003A1F0D" w:rsidRPr="001B42DB">
        <w:t>)</w:t>
      </w:r>
      <w:r w:rsidR="003A1F0D" w:rsidRPr="001B42DB">
        <w:rPr>
          <w:i/>
        </w:rPr>
        <w:t xml:space="preserve"> </w:t>
      </w:r>
      <w:r w:rsidR="003A1F0D" w:rsidRPr="001B42DB">
        <w:t xml:space="preserve">was valued at </w:t>
      </w:r>
      <w:r w:rsidR="003A1F0D">
        <w:t xml:space="preserve">only </w:t>
      </w:r>
      <w:r w:rsidR="003A1F0D" w:rsidRPr="001B42DB">
        <w:t>a third the price of potash. Of course, given variable transport costs and different source we should not expect prices to directly reflect alkali content</w:t>
      </w:r>
      <w:r w:rsidR="00CA5DC5">
        <w:t xml:space="preserve"> or wood inputs</w:t>
      </w:r>
      <w:r w:rsidR="003A1F0D" w:rsidRPr="001B42DB">
        <w:t>, certainly not in the western ports.</w:t>
      </w:r>
      <w:r w:rsidR="003A1F0D" w:rsidRPr="001B42DB">
        <w:rPr>
          <w:rStyle w:val="FootnoteReference"/>
        </w:rPr>
        <w:footnoteReference w:id="89"/>
      </w:r>
      <w:r w:rsidR="003A1F0D">
        <w:t xml:space="preserve"> Dunbar claimed that, ‘it takes about five or six Hogsheads of common </w:t>
      </w:r>
      <w:r w:rsidR="003A1F0D">
        <w:rPr>
          <w:i/>
        </w:rPr>
        <w:t xml:space="preserve">Ashes </w:t>
      </w:r>
      <w:r w:rsidR="003A1F0D">
        <w:t xml:space="preserve">to make </w:t>
      </w:r>
      <w:r w:rsidR="003A1F0D">
        <w:lastRenderedPageBreak/>
        <w:t xml:space="preserve">one of </w:t>
      </w:r>
      <w:r w:rsidR="003A1F0D">
        <w:rPr>
          <w:i/>
        </w:rPr>
        <w:t xml:space="preserve">Potashes, </w:t>
      </w:r>
      <w:r w:rsidR="003A1F0D">
        <w:t xml:space="preserve">and about four Hogsheads of common </w:t>
      </w:r>
      <w:r w:rsidR="003A1F0D">
        <w:rPr>
          <w:i/>
        </w:rPr>
        <w:t xml:space="preserve">Ashes </w:t>
      </w:r>
      <w:r w:rsidR="003A1F0D">
        <w:t xml:space="preserve">to make one of </w:t>
      </w:r>
      <w:r w:rsidR="003A1F0D">
        <w:rPr>
          <w:i/>
        </w:rPr>
        <w:t>Lee’</w:t>
      </w:r>
      <w:r w:rsidR="003A1F0D">
        <w:t>, but here he seems to be comparing the low-quality common ashes of the hearth, not those that were transported as ‘soap ashes’ or ‘blue ash’. In making the calculation of wood requirements for ashes and hence the aggregate figures for the scale of the trade and its impact I have followed Bock’s 1783 figures, that sit squarely in the range of other estimates. However given variations in technique, quality and reporting such figures can only ever be rough approximations.</w:t>
      </w:r>
      <w:r w:rsidR="003A1F0D">
        <w:rPr>
          <w:rStyle w:val="FootnoteReference"/>
        </w:rPr>
        <w:footnoteReference w:id="90"/>
      </w:r>
    </w:p>
    <w:p w:rsidR="003A1F0D" w:rsidRDefault="003A1F0D" w:rsidP="00FC4841">
      <w:pPr>
        <w:spacing w:line="480" w:lineRule="auto"/>
        <w:jc w:val="both"/>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8606BF" w:rsidRDefault="008606BF" w:rsidP="00FC4841">
      <w:pPr>
        <w:spacing w:line="480" w:lineRule="auto"/>
        <w:jc w:val="center"/>
        <w:rPr>
          <w:b/>
        </w:rPr>
      </w:pPr>
    </w:p>
    <w:p w:rsidR="00B0403C" w:rsidRDefault="00B0403C" w:rsidP="00FC4841">
      <w:pPr>
        <w:spacing w:line="480" w:lineRule="auto"/>
        <w:jc w:val="center"/>
        <w:rPr>
          <w:b/>
        </w:rPr>
      </w:pPr>
    </w:p>
    <w:p w:rsidR="00B0403C" w:rsidRDefault="00B0403C" w:rsidP="00FC4841">
      <w:pPr>
        <w:spacing w:line="480" w:lineRule="auto"/>
        <w:jc w:val="center"/>
        <w:rPr>
          <w:b/>
        </w:rPr>
      </w:pPr>
    </w:p>
    <w:p w:rsidR="00B0403C" w:rsidRDefault="00B0403C" w:rsidP="00FC4841">
      <w:pPr>
        <w:spacing w:line="480" w:lineRule="auto"/>
        <w:jc w:val="center"/>
        <w:rPr>
          <w:b/>
        </w:rPr>
      </w:pPr>
    </w:p>
    <w:p w:rsidR="00B0403C" w:rsidRDefault="00B0403C" w:rsidP="00FC4841">
      <w:pPr>
        <w:spacing w:line="480" w:lineRule="auto"/>
        <w:jc w:val="center"/>
        <w:rPr>
          <w:b/>
        </w:rPr>
      </w:pPr>
    </w:p>
    <w:p w:rsidR="00CA5DC5" w:rsidRPr="003A4582" w:rsidRDefault="00CA5DC5" w:rsidP="00FC4841">
      <w:pPr>
        <w:spacing w:line="480" w:lineRule="auto"/>
        <w:jc w:val="center"/>
        <w:rPr>
          <w:b/>
        </w:rPr>
      </w:pPr>
      <w:proofErr w:type="gramStart"/>
      <w:r>
        <w:rPr>
          <w:b/>
        </w:rPr>
        <w:lastRenderedPageBreak/>
        <w:t>Figure 4</w:t>
      </w:r>
      <w:r w:rsidR="003A4582">
        <w:rPr>
          <w:b/>
        </w:rPr>
        <w:t>.</w:t>
      </w:r>
      <w:proofErr w:type="gramEnd"/>
      <w:r w:rsidR="003A4582">
        <w:rPr>
          <w:b/>
        </w:rPr>
        <w:t xml:space="preserve"> Wood consumed for ash imports (million m</w:t>
      </w:r>
      <w:r w:rsidR="003A4582">
        <w:rPr>
          <w:b/>
          <w:vertAlign w:val="superscript"/>
        </w:rPr>
        <w:t>3</w:t>
      </w:r>
      <w:r w:rsidR="003A4582">
        <w:rPr>
          <w:b/>
        </w:rPr>
        <w:t>)</w:t>
      </w:r>
    </w:p>
    <w:p w:rsidR="003A4582" w:rsidRDefault="003A4582" w:rsidP="00FC4841">
      <w:pPr>
        <w:spacing w:line="480" w:lineRule="auto"/>
        <w:jc w:val="center"/>
        <w:rPr>
          <w:b/>
        </w:rPr>
      </w:pPr>
    </w:p>
    <w:p w:rsidR="003A4582" w:rsidRPr="00CA5DC5" w:rsidRDefault="003A4582" w:rsidP="00FC4841">
      <w:pPr>
        <w:spacing w:line="480" w:lineRule="auto"/>
        <w:jc w:val="center"/>
        <w:rPr>
          <w:b/>
        </w:rPr>
      </w:pPr>
      <w:r>
        <w:rPr>
          <w:noProof/>
          <w:lang w:eastAsia="en-GB"/>
        </w:rPr>
        <w:drawing>
          <wp:inline distT="0" distB="0" distL="0" distR="0" wp14:anchorId="213584D3" wp14:editId="1D35484E">
            <wp:extent cx="5124449" cy="3686176"/>
            <wp:effectExtent l="0" t="0" r="1968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A5DC5" w:rsidRDefault="00CA5DC5" w:rsidP="00FC4841">
      <w:pPr>
        <w:spacing w:line="480" w:lineRule="auto"/>
        <w:jc w:val="both"/>
      </w:pPr>
    </w:p>
    <w:p w:rsidR="00F64637" w:rsidRDefault="00F64637" w:rsidP="00FC4841">
      <w:pPr>
        <w:spacing w:line="480" w:lineRule="auto"/>
        <w:jc w:val="both"/>
      </w:pPr>
      <w:r>
        <w:t xml:space="preserve">The impact of English imports is presented in </w:t>
      </w:r>
      <w:r w:rsidR="00CA5DC5">
        <w:t>Figure 4</w:t>
      </w:r>
      <w:r>
        <w:t xml:space="preserve">. It probably accounted for about a million cubic metres of wood </w:t>
      </w:r>
      <w:r>
        <w:rPr>
          <w:i/>
        </w:rPr>
        <w:t xml:space="preserve">per annum </w:t>
      </w:r>
      <w:r>
        <w:t xml:space="preserve">in the 1560s, 1.75 - 2 million cubic metres in the reign of Charles I, and approaching 3 million cubic metres </w:t>
      </w:r>
      <w:r>
        <w:rPr>
          <w:i/>
        </w:rPr>
        <w:t xml:space="preserve">per annum </w:t>
      </w:r>
      <w:r>
        <w:t>by the first decades of the eighteenth century. This level expanded gradually until the 1750s, but we should remember that English demand represented less than half of the total imported to north-west Europe as a whole</w:t>
      </w:r>
      <w:r w:rsidR="003C526C">
        <w:t>, which mu</w:t>
      </w:r>
      <w:r w:rsidR="006D59E0">
        <w:t>st very regularly have reached 6</w:t>
      </w:r>
      <w:r w:rsidR="003C526C">
        <w:t xml:space="preserve"> or more million cubic metres each year from the early seventeenth century.</w:t>
      </w:r>
      <w:r w:rsidR="006E0075">
        <w:rPr>
          <w:rStyle w:val="FootnoteReference"/>
        </w:rPr>
        <w:footnoteReference w:id="91"/>
      </w:r>
      <w:r w:rsidR="003C526C">
        <w:t xml:space="preserve"> </w:t>
      </w:r>
      <w:r w:rsidR="00DE4DC5">
        <w:t xml:space="preserve">Estimates of total Russian production alone imply around 5 million cubic metres of wood being consumed </w:t>
      </w:r>
      <w:r w:rsidR="00DE4DC5">
        <w:rPr>
          <w:i/>
        </w:rPr>
        <w:t xml:space="preserve">per annum </w:t>
      </w:r>
      <w:r w:rsidR="00DE4DC5">
        <w:t xml:space="preserve">between the 1660s </w:t>
      </w:r>
      <w:r w:rsidR="00DE4DC5">
        <w:lastRenderedPageBreak/>
        <w:t>and 1690s.</w:t>
      </w:r>
      <w:r w:rsidR="00DE4DC5">
        <w:rPr>
          <w:rStyle w:val="FootnoteReference"/>
        </w:rPr>
        <w:footnoteReference w:id="92"/>
      </w:r>
      <w:r w:rsidR="00DE4DC5">
        <w:t xml:space="preserve"> </w:t>
      </w:r>
      <w:r w:rsidR="003C526C">
        <w:t xml:space="preserve">By 1792 </w:t>
      </w:r>
      <w:r w:rsidR="003C526C" w:rsidRPr="001B42DB">
        <w:t xml:space="preserve">over 10 million cubic metres </w:t>
      </w:r>
      <w:r w:rsidR="007D3CD3">
        <w:t xml:space="preserve">of wood </w:t>
      </w:r>
      <w:r w:rsidR="003C526C" w:rsidRPr="001B42DB">
        <w:t>was consumed</w:t>
      </w:r>
      <w:r w:rsidR="003C526C">
        <w:t xml:space="preserve"> as ash </w:t>
      </w:r>
      <w:r w:rsidR="005602C5">
        <w:t xml:space="preserve">by the British </w:t>
      </w:r>
      <w:r w:rsidR="003C526C" w:rsidRPr="001B42DB">
        <w:t>and an extraordinary 26 million in 1810</w:t>
      </w:r>
      <w:r w:rsidR="003C526C">
        <w:t>.</w:t>
      </w:r>
      <w:r w:rsidR="00534690">
        <w:t xml:space="preserve"> </w:t>
      </w:r>
    </w:p>
    <w:p w:rsidR="00F64637" w:rsidRDefault="00F64637" w:rsidP="00FC4841">
      <w:pPr>
        <w:spacing w:line="480" w:lineRule="auto"/>
        <w:jc w:val="both"/>
      </w:pPr>
    </w:p>
    <w:p w:rsidR="003C526C" w:rsidRDefault="003C526C" w:rsidP="00FC4841">
      <w:pPr>
        <w:spacing w:line="480" w:lineRule="auto"/>
        <w:jc w:val="both"/>
      </w:pPr>
      <w:r>
        <w:t xml:space="preserve">This figure from 1810, solely consumed by </w:t>
      </w:r>
      <w:r w:rsidR="005602C5">
        <w:t>Great Britain</w:t>
      </w:r>
      <w:r>
        <w:t xml:space="preserve">, is equivalent to the entire annual wood production of Germany at that date. </w:t>
      </w:r>
      <w:r w:rsidR="00BF2F9C" w:rsidRPr="001B42DB">
        <w:t>The vast sixteenth-century state of Poland</w:t>
      </w:r>
      <w:r w:rsidR="00C227A6">
        <w:t>-Lithuania</w:t>
      </w:r>
      <w:r w:rsidR="00BF2F9C" w:rsidRPr="001B42DB">
        <w:t xml:space="preserve"> probably produced no more than 45 million m</w:t>
      </w:r>
      <w:r w:rsidR="00BF2F9C" w:rsidRPr="001B42DB">
        <w:rPr>
          <w:vertAlign w:val="superscript"/>
        </w:rPr>
        <w:t xml:space="preserve">3 </w:t>
      </w:r>
      <w:r w:rsidR="00BF2F9C" w:rsidRPr="001B42DB">
        <w:t xml:space="preserve">of wood </w:t>
      </w:r>
      <w:r w:rsidR="00BF2F9C" w:rsidRPr="001B42DB">
        <w:rPr>
          <w:i/>
        </w:rPr>
        <w:t xml:space="preserve">per annum, </w:t>
      </w:r>
      <w:r w:rsidR="00BF2F9C" w:rsidRPr="001B42DB">
        <w:t xml:space="preserve">so </w:t>
      </w:r>
      <w:r w:rsidR="007D3CD3">
        <w:t>even the earlier exports</w:t>
      </w:r>
      <w:r>
        <w:t xml:space="preserve"> </w:t>
      </w:r>
      <w:r w:rsidR="00DE4DC5">
        <w:t xml:space="preserve">produced from </w:t>
      </w:r>
      <w:r>
        <w:t>the low millions</w:t>
      </w:r>
      <w:r w:rsidR="00DE4DC5">
        <w:t xml:space="preserve"> of cubic metres</w:t>
      </w:r>
      <w:r>
        <w:t xml:space="preserve"> </w:t>
      </w:r>
      <w:r w:rsidR="00BF2F9C" w:rsidRPr="001B42DB">
        <w:t>represented a very con</w:t>
      </w:r>
      <w:r>
        <w:t xml:space="preserve">siderable demand given that </w:t>
      </w:r>
      <w:r w:rsidR="00BF2F9C" w:rsidRPr="001B42DB">
        <w:t xml:space="preserve">specific </w:t>
      </w:r>
      <w:r w:rsidR="007D3CD3">
        <w:t xml:space="preserve">kinds of </w:t>
      </w:r>
      <w:r w:rsidR="00675EB4">
        <w:t>hard</w:t>
      </w:r>
      <w:r w:rsidR="007D3CD3">
        <w:t>wood</w:t>
      </w:r>
      <w:r w:rsidR="00BF2F9C" w:rsidRPr="001B42DB">
        <w:t xml:space="preserve"> were more desirable, and they had to be sufficiently concentrated to be viable for market production.</w:t>
      </w:r>
      <w:r w:rsidR="00BF2F9C" w:rsidRPr="001B42DB">
        <w:rPr>
          <w:rStyle w:val="FootnoteReference"/>
        </w:rPr>
        <w:footnoteReference w:id="93"/>
      </w:r>
      <w:r w:rsidR="00BF2F9C" w:rsidRPr="001B42DB">
        <w:t xml:space="preserve"> </w:t>
      </w:r>
      <w:r>
        <w:t>But the</w:t>
      </w:r>
      <w:r w:rsidR="00BF2F9C" w:rsidRPr="001B42DB">
        <w:t xml:space="preserve"> most telling comparison comes wi</w:t>
      </w:r>
      <w:r>
        <w:t>th the wood supplies of the importing</w:t>
      </w:r>
      <w:r w:rsidR="00BF2F9C" w:rsidRPr="001B42DB">
        <w:t xml:space="preserve"> nations. </w:t>
      </w:r>
      <w:r>
        <w:t xml:space="preserve">The woodland of </w:t>
      </w:r>
      <w:r w:rsidR="00C227A6">
        <w:t xml:space="preserve">England and Wales grew little over </w:t>
      </w:r>
      <w:r w:rsidR="00BF2F9C" w:rsidRPr="001B42DB">
        <w:t>3</w:t>
      </w:r>
      <w:r w:rsidR="00C227A6">
        <w:t xml:space="preserve"> </w:t>
      </w:r>
      <w:r w:rsidR="00BF2F9C" w:rsidRPr="001B42DB">
        <w:t>million m</w:t>
      </w:r>
      <w:r w:rsidR="00BF2F9C" w:rsidRPr="001B42DB">
        <w:rPr>
          <w:vertAlign w:val="superscript"/>
        </w:rPr>
        <w:t xml:space="preserve">3 </w:t>
      </w:r>
      <w:r w:rsidR="00BF2F9C" w:rsidRPr="001B42DB">
        <w:t>of wood every year in</w:t>
      </w:r>
      <w:r>
        <w:t xml:space="preserve"> the early modern period; </w:t>
      </w:r>
      <w:r w:rsidR="00BF2F9C" w:rsidRPr="001B42DB">
        <w:t>the Netherlands, virtually nothing at all.</w:t>
      </w:r>
      <w:r w:rsidR="00DE4DC5">
        <w:rPr>
          <w:rStyle w:val="FootnoteReference"/>
        </w:rPr>
        <w:footnoteReference w:id="94"/>
      </w:r>
      <w:r w:rsidR="00BF2F9C" w:rsidRPr="001B42DB">
        <w:t xml:space="preserve"> The fact that this figure is easily outstripped by the ash trade</w:t>
      </w:r>
      <w:r>
        <w:t xml:space="preserve"> to the north-west of Europe</w:t>
      </w:r>
      <w:r w:rsidR="00BF2F9C" w:rsidRPr="001B42DB">
        <w:t>, and at times by London’s trade alone, is ample testimony to the ecological dependency and impact of this early modern demand for the chemical properties of potash.</w:t>
      </w:r>
      <w:r>
        <w:t xml:space="preserve"> </w:t>
      </w:r>
      <w:r w:rsidR="00BF2F9C" w:rsidRPr="001B42DB">
        <w:t xml:space="preserve">As Walker commented in 1799, ‘We are, in Britain, destitute of </w:t>
      </w:r>
      <w:proofErr w:type="gramStart"/>
      <w:r w:rsidR="00BF2F9C" w:rsidRPr="001B42DB">
        <w:t>woods, that</w:t>
      </w:r>
      <w:proofErr w:type="gramEnd"/>
      <w:r w:rsidR="00BF2F9C" w:rsidRPr="001B42DB">
        <w:t xml:space="preserve"> can be employed for producing potashes. We must depend for this commodity upon foreign nations.’</w:t>
      </w:r>
      <w:r w:rsidR="00BF2F9C" w:rsidRPr="001B42DB">
        <w:rPr>
          <w:rStyle w:val="FootnoteReference"/>
        </w:rPr>
        <w:footnoteReference w:id="95"/>
      </w:r>
      <w:r w:rsidR="00BF2F9C" w:rsidRPr="001B42DB">
        <w:t xml:space="preserve"> </w:t>
      </w:r>
    </w:p>
    <w:p w:rsidR="003C526C" w:rsidRDefault="003C526C" w:rsidP="00FC4841">
      <w:pPr>
        <w:spacing w:line="480" w:lineRule="auto"/>
        <w:jc w:val="both"/>
      </w:pPr>
    </w:p>
    <w:p w:rsidR="003A1F0D" w:rsidRDefault="003A1F0D" w:rsidP="00FC4841">
      <w:pPr>
        <w:spacing w:line="480" w:lineRule="auto"/>
        <w:jc w:val="both"/>
      </w:pPr>
      <w:r>
        <w:t>In 2000 Ken</w:t>
      </w:r>
      <w:r w:rsidR="00DE4DC5">
        <w:t>neth</w:t>
      </w:r>
      <w:r>
        <w:t xml:space="preserve"> Pomeranz used the concept of ‘ghost acres’, invented by Swede Georg </w:t>
      </w:r>
      <w:proofErr w:type="spellStart"/>
      <w:r>
        <w:t>Borgström</w:t>
      </w:r>
      <w:proofErr w:type="spellEnd"/>
      <w:r>
        <w:t xml:space="preserve"> in the 1950s, to argue that it was access to coal and colonial resources that </w:t>
      </w:r>
      <w:r>
        <w:lastRenderedPageBreak/>
        <w:t xml:space="preserve">distinguished Britain, and its potential for industrialisation, from </w:t>
      </w:r>
      <w:proofErr w:type="gramStart"/>
      <w:r>
        <w:t>east</w:t>
      </w:r>
      <w:proofErr w:type="gramEnd"/>
      <w:r>
        <w:t xml:space="preserve"> Asia.</w:t>
      </w:r>
      <w:r w:rsidR="00DE4DC5">
        <w:rPr>
          <w:rStyle w:val="FootnoteReference"/>
        </w:rPr>
        <w:footnoteReference w:id="96"/>
      </w:r>
      <w:r>
        <w:t xml:space="preserve"> Ghost acres are a measure of the land that would be required domestically to produce imported goods. This thesis is related to Tony Wrigley’s framing of ‘the organic economy’, that is, one predominately dependent on food and resources from plants. An organic economy placed a fundamental ceiling on the possibilities for economic activity due to a combination of the limits to yields per acre, high transport costs of carrying loads by water or using animal traction, and the consequent dispersal of economic activity. Access to fossil fuels thus represented a necessary condition of modern levels of economic growth.</w:t>
      </w:r>
      <w:r w:rsidR="00DE4DC5">
        <w:rPr>
          <w:rStyle w:val="FootnoteReference"/>
        </w:rPr>
        <w:footnoteReference w:id="97"/>
      </w:r>
      <w:r>
        <w:t xml:space="preserve"> </w:t>
      </w:r>
      <w:r w:rsidR="00DE4DC5">
        <w:t>The figures presented in this article suggest that the ‘organic economy’, usually associated with local constraints, was a more international phenomenon at an earlier date than has previously been appreciated. And the cause of this was an industry that has gone almost entirely unrecognised – effectively, the precursor to the modern chemical industry.</w:t>
      </w:r>
    </w:p>
    <w:p w:rsidR="003A1F0D" w:rsidRDefault="003A1F0D" w:rsidP="00FC4841">
      <w:pPr>
        <w:spacing w:line="480" w:lineRule="auto"/>
        <w:jc w:val="both"/>
      </w:pPr>
    </w:p>
    <w:p w:rsidR="00BF2F9C" w:rsidRDefault="00DE4DC5" w:rsidP="00FC4841">
      <w:pPr>
        <w:spacing w:line="480" w:lineRule="auto"/>
        <w:jc w:val="both"/>
      </w:pPr>
      <w:r>
        <w:t xml:space="preserve">In the early 1700s the improbable scenario </w:t>
      </w:r>
      <w:r w:rsidR="003C526C">
        <w:t xml:space="preserve">of </w:t>
      </w:r>
      <w:r>
        <w:t xml:space="preserve">a </w:t>
      </w:r>
      <w:r w:rsidR="003C526C">
        <w:t xml:space="preserve">domestic supply of potash in England would have required a doubling of the acreage devoted to wood, </w:t>
      </w:r>
      <w:r w:rsidR="005864EB">
        <w:t xml:space="preserve">then </w:t>
      </w:r>
      <w:r w:rsidR="003C526C">
        <w:t>around a million hectares. By the 1790s this demand had tri</w:t>
      </w:r>
      <w:r w:rsidR="007D3CD3">
        <w:t xml:space="preserve">pled, and would have required </w:t>
      </w:r>
      <w:r w:rsidR="005864EB">
        <w:t xml:space="preserve">three million hectares, or </w:t>
      </w:r>
      <w:r w:rsidR="007D3CD3">
        <w:t xml:space="preserve">nearly one-quarter </w:t>
      </w:r>
      <w:r w:rsidR="003C526C">
        <w:t xml:space="preserve">of the surface area of England. While this was certainly smaller than what would have been the contemporaneous demand for firewood to replace coal supplies, it </w:t>
      </w:r>
      <w:r w:rsidR="0043748F">
        <w:t xml:space="preserve">is much larger than the values calculated by Pomeranz for the ‘ghost acreage’ of food and fibre production in the colonies, </w:t>
      </w:r>
      <w:r w:rsidR="005864EB">
        <w:t xml:space="preserve">which for his estimates relating to sugar, timber and cotton come to 1.33 million hectares as late as 1830. </w:t>
      </w:r>
      <w:r>
        <w:t xml:space="preserve">In fact, as late as the 1830s ash imports remained by far the biggest single claim to ghost acres </w:t>
      </w:r>
      <w:r w:rsidR="00B01990">
        <w:t>overseas imported by Britain; if</w:t>
      </w:r>
      <w:r>
        <w:t xml:space="preserve"> converted into the sustainable area of woodland required, they dwarf the requirements for any other product.</w:t>
      </w:r>
      <w:r w:rsidR="000A386D">
        <w:t xml:space="preserve"> In </w:t>
      </w:r>
      <w:r w:rsidR="000A386D">
        <w:lastRenderedPageBreak/>
        <w:t xml:space="preserve">terms of </w:t>
      </w:r>
      <w:r w:rsidR="00C20E2A" w:rsidRPr="008606BF">
        <w:rPr>
          <w:i/>
        </w:rPr>
        <w:t>scale</w:t>
      </w:r>
      <w:r w:rsidR="000A386D">
        <w:t xml:space="preserve"> (which is not of course the same as </w:t>
      </w:r>
      <w:r w:rsidR="00C20E2A" w:rsidRPr="008606BF">
        <w:rPr>
          <w:i/>
        </w:rPr>
        <w:t>significance</w:t>
      </w:r>
      <w:r w:rsidR="000A386D">
        <w:t xml:space="preserve">) this </w:t>
      </w:r>
      <w:proofErr w:type="spellStart"/>
      <w:r w:rsidR="000A386D">
        <w:t>reorientates</w:t>
      </w:r>
      <w:proofErr w:type="spellEnd"/>
      <w:r w:rsidR="000A386D">
        <w:t xml:space="preserve"> our view of the relation</w:t>
      </w:r>
      <w:r w:rsidR="00762B35">
        <w:t>ship</w:t>
      </w:r>
      <w:r w:rsidR="000A386D">
        <w:t xml:space="preserve"> between British development and the exploitation of land and labour</w:t>
      </w:r>
      <w:r w:rsidR="005B392B">
        <w:t xml:space="preserve"> overseas</w:t>
      </w:r>
      <w:r w:rsidR="000A386D">
        <w:t xml:space="preserve">, highlighting the importance of the expanding settlement frontier in North America, and before the 1760s, forested regions of Scandinavia and </w:t>
      </w:r>
      <w:proofErr w:type="gramStart"/>
      <w:r w:rsidR="000A386D">
        <w:t>eastern</w:t>
      </w:r>
      <w:proofErr w:type="gramEnd"/>
      <w:r w:rsidR="000A386D">
        <w:t xml:space="preserve"> Europe.</w:t>
      </w:r>
      <w:r w:rsidR="005B392B">
        <w:t xml:space="preserve"> Given that no region attempted to manage wood supplies sustainably for the purpose of ash-making, it implies that increased potash inputs into industry required a constant expansion of the land frontier. These findings also indicate the</w:t>
      </w:r>
      <w:r w:rsidR="000A386D">
        <w:t xml:space="preserve"> role of seasonal or temporary labour undertaken by peasant or farming households as essential contributors of the raw material for industrialisation</w:t>
      </w:r>
      <w:r w:rsidR="005B392B">
        <w:t>, alongside more familiar narratives of coercion; although settlement expansion frequently also involved the expropriation and displacement of indigenous peoples.</w:t>
      </w:r>
      <w:r>
        <w:rPr>
          <w:rStyle w:val="FootnoteReference"/>
        </w:rPr>
        <w:footnoteReference w:id="98"/>
      </w:r>
      <w:r w:rsidR="000A386D">
        <w:t xml:space="preserve"> </w:t>
      </w:r>
      <w:r w:rsidR="00690F6C">
        <w:t>They</w:t>
      </w:r>
      <w:r w:rsidR="0043748F">
        <w:t xml:space="preserve"> underscore the Industrial Revolution was not just an energetic transformation, but a chemical one too, albeit the new artificial chemical industries and mines were heavily dependent on fossil fuels.</w:t>
      </w:r>
      <w:r w:rsidR="005B392B">
        <w:t xml:space="preserve"> The extraction of mineral potash, as opposed to the vegetable form discussed here, did not develop until the 1860s. </w:t>
      </w:r>
      <w:r w:rsidR="0062577E">
        <w:t>Thus despite important developments in the production of artificial soda from the early nineteenth century, British industry required chemical inputs derived from organic material long into the 19</w:t>
      </w:r>
      <w:r w:rsidR="00C20E2A" w:rsidRPr="008606BF">
        <w:rPr>
          <w:vertAlign w:val="superscript"/>
        </w:rPr>
        <w:t>th</w:t>
      </w:r>
      <w:r w:rsidR="0062577E">
        <w:t xml:space="preserve"> century. The economic and environmental history of the Industrial Revolution has been heavily focused upon energy and a very few consumer goods. Histories of organic intermediary goods as crucial components of a wider ecological history remain, for the most part, to be written. </w:t>
      </w:r>
      <w:r w:rsidR="00762B35">
        <w:t xml:space="preserve">This work suggests that this historiographical lacuna leaves our appreciation of the industrialisation process and its wider impact considerably wanting. </w:t>
      </w:r>
    </w:p>
    <w:p w:rsidR="003C526C" w:rsidRDefault="003C526C" w:rsidP="00FC4841">
      <w:pPr>
        <w:spacing w:line="480" w:lineRule="auto"/>
        <w:jc w:val="both"/>
      </w:pPr>
    </w:p>
    <w:p w:rsidR="00B0403C" w:rsidRDefault="00B0403C" w:rsidP="00FC4841">
      <w:pPr>
        <w:spacing w:line="480" w:lineRule="auto"/>
        <w:jc w:val="both"/>
      </w:pPr>
    </w:p>
    <w:p w:rsidR="00B0403C" w:rsidRPr="001B42DB" w:rsidRDefault="00B0403C" w:rsidP="00FC4841">
      <w:pPr>
        <w:spacing w:line="480" w:lineRule="auto"/>
        <w:jc w:val="both"/>
      </w:pPr>
    </w:p>
    <w:p w:rsidR="00B74835" w:rsidRDefault="00692FC8" w:rsidP="00FC4841">
      <w:pPr>
        <w:pStyle w:val="ListParagraph"/>
        <w:numPr>
          <w:ilvl w:val="0"/>
          <w:numId w:val="1"/>
        </w:numPr>
        <w:spacing w:line="480" w:lineRule="auto"/>
        <w:rPr>
          <w:b/>
        </w:rPr>
      </w:pPr>
      <w:r>
        <w:rPr>
          <w:b/>
        </w:rPr>
        <w:lastRenderedPageBreak/>
        <w:t>Potash and economic growth</w:t>
      </w:r>
    </w:p>
    <w:p w:rsidR="0043748F" w:rsidRDefault="0043748F" w:rsidP="00FC4841">
      <w:pPr>
        <w:spacing w:line="480" w:lineRule="auto"/>
      </w:pPr>
    </w:p>
    <w:p w:rsidR="0043748F" w:rsidRDefault="00DE4DC5" w:rsidP="00FC4841">
      <w:pPr>
        <w:spacing w:line="480" w:lineRule="auto"/>
        <w:jc w:val="both"/>
      </w:pPr>
      <w:r>
        <w:t xml:space="preserve">To finish we return to the consumer, and examine </w:t>
      </w:r>
      <w:r w:rsidR="0043748F">
        <w:t xml:space="preserve">what the ash trade can tell us about </w:t>
      </w:r>
      <w:r>
        <w:t xml:space="preserve">the process of </w:t>
      </w:r>
      <w:r w:rsidR="0043748F">
        <w:t>English industrialization. As we have seen, potash was largely used for the production of soap used in preparing wool, and the bleaching of linen</w:t>
      </w:r>
      <w:r w:rsidR="00675EB4">
        <w:t xml:space="preserve">; it appears to have a played a large role in dyeing </w:t>
      </w:r>
      <w:r>
        <w:t xml:space="preserve">but primarily </w:t>
      </w:r>
      <w:r w:rsidR="00675EB4">
        <w:t>on the continent</w:t>
      </w:r>
      <w:r w:rsidR="0043748F">
        <w:t>. The glass industry often used the residue of ashes for soap-making. As alkalis for these purposes were almo</w:t>
      </w:r>
      <w:r w:rsidR="005864EB">
        <w:t>st entirely imported</w:t>
      </w:r>
      <w:r w:rsidR="0043748F">
        <w:t>, I want to suggest that the ash trade can actually</w:t>
      </w:r>
      <w:r w:rsidR="00313C6E">
        <w:t xml:space="preserve"> be used as an indicator of the</w:t>
      </w:r>
      <w:r w:rsidR="00614CB1">
        <w:t xml:space="preserve"> </w:t>
      </w:r>
      <w:r w:rsidR="0043748F">
        <w:t>scale of industrial production</w:t>
      </w:r>
      <w:r w:rsidR="00614CB1">
        <w:t xml:space="preserve"> in these key trades, for which we usually rely on very partial records of exports. </w:t>
      </w:r>
      <w:r w:rsidR="00692FC8">
        <w:t xml:space="preserve">This can only be speculative, because the very difficult work of tracing the use of ash once it left the Custom House in London, or other quays around the </w:t>
      </w:r>
      <w:proofErr w:type="gramStart"/>
      <w:r w:rsidR="00692FC8">
        <w:t>country</w:t>
      </w:r>
      <w:r w:rsidR="00B01990">
        <w:t>,</w:t>
      </w:r>
      <w:proofErr w:type="gramEnd"/>
      <w:r w:rsidR="00692FC8">
        <w:t xml:space="preserve"> has not yet been done. However, b</w:t>
      </w:r>
      <w:r w:rsidR="00614CB1">
        <w:t xml:space="preserve">ecause the basic chemical properties of soap manufacture and </w:t>
      </w:r>
      <w:r w:rsidR="00692FC8">
        <w:t xml:space="preserve">its use in washing textiles </w:t>
      </w:r>
      <w:r w:rsidR="00614CB1">
        <w:t xml:space="preserve">cannot vary that much we can match more detailed investigations of </w:t>
      </w:r>
      <w:r w:rsidR="00692FC8">
        <w:t xml:space="preserve">inputs into production from </w:t>
      </w:r>
      <w:r w:rsidR="00614CB1">
        <w:t>the later eighteenth century with the scale of use at earlier dates.</w:t>
      </w:r>
    </w:p>
    <w:p w:rsidR="00614CB1" w:rsidRDefault="00614CB1" w:rsidP="00FC4841">
      <w:pPr>
        <w:spacing w:line="480" w:lineRule="auto"/>
        <w:jc w:val="both"/>
      </w:pPr>
    </w:p>
    <w:p w:rsidR="00110962" w:rsidRDefault="00692FC8" w:rsidP="00FC4841">
      <w:pPr>
        <w:spacing w:line="480" w:lineRule="auto"/>
        <w:jc w:val="both"/>
      </w:pPr>
      <w:r>
        <w:t>As we have seen, in the 1620s</w:t>
      </w:r>
      <w:r w:rsidR="00614CB1">
        <w:t xml:space="preserve"> ash imports were very largely used for </w:t>
      </w:r>
      <w:r w:rsidR="00C10907">
        <w:t xml:space="preserve">the </w:t>
      </w:r>
      <w:r w:rsidR="00614CB1">
        <w:t>soft soap</w:t>
      </w:r>
      <w:r w:rsidR="00675EB4">
        <w:t>, whose manufacture was centred on London, and</w:t>
      </w:r>
      <w:r w:rsidR="00614CB1">
        <w:t xml:space="preserve"> then </w:t>
      </w:r>
      <w:r w:rsidR="00467BAD">
        <w:t xml:space="preserve">largely </w:t>
      </w:r>
      <w:r w:rsidR="00614CB1">
        <w:t>e</w:t>
      </w:r>
      <w:r w:rsidR="00675EB4">
        <w:t>mployed in the woollen industry</w:t>
      </w:r>
      <w:r w:rsidR="00614CB1">
        <w:t>.</w:t>
      </w:r>
      <w:r w:rsidR="00107692">
        <w:rPr>
          <w:rStyle w:val="FootnoteReference"/>
        </w:rPr>
        <w:footnoteReference w:id="99"/>
      </w:r>
      <w:r w:rsidR="00614CB1">
        <w:t xml:space="preserve"> </w:t>
      </w:r>
      <w:r w:rsidR="00D523A7">
        <w:t>Indeed when the woollen industry was in crisis in 1622, royal proclamation forbade the export of any of the raw materials of the trade, including ‘</w:t>
      </w:r>
      <w:proofErr w:type="spellStart"/>
      <w:r w:rsidR="00D523A7">
        <w:t>Woad</w:t>
      </w:r>
      <w:proofErr w:type="spellEnd"/>
      <w:r w:rsidR="00D523A7">
        <w:t xml:space="preserve"> ashes’, out of the kingdom to prevent manufacture shifting elsewhere, although merchants may well have acquired a surfeit of ashes they could not shift in the boom of imports of the previous two years.</w:t>
      </w:r>
      <w:r w:rsidR="00D523A7">
        <w:rPr>
          <w:rStyle w:val="FootnoteReference"/>
        </w:rPr>
        <w:footnoteReference w:id="100"/>
      </w:r>
      <w:r w:rsidR="00D523A7">
        <w:t xml:space="preserve"> </w:t>
      </w:r>
      <w:r w:rsidR="00614CB1">
        <w:t xml:space="preserve">In 1755, Michael </w:t>
      </w:r>
      <w:proofErr w:type="spellStart"/>
      <w:r w:rsidR="00614CB1">
        <w:t>Impey</w:t>
      </w:r>
      <w:proofErr w:type="spellEnd"/>
      <w:r w:rsidR="00614CB1">
        <w:t xml:space="preserve"> testified to a Parliamentary committee that soap-boilers used 1 500 tons of ash per annum, or a little under three-quarters of the total imports.</w:t>
      </w:r>
      <w:r w:rsidR="00723CDE">
        <w:rPr>
          <w:rStyle w:val="FootnoteReference"/>
        </w:rPr>
        <w:footnoteReference w:id="101"/>
      </w:r>
      <w:r w:rsidR="00614CB1">
        <w:t xml:space="preserve"> </w:t>
      </w:r>
      <w:r w:rsidR="004F55CC">
        <w:t xml:space="preserve">About 1 000 tons was </w:t>
      </w:r>
      <w:r w:rsidR="004F55CC">
        <w:lastRenderedPageBreak/>
        <w:t>used in soft soap making</w:t>
      </w:r>
      <w:r w:rsidR="00723CDE">
        <w:t xml:space="preserve"> in the early 1620s</w:t>
      </w:r>
      <w:r w:rsidR="004F55CC">
        <w:t xml:space="preserve"> implying the production around 5 000 tons of soap – exactly what petitioners of the time asserted.</w:t>
      </w:r>
      <w:r w:rsidR="00723CDE">
        <w:rPr>
          <w:rStyle w:val="FootnoteReference"/>
        </w:rPr>
        <w:footnoteReference w:id="102"/>
      </w:r>
      <w:r w:rsidR="004F55CC">
        <w:t xml:space="preserve"> By 1755, soap production was rather greater than simple potash inputs imply, as it was probably making more use of </w:t>
      </w:r>
      <w:proofErr w:type="spellStart"/>
      <w:r w:rsidR="004F55CC">
        <w:t>barrilla</w:t>
      </w:r>
      <w:proofErr w:type="spellEnd"/>
      <w:r w:rsidR="004F55CC">
        <w:t xml:space="preserve"> from the Mediterranean coast of Spain </w:t>
      </w:r>
      <w:r w:rsidR="00B01990">
        <w:t xml:space="preserve">for alkali inputs </w:t>
      </w:r>
      <w:r w:rsidR="004F55CC">
        <w:t xml:space="preserve">as well as potash. </w:t>
      </w:r>
      <w:r w:rsidR="00723CDE">
        <w:t xml:space="preserve">Up until the 1620s, the trend in the use of alkali ashes must tell us something about the output of broadcloth, for preparing this product was the main use of soap. The production of </w:t>
      </w:r>
      <w:r w:rsidR="00D04689">
        <w:t>broadcloth</w:t>
      </w:r>
      <w:r w:rsidR="00723CDE">
        <w:t xml:space="preserve"> remained rather stable between 1620 and 1750, and if anything the share of potash going into their production must have been falling</w:t>
      </w:r>
      <w:r w:rsidR="00B01990">
        <w:t xml:space="preserve"> with the use of </w:t>
      </w:r>
      <w:proofErr w:type="spellStart"/>
      <w:r w:rsidR="00B01990">
        <w:t>barrilla</w:t>
      </w:r>
      <w:proofErr w:type="spellEnd"/>
      <w:r w:rsidR="00723CDE">
        <w:t xml:space="preserve">. After 1620, </w:t>
      </w:r>
      <w:r>
        <w:t>if ash use rose faster than the production of broadcloth, it must have been associated with the rise of other industries</w:t>
      </w:r>
      <w:r w:rsidR="00723CDE">
        <w:t>, whether it was used in soap-making, bleaching, or other activities</w:t>
      </w:r>
      <w:r>
        <w:t>. Table 1 provides a comparison of change in the importation of ash with estimates of textile production produced by Craig Muldrew.</w:t>
      </w:r>
      <w:r w:rsidR="00820795">
        <w:rPr>
          <w:rStyle w:val="FootnoteReference"/>
        </w:rPr>
        <w:footnoteReference w:id="103"/>
      </w:r>
      <w:r>
        <w:t xml:space="preserve"> Ash imports saw </w:t>
      </w:r>
      <w:r w:rsidR="00313C6E">
        <w:t xml:space="preserve">a notable acceleration of production in the period from the 1590s to the 1620s, at a rate breaching 2% </w:t>
      </w:r>
      <w:r w:rsidR="00313C6E">
        <w:rPr>
          <w:i/>
        </w:rPr>
        <w:t>per annum</w:t>
      </w:r>
      <w:r w:rsidR="00313C6E">
        <w:t>. After some stagnation</w:t>
      </w:r>
      <w:r w:rsidR="00790B70">
        <w:t>,</w:t>
      </w:r>
      <w:r w:rsidR="00313C6E">
        <w:t xml:space="preserve"> growth rates in the second half of the seventeenth century would have been around 0.7% </w:t>
      </w:r>
      <w:r w:rsidR="00313C6E">
        <w:rPr>
          <w:i/>
        </w:rPr>
        <w:t xml:space="preserve">per annum. </w:t>
      </w:r>
      <w:r w:rsidR="00313C6E">
        <w:t xml:space="preserve">Given the stagnation of population </w:t>
      </w:r>
      <w:r w:rsidR="00B01990">
        <w:t xml:space="preserve">in the decades </w:t>
      </w:r>
      <w:r w:rsidR="00313C6E">
        <w:t>after 1650 th</w:t>
      </w:r>
      <w:r w:rsidR="00B01990">
        <w:t>is would have represented even</w:t>
      </w:r>
      <w:r w:rsidR="00313C6E">
        <w:t xml:space="preserve"> more real growth in </w:t>
      </w:r>
      <w:r w:rsidR="00313C6E">
        <w:rPr>
          <w:i/>
        </w:rPr>
        <w:t xml:space="preserve">per capita </w:t>
      </w:r>
      <w:r w:rsidR="00313C6E">
        <w:t>terms,</w:t>
      </w:r>
      <w:r w:rsidR="00313C6E">
        <w:rPr>
          <w:i/>
        </w:rPr>
        <w:t xml:space="preserve"> </w:t>
      </w:r>
      <w:r w:rsidR="00790B70">
        <w:t>but growth in the ash trade was arrested again</w:t>
      </w:r>
      <w:r w:rsidR="00675EB4">
        <w:t xml:space="preserve"> after 1700</w:t>
      </w:r>
      <w:r w:rsidR="00790B70">
        <w:t>, part</w:t>
      </w:r>
      <w:r w:rsidR="00675EB4">
        <w:t>icularly</w:t>
      </w:r>
      <w:r w:rsidR="00790B70">
        <w:t xml:space="preserve"> by disruption from war in the 1740s. There was a</w:t>
      </w:r>
      <w:r w:rsidR="00313C6E">
        <w:t xml:space="preserve"> notable acceleration after 1750</w:t>
      </w:r>
      <w:r w:rsidR="00790B70">
        <w:t>, especially in the 1760s</w:t>
      </w:r>
      <w:r w:rsidR="00313C6E">
        <w:t xml:space="preserve">. Of course in all these periods there was great inter-annual variation. </w:t>
      </w:r>
    </w:p>
    <w:p w:rsidR="00110962" w:rsidRDefault="00110962" w:rsidP="00FC4841">
      <w:pPr>
        <w:spacing w:line="480" w:lineRule="auto"/>
        <w:jc w:val="both"/>
      </w:pPr>
    </w:p>
    <w:p w:rsidR="00B01990" w:rsidRDefault="00B01990" w:rsidP="00FC4841">
      <w:pPr>
        <w:spacing w:line="480" w:lineRule="auto"/>
        <w:jc w:val="center"/>
        <w:rPr>
          <w:b/>
        </w:rPr>
      </w:pPr>
      <w:proofErr w:type="gramStart"/>
      <w:r>
        <w:rPr>
          <w:b/>
        </w:rPr>
        <w:t>Table 1</w:t>
      </w:r>
      <w:r w:rsidR="003A4582">
        <w:rPr>
          <w:b/>
        </w:rPr>
        <w:t>.</w:t>
      </w:r>
      <w:proofErr w:type="gramEnd"/>
      <w:r w:rsidR="003A4582">
        <w:rPr>
          <w:b/>
        </w:rPr>
        <w:t xml:space="preserve"> Estimated annual rates of growth of wool output and ash imports in England (%)</w:t>
      </w:r>
    </w:p>
    <w:tbl>
      <w:tblPr>
        <w:tblStyle w:val="TableGrid"/>
        <w:tblW w:w="0" w:type="auto"/>
        <w:tblLook w:val="04A0" w:firstRow="1" w:lastRow="0" w:firstColumn="1" w:lastColumn="0" w:noHBand="0" w:noVBand="1"/>
      </w:tblPr>
      <w:tblGrid>
        <w:gridCol w:w="1540"/>
        <w:gridCol w:w="1540"/>
        <w:gridCol w:w="1540"/>
        <w:gridCol w:w="1540"/>
        <w:gridCol w:w="1541"/>
        <w:gridCol w:w="1541"/>
      </w:tblGrid>
      <w:tr w:rsidR="003A4582">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lastRenderedPageBreak/>
              <w:t>Period</w:t>
            </w:r>
          </w:p>
        </w:tc>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Ash imports</w:t>
            </w:r>
          </w:p>
        </w:tc>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Wool spun (excl. New drapery exports)</w:t>
            </w:r>
          </w:p>
        </w:tc>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Wool spun (million lbs) at start of period</w:t>
            </w:r>
          </w:p>
        </w:tc>
        <w:tc>
          <w:tcPr>
            <w:tcW w:w="1541"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 xml:space="preserve">Total Wool spun </w:t>
            </w:r>
          </w:p>
        </w:tc>
        <w:tc>
          <w:tcPr>
            <w:tcW w:w="1541"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Total Wool spun (million lbs)</w:t>
            </w:r>
          </w:p>
        </w:tc>
      </w:tr>
      <w:tr w:rsidR="003A4582">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1590-1615/20</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2.4</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1.3</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35</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1.3</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35</w:t>
            </w:r>
          </w:p>
        </w:tc>
      </w:tr>
      <w:tr w:rsidR="003A4582">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1615/20-1640</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-0.2</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-0.9</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41.3</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-0.3</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48</w:t>
            </w:r>
          </w:p>
        </w:tc>
      </w:tr>
      <w:tr w:rsidR="003A4582">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1640-1700</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0.7</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-0.15</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33.2</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0.4</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44.6</w:t>
            </w:r>
          </w:p>
        </w:tc>
      </w:tr>
      <w:tr w:rsidR="003A4582">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1700-1750</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0.02</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30.6</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0.5</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57</w:t>
            </w:r>
          </w:p>
        </w:tc>
      </w:tr>
      <w:tr w:rsidR="003A4582">
        <w:tc>
          <w:tcPr>
            <w:tcW w:w="1540" w:type="dxa"/>
            <w:vAlign w:val="bottom"/>
          </w:tcPr>
          <w:p w:rsidR="003A4582" w:rsidRDefault="003A4582" w:rsidP="00FC4841">
            <w:pPr>
              <w:spacing w:line="480" w:lineRule="auto"/>
              <w:rPr>
                <w:rFonts w:ascii="Calibri" w:hAnsi="Calibri" w:cs="Calibri"/>
                <w:color w:val="000000"/>
                <w:sz w:val="22"/>
                <w:szCs w:val="22"/>
              </w:rPr>
            </w:pPr>
            <w:r>
              <w:rPr>
                <w:rFonts w:ascii="Calibri" w:hAnsi="Calibri" w:cs="Calibri"/>
                <w:color w:val="000000"/>
                <w:sz w:val="22"/>
                <w:szCs w:val="22"/>
              </w:rPr>
              <w:t>1750-1770</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1.7</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1</w:t>
            </w:r>
          </w:p>
        </w:tc>
        <w:tc>
          <w:tcPr>
            <w:tcW w:w="1540"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33.1</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1</w:t>
            </w:r>
          </w:p>
        </w:tc>
        <w:tc>
          <w:tcPr>
            <w:tcW w:w="1541" w:type="dxa"/>
            <w:vAlign w:val="bottom"/>
          </w:tcPr>
          <w:p w:rsidR="003A4582" w:rsidRDefault="003A4582" w:rsidP="00FC4841">
            <w:pPr>
              <w:spacing w:line="480" w:lineRule="auto"/>
              <w:jc w:val="right"/>
              <w:rPr>
                <w:rFonts w:ascii="Calibri" w:hAnsi="Calibri" w:cs="Calibri"/>
                <w:color w:val="000000"/>
                <w:sz w:val="22"/>
                <w:szCs w:val="22"/>
              </w:rPr>
            </w:pPr>
            <w:r>
              <w:rPr>
                <w:rFonts w:ascii="Calibri" w:hAnsi="Calibri" w:cs="Calibri"/>
                <w:color w:val="000000"/>
                <w:sz w:val="22"/>
                <w:szCs w:val="22"/>
              </w:rPr>
              <w:t>71.6</w:t>
            </w:r>
          </w:p>
        </w:tc>
      </w:tr>
    </w:tbl>
    <w:p w:rsidR="003A4582" w:rsidRPr="00B01990" w:rsidRDefault="003A4582" w:rsidP="00FC4841">
      <w:pPr>
        <w:spacing w:line="480" w:lineRule="auto"/>
        <w:jc w:val="center"/>
        <w:rPr>
          <w:b/>
        </w:rPr>
      </w:pPr>
    </w:p>
    <w:p w:rsidR="00B01990" w:rsidRPr="00B01990" w:rsidRDefault="003A4582" w:rsidP="00FC4841">
      <w:pPr>
        <w:spacing w:line="480" w:lineRule="auto"/>
        <w:ind w:left="720" w:hanging="720"/>
        <w:jc w:val="both"/>
        <w:rPr>
          <w:sz w:val="20"/>
          <w:szCs w:val="20"/>
        </w:rPr>
      </w:pPr>
      <w:r>
        <w:rPr>
          <w:sz w:val="20"/>
          <w:szCs w:val="20"/>
        </w:rPr>
        <w:t>S</w:t>
      </w:r>
      <w:r w:rsidR="00B01990" w:rsidRPr="00B01990">
        <w:rPr>
          <w:sz w:val="20"/>
          <w:szCs w:val="20"/>
        </w:rPr>
        <w:t>ources: Muldrew, ‘</w:t>
      </w:r>
      <w:proofErr w:type="spellStart"/>
      <w:r w:rsidR="00B01990" w:rsidRPr="00B01990">
        <w:rPr>
          <w:sz w:val="20"/>
          <w:szCs w:val="20"/>
        </w:rPr>
        <w:t>Th’ancient</w:t>
      </w:r>
      <w:proofErr w:type="spellEnd"/>
      <w:r w:rsidR="00B01990" w:rsidRPr="00B01990">
        <w:rPr>
          <w:sz w:val="20"/>
          <w:szCs w:val="20"/>
        </w:rPr>
        <w:t xml:space="preserve"> distaff’; for ash,</w:t>
      </w:r>
      <w:r w:rsidR="00B01990">
        <w:rPr>
          <w:sz w:val="20"/>
          <w:szCs w:val="20"/>
        </w:rPr>
        <w:t xml:space="preserve"> as cited in this article.</w:t>
      </w:r>
    </w:p>
    <w:p w:rsidR="003A4582" w:rsidRDefault="003A4582" w:rsidP="00FC4841">
      <w:pPr>
        <w:spacing w:line="480" w:lineRule="auto"/>
        <w:jc w:val="both"/>
      </w:pPr>
    </w:p>
    <w:p w:rsidR="00614CB1" w:rsidRDefault="00313C6E" w:rsidP="00FC4841">
      <w:pPr>
        <w:spacing w:line="480" w:lineRule="auto"/>
        <w:jc w:val="both"/>
      </w:pPr>
      <w:r>
        <w:t xml:space="preserve">Muldrew </w:t>
      </w:r>
      <w:r w:rsidR="00692FC8">
        <w:t xml:space="preserve">has estimated </w:t>
      </w:r>
      <w:r>
        <w:t>the total amount of wool spun between 1590 and 1770</w:t>
      </w:r>
      <w:r w:rsidR="00692FC8">
        <w:t xml:space="preserve"> for both broadcloth and the lighter ‘new draperies’</w:t>
      </w:r>
      <w:r>
        <w:t xml:space="preserve">. </w:t>
      </w:r>
      <w:r w:rsidR="00692FC8">
        <w:t xml:space="preserve">We have seen that there was a </w:t>
      </w:r>
      <w:r w:rsidR="00110962">
        <w:t>relatively flat demand for ash to make soap</w:t>
      </w:r>
      <w:r w:rsidR="00723CDE">
        <w:t xml:space="preserve"> for broadcloth</w:t>
      </w:r>
      <w:r w:rsidR="00692FC8">
        <w:t>; however</w:t>
      </w:r>
      <w:r w:rsidR="00110962">
        <w:t xml:space="preserve"> </w:t>
      </w:r>
      <w:r w:rsidR="00D14B42">
        <w:t xml:space="preserve">the </w:t>
      </w:r>
      <w:r w:rsidR="00790B70">
        <w:t>growth</w:t>
      </w:r>
      <w:r w:rsidR="00D14B42">
        <w:t xml:space="preserve"> of</w:t>
      </w:r>
      <w:r w:rsidR="00790B70">
        <w:t xml:space="preserve"> </w:t>
      </w:r>
      <w:r w:rsidR="00110962">
        <w:t>ash import</w:t>
      </w:r>
      <w:r w:rsidR="00790B70">
        <w:t>s</w:t>
      </w:r>
      <w:r w:rsidR="00110962">
        <w:t xml:space="preserve"> overall matches much better that of wool </w:t>
      </w:r>
      <w:r w:rsidR="00790B70">
        <w:t xml:space="preserve">production </w:t>
      </w:r>
      <w:r w:rsidR="00110962">
        <w:t>in total. New draperies, however – an increasing share of wool production – used rather less soap</w:t>
      </w:r>
      <w:r w:rsidR="00790B70">
        <w:t xml:space="preserve"> than broadcloths in production. </w:t>
      </w:r>
      <w:r w:rsidR="00251557">
        <w:t xml:space="preserve">The erratic and at times falling capacity to import ash from the east by well have encouraged the use of barilla, where possible, as woollen production continued to rise after 1700. More intriguing, perhaps, is the significant rise in potash imports in the second half of the seventeenth century. The main alternative use of this ash would have been whitening and bleaching linen, generally of higher quality. </w:t>
      </w:r>
      <w:r w:rsidR="006C6626">
        <w:t xml:space="preserve">The logic of this comparison is that when there is a mismatch between trends in ash </w:t>
      </w:r>
      <w:r w:rsidR="00251557">
        <w:t>imports and trends in woollen</w:t>
      </w:r>
      <w:r w:rsidR="006C6626">
        <w:t xml:space="preserve"> output, the gap must be explained by </w:t>
      </w:r>
      <w:r>
        <w:t xml:space="preserve">accelerations in </w:t>
      </w:r>
      <w:r w:rsidR="006C6626">
        <w:t xml:space="preserve">finer </w:t>
      </w:r>
      <w:r>
        <w:t xml:space="preserve">linen production. </w:t>
      </w:r>
      <w:proofErr w:type="spellStart"/>
      <w:r w:rsidR="00614CB1">
        <w:t>Ormrod</w:t>
      </w:r>
      <w:proofErr w:type="spellEnd"/>
      <w:r w:rsidR="008670E6">
        <w:t xml:space="preserve"> estimates that English </w:t>
      </w:r>
      <w:r w:rsidR="00110962">
        <w:t xml:space="preserve">linen </w:t>
      </w:r>
      <w:r w:rsidR="00675EB4">
        <w:t xml:space="preserve">production </w:t>
      </w:r>
      <w:r w:rsidR="008670E6">
        <w:t>doubl</w:t>
      </w:r>
      <w:r>
        <w:t>ed between 1730 and 1780</w:t>
      </w:r>
      <w:r w:rsidR="00CB4A83">
        <w:t xml:space="preserve">. Domestic production has proven very difficult to quantify for earlier dates (as has the relation between production and the imports of flax and hemp </w:t>
      </w:r>
      <w:r w:rsidR="00CB4A83">
        <w:lastRenderedPageBreak/>
        <w:t>from the east</w:t>
      </w:r>
      <w:r w:rsidR="00B01990">
        <w:t>)</w:t>
      </w:r>
      <w:r w:rsidR="00CB4A83">
        <w:t>. However the rise in potash imports suggests that a significant expansion of fine linen production may already have taken place before 1730.</w:t>
      </w:r>
      <w:r>
        <w:t xml:space="preserve"> </w:t>
      </w:r>
      <w:r w:rsidR="00CB4A83">
        <w:t xml:space="preserve">However, further </w:t>
      </w:r>
      <w:r w:rsidR="008670E6">
        <w:t>rapid overall growth of the linen industries</w:t>
      </w:r>
      <w:r>
        <w:t>, as well as some reinvigoration of broadcloths</w:t>
      </w:r>
      <w:r w:rsidR="00D14B42">
        <w:t>,</w:t>
      </w:r>
      <w:r>
        <w:t xml:space="preserve"> after 1750 would </w:t>
      </w:r>
      <w:r w:rsidR="00251557">
        <w:t xml:space="preserve">also </w:t>
      </w:r>
      <w:r>
        <w:t xml:space="preserve">explain </w:t>
      </w:r>
      <w:r w:rsidR="008670E6">
        <w:t xml:space="preserve">anxieties </w:t>
      </w:r>
      <w:r w:rsidR="006C6626">
        <w:t>about potash supply</w:t>
      </w:r>
      <w:r w:rsidR="00D14B42">
        <w:t xml:space="preserve"> in the middle of the eighteenth century from in both England and Scotland</w:t>
      </w:r>
      <w:r w:rsidR="00CB4A83">
        <w:t xml:space="preserve"> (where growth was spectacular)</w:t>
      </w:r>
      <w:r w:rsidR="006C6626">
        <w:t xml:space="preserve">, </w:t>
      </w:r>
      <w:r w:rsidR="00D14B42">
        <w:t xml:space="preserve">followed by </w:t>
      </w:r>
      <w:r w:rsidR="006C6626">
        <w:t>the emergence</w:t>
      </w:r>
      <w:r w:rsidR="008670E6">
        <w:t xml:space="preserve"> of American </w:t>
      </w:r>
      <w:r w:rsidR="006C6626">
        <w:t>sources</w:t>
      </w:r>
      <w:r w:rsidR="008670E6">
        <w:t xml:space="preserve"> and attempts at import substitution</w:t>
      </w:r>
      <w:r w:rsidR="006C6626">
        <w:t xml:space="preserve"> at this time</w:t>
      </w:r>
      <w:r w:rsidR="00CB4A83">
        <w:t>.</w:t>
      </w:r>
      <w:r w:rsidR="00CB4A83">
        <w:rPr>
          <w:rStyle w:val="FootnoteReference"/>
        </w:rPr>
        <w:footnoteReference w:id="104"/>
      </w:r>
    </w:p>
    <w:p w:rsidR="005602C5" w:rsidRDefault="005602C5" w:rsidP="00FC4841">
      <w:pPr>
        <w:spacing w:line="480" w:lineRule="auto"/>
        <w:jc w:val="both"/>
      </w:pPr>
    </w:p>
    <w:p w:rsidR="00790B70" w:rsidRDefault="00C10907" w:rsidP="00FC4841">
      <w:pPr>
        <w:spacing w:line="480" w:lineRule="auto"/>
        <w:jc w:val="both"/>
        <w:rPr>
          <w:i/>
        </w:rPr>
      </w:pPr>
      <w:r>
        <w:t>Thus ash imports</w:t>
      </w:r>
      <w:r w:rsidR="005D1F99">
        <w:t xml:space="preserve"> may give us a tentative framing for the changing levels of p</w:t>
      </w:r>
      <w:r w:rsidR="006C6626">
        <w:t xml:space="preserve">roduction in crucial parts of the textile sector. </w:t>
      </w:r>
      <w:r w:rsidR="00D14B42">
        <w:t xml:space="preserve">It was an essential input, and one cannot imagine it being imported unless there was a market. In this regard it is perhaps a better guide to general trends in certain types of industrial output than the </w:t>
      </w:r>
      <w:r w:rsidR="00D14B42">
        <w:rPr>
          <w:i/>
        </w:rPr>
        <w:t xml:space="preserve">export </w:t>
      </w:r>
      <w:r w:rsidR="00D14B42">
        <w:t xml:space="preserve">figures of cloth on which historians have rested so much as one of the few quantitative indicators of output. </w:t>
      </w:r>
      <w:r w:rsidR="00D04689">
        <w:t xml:space="preserve">The data affirm the received wisdom of significant growth in the broadcloth industry between 1590 and the 1610s, but also point to </w:t>
      </w:r>
      <w:r w:rsidR="00563091">
        <w:t xml:space="preserve">unquantified but </w:t>
      </w:r>
      <w:r w:rsidR="00D04689">
        <w:t>important industrial advance in the second half of the</w:t>
      </w:r>
      <w:r w:rsidR="00690F6C">
        <w:rPr>
          <w:vertAlign w:val="superscript"/>
        </w:rPr>
        <w:t xml:space="preserve"> </w:t>
      </w:r>
      <w:r w:rsidR="00690F6C">
        <w:t>seventeenth</w:t>
      </w:r>
      <w:r w:rsidR="00D04689">
        <w:t xml:space="preserve"> century, where linen manufacture may have taken a major role. This is also in keeping with recent estimates of occupational structure suggesting a major rise in the industrial workforce took place before 1700.</w:t>
      </w:r>
      <w:r w:rsidR="00563091">
        <w:rPr>
          <w:rStyle w:val="FootnoteReference"/>
        </w:rPr>
        <w:footnoteReference w:id="105"/>
      </w:r>
      <w:r w:rsidR="00D04689">
        <w:t xml:space="preserve"> W</w:t>
      </w:r>
      <w:r w:rsidR="006C6626">
        <w:t>e can also compare England</w:t>
      </w:r>
      <w:r w:rsidR="005D1F99">
        <w:t xml:space="preserve"> with the </w:t>
      </w:r>
      <w:r w:rsidR="006C6626">
        <w:t xml:space="preserve">early modern economic powerhouse, </w:t>
      </w:r>
      <w:r w:rsidR="005D1F99">
        <w:t xml:space="preserve">the Netherlands. The Dutch took over 60% of the </w:t>
      </w:r>
      <w:r w:rsidR="006C6626">
        <w:t xml:space="preserve">ash </w:t>
      </w:r>
      <w:r w:rsidR="005D1F99">
        <w:t>suppl</w:t>
      </w:r>
      <w:r w:rsidR="006D59E0">
        <w:t xml:space="preserve">y in the 1620s and </w:t>
      </w:r>
      <w:r w:rsidR="005D1F99">
        <w:t xml:space="preserve">this proportion held good for much of the </w:t>
      </w:r>
      <w:r w:rsidR="00F8683D">
        <w:t>seventeenth century</w:t>
      </w:r>
      <w:r w:rsidR="005D1F99">
        <w:t xml:space="preserve"> </w:t>
      </w:r>
      <w:r w:rsidR="00357C65">
        <w:t>(measuring</w:t>
      </w:r>
      <w:r w:rsidR="0002022D">
        <w:t xml:space="preserve"> the aggregated trade by </w:t>
      </w:r>
      <w:r w:rsidR="0002022D">
        <w:rPr>
          <w:i/>
        </w:rPr>
        <w:t>wood inputs</w:t>
      </w:r>
      <w:r w:rsidR="006C6626">
        <w:t>)</w:t>
      </w:r>
      <w:r w:rsidR="005D1F99">
        <w:t>.</w:t>
      </w:r>
      <w:r>
        <w:t xml:space="preserve"> </w:t>
      </w:r>
      <w:r w:rsidR="00B01990">
        <w:t>T</w:t>
      </w:r>
      <w:r w:rsidR="00D14B42" w:rsidRPr="00D14B42">
        <w:t>he</w:t>
      </w:r>
      <w:r w:rsidR="005D1F99">
        <w:t xml:space="preserve"> Netherlands nearly always took the greater share of the Baltic </w:t>
      </w:r>
      <w:proofErr w:type="gramStart"/>
      <w:r w:rsidR="005D1F99">
        <w:t>trade,</w:t>
      </w:r>
      <w:proofErr w:type="gramEnd"/>
      <w:r w:rsidR="005D1F99">
        <w:t xml:space="preserve"> </w:t>
      </w:r>
      <w:r w:rsidR="006D59E0">
        <w:t xml:space="preserve">and from the 1650s to the early 1680s </w:t>
      </w:r>
      <w:r w:rsidR="00D14B42">
        <w:t xml:space="preserve">it </w:t>
      </w:r>
      <w:r w:rsidR="006D59E0">
        <w:t>probably also had the larger s</w:t>
      </w:r>
      <w:r w:rsidR="006C6626">
        <w:t>hare of the Archangel trade.</w:t>
      </w:r>
      <w:r w:rsidR="00D14B42">
        <w:rPr>
          <w:rStyle w:val="FootnoteReference"/>
        </w:rPr>
        <w:footnoteReference w:id="106"/>
      </w:r>
      <w:r w:rsidR="006C6626">
        <w:t xml:space="preserve"> </w:t>
      </w:r>
      <w:r w:rsidR="00D14B42">
        <w:t xml:space="preserve">The extent of </w:t>
      </w:r>
      <w:r w:rsidR="006C6626">
        <w:t>D</w:t>
      </w:r>
      <w:r w:rsidR="00D14B42">
        <w:t>utch trade with Russia in the eighteenth century is</w:t>
      </w:r>
      <w:r w:rsidR="006D59E0">
        <w:t xml:space="preserve"> currently unclear, </w:t>
      </w:r>
      <w:r w:rsidR="0002022D">
        <w:t xml:space="preserve">but </w:t>
      </w:r>
      <w:r w:rsidR="00D14B42">
        <w:t xml:space="preserve">was </w:t>
      </w:r>
      <w:r w:rsidR="006D59E0">
        <w:t xml:space="preserve">probably at least level-pegging with the English in ash imports </w:t>
      </w:r>
      <w:r w:rsidR="00FA4028">
        <w:lastRenderedPageBreak/>
        <w:t>right up until the 1750s</w:t>
      </w:r>
      <w:r w:rsidR="006D59E0">
        <w:t xml:space="preserve">. </w:t>
      </w:r>
      <w:r w:rsidR="00B01990">
        <w:t>Thus i</w:t>
      </w:r>
      <w:r w:rsidR="006C6626">
        <w:t xml:space="preserve">t seems then that </w:t>
      </w:r>
      <w:r w:rsidR="005D1F99">
        <w:t xml:space="preserve">Dutch industrial </w:t>
      </w:r>
      <w:r w:rsidR="006D59E0">
        <w:t xml:space="preserve">strength </w:t>
      </w:r>
      <w:r w:rsidR="00CC540B">
        <w:t xml:space="preserve">in the </w:t>
      </w:r>
      <w:r w:rsidR="00CC540B">
        <w:rPr>
          <w:i/>
        </w:rPr>
        <w:t xml:space="preserve">finishing </w:t>
      </w:r>
      <w:r w:rsidR="00CC540B">
        <w:t xml:space="preserve">of textiles – remembering that many of the linens </w:t>
      </w:r>
      <w:r w:rsidR="00790B70">
        <w:t>bleached at Haarlem were woven in</w:t>
      </w:r>
      <w:r w:rsidR="00CC540B">
        <w:t xml:space="preserve"> Germany </w:t>
      </w:r>
      <w:r w:rsidR="0002022D">
        <w:t>–</w:t>
      </w:r>
      <w:r w:rsidR="00CC540B">
        <w:t xml:space="preserve"> </w:t>
      </w:r>
      <w:r w:rsidR="0002022D">
        <w:t xml:space="preserve">may have </w:t>
      </w:r>
      <w:r w:rsidR="005D1F99">
        <w:t>held long</w:t>
      </w:r>
      <w:r w:rsidR="0002022D">
        <w:t>er</w:t>
      </w:r>
      <w:r w:rsidR="005D1F99">
        <w:t xml:space="preserve"> into the eigh</w:t>
      </w:r>
      <w:r w:rsidR="006D59E0">
        <w:t>teenth century than sometimes thought</w:t>
      </w:r>
      <w:r w:rsidR="005D1F99">
        <w:t>, and much more s</w:t>
      </w:r>
      <w:r w:rsidR="00CC540B">
        <w:t xml:space="preserve">o measured </w:t>
      </w:r>
      <w:r w:rsidR="005D1F99">
        <w:rPr>
          <w:i/>
        </w:rPr>
        <w:t xml:space="preserve">per capita. </w:t>
      </w:r>
    </w:p>
    <w:p w:rsidR="00790B70" w:rsidRDefault="00790B70" w:rsidP="00FC4841">
      <w:pPr>
        <w:spacing w:line="480" w:lineRule="auto"/>
        <w:jc w:val="both"/>
        <w:rPr>
          <w:i/>
        </w:rPr>
      </w:pPr>
    </w:p>
    <w:p w:rsidR="00F30C1B" w:rsidRDefault="00D14B42" w:rsidP="00FC4841">
      <w:pPr>
        <w:spacing w:line="480" w:lineRule="auto"/>
        <w:jc w:val="both"/>
      </w:pPr>
      <w:r>
        <w:t>I</w:t>
      </w:r>
      <w:r w:rsidR="006C6626">
        <w:t xml:space="preserve">n both cases we can perceive how closely </w:t>
      </w:r>
      <w:r w:rsidR="00CC540B">
        <w:t xml:space="preserve">industrialisation was connected to the forests of </w:t>
      </w:r>
      <w:proofErr w:type="gramStart"/>
      <w:r w:rsidR="00CC540B">
        <w:t>eastern</w:t>
      </w:r>
      <w:proofErr w:type="gramEnd"/>
      <w:r w:rsidR="00CC540B">
        <w:t xml:space="preserve"> Europe and </w:t>
      </w:r>
      <w:r w:rsidR="006C6626">
        <w:t xml:space="preserve">eventually North America. </w:t>
      </w:r>
      <w:r>
        <w:t>This dependency has received very little recognition, and calls for greater attention to such dependencies both before and during the Industrial Revolution. Thus this article seeks to chart</w:t>
      </w:r>
      <w:r w:rsidR="006C6626">
        <w:t xml:space="preserve"> a path towards the construction of a kind of ecologically-minded input-output model of early </w:t>
      </w:r>
      <w:r w:rsidR="001E3D75">
        <w:t xml:space="preserve">industrial </w:t>
      </w:r>
      <w:r w:rsidR="006C6626">
        <w:t>development: a work implicit in the notion of ghost acres</w:t>
      </w:r>
      <w:r w:rsidR="001E3D75">
        <w:t xml:space="preserve"> and the organic economy</w:t>
      </w:r>
      <w:r w:rsidR="006C6626">
        <w:t xml:space="preserve">, but </w:t>
      </w:r>
      <w:r w:rsidR="00790B70">
        <w:t xml:space="preserve">one </w:t>
      </w:r>
      <w:r w:rsidR="006C6626">
        <w:t xml:space="preserve">barely yet begun. </w:t>
      </w:r>
      <w:r w:rsidR="00CC540B">
        <w:t xml:space="preserve"> </w:t>
      </w:r>
    </w:p>
    <w:p w:rsidR="00FC4841" w:rsidRDefault="00FC4841" w:rsidP="00FC4841">
      <w:pPr>
        <w:spacing w:line="480" w:lineRule="auto"/>
        <w:jc w:val="both"/>
      </w:pPr>
    </w:p>
    <w:p w:rsidR="00553CCA" w:rsidRDefault="00553CCA" w:rsidP="00FC4841">
      <w:pPr>
        <w:spacing w:line="480" w:lineRule="auto"/>
        <w:jc w:val="center"/>
        <w:rPr>
          <w:b/>
        </w:rPr>
      </w:pPr>
      <w:r>
        <w:rPr>
          <w:b/>
        </w:rPr>
        <w:t>APPENDIX</w:t>
      </w:r>
    </w:p>
    <w:p w:rsidR="00553CCA" w:rsidRPr="001B42DB" w:rsidRDefault="00553CCA" w:rsidP="00FC4841">
      <w:pPr>
        <w:spacing w:line="480" w:lineRule="auto"/>
        <w:jc w:val="center"/>
        <w:rPr>
          <w:b/>
        </w:rPr>
      </w:pPr>
      <w:r w:rsidRPr="001B42DB">
        <w:rPr>
          <w:b/>
        </w:rPr>
        <w:t>Imports of Potash recorded in Port Books, 1621-1685</w:t>
      </w:r>
    </w:p>
    <w:p w:rsidR="00553CCA" w:rsidRPr="001B42DB" w:rsidRDefault="00553CCA" w:rsidP="00FC4841">
      <w:pPr>
        <w:spacing w:line="480" w:lineRule="auto"/>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1842"/>
        <w:gridCol w:w="2127"/>
        <w:gridCol w:w="2318"/>
      </w:tblGrid>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i/>
                <w:sz w:val="22"/>
                <w:szCs w:val="22"/>
              </w:rPr>
              <w:t>Year (end of year in)</w:t>
            </w:r>
            <w:r w:rsidRPr="001B42DB">
              <w:rPr>
                <w:rStyle w:val="FootnoteReference"/>
                <w:rFonts w:ascii="Calibri" w:hAnsi="Calibri"/>
                <w:i/>
                <w:sz w:val="22"/>
                <w:szCs w:val="22"/>
              </w:rPr>
              <w:footnoteReference w:id="107"/>
            </w:r>
          </w:p>
        </w:tc>
        <w:tc>
          <w:tcPr>
            <w:tcW w:w="1842" w:type="dxa"/>
          </w:tcPr>
          <w:p w:rsidR="00553CCA" w:rsidRPr="001B42DB" w:rsidRDefault="00553CCA" w:rsidP="00FC4841">
            <w:pPr>
              <w:spacing w:line="480" w:lineRule="auto"/>
              <w:jc w:val="both"/>
              <w:rPr>
                <w:rFonts w:ascii="Calibri" w:hAnsi="Calibri"/>
                <w:i/>
                <w:sz w:val="22"/>
                <w:szCs w:val="22"/>
              </w:rPr>
            </w:pPr>
            <w:r w:rsidRPr="001B42DB">
              <w:rPr>
                <w:rFonts w:ascii="Calibri" w:hAnsi="Calibri"/>
                <w:i/>
                <w:sz w:val="22"/>
                <w:szCs w:val="22"/>
              </w:rPr>
              <w:t>Merchants</w:t>
            </w:r>
          </w:p>
        </w:tc>
        <w:tc>
          <w:tcPr>
            <w:tcW w:w="2127" w:type="dxa"/>
          </w:tcPr>
          <w:p w:rsidR="00553CCA" w:rsidRPr="001B42DB" w:rsidRDefault="00553CCA" w:rsidP="00FC4841">
            <w:pPr>
              <w:spacing w:line="480" w:lineRule="auto"/>
              <w:jc w:val="both"/>
              <w:rPr>
                <w:rFonts w:ascii="Calibri" w:hAnsi="Calibri"/>
                <w:i/>
                <w:sz w:val="22"/>
                <w:szCs w:val="22"/>
              </w:rPr>
            </w:pPr>
            <w:r w:rsidRPr="001B42DB">
              <w:rPr>
                <w:rFonts w:ascii="Calibri" w:hAnsi="Calibri"/>
                <w:i/>
                <w:sz w:val="22"/>
                <w:szCs w:val="22"/>
              </w:rPr>
              <w:t>Aggregate trade (lbs)</w:t>
            </w:r>
          </w:p>
        </w:tc>
        <w:tc>
          <w:tcPr>
            <w:tcW w:w="2318" w:type="dxa"/>
          </w:tcPr>
          <w:p w:rsidR="00553CCA" w:rsidRPr="001B42DB" w:rsidRDefault="00553CCA" w:rsidP="00FC4841">
            <w:pPr>
              <w:spacing w:line="480" w:lineRule="auto"/>
              <w:jc w:val="both"/>
              <w:rPr>
                <w:rFonts w:ascii="Calibri" w:hAnsi="Calibri"/>
                <w:i/>
                <w:sz w:val="22"/>
                <w:szCs w:val="22"/>
              </w:rPr>
            </w:pPr>
            <w:r w:rsidRPr="001B42DB">
              <w:rPr>
                <w:rFonts w:ascii="Calibri" w:hAnsi="Calibri"/>
                <w:i/>
                <w:sz w:val="22"/>
                <w:szCs w:val="22"/>
              </w:rPr>
              <w:t>Wood equivalent (m</w:t>
            </w:r>
            <w:r w:rsidRPr="001B42DB">
              <w:rPr>
                <w:rFonts w:ascii="Calibri" w:hAnsi="Calibri"/>
                <w:i/>
                <w:sz w:val="22"/>
                <w:szCs w:val="22"/>
                <w:vertAlign w:val="superscript"/>
              </w:rPr>
              <w:t>3</w:t>
            </w:r>
            <w:r w:rsidRPr="001B42DB">
              <w:rPr>
                <w:rFonts w:ascii="Calibri" w:hAnsi="Calibri"/>
                <w:i/>
                <w:sz w:val="22"/>
                <w:szCs w:val="22"/>
              </w:rPr>
              <w:t>)</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1621</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Domestic</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1 806 344</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1 319 000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1626</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 xml:space="preserve">Domestic </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898 819</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656 000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1633</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 xml:space="preserve">Domestic </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1 354 515</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989 000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1634</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Domestic</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487 592</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356 000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1640</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Domestic</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2 419 508</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1 766 000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1666</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Domestic</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42 560</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31 000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1667</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Domestic</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1 557 920</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1 137 000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1671</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Domestic</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463 456</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338 000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lastRenderedPageBreak/>
              <w:t>1672</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Domestic</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828 016</w:t>
            </w:r>
            <w:r w:rsidRPr="001B42DB">
              <w:rPr>
                <w:rStyle w:val="FootnoteReference"/>
                <w:rFonts w:ascii="Calibri" w:hAnsi="Calibri"/>
                <w:sz w:val="22"/>
                <w:szCs w:val="22"/>
              </w:rPr>
              <w:footnoteReference w:id="108"/>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604 000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1676</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 xml:space="preserve">Domestic </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738 612</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539 000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1681</w:t>
            </w:r>
          </w:p>
        </w:tc>
        <w:tc>
          <w:tcPr>
            <w:tcW w:w="1842" w:type="dxa"/>
          </w:tcPr>
          <w:p w:rsidR="00553CCA" w:rsidRPr="001B42DB" w:rsidRDefault="00553CCA" w:rsidP="00FC4841">
            <w:pPr>
              <w:spacing w:line="480" w:lineRule="auto"/>
              <w:jc w:val="both"/>
              <w:rPr>
                <w:rFonts w:ascii="Calibri" w:hAnsi="Calibri"/>
                <w:sz w:val="22"/>
                <w:szCs w:val="22"/>
              </w:rPr>
            </w:pPr>
            <w:proofErr w:type="spellStart"/>
            <w:r w:rsidRPr="001B42DB">
              <w:rPr>
                <w:rFonts w:ascii="Calibri" w:hAnsi="Calibri"/>
                <w:sz w:val="22"/>
                <w:szCs w:val="22"/>
              </w:rPr>
              <w:t>Åstrom</w:t>
            </w:r>
            <w:proofErr w:type="spellEnd"/>
            <w:r w:rsidRPr="001B42DB">
              <w:rPr>
                <w:rFonts w:ascii="Calibri" w:hAnsi="Calibri"/>
                <w:sz w:val="22"/>
                <w:szCs w:val="22"/>
              </w:rPr>
              <w:t xml:space="preserve"> (1963)</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2 531 424</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1 848 000</w:t>
            </w:r>
          </w:p>
        </w:tc>
      </w:tr>
      <w:tr w:rsidR="00553CCA" w:rsidRPr="001B42DB">
        <w:tc>
          <w:tcPr>
            <w:tcW w:w="2235"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1685</w:t>
            </w:r>
          </w:p>
        </w:tc>
        <w:tc>
          <w:tcPr>
            <w:tcW w:w="1842"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Domestic &amp; Alien</w:t>
            </w:r>
          </w:p>
        </w:tc>
        <w:tc>
          <w:tcPr>
            <w:tcW w:w="2127"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3 411 849</w:t>
            </w:r>
          </w:p>
        </w:tc>
        <w:tc>
          <w:tcPr>
            <w:tcW w:w="2318" w:type="dxa"/>
          </w:tcPr>
          <w:p w:rsidR="00553CCA" w:rsidRPr="001B42DB" w:rsidRDefault="00553CCA" w:rsidP="00FC4841">
            <w:pPr>
              <w:spacing w:line="480" w:lineRule="auto"/>
              <w:jc w:val="both"/>
              <w:rPr>
                <w:rFonts w:ascii="Calibri" w:hAnsi="Calibri"/>
                <w:sz w:val="22"/>
                <w:szCs w:val="22"/>
              </w:rPr>
            </w:pPr>
            <w:r w:rsidRPr="001B42DB">
              <w:rPr>
                <w:rFonts w:ascii="Calibri" w:hAnsi="Calibri"/>
                <w:sz w:val="22"/>
                <w:szCs w:val="22"/>
              </w:rPr>
              <w:t>2 491 000</w:t>
            </w:r>
          </w:p>
        </w:tc>
      </w:tr>
    </w:tbl>
    <w:p w:rsidR="00553CCA" w:rsidRPr="001B42DB" w:rsidRDefault="00553CCA" w:rsidP="00FC4841">
      <w:pPr>
        <w:spacing w:line="480" w:lineRule="auto"/>
        <w:jc w:val="both"/>
      </w:pPr>
    </w:p>
    <w:p w:rsidR="00553CCA" w:rsidRPr="001B42DB" w:rsidRDefault="00553CCA" w:rsidP="00FC4841">
      <w:pPr>
        <w:spacing w:line="480" w:lineRule="auto"/>
        <w:jc w:val="both"/>
        <w:rPr>
          <w:sz w:val="20"/>
        </w:rPr>
      </w:pPr>
      <w:r w:rsidRPr="001B42DB">
        <w:rPr>
          <w:b/>
          <w:sz w:val="20"/>
        </w:rPr>
        <w:t xml:space="preserve">Note: </w:t>
      </w:r>
      <w:r w:rsidRPr="001B42DB">
        <w:rPr>
          <w:sz w:val="20"/>
        </w:rPr>
        <w:t>wood equivalent is calculated on the basis of 0.73 m</w:t>
      </w:r>
      <w:r w:rsidRPr="001B42DB">
        <w:rPr>
          <w:sz w:val="20"/>
          <w:vertAlign w:val="superscript"/>
        </w:rPr>
        <w:t xml:space="preserve">3 </w:t>
      </w:r>
      <w:r w:rsidRPr="001B42DB">
        <w:rPr>
          <w:sz w:val="20"/>
        </w:rPr>
        <w:t xml:space="preserve">of wood being required to make 1 lb of potash. Actual values in records may be recorded as hundredweight, ship-pounds and occasionally </w:t>
      </w:r>
      <w:r w:rsidRPr="001B42DB">
        <w:rPr>
          <w:i/>
          <w:sz w:val="20"/>
        </w:rPr>
        <w:t>Last</w:t>
      </w:r>
      <w:r w:rsidRPr="001B42DB">
        <w:rPr>
          <w:sz w:val="20"/>
        </w:rPr>
        <w:t xml:space="preserve"> and have been converted into pounds. Ship-pounds and </w:t>
      </w:r>
      <w:r w:rsidRPr="001B42DB">
        <w:rPr>
          <w:i/>
          <w:sz w:val="20"/>
        </w:rPr>
        <w:t xml:space="preserve">Last </w:t>
      </w:r>
      <w:r w:rsidRPr="001B42DB">
        <w:rPr>
          <w:sz w:val="20"/>
        </w:rPr>
        <w:t xml:space="preserve">are units of volume. A hundredweight was traditionally 112 </w:t>
      </w:r>
      <w:proofErr w:type="gramStart"/>
      <w:r w:rsidRPr="001B42DB">
        <w:rPr>
          <w:sz w:val="20"/>
        </w:rPr>
        <w:t>lbs,</w:t>
      </w:r>
      <w:proofErr w:type="gramEnd"/>
      <w:r w:rsidRPr="001B42DB">
        <w:rPr>
          <w:sz w:val="20"/>
        </w:rPr>
        <w:t xml:space="preserve"> the price evidence of the Port Books seems to indicate that ‘c lib’ or ‘c </w:t>
      </w:r>
      <w:proofErr w:type="spellStart"/>
      <w:r w:rsidRPr="001B42DB">
        <w:rPr>
          <w:sz w:val="20"/>
        </w:rPr>
        <w:t>wht</w:t>
      </w:r>
      <w:proofErr w:type="spellEnd"/>
      <w:r w:rsidRPr="001B42DB">
        <w:rPr>
          <w:sz w:val="20"/>
        </w:rPr>
        <w:t xml:space="preserve">’ in fact referred to exactly 100 lbs of ash. 112 lbs is used here, as is also asserted in an Act of 1657. </w:t>
      </w:r>
      <w:proofErr w:type="spellStart"/>
      <w:r w:rsidRPr="001B42DB">
        <w:rPr>
          <w:sz w:val="20"/>
        </w:rPr>
        <w:t>Åstrom</w:t>
      </w:r>
      <w:proofErr w:type="spellEnd"/>
      <w:r w:rsidRPr="001B42DB">
        <w:rPr>
          <w:sz w:val="20"/>
        </w:rPr>
        <w:t xml:space="preserve"> also provided data for 1633, which is significantly greater than the sum I have tallied and 1685, where is total is slightly smaller, most likely due to one transcription error greatly underestimating the size of a single transaction. I also find differences with his transcriptions of Gilbert Heathcote’s trading. </w:t>
      </w:r>
    </w:p>
    <w:p w:rsidR="00553CCA" w:rsidRPr="001B42DB" w:rsidRDefault="00553CCA" w:rsidP="00FC4841">
      <w:pPr>
        <w:spacing w:line="480" w:lineRule="auto"/>
        <w:jc w:val="both"/>
        <w:rPr>
          <w:sz w:val="20"/>
        </w:rPr>
      </w:pPr>
      <w:r w:rsidRPr="001B42DB">
        <w:rPr>
          <w:b/>
          <w:sz w:val="20"/>
        </w:rPr>
        <w:t>Source</w:t>
      </w:r>
      <w:r>
        <w:rPr>
          <w:b/>
          <w:sz w:val="20"/>
        </w:rPr>
        <w:t>s</w:t>
      </w:r>
      <w:r w:rsidRPr="001B42DB">
        <w:rPr>
          <w:b/>
          <w:sz w:val="20"/>
        </w:rPr>
        <w:t xml:space="preserve">: </w:t>
      </w:r>
      <w:r w:rsidRPr="001B42DB">
        <w:rPr>
          <w:sz w:val="20"/>
        </w:rPr>
        <w:t>TNA E190/24/4; E190/25/6; E190/31/3; E190/33/2; E190/38/1; E190/38/5; E190/43/5; E190/44/3; E190/51/4; E190/56/1; E190/65/1; E190/64/1; E190/68/1; E190/</w:t>
      </w:r>
      <w:r w:rsidR="00B01990">
        <w:rPr>
          <w:sz w:val="20"/>
        </w:rPr>
        <w:t xml:space="preserve">134/1; E190/163/3; </w:t>
      </w:r>
      <w:proofErr w:type="spellStart"/>
      <w:r w:rsidR="00B01990">
        <w:rPr>
          <w:sz w:val="20"/>
        </w:rPr>
        <w:t>Åstrom</w:t>
      </w:r>
      <w:proofErr w:type="spellEnd"/>
      <w:r w:rsidRPr="001B42DB">
        <w:rPr>
          <w:sz w:val="20"/>
        </w:rPr>
        <w:t>,</w:t>
      </w:r>
      <w:r w:rsidR="00B01990">
        <w:rPr>
          <w:sz w:val="20"/>
        </w:rPr>
        <w:t xml:space="preserve"> </w:t>
      </w:r>
      <w:r w:rsidR="00B01990">
        <w:rPr>
          <w:i/>
          <w:sz w:val="20"/>
        </w:rPr>
        <w:t>From cloth to iron,</w:t>
      </w:r>
      <w:r w:rsidR="00B01990">
        <w:rPr>
          <w:sz w:val="20"/>
        </w:rPr>
        <w:t xml:space="preserve"> </w:t>
      </w:r>
      <w:r w:rsidRPr="001B42DB">
        <w:rPr>
          <w:sz w:val="20"/>
        </w:rPr>
        <w:t>54, 229.</w:t>
      </w:r>
    </w:p>
    <w:p w:rsidR="00553CCA" w:rsidRPr="00553CCA" w:rsidRDefault="00553CCA" w:rsidP="00FC4841">
      <w:pPr>
        <w:spacing w:line="480" w:lineRule="auto"/>
        <w:jc w:val="both"/>
        <w:rPr>
          <w:b/>
        </w:rPr>
      </w:pPr>
    </w:p>
    <w:sectPr w:rsidR="00553CCA" w:rsidRPr="00553CCA" w:rsidSect="002E46E8">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EE6" w:rsidRDefault="00FE3EE6" w:rsidP="00BF2F9C">
      <w:r>
        <w:separator/>
      </w:r>
    </w:p>
  </w:endnote>
  <w:endnote w:type="continuationSeparator" w:id="0">
    <w:p w:rsidR="00FE3EE6" w:rsidRDefault="00FE3EE6" w:rsidP="00BF2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EE6" w:rsidRDefault="00FE3EE6" w:rsidP="00BF2F9C">
      <w:r>
        <w:separator/>
      </w:r>
    </w:p>
  </w:footnote>
  <w:footnote w:type="continuationSeparator" w:id="0">
    <w:p w:rsidR="00FE3EE6" w:rsidRDefault="00FE3EE6" w:rsidP="00BF2F9C">
      <w:r>
        <w:continuationSeparator/>
      </w:r>
    </w:p>
  </w:footnote>
  <w:footnote w:id="1">
    <w:p w:rsidR="008606BF" w:rsidRDefault="008606BF">
      <w:pPr>
        <w:pStyle w:val="FootnoteText"/>
      </w:pPr>
      <w:r>
        <w:rPr>
          <w:rStyle w:val="FootnoteReference"/>
        </w:rPr>
        <w:t>*</w:t>
      </w:r>
      <w:r>
        <w:t xml:space="preserve"> I would </w:t>
      </w:r>
      <w:r w:rsidR="000168FE">
        <w:t xml:space="preserve">like to </w:t>
      </w:r>
      <w:r>
        <w:t xml:space="preserve">express gratitude to the British Academy for their generous support of this research. Thanks are owed to </w:t>
      </w:r>
      <w:proofErr w:type="spellStart"/>
      <w:r>
        <w:t>Loreta</w:t>
      </w:r>
      <w:proofErr w:type="spellEnd"/>
      <w:r>
        <w:t xml:space="preserve"> </w:t>
      </w:r>
      <w:proofErr w:type="spellStart"/>
      <w:r>
        <w:t>Zydeliene</w:t>
      </w:r>
      <w:proofErr w:type="spellEnd"/>
      <w:r>
        <w:t xml:space="preserve"> for research assistance, and Richard Unger, Richard Hoyle, and </w:t>
      </w:r>
      <w:proofErr w:type="spellStart"/>
      <w:r>
        <w:t>Ji</w:t>
      </w:r>
      <w:r>
        <w:rPr>
          <w:rFonts w:cs="Times New Roman"/>
        </w:rPr>
        <w:t>ři</w:t>
      </w:r>
      <w:proofErr w:type="spellEnd"/>
      <w:r>
        <w:rPr>
          <w:rFonts w:cs="Times New Roman"/>
        </w:rPr>
        <w:t xml:space="preserve"> </w:t>
      </w:r>
      <w:proofErr w:type="spellStart"/>
      <w:r>
        <w:rPr>
          <w:rFonts w:cs="Times New Roman"/>
        </w:rPr>
        <w:t>Woitsch</w:t>
      </w:r>
      <w:proofErr w:type="spellEnd"/>
      <w:r w:rsidR="000168FE">
        <w:rPr>
          <w:rFonts w:cs="Times New Roman"/>
        </w:rPr>
        <w:t xml:space="preserve"> for the provision of references and material. I would also like to thank participants at seminars where earlier versions of this work was presented  in Cambridge, at</w:t>
      </w:r>
      <w:r w:rsidR="00DD7C5B">
        <w:rPr>
          <w:rFonts w:cs="Times New Roman"/>
        </w:rPr>
        <w:t xml:space="preserve"> the Institute for Historical</w:t>
      </w:r>
      <w:r w:rsidR="000168FE">
        <w:rPr>
          <w:rFonts w:cs="Times New Roman"/>
        </w:rPr>
        <w:t xml:space="preserve"> Research, and the 2014 Sound Toll Registers Online conference at </w:t>
      </w:r>
      <w:proofErr w:type="spellStart"/>
      <w:r w:rsidR="000168FE">
        <w:rPr>
          <w:rFonts w:cs="Times New Roman"/>
        </w:rPr>
        <w:t>Helsingør</w:t>
      </w:r>
      <w:proofErr w:type="spellEnd"/>
      <w:r w:rsidR="000168FE">
        <w:rPr>
          <w:rFonts w:cs="Times New Roman"/>
        </w:rPr>
        <w:t xml:space="preserve">, especially Jan Willem </w:t>
      </w:r>
      <w:proofErr w:type="spellStart"/>
      <w:r w:rsidR="000168FE">
        <w:rPr>
          <w:rFonts w:cs="Times New Roman"/>
        </w:rPr>
        <w:t>Veluwenkamp</w:t>
      </w:r>
      <w:proofErr w:type="spellEnd"/>
      <w:r w:rsidR="000168FE">
        <w:rPr>
          <w:rFonts w:cs="Times New Roman"/>
        </w:rPr>
        <w:t xml:space="preserve">. </w:t>
      </w:r>
    </w:p>
  </w:footnote>
  <w:footnote w:id="2">
    <w:p w:rsidR="00907B0D" w:rsidRPr="00371FC0" w:rsidRDefault="00907B0D" w:rsidP="00BF2F9C">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2</w:t>
      </w:r>
      <w:r w:rsidRPr="00371FC0">
        <w:rPr>
          <w:rFonts w:cs="Times New Roman"/>
          <w:vertAlign w:val="superscript"/>
        </w:rPr>
        <w:t xml:space="preserve">o </w:t>
      </w:r>
      <w:r w:rsidRPr="00371FC0">
        <w:rPr>
          <w:rFonts w:cs="Times New Roman"/>
        </w:rPr>
        <w:t>&amp; 3</w:t>
      </w:r>
      <w:r w:rsidRPr="00371FC0">
        <w:rPr>
          <w:rFonts w:cs="Times New Roman"/>
          <w:vertAlign w:val="superscript"/>
        </w:rPr>
        <w:t xml:space="preserve">o </w:t>
      </w:r>
      <w:r w:rsidRPr="00371FC0">
        <w:rPr>
          <w:rFonts w:cs="Times New Roman"/>
        </w:rPr>
        <w:t xml:space="preserve">Edw. VI.c.26, in </w:t>
      </w:r>
      <w:r w:rsidRPr="00371FC0">
        <w:rPr>
          <w:rFonts w:cs="Times New Roman"/>
          <w:i/>
          <w:iCs/>
        </w:rPr>
        <w:t>Statutes of the Realm</w:t>
      </w:r>
      <w:r w:rsidRPr="00371FC0">
        <w:rPr>
          <w:rFonts w:cs="Times New Roman"/>
        </w:rPr>
        <w:t xml:space="preserve"> </w:t>
      </w:r>
      <w:proofErr w:type="spellStart"/>
      <w:r w:rsidRPr="00371FC0">
        <w:rPr>
          <w:rFonts w:cs="Times New Roman"/>
        </w:rPr>
        <w:t>Vol.IV</w:t>
      </w:r>
      <w:proofErr w:type="spellEnd"/>
      <w:r w:rsidRPr="00371FC0">
        <w:rPr>
          <w:rFonts w:cs="Times New Roman"/>
        </w:rPr>
        <w:t xml:space="preserve"> </w:t>
      </w:r>
      <w:proofErr w:type="spellStart"/>
      <w:r w:rsidRPr="00371FC0">
        <w:rPr>
          <w:rFonts w:cs="Times New Roman"/>
        </w:rPr>
        <w:t>Pt.II</w:t>
      </w:r>
      <w:proofErr w:type="spellEnd"/>
      <w:r w:rsidRPr="00371FC0">
        <w:rPr>
          <w:rFonts w:cs="Times New Roman"/>
        </w:rPr>
        <w:t xml:space="preserve"> (London, 1963), 71.</w:t>
      </w:r>
      <w:proofErr w:type="gramEnd"/>
    </w:p>
  </w:footnote>
  <w:footnote w:id="3">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On linen, see </w:t>
      </w:r>
      <w:proofErr w:type="spellStart"/>
      <w:r w:rsidRPr="00371FC0">
        <w:rPr>
          <w:rFonts w:cs="Times New Roman"/>
        </w:rPr>
        <w:t>Nesta</w:t>
      </w:r>
      <w:proofErr w:type="spellEnd"/>
      <w:r w:rsidRPr="00371FC0">
        <w:rPr>
          <w:rFonts w:cs="Times New Roman"/>
        </w:rPr>
        <w:t xml:space="preserve"> Evans, </w:t>
      </w:r>
      <w:r w:rsidRPr="00371FC0">
        <w:rPr>
          <w:rFonts w:cs="Times New Roman"/>
          <w:i/>
        </w:rPr>
        <w:t xml:space="preserve">The east Anglian linen industry. Rural industry and local economy 1500-1850 </w:t>
      </w:r>
      <w:r w:rsidRPr="00371FC0">
        <w:rPr>
          <w:rFonts w:cs="Times New Roman"/>
        </w:rPr>
        <w:t>(Aldershot, 1985), 30-32; although Evans does not wonder what the source of alkaline lye was.</w:t>
      </w:r>
    </w:p>
  </w:footnote>
  <w:footnote w:id="4">
    <w:p w:rsidR="00907B0D" w:rsidRPr="00371FC0" w:rsidRDefault="00907B0D" w:rsidP="00BF2F9C">
      <w:pPr>
        <w:rPr>
          <w:sz w:val="20"/>
          <w:szCs w:val="20"/>
        </w:rPr>
      </w:pPr>
      <w:r w:rsidRPr="00371FC0">
        <w:rPr>
          <w:rStyle w:val="FootnoteReference"/>
          <w:sz w:val="20"/>
          <w:szCs w:val="20"/>
        </w:rPr>
        <w:footnoteRef/>
      </w:r>
      <w:r w:rsidRPr="00371FC0">
        <w:rPr>
          <w:sz w:val="20"/>
          <w:szCs w:val="20"/>
        </w:rPr>
        <w:t xml:space="preserve"> Malachy </w:t>
      </w:r>
      <w:proofErr w:type="spellStart"/>
      <w:r w:rsidRPr="00371FC0">
        <w:rPr>
          <w:sz w:val="20"/>
          <w:szCs w:val="20"/>
        </w:rPr>
        <w:t>Postlethwayt</w:t>
      </w:r>
      <w:proofErr w:type="spellEnd"/>
      <w:r w:rsidRPr="00371FC0">
        <w:rPr>
          <w:sz w:val="20"/>
          <w:szCs w:val="20"/>
        </w:rPr>
        <w:t xml:space="preserve">, </w:t>
      </w:r>
      <w:r w:rsidRPr="00371FC0">
        <w:rPr>
          <w:i/>
          <w:iCs/>
          <w:sz w:val="20"/>
          <w:szCs w:val="20"/>
        </w:rPr>
        <w:t xml:space="preserve">The universal dictionary of trade and commerce, translated from the French of ... Monsieur </w:t>
      </w:r>
      <w:proofErr w:type="spellStart"/>
      <w:r w:rsidRPr="00371FC0">
        <w:rPr>
          <w:i/>
          <w:iCs/>
          <w:sz w:val="20"/>
          <w:szCs w:val="20"/>
        </w:rPr>
        <w:t>Savary</w:t>
      </w:r>
      <w:proofErr w:type="spellEnd"/>
      <w:r w:rsidRPr="00371FC0">
        <w:rPr>
          <w:i/>
          <w:iCs/>
          <w:sz w:val="20"/>
          <w:szCs w:val="20"/>
        </w:rPr>
        <w:t>,</w:t>
      </w:r>
      <w:r w:rsidRPr="00371FC0">
        <w:rPr>
          <w:sz w:val="20"/>
          <w:szCs w:val="20"/>
        </w:rPr>
        <w:t xml:space="preserve"> (London, 1751-55), 532. For a full description of many processes involved, see A. Rees, </w:t>
      </w:r>
      <w:r w:rsidRPr="00371FC0">
        <w:rPr>
          <w:i/>
          <w:sz w:val="20"/>
          <w:szCs w:val="20"/>
        </w:rPr>
        <w:t xml:space="preserve">The Cyclopaedia; or Universal Dictionary of Arts, Sciences and Literature, </w:t>
      </w:r>
      <w:r w:rsidRPr="00371FC0">
        <w:rPr>
          <w:sz w:val="20"/>
          <w:szCs w:val="20"/>
        </w:rPr>
        <w:t xml:space="preserve">ed. by Neil </w:t>
      </w:r>
      <w:proofErr w:type="spellStart"/>
      <w:r w:rsidRPr="00371FC0">
        <w:rPr>
          <w:sz w:val="20"/>
          <w:szCs w:val="20"/>
        </w:rPr>
        <w:t>Cossons</w:t>
      </w:r>
      <w:proofErr w:type="spellEnd"/>
      <w:r w:rsidRPr="00371FC0">
        <w:rPr>
          <w:sz w:val="20"/>
          <w:szCs w:val="20"/>
        </w:rPr>
        <w:t xml:space="preserve"> as </w:t>
      </w:r>
      <w:r w:rsidRPr="00371FC0">
        <w:rPr>
          <w:i/>
          <w:sz w:val="20"/>
          <w:szCs w:val="20"/>
        </w:rPr>
        <w:t xml:space="preserve">Rees’s Manufacturing Industry (1819-20). Volume One </w:t>
      </w:r>
      <w:r w:rsidRPr="00371FC0">
        <w:rPr>
          <w:sz w:val="20"/>
          <w:szCs w:val="20"/>
        </w:rPr>
        <w:t xml:space="preserve">(Trowbridge, 1972), 178-186; and </w:t>
      </w:r>
      <w:r w:rsidRPr="00371FC0">
        <w:rPr>
          <w:i/>
          <w:sz w:val="20"/>
          <w:szCs w:val="20"/>
        </w:rPr>
        <w:t xml:space="preserve">Volume Five, </w:t>
      </w:r>
      <w:r w:rsidRPr="00371FC0">
        <w:rPr>
          <w:sz w:val="20"/>
          <w:szCs w:val="20"/>
        </w:rPr>
        <w:t>14-19.</w:t>
      </w:r>
    </w:p>
  </w:footnote>
  <w:footnote w:id="5">
    <w:p w:rsidR="00907B0D" w:rsidRPr="00371FC0" w:rsidRDefault="00907B0D" w:rsidP="00BF2F9C">
      <w:pPr>
        <w:pStyle w:val="Heading1"/>
        <w:rPr>
          <w:b w:val="0"/>
          <w:sz w:val="20"/>
          <w:szCs w:val="20"/>
        </w:rPr>
      </w:pPr>
      <w:r w:rsidRPr="00371FC0">
        <w:rPr>
          <w:rStyle w:val="FootnoteReference"/>
          <w:b w:val="0"/>
          <w:bCs w:val="0"/>
          <w:sz w:val="20"/>
          <w:szCs w:val="20"/>
        </w:rPr>
        <w:footnoteRef/>
      </w:r>
      <w:r w:rsidRPr="00371FC0">
        <w:rPr>
          <w:sz w:val="20"/>
          <w:szCs w:val="20"/>
        </w:rPr>
        <w:t xml:space="preserve"> </w:t>
      </w:r>
      <w:r>
        <w:rPr>
          <w:b w:val="0"/>
          <w:sz w:val="20"/>
          <w:szCs w:val="20"/>
        </w:rPr>
        <w:t xml:space="preserve">L. </w:t>
      </w:r>
      <w:r w:rsidRPr="00371FC0">
        <w:rPr>
          <w:b w:val="0"/>
          <w:bCs w:val="0"/>
          <w:sz w:val="20"/>
          <w:szCs w:val="20"/>
        </w:rPr>
        <w:t xml:space="preserve">Gittins, L., ‘Innovations in Textile Bleaching in Britain in the Eighteenth Century’, </w:t>
      </w:r>
      <w:r w:rsidRPr="00371FC0">
        <w:rPr>
          <w:b w:val="0"/>
          <w:bCs w:val="0"/>
          <w:i/>
          <w:iCs/>
          <w:sz w:val="20"/>
          <w:szCs w:val="20"/>
        </w:rPr>
        <w:t>The Business History Review</w:t>
      </w:r>
      <w:r>
        <w:rPr>
          <w:b w:val="0"/>
          <w:bCs w:val="0"/>
          <w:sz w:val="20"/>
          <w:szCs w:val="20"/>
        </w:rPr>
        <w:t xml:space="preserve">, Vol. 53, No. 2, (1979), </w:t>
      </w:r>
      <w:r w:rsidRPr="00371FC0">
        <w:rPr>
          <w:b w:val="0"/>
          <w:bCs w:val="0"/>
          <w:sz w:val="20"/>
          <w:szCs w:val="20"/>
        </w:rPr>
        <w:t xml:space="preserve">194-204; </w:t>
      </w:r>
      <w:r>
        <w:rPr>
          <w:b w:val="0"/>
          <w:bCs w:val="0"/>
          <w:sz w:val="20"/>
          <w:szCs w:val="20"/>
        </w:rPr>
        <w:t xml:space="preserve">R.J. </w:t>
      </w:r>
      <w:proofErr w:type="spellStart"/>
      <w:r w:rsidRPr="00371FC0">
        <w:rPr>
          <w:b w:val="0"/>
          <w:bCs w:val="0"/>
          <w:sz w:val="20"/>
          <w:szCs w:val="20"/>
        </w:rPr>
        <w:t>Gleitsmann</w:t>
      </w:r>
      <w:proofErr w:type="spellEnd"/>
      <w:r w:rsidRPr="00371FC0">
        <w:rPr>
          <w:b w:val="0"/>
          <w:bCs w:val="0"/>
          <w:sz w:val="20"/>
          <w:szCs w:val="20"/>
        </w:rPr>
        <w:t>, ‘</w:t>
      </w:r>
      <w:proofErr w:type="spellStart"/>
      <w:r w:rsidRPr="00371FC0">
        <w:rPr>
          <w:b w:val="0"/>
          <w:bCs w:val="0"/>
          <w:sz w:val="20"/>
          <w:szCs w:val="20"/>
        </w:rPr>
        <w:t>Aspekte</w:t>
      </w:r>
      <w:proofErr w:type="spellEnd"/>
      <w:r w:rsidRPr="00371FC0">
        <w:rPr>
          <w:b w:val="0"/>
          <w:bCs w:val="0"/>
          <w:sz w:val="20"/>
          <w:szCs w:val="20"/>
        </w:rPr>
        <w:t xml:space="preserve"> der </w:t>
      </w:r>
      <w:proofErr w:type="spellStart"/>
      <w:r w:rsidRPr="00371FC0">
        <w:rPr>
          <w:b w:val="0"/>
          <w:bCs w:val="0"/>
          <w:sz w:val="20"/>
          <w:szCs w:val="20"/>
        </w:rPr>
        <w:t>Ressourcenpolitik</w:t>
      </w:r>
      <w:proofErr w:type="spellEnd"/>
      <w:r w:rsidRPr="00371FC0">
        <w:rPr>
          <w:b w:val="0"/>
          <w:bCs w:val="0"/>
          <w:sz w:val="20"/>
          <w:szCs w:val="20"/>
        </w:rPr>
        <w:t xml:space="preserve"> in </w:t>
      </w:r>
      <w:proofErr w:type="spellStart"/>
      <w:r w:rsidRPr="00371FC0">
        <w:rPr>
          <w:b w:val="0"/>
          <w:bCs w:val="0"/>
          <w:sz w:val="20"/>
          <w:szCs w:val="20"/>
        </w:rPr>
        <w:t>historischer</w:t>
      </w:r>
      <w:proofErr w:type="spellEnd"/>
      <w:r w:rsidRPr="00371FC0">
        <w:rPr>
          <w:b w:val="0"/>
          <w:bCs w:val="0"/>
          <w:sz w:val="20"/>
          <w:szCs w:val="20"/>
        </w:rPr>
        <w:t xml:space="preserve"> </w:t>
      </w:r>
      <w:proofErr w:type="spellStart"/>
      <w:r w:rsidRPr="00371FC0">
        <w:rPr>
          <w:b w:val="0"/>
          <w:bCs w:val="0"/>
          <w:sz w:val="20"/>
          <w:szCs w:val="20"/>
        </w:rPr>
        <w:t>Sicht</w:t>
      </w:r>
      <w:proofErr w:type="spellEnd"/>
      <w:r w:rsidRPr="00371FC0">
        <w:rPr>
          <w:b w:val="0"/>
          <w:bCs w:val="0"/>
          <w:sz w:val="20"/>
          <w:szCs w:val="20"/>
        </w:rPr>
        <w:t xml:space="preserve">’, </w:t>
      </w:r>
      <w:proofErr w:type="spellStart"/>
      <w:r w:rsidRPr="00371FC0">
        <w:rPr>
          <w:b w:val="0"/>
          <w:bCs w:val="0"/>
          <w:i/>
          <w:sz w:val="20"/>
          <w:szCs w:val="20"/>
        </w:rPr>
        <w:t>Scripta</w:t>
      </w:r>
      <w:proofErr w:type="spellEnd"/>
      <w:r w:rsidRPr="00371FC0">
        <w:rPr>
          <w:b w:val="0"/>
          <w:bCs w:val="0"/>
          <w:i/>
          <w:sz w:val="20"/>
          <w:szCs w:val="20"/>
        </w:rPr>
        <w:t xml:space="preserve"> </w:t>
      </w:r>
      <w:proofErr w:type="spellStart"/>
      <w:r w:rsidRPr="00371FC0">
        <w:rPr>
          <w:b w:val="0"/>
          <w:bCs w:val="0"/>
          <w:i/>
          <w:sz w:val="20"/>
          <w:szCs w:val="20"/>
        </w:rPr>
        <w:t>Mercaturae</w:t>
      </w:r>
      <w:proofErr w:type="spellEnd"/>
      <w:r w:rsidRPr="00371FC0">
        <w:rPr>
          <w:b w:val="0"/>
          <w:bCs w:val="0"/>
          <w:i/>
          <w:sz w:val="20"/>
          <w:szCs w:val="20"/>
        </w:rPr>
        <w:t xml:space="preserve"> </w:t>
      </w:r>
      <w:r>
        <w:rPr>
          <w:b w:val="0"/>
          <w:bCs w:val="0"/>
          <w:sz w:val="20"/>
          <w:szCs w:val="20"/>
        </w:rPr>
        <w:t xml:space="preserve">15 (1981), </w:t>
      </w:r>
      <w:r w:rsidRPr="00371FC0">
        <w:rPr>
          <w:b w:val="0"/>
          <w:bCs w:val="0"/>
          <w:sz w:val="20"/>
          <w:szCs w:val="20"/>
        </w:rPr>
        <w:t xml:space="preserve">42-3. A very extensive discussion of potash and its uses is provided in </w:t>
      </w:r>
      <w:r>
        <w:rPr>
          <w:b w:val="0"/>
          <w:bCs w:val="0"/>
          <w:sz w:val="20"/>
          <w:szCs w:val="20"/>
        </w:rPr>
        <w:t xml:space="preserve">J.G. </w:t>
      </w:r>
      <w:proofErr w:type="spellStart"/>
      <w:r w:rsidRPr="00371FC0">
        <w:rPr>
          <w:b w:val="0"/>
          <w:bCs w:val="0"/>
          <w:sz w:val="20"/>
          <w:szCs w:val="20"/>
        </w:rPr>
        <w:t>Krïnitz</w:t>
      </w:r>
      <w:proofErr w:type="spellEnd"/>
      <w:r w:rsidRPr="00371FC0">
        <w:rPr>
          <w:b w:val="0"/>
          <w:bCs w:val="0"/>
          <w:sz w:val="20"/>
          <w:szCs w:val="20"/>
        </w:rPr>
        <w:t xml:space="preserve">, </w:t>
      </w:r>
      <w:proofErr w:type="spellStart"/>
      <w:r w:rsidRPr="00371FC0">
        <w:rPr>
          <w:b w:val="0"/>
          <w:i/>
          <w:color w:val="212121"/>
          <w:sz w:val="20"/>
          <w:szCs w:val="20"/>
          <w:shd w:val="clear" w:color="auto" w:fill="FFFFFF"/>
        </w:rPr>
        <w:t>Ökonomisch-technologische</w:t>
      </w:r>
      <w:proofErr w:type="spellEnd"/>
      <w:r w:rsidRPr="00371FC0">
        <w:rPr>
          <w:b w:val="0"/>
          <w:i/>
          <w:color w:val="212121"/>
          <w:sz w:val="20"/>
          <w:szCs w:val="20"/>
          <w:shd w:val="clear" w:color="auto" w:fill="FFFFFF"/>
        </w:rPr>
        <w:t xml:space="preserve"> </w:t>
      </w:r>
      <w:proofErr w:type="spellStart"/>
      <w:r w:rsidRPr="00371FC0">
        <w:rPr>
          <w:b w:val="0"/>
          <w:i/>
          <w:color w:val="212121"/>
          <w:sz w:val="20"/>
          <w:szCs w:val="20"/>
          <w:shd w:val="clear" w:color="auto" w:fill="FFFFFF"/>
        </w:rPr>
        <w:t>Encyklopädie</w:t>
      </w:r>
      <w:proofErr w:type="spellEnd"/>
      <w:r w:rsidRPr="00371FC0">
        <w:rPr>
          <w:b w:val="0"/>
          <w:i/>
          <w:color w:val="212121"/>
          <w:sz w:val="20"/>
          <w:szCs w:val="20"/>
          <w:shd w:val="clear" w:color="auto" w:fill="FFFFFF"/>
        </w:rPr>
        <w:t xml:space="preserve">, </w:t>
      </w:r>
      <w:proofErr w:type="spellStart"/>
      <w:r w:rsidRPr="00371FC0">
        <w:rPr>
          <w:b w:val="0"/>
          <w:i/>
          <w:color w:val="212121"/>
          <w:sz w:val="20"/>
          <w:szCs w:val="20"/>
          <w:shd w:val="clear" w:color="auto" w:fill="FFFFFF"/>
        </w:rPr>
        <w:t>oder</w:t>
      </w:r>
      <w:proofErr w:type="spellEnd"/>
      <w:r w:rsidRPr="00371FC0">
        <w:rPr>
          <w:b w:val="0"/>
          <w:i/>
          <w:color w:val="212121"/>
          <w:sz w:val="20"/>
          <w:szCs w:val="20"/>
          <w:shd w:val="clear" w:color="auto" w:fill="FFFFFF"/>
        </w:rPr>
        <w:t xml:space="preserve"> </w:t>
      </w:r>
      <w:proofErr w:type="spellStart"/>
      <w:r w:rsidRPr="00371FC0">
        <w:rPr>
          <w:b w:val="0"/>
          <w:i/>
          <w:color w:val="212121"/>
          <w:sz w:val="20"/>
          <w:szCs w:val="20"/>
          <w:shd w:val="clear" w:color="auto" w:fill="FFFFFF"/>
        </w:rPr>
        <w:t>allgemeines</w:t>
      </w:r>
      <w:proofErr w:type="spellEnd"/>
      <w:r w:rsidRPr="00371FC0">
        <w:rPr>
          <w:b w:val="0"/>
          <w:i/>
          <w:color w:val="212121"/>
          <w:sz w:val="20"/>
          <w:szCs w:val="20"/>
          <w:shd w:val="clear" w:color="auto" w:fill="FFFFFF"/>
        </w:rPr>
        <w:t xml:space="preserve"> System der </w:t>
      </w:r>
      <w:proofErr w:type="spellStart"/>
      <w:r w:rsidRPr="00371FC0">
        <w:rPr>
          <w:b w:val="0"/>
          <w:i/>
          <w:color w:val="212121"/>
          <w:sz w:val="20"/>
          <w:szCs w:val="20"/>
          <w:shd w:val="clear" w:color="auto" w:fill="FFFFFF"/>
        </w:rPr>
        <w:t>Staats</w:t>
      </w:r>
      <w:proofErr w:type="spellEnd"/>
      <w:r w:rsidRPr="00371FC0">
        <w:rPr>
          <w:b w:val="0"/>
          <w:i/>
          <w:color w:val="212121"/>
          <w:sz w:val="20"/>
          <w:szCs w:val="20"/>
          <w:shd w:val="clear" w:color="auto" w:fill="FFFFFF"/>
        </w:rPr>
        <w:t xml:space="preserve">-, </w:t>
      </w:r>
      <w:proofErr w:type="spellStart"/>
      <w:r w:rsidRPr="00371FC0">
        <w:rPr>
          <w:b w:val="0"/>
          <w:i/>
          <w:color w:val="212121"/>
          <w:sz w:val="20"/>
          <w:szCs w:val="20"/>
          <w:shd w:val="clear" w:color="auto" w:fill="FFFFFF"/>
        </w:rPr>
        <w:t>Stadt</w:t>
      </w:r>
      <w:proofErr w:type="spellEnd"/>
      <w:r w:rsidRPr="00371FC0">
        <w:rPr>
          <w:b w:val="0"/>
          <w:i/>
          <w:color w:val="212121"/>
          <w:sz w:val="20"/>
          <w:szCs w:val="20"/>
          <w:shd w:val="clear" w:color="auto" w:fill="FFFFFF"/>
        </w:rPr>
        <w:t xml:space="preserve">-, </w:t>
      </w:r>
      <w:proofErr w:type="spellStart"/>
      <w:r w:rsidRPr="00371FC0">
        <w:rPr>
          <w:b w:val="0"/>
          <w:i/>
          <w:color w:val="212121"/>
          <w:sz w:val="20"/>
          <w:szCs w:val="20"/>
          <w:shd w:val="clear" w:color="auto" w:fill="FFFFFF"/>
        </w:rPr>
        <w:t>Haus</w:t>
      </w:r>
      <w:proofErr w:type="spellEnd"/>
      <w:r w:rsidRPr="00371FC0">
        <w:rPr>
          <w:b w:val="0"/>
          <w:i/>
          <w:color w:val="212121"/>
          <w:sz w:val="20"/>
          <w:szCs w:val="20"/>
          <w:shd w:val="clear" w:color="auto" w:fill="FFFFFF"/>
        </w:rPr>
        <w:t xml:space="preserve">- und </w:t>
      </w:r>
      <w:proofErr w:type="spellStart"/>
      <w:r w:rsidRPr="00371FC0">
        <w:rPr>
          <w:b w:val="0"/>
          <w:i/>
          <w:color w:val="212121"/>
          <w:sz w:val="20"/>
          <w:szCs w:val="20"/>
          <w:shd w:val="clear" w:color="auto" w:fill="FFFFFF"/>
        </w:rPr>
        <w:t>Landwirthschaft</w:t>
      </w:r>
      <w:proofErr w:type="spellEnd"/>
      <w:r w:rsidRPr="00371FC0">
        <w:rPr>
          <w:b w:val="0"/>
          <w:i/>
          <w:color w:val="212121"/>
          <w:sz w:val="20"/>
          <w:szCs w:val="20"/>
          <w:shd w:val="clear" w:color="auto" w:fill="FFFFFF"/>
        </w:rPr>
        <w:t xml:space="preserve">, und der </w:t>
      </w:r>
      <w:proofErr w:type="spellStart"/>
      <w:r w:rsidRPr="00371FC0">
        <w:rPr>
          <w:b w:val="0"/>
          <w:i/>
          <w:color w:val="212121"/>
          <w:sz w:val="20"/>
          <w:szCs w:val="20"/>
          <w:shd w:val="clear" w:color="auto" w:fill="FFFFFF"/>
        </w:rPr>
        <w:t>Kunst</w:t>
      </w:r>
      <w:proofErr w:type="spellEnd"/>
      <w:r w:rsidRPr="00371FC0">
        <w:rPr>
          <w:b w:val="0"/>
          <w:i/>
          <w:color w:val="212121"/>
          <w:sz w:val="20"/>
          <w:szCs w:val="20"/>
          <w:shd w:val="clear" w:color="auto" w:fill="FFFFFF"/>
        </w:rPr>
        <w:t xml:space="preserve">-Geschichte: in </w:t>
      </w:r>
      <w:proofErr w:type="spellStart"/>
      <w:r w:rsidRPr="00371FC0">
        <w:rPr>
          <w:b w:val="0"/>
          <w:i/>
          <w:color w:val="212121"/>
          <w:sz w:val="20"/>
          <w:szCs w:val="20"/>
          <w:shd w:val="clear" w:color="auto" w:fill="FFFFFF"/>
        </w:rPr>
        <w:t>alphabetischer</w:t>
      </w:r>
      <w:proofErr w:type="spellEnd"/>
      <w:r w:rsidRPr="00371FC0">
        <w:rPr>
          <w:b w:val="0"/>
          <w:i/>
          <w:color w:val="212121"/>
          <w:sz w:val="20"/>
          <w:szCs w:val="20"/>
          <w:shd w:val="clear" w:color="auto" w:fill="FFFFFF"/>
        </w:rPr>
        <w:t xml:space="preserve"> </w:t>
      </w:r>
      <w:proofErr w:type="spellStart"/>
      <w:r w:rsidRPr="00371FC0">
        <w:rPr>
          <w:b w:val="0"/>
          <w:i/>
          <w:color w:val="212121"/>
          <w:sz w:val="20"/>
          <w:szCs w:val="20"/>
          <w:shd w:val="clear" w:color="auto" w:fill="FFFFFF"/>
        </w:rPr>
        <w:t>Ordnung</w:t>
      </w:r>
      <w:proofErr w:type="spellEnd"/>
      <w:r w:rsidRPr="00371FC0">
        <w:rPr>
          <w:b w:val="0"/>
          <w:i/>
          <w:color w:val="212121"/>
          <w:sz w:val="20"/>
          <w:szCs w:val="20"/>
          <w:shd w:val="clear" w:color="auto" w:fill="FFFFFF"/>
        </w:rPr>
        <w:t xml:space="preserve"> </w:t>
      </w:r>
      <w:r>
        <w:rPr>
          <w:b w:val="0"/>
          <w:color w:val="212121"/>
          <w:sz w:val="20"/>
          <w:szCs w:val="20"/>
          <w:shd w:val="clear" w:color="auto" w:fill="FFFFFF"/>
        </w:rPr>
        <w:t xml:space="preserve">Bd.116 (Berlin, 1810), </w:t>
      </w:r>
      <w:r w:rsidRPr="00371FC0">
        <w:rPr>
          <w:b w:val="0"/>
          <w:color w:val="212121"/>
          <w:sz w:val="20"/>
          <w:szCs w:val="20"/>
          <w:shd w:val="clear" w:color="auto" w:fill="FFFFFF"/>
        </w:rPr>
        <w:t>372.</w:t>
      </w:r>
    </w:p>
  </w:footnote>
  <w:footnote w:id="6">
    <w:p w:rsidR="00907B0D" w:rsidRPr="00371FC0" w:rsidRDefault="00907B0D" w:rsidP="00706CA1">
      <w:pPr>
        <w:pStyle w:val="Default"/>
        <w:rPr>
          <w:rFonts w:ascii="Times New Roman" w:hAnsi="Times New Roman" w:cs="Times New Roman"/>
          <w:sz w:val="20"/>
          <w:szCs w:val="20"/>
        </w:rPr>
      </w:pPr>
      <w:r w:rsidRPr="00371FC0">
        <w:rPr>
          <w:rStyle w:val="FootnoteReference"/>
          <w:rFonts w:ascii="Times New Roman" w:hAnsi="Times New Roman" w:cs="Times New Roman"/>
          <w:sz w:val="20"/>
          <w:szCs w:val="20"/>
        </w:rPr>
        <w:footnoteRef/>
      </w:r>
      <w:r w:rsidRPr="00371FC0">
        <w:rPr>
          <w:rFonts w:ascii="Times New Roman" w:hAnsi="Times New Roman" w:cs="Times New Roman"/>
          <w:sz w:val="20"/>
          <w:szCs w:val="20"/>
        </w:rPr>
        <w:t xml:space="preserve"> </w:t>
      </w:r>
      <w:proofErr w:type="spellStart"/>
      <w:r w:rsidRPr="00371FC0">
        <w:rPr>
          <w:rFonts w:ascii="Times New Roman" w:hAnsi="Times New Roman" w:cs="Times New Roman"/>
          <w:sz w:val="20"/>
          <w:szCs w:val="20"/>
        </w:rPr>
        <w:t>Postlethwayt</w:t>
      </w:r>
      <w:proofErr w:type="spellEnd"/>
      <w:r w:rsidRPr="00371FC0">
        <w:rPr>
          <w:rFonts w:ascii="Times New Roman" w:hAnsi="Times New Roman" w:cs="Times New Roman"/>
          <w:sz w:val="20"/>
          <w:szCs w:val="20"/>
        </w:rPr>
        <w:t xml:space="preserve">, </w:t>
      </w:r>
      <w:r>
        <w:rPr>
          <w:rFonts w:ascii="Times New Roman" w:hAnsi="Times New Roman" w:cs="Times New Roman"/>
          <w:i/>
          <w:iCs/>
          <w:sz w:val="20"/>
          <w:szCs w:val="20"/>
        </w:rPr>
        <w:t xml:space="preserve">universal dictionary, </w:t>
      </w:r>
      <w:r w:rsidRPr="00371FC0">
        <w:rPr>
          <w:rFonts w:ascii="Times New Roman" w:hAnsi="Times New Roman" w:cs="Times New Roman"/>
          <w:sz w:val="20"/>
          <w:szCs w:val="20"/>
        </w:rPr>
        <w:t xml:space="preserve">534; this was produced by a simpler process of evaporation in pits that produced a less pure alkali product, soda (sodium carbonate). </w:t>
      </w:r>
      <w:proofErr w:type="spellStart"/>
      <w:proofErr w:type="gramStart"/>
      <w:r w:rsidRPr="00371FC0">
        <w:rPr>
          <w:rFonts w:ascii="Times New Roman" w:hAnsi="Times New Roman" w:cs="Times New Roman"/>
          <w:sz w:val="20"/>
          <w:szCs w:val="20"/>
        </w:rPr>
        <w:t>Krünitz</w:t>
      </w:r>
      <w:proofErr w:type="spellEnd"/>
      <w:r>
        <w:rPr>
          <w:rFonts w:ascii="Times New Roman" w:hAnsi="Times New Roman" w:cs="Times New Roman"/>
          <w:sz w:val="20"/>
          <w:szCs w:val="20"/>
        </w:rPr>
        <w:t xml:space="preserve">, </w:t>
      </w:r>
      <w:proofErr w:type="spellStart"/>
      <w:r w:rsidRPr="00371FC0">
        <w:rPr>
          <w:rFonts w:ascii="Times New Roman" w:hAnsi="Times New Roman" w:cs="Times New Roman"/>
          <w:i/>
          <w:color w:val="212121"/>
          <w:sz w:val="20"/>
          <w:szCs w:val="20"/>
          <w:shd w:val="clear" w:color="auto" w:fill="FFFFFF"/>
        </w:rPr>
        <w:t>Encyklopädie</w:t>
      </w:r>
      <w:proofErr w:type="spellEnd"/>
      <w:r>
        <w:rPr>
          <w:rFonts w:ascii="Times New Roman" w:hAnsi="Times New Roman" w:cs="Times New Roman"/>
          <w:i/>
          <w:color w:val="212121"/>
          <w:sz w:val="20"/>
          <w:szCs w:val="20"/>
          <w:shd w:val="clear" w:color="auto" w:fill="FFFFFF"/>
        </w:rPr>
        <w:t xml:space="preserve">, </w:t>
      </w:r>
      <w:r w:rsidRPr="00371FC0">
        <w:rPr>
          <w:rFonts w:ascii="Times New Roman" w:hAnsi="Times New Roman" w:cs="Times New Roman"/>
          <w:sz w:val="20"/>
          <w:szCs w:val="20"/>
        </w:rPr>
        <w:t xml:space="preserve">p.380; </w:t>
      </w:r>
      <w:r>
        <w:rPr>
          <w:rFonts w:ascii="Times New Roman" w:hAnsi="Times New Roman" w:cs="Times New Roman"/>
          <w:sz w:val="20"/>
          <w:szCs w:val="20"/>
        </w:rPr>
        <w:t xml:space="preserve">W.I. </w:t>
      </w:r>
      <w:r w:rsidRPr="00371FC0">
        <w:rPr>
          <w:rFonts w:ascii="Times New Roman" w:hAnsi="Times New Roman" w:cs="Times New Roman"/>
          <w:sz w:val="20"/>
          <w:szCs w:val="20"/>
        </w:rPr>
        <w:t xml:space="preserve">Roberts III., ‘American Potash Manufacture before the American Revolution’, </w:t>
      </w:r>
      <w:r w:rsidRPr="00371FC0">
        <w:rPr>
          <w:rFonts w:ascii="Times New Roman" w:hAnsi="Times New Roman" w:cs="Times New Roman"/>
          <w:i/>
          <w:sz w:val="20"/>
          <w:szCs w:val="20"/>
        </w:rPr>
        <w:t>Proceedings of the American Philosophical Society</w:t>
      </w:r>
      <w:r>
        <w:rPr>
          <w:rFonts w:ascii="Times New Roman" w:hAnsi="Times New Roman" w:cs="Times New Roman"/>
          <w:sz w:val="20"/>
          <w:szCs w:val="20"/>
        </w:rPr>
        <w:t xml:space="preserve">, 116, (1972), </w:t>
      </w:r>
      <w:r w:rsidRPr="00371FC0">
        <w:rPr>
          <w:rFonts w:ascii="Times New Roman" w:hAnsi="Times New Roman" w:cs="Times New Roman"/>
          <w:sz w:val="20"/>
          <w:szCs w:val="20"/>
        </w:rPr>
        <w:t>383.</w:t>
      </w:r>
      <w:proofErr w:type="gramEnd"/>
    </w:p>
  </w:footnote>
  <w:footnote w:id="7">
    <w:p w:rsidR="00907B0D" w:rsidRPr="00371FC0" w:rsidRDefault="00907B0D" w:rsidP="00BF2F9C">
      <w:pPr>
        <w:pStyle w:val="FootnoteText"/>
        <w:rPr>
          <w:rFonts w:cs="Times New Roman"/>
        </w:rPr>
      </w:pPr>
      <w:r w:rsidRPr="00371FC0">
        <w:rPr>
          <w:rStyle w:val="FootnoteReference"/>
          <w:rFonts w:cs="Times New Roman"/>
        </w:rPr>
        <w:footnoteRef/>
      </w:r>
      <w:r w:rsidRPr="00371FC0">
        <w:rPr>
          <w:rFonts w:cs="Times New Roman"/>
        </w:rPr>
        <w:t xml:space="preserve"> Confusingly people referred to ‘soap ashes’ in English meaning ash both </w:t>
      </w:r>
      <w:r w:rsidRPr="00371FC0">
        <w:rPr>
          <w:rFonts w:cs="Times New Roman"/>
          <w:i/>
        </w:rPr>
        <w:t xml:space="preserve">before </w:t>
      </w:r>
      <w:r w:rsidRPr="00371FC0">
        <w:rPr>
          <w:rFonts w:cs="Times New Roman"/>
        </w:rPr>
        <w:t xml:space="preserve">and </w:t>
      </w:r>
      <w:r w:rsidRPr="00371FC0">
        <w:rPr>
          <w:rFonts w:cs="Times New Roman"/>
          <w:i/>
        </w:rPr>
        <w:t xml:space="preserve">after </w:t>
      </w:r>
      <w:r w:rsidRPr="00371FC0">
        <w:rPr>
          <w:rFonts w:cs="Times New Roman"/>
        </w:rPr>
        <w:t xml:space="preserve">it had been employed in soap-making, although the latter contained oily residues making it unsuitable for some other industrial processes. </w:t>
      </w:r>
      <w:r>
        <w:rPr>
          <w:rFonts w:cs="Times New Roman"/>
        </w:rPr>
        <w:t xml:space="preserve">See </w:t>
      </w:r>
      <w:proofErr w:type="spellStart"/>
      <w:r w:rsidRPr="00371FC0">
        <w:rPr>
          <w:rFonts w:cs="Times New Roman"/>
        </w:rPr>
        <w:t>Krünitz</w:t>
      </w:r>
      <w:proofErr w:type="spellEnd"/>
      <w:r w:rsidRPr="00371FC0">
        <w:rPr>
          <w:rFonts w:cs="Times New Roman"/>
        </w:rPr>
        <w:t>,</w:t>
      </w:r>
      <w:r>
        <w:rPr>
          <w:rFonts w:cs="Times New Roman"/>
        </w:rPr>
        <w:t xml:space="preserve"> </w:t>
      </w:r>
      <w:proofErr w:type="spellStart"/>
      <w:r w:rsidRPr="00371FC0">
        <w:rPr>
          <w:rFonts w:cs="Times New Roman"/>
          <w:i/>
          <w:color w:val="212121"/>
          <w:shd w:val="clear" w:color="auto" w:fill="FFFFFF"/>
        </w:rPr>
        <w:t>Encyklopädie</w:t>
      </w:r>
      <w:proofErr w:type="spellEnd"/>
      <w:r>
        <w:rPr>
          <w:rFonts w:cs="Times New Roman"/>
          <w:i/>
          <w:color w:val="212121"/>
          <w:shd w:val="clear" w:color="auto" w:fill="FFFFFF"/>
        </w:rPr>
        <w:t xml:space="preserve">, </w:t>
      </w:r>
      <w:r w:rsidRPr="00371FC0">
        <w:rPr>
          <w:rFonts w:cs="Times New Roman"/>
        </w:rPr>
        <w:t xml:space="preserve">387, 590; </w:t>
      </w:r>
      <w:r>
        <w:rPr>
          <w:rFonts w:cs="Times New Roman"/>
        </w:rPr>
        <w:t xml:space="preserve">Jiri </w:t>
      </w:r>
      <w:proofErr w:type="spellStart"/>
      <w:r>
        <w:rPr>
          <w:rFonts w:cs="Times New Roman"/>
        </w:rPr>
        <w:t>Woitsch</w:t>
      </w:r>
      <w:proofErr w:type="spellEnd"/>
      <w:r w:rsidRPr="00371FC0">
        <w:rPr>
          <w:rFonts w:cs="Times New Roman"/>
        </w:rPr>
        <w:t>, ‘The potash industry in Bohemia and Moravia in the 18</w:t>
      </w:r>
      <w:r w:rsidRPr="00371FC0">
        <w:rPr>
          <w:rFonts w:cs="Times New Roman"/>
          <w:vertAlign w:val="superscript"/>
        </w:rPr>
        <w:t>th</w:t>
      </w:r>
      <w:r w:rsidRPr="00371FC0">
        <w:rPr>
          <w:rFonts w:cs="Times New Roman"/>
        </w:rPr>
        <w:t xml:space="preserve"> and 19</w:t>
      </w:r>
      <w:r w:rsidRPr="00371FC0">
        <w:rPr>
          <w:rFonts w:cs="Times New Roman"/>
          <w:vertAlign w:val="superscript"/>
        </w:rPr>
        <w:t>th</w:t>
      </w:r>
      <w:r w:rsidRPr="00371FC0">
        <w:rPr>
          <w:rFonts w:cs="Times New Roman"/>
        </w:rPr>
        <w:t xml:space="preserve"> centuries. Paper presented to the XIV International Economic Hist</w:t>
      </w:r>
      <w:r>
        <w:rPr>
          <w:rFonts w:cs="Times New Roman"/>
        </w:rPr>
        <w:t xml:space="preserve">ory Congress, Helsinki, (2006), </w:t>
      </w:r>
      <w:r w:rsidRPr="00371FC0">
        <w:rPr>
          <w:rFonts w:cs="Times New Roman"/>
        </w:rPr>
        <w:t>22.</w:t>
      </w:r>
    </w:p>
  </w:footnote>
  <w:footnote w:id="8">
    <w:p w:rsidR="00907B0D" w:rsidRPr="00371FC0" w:rsidRDefault="00907B0D" w:rsidP="000E0DB3">
      <w:pPr>
        <w:pStyle w:val="FootnoteText"/>
        <w:rPr>
          <w:rFonts w:cs="Times New Roman"/>
        </w:rPr>
      </w:pPr>
      <w:r w:rsidRPr="00371FC0">
        <w:rPr>
          <w:rStyle w:val="FootnoteReference"/>
          <w:rFonts w:cs="Times New Roman"/>
        </w:rPr>
        <w:footnoteRef/>
      </w:r>
      <w:r w:rsidRPr="00371FC0">
        <w:rPr>
          <w:rFonts w:cs="Times New Roman"/>
        </w:rPr>
        <w:t xml:space="preserve"> </w:t>
      </w:r>
      <w:r>
        <w:rPr>
          <w:rFonts w:cs="Times New Roman"/>
        </w:rPr>
        <w:t xml:space="preserve">A. </w:t>
      </w:r>
      <w:proofErr w:type="spellStart"/>
      <w:r w:rsidRPr="00371FC0">
        <w:rPr>
          <w:rFonts w:cs="Times New Roman"/>
        </w:rPr>
        <w:t>Clow</w:t>
      </w:r>
      <w:proofErr w:type="spellEnd"/>
      <w:r w:rsidRPr="00371FC0">
        <w:rPr>
          <w:rFonts w:cs="Times New Roman"/>
        </w:rPr>
        <w:t xml:space="preserve">, and </w:t>
      </w:r>
      <w:r>
        <w:rPr>
          <w:rFonts w:cs="Times New Roman"/>
        </w:rPr>
        <w:t xml:space="preserve">N.L. </w:t>
      </w:r>
      <w:proofErr w:type="spellStart"/>
      <w:r w:rsidRPr="00371FC0">
        <w:rPr>
          <w:rFonts w:cs="Times New Roman"/>
        </w:rPr>
        <w:t>Clow</w:t>
      </w:r>
      <w:proofErr w:type="spellEnd"/>
      <w:r w:rsidRPr="00371FC0">
        <w:rPr>
          <w:rFonts w:cs="Times New Roman"/>
        </w:rPr>
        <w:t xml:space="preserve">, </w:t>
      </w:r>
      <w:r w:rsidRPr="00371FC0">
        <w:rPr>
          <w:rFonts w:cs="Times New Roman"/>
          <w:i/>
        </w:rPr>
        <w:t xml:space="preserve">The chemical revolution. </w:t>
      </w:r>
      <w:proofErr w:type="gramStart"/>
      <w:r w:rsidRPr="00371FC0">
        <w:rPr>
          <w:rFonts w:cs="Times New Roman"/>
          <w:i/>
        </w:rPr>
        <w:t xml:space="preserve">A contribution to social technology </w:t>
      </w:r>
      <w:r>
        <w:rPr>
          <w:rFonts w:cs="Times New Roman"/>
        </w:rPr>
        <w:t xml:space="preserve">(New York, 1952), </w:t>
      </w:r>
      <w:r w:rsidRPr="00371FC0">
        <w:rPr>
          <w:rFonts w:cs="Times New Roman"/>
        </w:rPr>
        <w:t>69-75.</w:t>
      </w:r>
      <w:proofErr w:type="gramEnd"/>
    </w:p>
  </w:footnote>
  <w:footnote w:id="9">
    <w:p w:rsidR="00907B0D" w:rsidRPr="00371FC0" w:rsidRDefault="00907B0D" w:rsidP="00BF2F9C">
      <w:pPr>
        <w:autoSpaceDE w:val="0"/>
        <w:autoSpaceDN w:val="0"/>
        <w:adjustRightInd w:val="0"/>
        <w:rPr>
          <w:i/>
          <w:sz w:val="20"/>
          <w:szCs w:val="20"/>
        </w:rPr>
      </w:pPr>
      <w:r w:rsidRPr="00371FC0">
        <w:rPr>
          <w:rStyle w:val="FootnoteReference"/>
          <w:sz w:val="20"/>
          <w:szCs w:val="20"/>
        </w:rPr>
        <w:footnoteRef/>
      </w:r>
      <w:r w:rsidRPr="00371FC0">
        <w:rPr>
          <w:sz w:val="20"/>
          <w:szCs w:val="20"/>
        </w:rPr>
        <w:t xml:space="preserve"> It is very clear that deciduous wood was preferred, most of all beech. Sources from Royal Prussia indicate a preference for beech, although regulations tried to steer people towards ash, lime, elm, hazel, alder, birch and hornbeam. In the northern forests where beech or oak was not available, birch or aspen were burned. </w:t>
      </w:r>
      <w:r>
        <w:rPr>
          <w:sz w:val="20"/>
          <w:szCs w:val="20"/>
        </w:rPr>
        <w:t xml:space="preserve">F. </w:t>
      </w:r>
      <w:proofErr w:type="spellStart"/>
      <w:r w:rsidRPr="00371FC0">
        <w:rPr>
          <w:sz w:val="20"/>
          <w:szCs w:val="20"/>
        </w:rPr>
        <w:t>Mager</w:t>
      </w:r>
      <w:proofErr w:type="spellEnd"/>
      <w:r w:rsidRPr="00371FC0">
        <w:rPr>
          <w:sz w:val="20"/>
          <w:szCs w:val="20"/>
        </w:rPr>
        <w:t xml:space="preserve">, F., </w:t>
      </w:r>
      <w:r w:rsidRPr="00371FC0">
        <w:rPr>
          <w:i/>
          <w:sz w:val="20"/>
          <w:szCs w:val="20"/>
        </w:rPr>
        <w:t xml:space="preserve">Der Wald in </w:t>
      </w:r>
      <w:proofErr w:type="spellStart"/>
      <w:r w:rsidRPr="00371FC0">
        <w:rPr>
          <w:i/>
          <w:sz w:val="20"/>
          <w:szCs w:val="20"/>
        </w:rPr>
        <w:t>Altpreussen</w:t>
      </w:r>
      <w:proofErr w:type="spellEnd"/>
      <w:r w:rsidRPr="00371FC0">
        <w:rPr>
          <w:i/>
          <w:sz w:val="20"/>
          <w:szCs w:val="20"/>
        </w:rPr>
        <w:t xml:space="preserve"> </w:t>
      </w:r>
      <w:proofErr w:type="spellStart"/>
      <w:proofErr w:type="gramStart"/>
      <w:r w:rsidRPr="00371FC0">
        <w:rPr>
          <w:i/>
          <w:sz w:val="20"/>
          <w:szCs w:val="20"/>
        </w:rPr>
        <w:t>als</w:t>
      </w:r>
      <w:proofErr w:type="spellEnd"/>
      <w:proofErr w:type="gramEnd"/>
      <w:r w:rsidRPr="00371FC0">
        <w:rPr>
          <w:i/>
          <w:sz w:val="20"/>
          <w:szCs w:val="20"/>
        </w:rPr>
        <w:t xml:space="preserve"> </w:t>
      </w:r>
      <w:proofErr w:type="spellStart"/>
      <w:r w:rsidRPr="00371FC0">
        <w:rPr>
          <w:i/>
          <w:sz w:val="20"/>
          <w:szCs w:val="20"/>
        </w:rPr>
        <w:t>Wirtschaftsraum</w:t>
      </w:r>
      <w:proofErr w:type="spellEnd"/>
      <w:r w:rsidRPr="00371FC0">
        <w:rPr>
          <w:i/>
          <w:sz w:val="20"/>
          <w:szCs w:val="20"/>
        </w:rPr>
        <w:t xml:space="preserve"> </w:t>
      </w:r>
      <w:r w:rsidRPr="00371FC0">
        <w:rPr>
          <w:sz w:val="20"/>
          <w:szCs w:val="20"/>
        </w:rPr>
        <w:t xml:space="preserve">(Köln, 1960), 39-40; </w:t>
      </w:r>
      <w:r>
        <w:rPr>
          <w:sz w:val="20"/>
          <w:szCs w:val="20"/>
        </w:rPr>
        <w:t xml:space="preserve">I. </w:t>
      </w:r>
      <w:proofErr w:type="spellStart"/>
      <w:r w:rsidRPr="00371FC0">
        <w:rPr>
          <w:sz w:val="20"/>
          <w:szCs w:val="20"/>
        </w:rPr>
        <w:t>Schäfer</w:t>
      </w:r>
      <w:proofErr w:type="spellEnd"/>
      <w:r w:rsidRPr="00371FC0">
        <w:rPr>
          <w:sz w:val="20"/>
          <w:szCs w:val="20"/>
        </w:rPr>
        <w:t xml:space="preserve">, </w:t>
      </w:r>
      <w:r w:rsidRPr="00371FC0">
        <w:rPr>
          <w:i/>
          <w:sz w:val="20"/>
          <w:szCs w:val="20"/>
        </w:rPr>
        <w:t>“</w:t>
      </w:r>
      <w:proofErr w:type="spellStart"/>
      <w:r w:rsidRPr="00371FC0">
        <w:rPr>
          <w:i/>
          <w:sz w:val="20"/>
          <w:szCs w:val="20"/>
        </w:rPr>
        <w:t>Ein</w:t>
      </w:r>
      <w:proofErr w:type="spellEnd"/>
      <w:r w:rsidRPr="00371FC0">
        <w:rPr>
          <w:i/>
          <w:sz w:val="20"/>
          <w:szCs w:val="20"/>
        </w:rPr>
        <w:t xml:space="preserve"> </w:t>
      </w:r>
      <w:proofErr w:type="spellStart"/>
      <w:r w:rsidRPr="00371FC0">
        <w:rPr>
          <w:i/>
          <w:sz w:val="20"/>
          <w:szCs w:val="20"/>
        </w:rPr>
        <w:t>Gespenst</w:t>
      </w:r>
      <w:proofErr w:type="spellEnd"/>
      <w:r w:rsidRPr="00371FC0">
        <w:rPr>
          <w:i/>
          <w:sz w:val="20"/>
          <w:szCs w:val="20"/>
        </w:rPr>
        <w:t xml:space="preserve"> </w:t>
      </w:r>
      <w:proofErr w:type="spellStart"/>
      <w:r w:rsidRPr="00371FC0">
        <w:rPr>
          <w:i/>
          <w:sz w:val="20"/>
          <w:szCs w:val="20"/>
        </w:rPr>
        <w:t>geht</w:t>
      </w:r>
      <w:proofErr w:type="spellEnd"/>
      <w:r w:rsidRPr="00371FC0">
        <w:rPr>
          <w:i/>
          <w:sz w:val="20"/>
          <w:szCs w:val="20"/>
        </w:rPr>
        <w:t xml:space="preserve"> um.” </w:t>
      </w:r>
      <w:proofErr w:type="spellStart"/>
      <w:proofErr w:type="gramStart"/>
      <w:r w:rsidRPr="00371FC0">
        <w:rPr>
          <w:i/>
          <w:sz w:val="20"/>
          <w:szCs w:val="20"/>
        </w:rPr>
        <w:t>Politik</w:t>
      </w:r>
      <w:proofErr w:type="spellEnd"/>
      <w:r w:rsidRPr="00371FC0">
        <w:rPr>
          <w:i/>
          <w:sz w:val="20"/>
          <w:szCs w:val="20"/>
        </w:rPr>
        <w:t xml:space="preserve"> </w:t>
      </w:r>
      <w:proofErr w:type="spellStart"/>
      <w:r w:rsidRPr="00371FC0">
        <w:rPr>
          <w:i/>
          <w:sz w:val="20"/>
          <w:szCs w:val="20"/>
        </w:rPr>
        <w:t>mit</w:t>
      </w:r>
      <w:proofErr w:type="spellEnd"/>
      <w:r w:rsidRPr="00371FC0">
        <w:rPr>
          <w:i/>
          <w:sz w:val="20"/>
          <w:szCs w:val="20"/>
        </w:rPr>
        <w:t xml:space="preserve"> der </w:t>
      </w:r>
      <w:proofErr w:type="spellStart"/>
      <w:r w:rsidRPr="00371FC0">
        <w:rPr>
          <w:i/>
          <w:sz w:val="20"/>
          <w:szCs w:val="20"/>
        </w:rPr>
        <w:t>Holznot</w:t>
      </w:r>
      <w:proofErr w:type="spellEnd"/>
      <w:r w:rsidRPr="00371FC0">
        <w:rPr>
          <w:i/>
          <w:sz w:val="20"/>
          <w:szCs w:val="20"/>
        </w:rPr>
        <w:t xml:space="preserve"> in </w:t>
      </w:r>
      <w:proofErr w:type="spellStart"/>
      <w:r w:rsidRPr="00371FC0">
        <w:rPr>
          <w:i/>
          <w:sz w:val="20"/>
          <w:szCs w:val="20"/>
        </w:rPr>
        <w:t>Lippe</w:t>
      </w:r>
      <w:proofErr w:type="spellEnd"/>
      <w:r w:rsidRPr="00371FC0">
        <w:rPr>
          <w:i/>
          <w:sz w:val="20"/>
          <w:szCs w:val="20"/>
        </w:rPr>
        <w:t xml:space="preserve"> 1750-1850.</w:t>
      </w:r>
      <w:proofErr w:type="gramEnd"/>
      <w:r w:rsidRPr="00371FC0">
        <w:rPr>
          <w:i/>
          <w:sz w:val="20"/>
          <w:szCs w:val="20"/>
        </w:rPr>
        <w:t xml:space="preserve"> </w:t>
      </w:r>
      <w:proofErr w:type="spellStart"/>
      <w:r w:rsidRPr="00371FC0">
        <w:rPr>
          <w:i/>
          <w:sz w:val="20"/>
          <w:szCs w:val="20"/>
        </w:rPr>
        <w:t>Eine</w:t>
      </w:r>
      <w:proofErr w:type="spellEnd"/>
      <w:r w:rsidRPr="00371FC0">
        <w:rPr>
          <w:i/>
          <w:sz w:val="20"/>
          <w:szCs w:val="20"/>
        </w:rPr>
        <w:t xml:space="preserve"> </w:t>
      </w:r>
      <w:proofErr w:type="spellStart"/>
      <w:r w:rsidRPr="00371FC0">
        <w:rPr>
          <w:i/>
          <w:sz w:val="20"/>
          <w:szCs w:val="20"/>
        </w:rPr>
        <w:t>regionalstudie</w:t>
      </w:r>
      <w:proofErr w:type="spellEnd"/>
      <w:r w:rsidRPr="00371FC0">
        <w:rPr>
          <w:i/>
          <w:sz w:val="20"/>
          <w:szCs w:val="20"/>
        </w:rPr>
        <w:t xml:space="preserve"> </w:t>
      </w:r>
      <w:proofErr w:type="spellStart"/>
      <w:r w:rsidRPr="00371FC0">
        <w:rPr>
          <w:i/>
          <w:sz w:val="20"/>
          <w:szCs w:val="20"/>
        </w:rPr>
        <w:t>zur</w:t>
      </w:r>
      <w:proofErr w:type="spellEnd"/>
      <w:r w:rsidRPr="00371FC0">
        <w:rPr>
          <w:i/>
          <w:sz w:val="20"/>
          <w:szCs w:val="20"/>
        </w:rPr>
        <w:t xml:space="preserve"> Wald- und </w:t>
      </w:r>
      <w:proofErr w:type="spellStart"/>
      <w:r w:rsidRPr="00371FC0">
        <w:rPr>
          <w:i/>
          <w:sz w:val="20"/>
          <w:szCs w:val="20"/>
        </w:rPr>
        <w:t>Technikgeschichte</w:t>
      </w:r>
      <w:proofErr w:type="spellEnd"/>
      <w:r w:rsidRPr="00371FC0">
        <w:rPr>
          <w:i/>
          <w:sz w:val="20"/>
          <w:szCs w:val="20"/>
        </w:rPr>
        <w:t xml:space="preserve"> </w:t>
      </w:r>
      <w:r>
        <w:rPr>
          <w:sz w:val="20"/>
          <w:szCs w:val="20"/>
        </w:rPr>
        <w:t xml:space="preserve">(Detmold, 1992), </w:t>
      </w:r>
      <w:r w:rsidRPr="00371FC0">
        <w:rPr>
          <w:sz w:val="20"/>
          <w:szCs w:val="20"/>
        </w:rPr>
        <w:t xml:space="preserve">25; </w:t>
      </w:r>
      <w:r>
        <w:rPr>
          <w:sz w:val="20"/>
          <w:szCs w:val="20"/>
        </w:rPr>
        <w:t xml:space="preserve">S. </w:t>
      </w:r>
      <w:proofErr w:type="spellStart"/>
      <w:r w:rsidRPr="00371FC0">
        <w:rPr>
          <w:sz w:val="20"/>
          <w:szCs w:val="20"/>
        </w:rPr>
        <w:t>Åhman</w:t>
      </w:r>
      <w:proofErr w:type="spellEnd"/>
      <w:r w:rsidRPr="00371FC0">
        <w:rPr>
          <w:sz w:val="20"/>
          <w:szCs w:val="20"/>
        </w:rPr>
        <w:t xml:space="preserve">, </w:t>
      </w:r>
      <w:r w:rsidRPr="00371FC0">
        <w:rPr>
          <w:i/>
          <w:sz w:val="20"/>
          <w:szCs w:val="20"/>
        </w:rPr>
        <w:t xml:space="preserve">Om </w:t>
      </w:r>
      <w:proofErr w:type="spellStart"/>
      <w:r w:rsidRPr="00371FC0">
        <w:rPr>
          <w:i/>
          <w:sz w:val="20"/>
          <w:szCs w:val="20"/>
        </w:rPr>
        <w:t>det</w:t>
      </w:r>
      <w:proofErr w:type="spellEnd"/>
      <w:r w:rsidRPr="00371FC0">
        <w:rPr>
          <w:i/>
          <w:sz w:val="20"/>
          <w:szCs w:val="20"/>
        </w:rPr>
        <w:t xml:space="preserve"> </w:t>
      </w:r>
      <w:proofErr w:type="spellStart"/>
      <w:r w:rsidRPr="00371FC0">
        <w:rPr>
          <w:i/>
          <w:sz w:val="20"/>
          <w:szCs w:val="20"/>
        </w:rPr>
        <w:t>Hamiltonska</w:t>
      </w:r>
      <w:proofErr w:type="spellEnd"/>
      <w:r w:rsidRPr="00371FC0">
        <w:rPr>
          <w:i/>
          <w:sz w:val="20"/>
          <w:szCs w:val="20"/>
        </w:rPr>
        <w:t xml:space="preserve"> </w:t>
      </w:r>
      <w:proofErr w:type="spellStart"/>
      <w:r w:rsidRPr="00371FC0">
        <w:rPr>
          <w:i/>
          <w:sz w:val="20"/>
          <w:szCs w:val="20"/>
        </w:rPr>
        <w:t>Pottaskekompaniet</w:t>
      </w:r>
      <w:proofErr w:type="spellEnd"/>
      <w:r w:rsidRPr="00371FC0">
        <w:rPr>
          <w:i/>
          <w:sz w:val="20"/>
          <w:szCs w:val="20"/>
        </w:rPr>
        <w:t xml:space="preserve"> och </w:t>
      </w:r>
      <w:proofErr w:type="spellStart"/>
      <w:r w:rsidRPr="00371FC0">
        <w:rPr>
          <w:i/>
          <w:sz w:val="20"/>
          <w:szCs w:val="20"/>
        </w:rPr>
        <w:t>pottasketillverkning</w:t>
      </w:r>
      <w:proofErr w:type="spellEnd"/>
      <w:r w:rsidRPr="00371FC0">
        <w:rPr>
          <w:i/>
          <w:sz w:val="20"/>
          <w:szCs w:val="20"/>
        </w:rPr>
        <w:t xml:space="preserve"> i 1600-talets </w:t>
      </w:r>
      <w:proofErr w:type="spellStart"/>
      <w:r w:rsidRPr="00371FC0">
        <w:rPr>
          <w:i/>
          <w:sz w:val="20"/>
          <w:szCs w:val="20"/>
        </w:rPr>
        <w:t>Småland</w:t>
      </w:r>
      <w:proofErr w:type="spellEnd"/>
      <w:r w:rsidRPr="00371FC0">
        <w:rPr>
          <w:i/>
          <w:sz w:val="20"/>
          <w:szCs w:val="20"/>
        </w:rPr>
        <w:t xml:space="preserve"> </w:t>
      </w:r>
      <w:r>
        <w:rPr>
          <w:sz w:val="20"/>
          <w:szCs w:val="20"/>
        </w:rPr>
        <w:t>(</w:t>
      </w:r>
      <w:proofErr w:type="spellStart"/>
      <w:r>
        <w:rPr>
          <w:sz w:val="20"/>
          <w:szCs w:val="20"/>
        </w:rPr>
        <w:t>Vaxjö</w:t>
      </w:r>
      <w:proofErr w:type="spellEnd"/>
      <w:r>
        <w:rPr>
          <w:sz w:val="20"/>
          <w:szCs w:val="20"/>
        </w:rPr>
        <w:t xml:space="preserve">, 1979), </w:t>
      </w:r>
      <w:r w:rsidRPr="00371FC0">
        <w:rPr>
          <w:sz w:val="20"/>
          <w:szCs w:val="20"/>
        </w:rPr>
        <w:t xml:space="preserve">3; </w:t>
      </w:r>
      <w:r>
        <w:rPr>
          <w:sz w:val="20"/>
          <w:szCs w:val="20"/>
        </w:rPr>
        <w:t xml:space="preserve">J. </w:t>
      </w:r>
      <w:r w:rsidRPr="00371FC0">
        <w:rPr>
          <w:sz w:val="20"/>
          <w:szCs w:val="20"/>
          <w:lang w:eastAsia="en-GB"/>
        </w:rPr>
        <w:t xml:space="preserve">Kunnas, </w:t>
      </w:r>
      <w:r>
        <w:rPr>
          <w:sz w:val="20"/>
          <w:szCs w:val="20"/>
          <w:lang w:eastAsia="en-GB"/>
        </w:rPr>
        <w:t>‘</w:t>
      </w:r>
      <w:r w:rsidRPr="00371FC0">
        <w:rPr>
          <w:sz w:val="20"/>
          <w:szCs w:val="20"/>
          <w:lang w:eastAsia="en-GB"/>
        </w:rPr>
        <w:t xml:space="preserve">Potash, </w:t>
      </w:r>
      <w:proofErr w:type="spellStart"/>
      <w:r w:rsidRPr="00371FC0">
        <w:rPr>
          <w:sz w:val="20"/>
          <w:szCs w:val="20"/>
          <w:lang w:eastAsia="en-GB"/>
        </w:rPr>
        <w:t>saltepeter</w:t>
      </w:r>
      <w:proofErr w:type="spellEnd"/>
      <w:r w:rsidRPr="00371FC0">
        <w:rPr>
          <w:sz w:val="20"/>
          <w:szCs w:val="20"/>
          <w:lang w:eastAsia="en-GB"/>
        </w:rPr>
        <w:t xml:space="preserve"> and tar’, </w:t>
      </w:r>
      <w:r w:rsidRPr="00371FC0">
        <w:rPr>
          <w:i/>
          <w:sz w:val="20"/>
          <w:szCs w:val="20"/>
          <w:lang w:eastAsia="en-GB"/>
        </w:rPr>
        <w:t>Scandinavian Journal of History</w:t>
      </w:r>
      <w:r w:rsidRPr="00371FC0">
        <w:rPr>
          <w:sz w:val="20"/>
          <w:szCs w:val="20"/>
          <w:lang w:eastAsia="en-GB"/>
        </w:rPr>
        <w:t xml:space="preserve">, 32:3, (2007), 286-7; </w:t>
      </w:r>
      <w:r>
        <w:rPr>
          <w:sz w:val="20"/>
          <w:szCs w:val="20"/>
          <w:lang w:eastAsia="en-GB"/>
        </w:rPr>
        <w:t xml:space="preserve">J. </w:t>
      </w:r>
      <w:r w:rsidRPr="00371FC0">
        <w:rPr>
          <w:sz w:val="20"/>
          <w:szCs w:val="20"/>
          <w:lang w:eastAsia="en-GB"/>
        </w:rPr>
        <w:t xml:space="preserve">Dunbar, </w:t>
      </w:r>
      <w:proofErr w:type="spellStart"/>
      <w:r w:rsidRPr="00371FC0">
        <w:rPr>
          <w:i/>
          <w:sz w:val="20"/>
          <w:szCs w:val="20"/>
        </w:rPr>
        <w:t>Smegmatalogia</w:t>
      </w:r>
      <w:proofErr w:type="spellEnd"/>
      <w:r w:rsidRPr="00371FC0">
        <w:rPr>
          <w:i/>
          <w:sz w:val="20"/>
          <w:szCs w:val="20"/>
        </w:rPr>
        <w:t xml:space="preserve">, Or the Art of Making potashes and soap, and Bleaching of linen </w:t>
      </w:r>
      <w:r w:rsidRPr="00371FC0">
        <w:rPr>
          <w:sz w:val="20"/>
          <w:szCs w:val="20"/>
        </w:rPr>
        <w:t>(Edinb</w:t>
      </w:r>
      <w:r>
        <w:rPr>
          <w:sz w:val="20"/>
          <w:szCs w:val="20"/>
        </w:rPr>
        <w:t>urgh, 1736), 1;</w:t>
      </w:r>
      <w:r w:rsidRPr="00371FC0">
        <w:rPr>
          <w:sz w:val="20"/>
          <w:szCs w:val="20"/>
        </w:rPr>
        <w:t xml:space="preserve"> surprisingly John Evelyn claimed in 1664 that most potash came from fir. </w:t>
      </w:r>
      <w:proofErr w:type="gramStart"/>
      <w:r>
        <w:rPr>
          <w:sz w:val="20"/>
          <w:szCs w:val="20"/>
        </w:rPr>
        <w:t xml:space="preserve">John </w:t>
      </w:r>
      <w:r w:rsidRPr="00371FC0">
        <w:rPr>
          <w:sz w:val="20"/>
          <w:szCs w:val="20"/>
        </w:rPr>
        <w:t xml:space="preserve">Evelyn, </w:t>
      </w:r>
      <w:r w:rsidRPr="00371FC0">
        <w:rPr>
          <w:i/>
          <w:iCs/>
          <w:sz w:val="20"/>
          <w:szCs w:val="20"/>
        </w:rPr>
        <w:t xml:space="preserve">Sylva, or, A discourse of forest-trees, and the propagation of timber in His Majesties dominions </w:t>
      </w:r>
      <w:r w:rsidRPr="00371FC0">
        <w:rPr>
          <w:sz w:val="20"/>
          <w:szCs w:val="20"/>
        </w:rPr>
        <w:t>(London, 1664), 54.</w:t>
      </w:r>
      <w:proofErr w:type="gramEnd"/>
    </w:p>
  </w:footnote>
  <w:footnote w:id="10">
    <w:p w:rsidR="00907B0D" w:rsidRPr="00371FC0" w:rsidRDefault="00907B0D" w:rsidP="004E0CAC">
      <w:pPr>
        <w:pStyle w:val="FootnoteText"/>
        <w:jc w:val="both"/>
        <w:rPr>
          <w:rFonts w:cs="Times New Roman"/>
        </w:rPr>
      </w:pPr>
      <w:r w:rsidRPr="00371FC0">
        <w:rPr>
          <w:rStyle w:val="FootnoteReference"/>
          <w:rFonts w:cs="Times New Roman"/>
        </w:rPr>
        <w:footnoteRef/>
      </w:r>
      <w:r w:rsidRPr="00371FC0">
        <w:rPr>
          <w:rFonts w:cs="Times New Roman"/>
        </w:rPr>
        <w:t xml:space="preserve"> </w:t>
      </w:r>
      <w:r>
        <w:rPr>
          <w:rFonts w:cs="Times New Roman"/>
        </w:rPr>
        <w:t xml:space="preserve">R. </w:t>
      </w:r>
      <w:proofErr w:type="spellStart"/>
      <w:r w:rsidRPr="00371FC0">
        <w:rPr>
          <w:rFonts w:cs="Times New Roman"/>
        </w:rPr>
        <w:t>Gelius</w:t>
      </w:r>
      <w:proofErr w:type="spellEnd"/>
      <w:r w:rsidRPr="00371FC0">
        <w:rPr>
          <w:rFonts w:cs="Times New Roman"/>
        </w:rPr>
        <w:t xml:space="preserve">, ‘Der </w:t>
      </w:r>
      <w:proofErr w:type="spellStart"/>
      <w:r w:rsidRPr="00371FC0">
        <w:rPr>
          <w:rFonts w:cs="Times New Roman"/>
        </w:rPr>
        <w:t>europäische</w:t>
      </w:r>
      <w:proofErr w:type="spellEnd"/>
      <w:r w:rsidRPr="00371FC0">
        <w:rPr>
          <w:rFonts w:cs="Times New Roman"/>
        </w:rPr>
        <w:t xml:space="preserve"> </w:t>
      </w:r>
      <w:proofErr w:type="spellStart"/>
      <w:r w:rsidRPr="00371FC0">
        <w:rPr>
          <w:rFonts w:cs="Times New Roman"/>
        </w:rPr>
        <w:t>Seehandel</w:t>
      </w:r>
      <w:proofErr w:type="spellEnd"/>
      <w:r w:rsidRPr="00371FC0">
        <w:rPr>
          <w:rFonts w:cs="Times New Roman"/>
        </w:rPr>
        <w:t xml:space="preserve"> </w:t>
      </w:r>
      <w:proofErr w:type="spellStart"/>
      <w:r w:rsidRPr="00371FC0">
        <w:rPr>
          <w:rFonts w:cs="Times New Roman"/>
        </w:rPr>
        <w:t>mit</w:t>
      </w:r>
      <w:proofErr w:type="spellEnd"/>
      <w:r w:rsidRPr="00371FC0">
        <w:rPr>
          <w:rFonts w:cs="Times New Roman"/>
        </w:rPr>
        <w:t xml:space="preserve"> </w:t>
      </w:r>
      <w:proofErr w:type="spellStart"/>
      <w:r w:rsidRPr="00371FC0">
        <w:rPr>
          <w:rFonts w:cs="Times New Roman"/>
        </w:rPr>
        <w:t>Waidasche</w:t>
      </w:r>
      <w:proofErr w:type="spellEnd"/>
      <w:r w:rsidRPr="00371FC0">
        <w:rPr>
          <w:rFonts w:cs="Times New Roman"/>
        </w:rPr>
        <w:t xml:space="preserve"> und </w:t>
      </w:r>
      <w:proofErr w:type="spellStart"/>
      <w:r w:rsidRPr="00371FC0">
        <w:rPr>
          <w:rFonts w:cs="Times New Roman"/>
        </w:rPr>
        <w:t>Po</w:t>
      </w:r>
      <w:r>
        <w:rPr>
          <w:rFonts w:cs="Times New Roman"/>
        </w:rPr>
        <w:t>ttasche</w:t>
      </w:r>
      <w:proofErr w:type="spellEnd"/>
      <w:r>
        <w:rPr>
          <w:rFonts w:cs="Times New Roman"/>
        </w:rPr>
        <w:t xml:space="preserve"> von 1500  </w:t>
      </w:r>
      <w:proofErr w:type="spellStart"/>
      <w:r>
        <w:rPr>
          <w:rFonts w:cs="Times New Roman"/>
        </w:rPr>
        <w:t>bis</w:t>
      </w:r>
      <w:proofErr w:type="spellEnd"/>
      <w:r>
        <w:rPr>
          <w:rFonts w:cs="Times New Roman"/>
        </w:rPr>
        <w:t xml:space="preserve"> 1650’, </w:t>
      </w:r>
      <w:proofErr w:type="spellStart"/>
      <w:r w:rsidRPr="00371FC0">
        <w:rPr>
          <w:rFonts w:cs="Times New Roman"/>
          <w:i/>
        </w:rPr>
        <w:t>Jahrbuch</w:t>
      </w:r>
      <w:proofErr w:type="spellEnd"/>
      <w:r w:rsidRPr="00371FC0">
        <w:rPr>
          <w:rFonts w:cs="Times New Roman"/>
          <w:i/>
        </w:rPr>
        <w:t xml:space="preserve"> </w:t>
      </w:r>
      <w:proofErr w:type="spellStart"/>
      <w:r w:rsidRPr="00371FC0">
        <w:rPr>
          <w:rFonts w:cs="Times New Roman"/>
          <w:i/>
        </w:rPr>
        <w:t>für</w:t>
      </w:r>
      <w:proofErr w:type="spellEnd"/>
      <w:r w:rsidRPr="00371FC0">
        <w:rPr>
          <w:rFonts w:cs="Times New Roman"/>
          <w:i/>
        </w:rPr>
        <w:t xml:space="preserve"> </w:t>
      </w:r>
      <w:proofErr w:type="spellStart"/>
      <w:r w:rsidRPr="00371FC0">
        <w:rPr>
          <w:rFonts w:cs="Times New Roman"/>
          <w:i/>
        </w:rPr>
        <w:t>Wirtschaftsgeschichte</w:t>
      </w:r>
      <w:proofErr w:type="spellEnd"/>
      <w:r w:rsidRPr="00371FC0">
        <w:rPr>
          <w:rFonts w:cs="Times New Roman"/>
          <w:i/>
        </w:rPr>
        <w:t xml:space="preserve"> </w:t>
      </w:r>
      <w:r>
        <w:rPr>
          <w:rFonts w:cs="Times New Roman"/>
        </w:rPr>
        <w:t xml:space="preserve">(1985), </w:t>
      </w:r>
      <w:r w:rsidRPr="00371FC0">
        <w:rPr>
          <w:rFonts w:cs="Times New Roman"/>
        </w:rPr>
        <w:t xml:space="preserve">59; </w:t>
      </w:r>
      <w:proofErr w:type="spellStart"/>
      <w:r w:rsidRPr="00371FC0">
        <w:rPr>
          <w:rFonts w:cs="Times New Roman"/>
        </w:rPr>
        <w:t>J.K.Th</w:t>
      </w:r>
      <w:proofErr w:type="spellEnd"/>
      <w:r w:rsidRPr="00371FC0">
        <w:rPr>
          <w:rFonts w:cs="Times New Roman"/>
        </w:rPr>
        <w:t>.</w:t>
      </w:r>
      <w:r>
        <w:rPr>
          <w:rFonts w:cs="Times New Roman"/>
        </w:rPr>
        <w:t xml:space="preserve"> </w:t>
      </w:r>
      <w:proofErr w:type="spellStart"/>
      <w:r>
        <w:rPr>
          <w:rFonts w:cs="Times New Roman"/>
        </w:rPr>
        <w:t>Knoppers</w:t>
      </w:r>
      <w:proofErr w:type="spellEnd"/>
      <w:r>
        <w:rPr>
          <w:rFonts w:cs="Times New Roman"/>
        </w:rPr>
        <w:t xml:space="preserve"> and R.V.V. </w:t>
      </w:r>
      <w:r w:rsidRPr="00371FC0">
        <w:rPr>
          <w:rFonts w:cs="Times New Roman"/>
        </w:rPr>
        <w:t xml:space="preserve">Nicholls, ‘Der </w:t>
      </w:r>
      <w:proofErr w:type="spellStart"/>
      <w:r w:rsidRPr="00371FC0">
        <w:rPr>
          <w:rFonts w:cs="Times New Roman"/>
        </w:rPr>
        <w:t>Ostseeraum</w:t>
      </w:r>
      <w:proofErr w:type="spellEnd"/>
      <w:r w:rsidRPr="00371FC0">
        <w:rPr>
          <w:rFonts w:cs="Times New Roman"/>
        </w:rPr>
        <w:t xml:space="preserve"> und der </w:t>
      </w:r>
      <w:proofErr w:type="spellStart"/>
      <w:r w:rsidRPr="00371FC0">
        <w:rPr>
          <w:rFonts w:cs="Times New Roman"/>
        </w:rPr>
        <w:t>Welthandel</w:t>
      </w:r>
      <w:proofErr w:type="spellEnd"/>
      <w:r w:rsidRPr="00371FC0">
        <w:rPr>
          <w:rFonts w:cs="Times New Roman"/>
        </w:rPr>
        <w:t xml:space="preserve"> </w:t>
      </w:r>
      <w:proofErr w:type="spellStart"/>
      <w:r w:rsidRPr="00371FC0">
        <w:rPr>
          <w:rFonts w:cs="Times New Roman"/>
        </w:rPr>
        <w:t>mit</w:t>
      </w:r>
      <w:proofErr w:type="spellEnd"/>
      <w:r w:rsidRPr="00371FC0">
        <w:rPr>
          <w:rFonts w:cs="Times New Roman"/>
        </w:rPr>
        <w:t xml:space="preserve"> </w:t>
      </w:r>
      <w:proofErr w:type="spellStart"/>
      <w:r w:rsidRPr="00371FC0">
        <w:rPr>
          <w:rFonts w:cs="Times New Roman"/>
        </w:rPr>
        <w:t>Pottasche</w:t>
      </w:r>
      <w:proofErr w:type="spellEnd"/>
      <w:r w:rsidRPr="00371FC0">
        <w:rPr>
          <w:rFonts w:cs="Times New Roman"/>
        </w:rPr>
        <w:t xml:space="preserve">: Die </w:t>
      </w:r>
      <w:proofErr w:type="spellStart"/>
      <w:r w:rsidRPr="00371FC0">
        <w:rPr>
          <w:rFonts w:cs="Times New Roman"/>
        </w:rPr>
        <w:t>Bedeutung</w:t>
      </w:r>
      <w:proofErr w:type="spellEnd"/>
      <w:r w:rsidRPr="00371FC0">
        <w:rPr>
          <w:rFonts w:cs="Times New Roman"/>
        </w:rPr>
        <w:t xml:space="preserve"> der </w:t>
      </w:r>
      <w:proofErr w:type="spellStart"/>
      <w:r w:rsidRPr="00371FC0">
        <w:rPr>
          <w:rFonts w:cs="Times New Roman"/>
        </w:rPr>
        <w:t>Pottasche</w:t>
      </w:r>
      <w:proofErr w:type="spellEnd"/>
      <w:r w:rsidRPr="00371FC0">
        <w:rPr>
          <w:rFonts w:cs="Times New Roman"/>
        </w:rPr>
        <w:t xml:space="preserve"> </w:t>
      </w:r>
      <w:proofErr w:type="spellStart"/>
      <w:r w:rsidRPr="00371FC0">
        <w:rPr>
          <w:rFonts w:cs="Times New Roman"/>
        </w:rPr>
        <w:t>im</w:t>
      </w:r>
      <w:proofErr w:type="spellEnd"/>
      <w:r w:rsidRPr="00371FC0">
        <w:rPr>
          <w:rFonts w:cs="Times New Roman"/>
        </w:rPr>
        <w:t xml:space="preserve"> </w:t>
      </w:r>
      <w:proofErr w:type="spellStart"/>
      <w:r w:rsidRPr="00371FC0">
        <w:rPr>
          <w:rFonts w:cs="Times New Roman"/>
        </w:rPr>
        <w:t>Rahmen</w:t>
      </w:r>
      <w:proofErr w:type="spellEnd"/>
      <w:r w:rsidRPr="00371FC0">
        <w:rPr>
          <w:rFonts w:cs="Times New Roman"/>
        </w:rPr>
        <w:t xml:space="preserve"> der </w:t>
      </w:r>
      <w:proofErr w:type="spellStart"/>
      <w:r w:rsidRPr="00371FC0">
        <w:rPr>
          <w:rFonts w:cs="Times New Roman"/>
        </w:rPr>
        <w:t>chemischen</w:t>
      </w:r>
      <w:proofErr w:type="spellEnd"/>
      <w:r w:rsidRPr="00371FC0">
        <w:rPr>
          <w:rFonts w:cs="Times New Roman"/>
        </w:rPr>
        <w:t xml:space="preserve"> </w:t>
      </w:r>
      <w:proofErr w:type="spellStart"/>
      <w:r w:rsidRPr="00371FC0">
        <w:rPr>
          <w:rFonts w:cs="Times New Roman"/>
        </w:rPr>
        <w:t>Technologie</w:t>
      </w:r>
      <w:proofErr w:type="spellEnd"/>
      <w:r w:rsidRPr="00371FC0">
        <w:rPr>
          <w:rFonts w:cs="Times New Roman"/>
        </w:rPr>
        <w:t xml:space="preserve">, 1650-1825’, in </w:t>
      </w:r>
      <w:r>
        <w:rPr>
          <w:rFonts w:cs="Times New Roman"/>
        </w:rPr>
        <w:t xml:space="preserve">K. </w:t>
      </w:r>
      <w:proofErr w:type="spellStart"/>
      <w:r w:rsidRPr="00371FC0">
        <w:rPr>
          <w:rFonts w:cs="Times New Roman"/>
        </w:rPr>
        <w:t>Friedland</w:t>
      </w:r>
      <w:proofErr w:type="spellEnd"/>
      <w:r w:rsidRPr="00371FC0">
        <w:rPr>
          <w:rFonts w:cs="Times New Roman"/>
        </w:rPr>
        <w:t xml:space="preserve">, &amp; </w:t>
      </w:r>
      <w:r>
        <w:rPr>
          <w:rFonts w:cs="Times New Roman"/>
        </w:rPr>
        <w:t xml:space="preserve">F. </w:t>
      </w:r>
      <w:proofErr w:type="spellStart"/>
      <w:r w:rsidRPr="00371FC0">
        <w:rPr>
          <w:rFonts w:cs="Times New Roman"/>
        </w:rPr>
        <w:t>Irsigler</w:t>
      </w:r>
      <w:proofErr w:type="spellEnd"/>
      <w:r w:rsidRPr="00371FC0">
        <w:rPr>
          <w:rFonts w:cs="Times New Roman"/>
        </w:rPr>
        <w:t>, (</w:t>
      </w:r>
      <w:proofErr w:type="spellStart"/>
      <w:r w:rsidRPr="00371FC0">
        <w:rPr>
          <w:rFonts w:cs="Times New Roman"/>
        </w:rPr>
        <w:t>eds</w:t>
      </w:r>
      <w:proofErr w:type="spellEnd"/>
      <w:r w:rsidRPr="00371FC0">
        <w:rPr>
          <w:rFonts w:cs="Times New Roman"/>
        </w:rPr>
        <w:t xml:space="preserve">), </w:t>
      </w:r>
      <w:proofErr w:type="spellStart"/>
      <w:r w:rsidRPr="00371FC0">
        <w:rPr>
          <w:rFonts w:cs="Times New Roman"/>
          <w:i/>
          <w:iCs/>
        </w:rPr>
        <w:t>Seehandel</w:t>
      </w:r>
      <w:proofErr w:type="spellEnd"/>
      <w:r w:rsidRPr="00371FC0">
        <w:rPr>
          <w:rFonts w:cs="Times New Roman"/>
          <w:i/>
          <w:iCs/>
        </w:rPr>
        <w:t xml:space="preserve"> und </w:t>
      </w:r>
      <w:proofErr w:type="spellStart"/>
      <w:r w:rsidRPr="00371FC0">
        <w:rPr>
          <w:rFonts w:cs="Times New Roman"/>
          <w:i/>
          <w:iCs/>
        </w:rPr>
        <w:t>Wirtschaftswege</w:t>
      </w:r>
      <w:proofErr w:type="spellEnd"/>
      <w:r w:rsidRPr="00371FC0">
        <w:rPr>
          <w:rFonts w:cs="Times New Roman"/>
          <w:i/>
          <w:iCs/>
        </w:rPr>
        <w:t xml:space="preserve"> </w:t>
      </w:r>
      <w:proofErr w:type="spellStart"/>
      <w:r w:rsidRPr="00371FC0">
        <w:rPr>
          <w:rFonts w:cs="Times New Roman"/>
          <w:i/>
          <w:iCs/>
        </w:rPr>
        <w:t>Nordeuropas</w:t>
      </w:r>
      <w:proofErr w:type="spellEnd"/>
      <w:r w:rsidRPr="00371FC0">
        <w:rPr>
          <w:rFonts w:cs="Times New Roman"/>
          <w:i/>
          <w:iCs/>
        </w:rPr>
        <w:t xml:space="preserve"> </w:t>
      </w:r>
      <w:proofErr w:type="spellStart"/>
      <w:r w:rsidRPr="00371FC0">
        <w:rPr>
          <w:rFonts w:cs="Times New Roman"/>
          <w:i/>
          <w:iCs/>
        </w:rPr>
        <w:t>im</w:t>
      </w:r>
      <w:proofErr w:type="spellEnd"/>
      <w:r w:rsidRPr="00371FC0">
        <w:rPr>
          <w:rFonts w:cs="Times New Roman"/>
          <w:i/>
          <w:iCs/>
        </w:rPr>
        <w:t xml:space="preserve"> 17 und 18 </w:t>
      </w:r>
      <w:proofErr w:type="spellStart"/>
      <w:r w:rsidRPr="00371FC0">
        <w:rPr>
          <w:rFonts w:cs="Times New Roman"/>
          <w:i/>
          <w:iCs/>
        </w:rPr>
        <w:t>Jahrhundert</w:t>
      </w:r>
      <w:proofErr w:type="spellEnd"/>
      <w:r w:rsidRPr="00371FC0">
        <w:rPr>
          <w:rFonts w:cs="Times New Roman"/>
          <w:i/>
          <w:iCs/>
        </w:rPr>
        <w:t xml:space="preserve">: </w:t>
      </w:r>
      <w:r w:rsidRPr="00371FC0">
        <w:rPr>
          <w:rFonts w:cs="Times New Roman"/>
          <w:iCs/>
        </w:rPr>
        <w:t>(</w:t>
      </w:r>
      <w:proofErr w:type="spellStart"/>
      <w:r>
        <w:rPr>
          <w:rFonts w:cs="Times New Roman"/>
        </w:rPr>
        <w:t>Ostfildern</w:t>
      </w:r>
      <w:proofErr w:type="spellEnd"/>
      <w:r>
        <w:rPr>
          <w:rFonts w:cs="Times New Roman"/>
        </w:rPr>
        <w:t xml:space="preserve">, 1981), </w:t>
      </w:r>
      <w:r w:rsidRPr="00371FC0">
        <w:rPr>
          <w:rFonts w:cs="Times New Roman"/>
        </w:rPr>
        <w:t>60.</w:t>
      </w:r>
    </w:p>
  </w:footnote>
  <w:footnote w:id="11">
    <w:p w:rsidR="00907B0D" w:rsidRPr="00371FC0" w:rsidRDefault="00907B0D" w:rsidP="000E0DB3">
      <w:pPr>
        <w:rPr>
          <w:sz w:val="20"/>
          <w:szCs w:val="20"/>
        </w:rPr>
      </w:pPr>
      <w:r w:rsidRPr="00371FC0">
        <w:rPr>
          <w:rStyle w:val="FootnoteReference"/>
          <w:sz w:val="20"/>
          <w:szCs w:val="20"/>
        </w:rPr>
        <w:footnoteRef/>
      </w:r>
      <w:r w:rsidRPr="00371FC0">
        <w:rPr>
          <w:sz w:val="20"/>
          <w:szCs w:val="20"/>
        </w:rPr>
        <w:t xml:space="preserve"> </w:t>
      </w:r>
      <w:proofErr w:type="spellStart"/>
      <w:r w:rsidRPr="00371FC0">
        <w:rPr>
          <w:sz w:val="20"/>
          <w:szCs w:val="20"/>
        </w:rPr>
        <w:t>Postlethwayt</w:t>
      </w:r>
      <w:proofErr w:type="spellEnd"/>
      <w:r w:rsidRPr="00371FC0">
        <w:rPr>
          <w:sz w:val="20"/>
          <w:szCs w:val="20"/>
        </w:rPr>
        <w:t xml:space="preserve">, </w:t>
      </w:r>
      <w:r w:rsidRPr="00371FC0">
        <w:rPr>
          <w:i/>
          <w:iCs/>
          <w:sz w:val="20"/>
          <w:szCs w:val="20"/>
        </w:rPr>
        <w:t>universal dictionary</w:t>
      </w:r>
      <w:r>
        <w:rPr>
          <w:sz w:val="20"/>
          <w:szCs w:val="20"/>
        </w:rPr>
        <w:t xml:space="preserve">, </w:t>
      </w:r>
      <w:r w:rsidRPr="00371FC0">
        <w:rPr>
          <w:sz w:val="20"/>
          <w:szCs w:val="20"/>
        </w:rPr>
        <w:t xml:space="preserve">534; </w:t>
      </w:r>
      <w:r>
        <w:rPr>
          <w:sz w:val="20"/>
          <w:szCs w:val="20"/>
        </w:rPr>
        <w:t xml:space="preserve">D, </w:t>
      </w:r>
      <w:r w:rsidRPr="00371FC0">
        <w:rPr>
          <w:sz w:val="20"/>
          <w:szCs w:val="20"/>
        </w:rPr>
        <w:t xml:space="preserve">Woodward, ‘Straw, bracken and the Wicklow whale: the exploitation of natural resources in Britain since 1500’, </w:t>
      </w:r>
      <w:r w:rsidRPr="00371FC0">
        <w:rPr>
          <w:i/>
          <w:iCs/>
          <w:sz w:val="20"/>
          <w:szCs w:val="20"/>
        </w:rPr>
        <w:t>Past and Present</w:t>
      </w:r>
      <w:r>
        <w:rPr>
          <w:sz w:val="20"/>
          <w:szCs w:val="20"/>
        </w:rPr>
        <w:t xml:space="preserve">, 159 (1998), </w:t>
      </w:r>
      <w:r w:rsidRPr="00371FC0">
        <w:rPr>
          <w:sz w:val="20"/>
          <w:szCs w:val="20"/>
        </w:rPr>
        <w:t xml:space="preserve">70; </w:t>
      </w:r>
      <w:r>
        <w:rPr>
          <w:sz w:val="20"/>
          <w:szCs w:val="20"/>
        </w:rPr>
        <w:t xml:space="preserve">S. </w:t>
      </w:r>
      <w:proofErr w:type="spellStart"/>
      <w:r>
        <w:rPr>
          <w:sz w:val="20"/>
          <w:szCs w:val="20"/>
        </w:rPr>
        <w:t>Fairlie</w:t>
      </w:r>
      <w:proofErr w:type="spellEnd"/>
      <w:r>
        <w:rPr>
          <w:sz w:val="20"/>
          <w:szCs w:val="20"/>
        </w:rPr>
        <w:t xml:space="preserve">, </w:t>
      </w:r>
      <w:r w:rsidRPr="00371FC0">
        <w:rPr>
          <w:sz w:val="20"/>
          <w:szCs w:val="20"/>
        </w:rPr>
        <w:t xml:space="preserve">‘Dyestuffs in the Eighteenth Century’, </w:t>
      </w:r>
      <w:r w:rsidRPr="00371FC0">
        <w:rPr>
          <w:i/>
          <w:iCs/>
          <w:sz w:val="20"/>
          <w:szCs w:val="20"/>
        </w:rPr>
        <w:t>Economic History Review</w:t>
      </w:r>
      <w:r>
        <w:rPr>
          <w:sz w:val="20"/>
          <w:szCs w:val="20"/>
        </w:rPr>
        <w:t>, 17</w:t>
      </w:r>
      <w:r w:rsidRPr="00371FC0">
        <w:rPr>
          <w:sz w:val="20"/>
          <w:szCs w:val="20"/>
        </w:rPr>
        <w:t xml:space="preserve"> </w:t>
      </w:r>
      <w:r>
        <w:rPr>
          <w:sz w:val="20"/>
          <w:szCs w:val="20"/>
        </w:rPr>
        <w:t xml:space="preserve">(1965), </w:t>
      </w:r>
      <w:r w:rsidRPr="00371FC0">
        <w:rPr>
          <w:sz w:val="20"/>
          <w:szCs w:val="20"/>
        </w:rPr>
        <w:t xml:space="preserve">495, 501, 505; </w:t>
      </w:r>
      <w:proofErr w:type="spellStart"/>
      <w:r w:rsidRPr="00371FC0">
        <w:rPr>
          <w:sz w:val="20"/>
          <w:szCs w:val="20"/>
        </w:rPr>
        <w:t>Clow</w:t>
      </w:r>
      <w:proofErr w:type="spellEnd"/>
      <w:r w:rsidRPr="00371FC0">
        <w:rPr>
          <w:sz w:val="20"/>
          <w:szCs w:val="20"/>
        </w:rPr>
        <w:t xml:space="preserve"> &amp; </w:t>
      </w:r>
      <w:proofErr w:type="spellStart"/>
      <w:r w:rsidRPr="00371FC0">
        <w:rPr>
          <w:sz w:val="20"/>
          <w:szCs w:val="20"/>
        </w:rPr>
        <w:t>Clow</w:t>
      </w:r>
      <w:proofErr w:type="spellEnd"/>
      <w:r>
        <w:rPr>
          <w:sz w:val="20"/>
          <w:szCs w:val="20"/>
        </w:rPr>
        <w:t xml:space="preserve">, </w:t>
      </w:r>
      <w:r>
        <w:rPr>
          <w:i/>
          <w:sz w:val="20"/>
          <w:szCs w:val="20"/>
        </w:rPr>
        <w:t>Chemical revolution</w:t>
      </w:r>
      <w:r>
        <w:rPr>
          <w:sz w:val="20"/>
          <w:szCs w:val="20"/>
        </w:rPr>
        <w:t xml:space="preserve">, </w:t>
      </w:r>
      <w:r w:rsidRPr="00371FC0">
        <w:rPr>
          <w:sz w:val="20"/>
          <w:szCs w:val="20"/>
        </w:rPr>
        <w:t>.29.</w:t>
      </w:r>
    </w:p>
  </w:footnote>
  <w:footnote w:id="12">
    <w:p w:rsidR="00907B0D" w:rsidRPr="00371FC0" w:rsidRDefault="00907B0D" w:rsidP="000E0DB3">
      <w:pPr>
        <w:rPr>
          <w:sz w:val="20"/>
          <w:szCs w:val="20"/>
        </w:rPr>
      </w:pPr>
      <w:r w:rsidRPr="00371FC0">
        <w:rPr>
          <w:rStyle w:val="FootnoteReference"/>
          <w:sz w:val="20"/>
          <w:szCs w:val="20"/>
        </w:rPr>
        <w:footnoteRef/>
      </w:r>
      <w:r w:rsidRPr="00371FC0">
        <w:rPr>
          <w:sz w:val="20"/>
          <w:szCs w:val="20"/>
        </w:rPr>
        <w:t xml:space="preserve"> </w:t>
      </w:r>
      <w:proofErr w:type="gramStart"/>
      <w:r w:rsidRPr="00371FC0">
        <w:rPr>
          <w:sz w:val="20"/>
          <w:szCs w:val="20"/>
        </w:rPr>
        <w:t>N</w:t>
      </w:r>
      <w:r>
        <w:rPr>
          <w:sz w:val="20"/>
          <w:szCs w:val="20"/>
        </w:rPr>
        <w:t xml:space="preserve">ational </w:t>
      </w:r>
      <w:r w:rsidRPr="00371FC0">
        <w:rPr>
          <w:sz w:val="20"/>
          <w:szCs w:val="20"/>
        </w:rPr>
        <w:t>A</w:t>
      </w:r>
      <w:r>
        <w:rPr>
          <w:sz w:val="20"/>
          <w:szCs w:val="20"/>
        </w:rPr>
        <w:t>rchive of Scotland (NAS)</w:t>
      </w:r>
      <w:r w:rsidRPr="00371FC0">
        <w:rPr>
          <w:sz w:val="20"/>
          <w:szCs w:val="20"/>
        </w:rPr>
        <w:t xml:space="preserve"> NG1/53/1.</w:t>
      </w:r>
      <w:proofErr w:type="gramEnd"/>
      <w:r w:rsidRPr="00371FC0">
        <w:rPr>
          <w:sz w:val="20"/>
          <w:szCs w:val="20"/>
        </w:rPr>
        <w:t xml:space="preserve"> In contrast, Humphry Davy would later rate the potash content of vegetables and firs as being very much higher than trees, but this does not seem to have been a ratio </w:t>
      </w:r>
      <w:proofErr w:type="spellStart"/>
      <w:r w:rsidRPr="00371FC0">
        <w:rPr>
          <w:sz w:val="20"/>
          <w:szCs w:val="20"/>
        </w:rPr>
        <w:t>ashburners</w:t>
      </w:r>
      <w:proofErr w:type="spellEnd"/>
      <w:r w:rsidRPr="00371FC0">
        <w:rPr>
          <w:sz w:val="20"/>
          <w:szCs w:val="20"/>
        </w:rPr>
        <w:t xml:space="preserve"> were able to practically achieve. Humphrey Davy, </w:t>
      </w:r>
      <w:r w:rsidRPr="00371FC0">
        <w:rPr>
          <w:i/>
          <w:sz w:val="20"/>
          <w:szCs w:val="20"/>
        </w:rPr>
        <w:t xml:space="preserve">Elements of Agricultural Chemistry </w:t>
      </w:r>
      <w:r>
        <w:rPr>
          <w:sz w:val="20"/>
          <w:szCs w:val="20"/>
        </w:rPr>
        <w:t xml:space="preserve">(London, 1815), </w:t>
      </w:r>
      <w:r w:rsidRPr="00371FC0">
        <w:rPr>
          <w:sz w:val="20"/>
          <w:szCs w:val="20"/>
        </w:rPr>
        <w:t>101</w:t>
      </w:r>
      <w:r>
        <w:rPr>
          <w:sz w:val="20"/>
          <w:szCs w:val="20"/>
        </w:rPr>
        <w:t xml:space="preserve">-2, see also </w:t>
      </w:r>
      <w:proofErr w:type="spellStart"/>
      <w:r>
        <w:rPr>
          <w:sz w:val="20"/>
          <w:szCs w:val="20"/>
        </w:rPr>
        <w:t>Woitsch</w:t>
      </w:r>
      <w:proofErr w:type="spellEnd"/>
      <w:r>
        <w:rPr>
          <w:sz w:val="20"/>
          <w:szCs w:val="20"/>
        </w:rPr>
        <w:t xml:space="preserve">, ‘potash industry’, </w:t>
      </w:r>
      <w:r w:rsidRPr="00371FC0">
        <w:rPr>
          <w:sz w:val="20"/>
          <w:szCs w:val="20"/>
        </w:rPr>
        <w:t>8.</w:t>
      </w:r>
    </w:p>
  </w:footnote>
  <w:footnote w:id="13">
    <w:p w:rsidR="00907B0D" w:rsidRPr="00371FC0" w:rsidRDefault="00907B0D" w:rsidP="004E0CAC">
      <w:pPr>
        <w:pStyle w:val="FootnoteText"/>
        <w:rPr>
          <w:rFonts w:cs="Times New Roman"/>
        </w:rPr>
      </w:pPr>
      <w:r w:rsidRPr="00371FC0">
        <w:rPr>
          <w:rStyle w:val="FootnoteReference"/>
          <w:rFonts w:cs="Times New Roman"/>
        </w:rPr>
        <w:footnoteRef/>
      </w:r>
      <w:r>
        <w:rPr>
          <w:rFonts w:cs="Times New Roman"/>
        </w:rPr>
        <w:t xml:space="preserve"> </w:t>
      </w:r>
      <w:proofErr w:type="gramStart"/>
      <w:r>
        <w:rPr>
          <w:rFonts w:cs="Times New Roman"/>
        </w:rPr>
        <w:t xml:space="preserve">Gittins, ‘Innovations’, </w:t>
      </w:r>
      <w:r w:rsidRPr="00371FC0">
        <w:rPr>
          <w:rFonts w:cs="Times New Roman"/>
        </w:rPr>
        <w:t xml:space="preserve">199; </w:t>
      </w:r>
      <w:r>
        <w:rPr>
          <w:rFonts w:cs="Times New Roman"/>
        </w:rPr>
        <w:t xml:space="preserve">J. Stephens, </w:t>
      </w:r>
      <w:r w:rsidRPr="00371FC0">
        <w:rPr>
          <w:rFonts w:cs="Times New Roman"/>
          <w:i/>
        </w:rPr>
        <w:t xml:space="preserve">The method and plain process for making pot-ash </w:t>
      </w:r>
      <w:r w:rsidRPr="00371FC0">
        <w:rPr>
          <w:rFonts w:cs="Times New Roman"/>
        </w:rPr>
        <w:t>(London, 1755)</w:t>
      </w:r>
      <w:r>
        <w:rPr>
          <w:rFonts w:cs="Times New Roman"/>
        </w:rPr>
        <w:t>,</w:t>
      </w:r>
      <w:r w:rsidRPr="00371FC0">
        <w:rPr>
          <w:rFonts w:cs="Times New Roman"/>
        </w:rPr>
        <w:t xml:space="preserve"> 19-34.</w:t>
      </w:r>
      <w:proofErr w:type="gramEnd"/>
    </w:p>
  </w:footnote>
  <w:footnote w:id="14">
    <w:p w:rsidR="00907B0D" w:rsidRPr="00371FC0" w:rsidRDefault="00907B0D" w:rsidP="00BF2F9C">
      <w:pPr>
        <w:pStyle w:val="FootnoteText"/>
        <w:rPr>
          <w:rFonts w:cs="Times New Roman"/>
        </w:rPr>
      </w:pPr>
      <w:r w:rsidRPr="00371FC0">
        <w:rPr>
          <w:rStyle w:val="FootnoteReference"/>
          <w:rFonts w:cs="Times New Roman"/>
        </w:rPr>
        <w:footnoteRef/>
      </w:r>
      <w:r>
        <w:rPr>
          <w:rFonts w:cs="Times New Roman"/>
        </w:rPr>
        <w:t xml:space="preserve"> </w:t>
      </w:r>
      <w:proofErr w:type="spellStart"/>
      <w:r>
        <w:rPr>
          <w:rFonts w:cs="Times New Roman"/>
        </w:rPr>
        <w:t>Clow</w:t>
      </w:r>
      <w:proofErr w:type="spellEnd"/>
      <w:r>
        <w:rPr>
          <w:rFonts w:cs="Times New Roman"/>
        </w:rPr>
        <w:t xml:space="preserve"> and </w:t>
      </w:r>
      <w:proofErr w:type="spellStart"/>
      <w:r>
        <w:rPr>
          <w:rFonts w:cs="Times New Roman"/>
        </w:rPr>
        <w:t>Clow</w:t>
      </w:r>
      <w:proofErr w:type="spellEnd"/>
      <w:r>
        <w:rPr>
          <w:rFonts w:cs="Times New Roman"/>
        </w:rPr>
        <w:t xml:space="preserve">, </w:t>
      </w:r>
      <w:r>
        <w:rPr>
          <w:rFonts w:cs="Times New Roman"/>
          <w:i/>
        </w:rPr>
        <w:t>chemical revolution</w:t>
      </w:r>
      <w:r w:rsidRPr="00371FC0">
        <w:rPr>
          <w:rFonts w:cs="Times New Roman"/>
        </w:rPr>
        <w:t xml:space="preserve">, 99-103; NAS NG1/1/42/1; </w:t>
      </w:r>
      <w:r>
        <w:rPr>
          <w:rFonts w:cs="Times New Roman"/>
        </w:rPr>
        <w:t xml:space="preserve">J. </w:t>
      </w:r>
      <w:r w:rsidRPr="00371FC0">
        <w:rPr>
          <w:rFonts w:cs="Times New Roman"/>
        </w:rPr>
        <w:t xml:space="preserve">Mitchell, ‘On the preparation and uses </w:t>
      </w:r>
      <w:r>
        <w:rPr>
          <w:rFonts w:cs="Times New Roman"/>
        </w:rPr>
        <w:t xml:space="preserve">of various kinds of potash’, </w:t>
      </w:r>
      <w:r w:rsidRPr="00371FC0">
        <w:rPr>
          <w:rFonts w:cs="Times New Roman"/>
          <w:i/>
        </w:rPr>
        <w:t xml:space="preserve">Philosophical Transactions </w:t>
      </w:r>
      <w:r>
        <w:rPr>
          <w:rFonts w:cs="Times New Roman"/>
        </w:rPr>
        <w:t xml:space="preserve">4 (1748), </w:t>
      </w:r>
      <w:r w:rsidRPr="00371FC0">
        <w:rPr>
          <w:rFonts w:cs="Times New Roman"/>
        </w:rPr>
        <w:t xml:space="preserve">541; </w:t>
      </w:r>
      <w:r>
        <w:rPr>
          <w:rFonts w:cs="Times New Roman"/>
        </w:rPr>
        <w:t xml:space="preserve">P. </w:t>
      </w:r>
      <w:r w:rsidRPr="00371FC0">
        <w:rPr>
          <w:rFonts w:cs="Times New Roman"/>
        </w:rPr>
        <w:t xml:space="preserve">Warren, </w:t>
      </w:r>
      <w:r w:rsidRPr="00371FC0">
        <w:rPr>
          <w:rFonts w:cs="Times New Roman"/>
          <w:i/>
        </w:rPr>
        <w:t>A genuine account of the manner of making the best Russian pot-ashes</w:t>
      </w:r>
      <w:r w:rsidRPr="00371FC0">
        <w:rPr>
          <w:rFonts w:cs="Times New Roman"/>
        </w:rPr>
        <w:t xml:space="preserve"> (London, 1753); Dunbar, </w:t>
      </w:r>
      <w:proofErr w:type="spellStart"/>
      <w:r w:rsidRPr="00371FC0">
        <w:rPr>
          <w:rFonts w:cs="Times New Roman"/>
          <w:i/>
        </w:rPr>
        <w:t>Smegmatologia</w:t>
      </w:r>
      <w:proofErr w:type="spellEnd"/>
      <w:r w:rsidRPr="00371FC0">
        <w:rPr>
          <w:rFonts w:cs="Times New Roman"/>
        </w:rPr>
        <w:t xml:space="preserve">; </w:t>
      </w:r>
      <w:r>
        <w:rPr>
          <w:rFonts w:cs="Times New Roman"/>
        </w:rPr>
        <w:t xml:space="preserve">P. </w:t>
      </w:r>
      <w:r w:rsidRPr="00371FC0">
        <w:rPr>
          <w:rFonts w:cs="Times New Roman"/>
        </w:rPr>
        <w:t xml:space="preserve">Shaw, </w:t>
      </w:r>
      <w:r w:rsidRPr="00371FC0">
        <w:rPr>
          <w:rFonts w:cs="Times New Roman"/>
          <w:i/>
        </w:rPr>
        <w:t xml:space="preserve">Chemical lectures </w:t>
      </w:r>
      <w:r>
        <w:rPr>
          <w:rFonts w:cs="Times New Roman"/>
        </w:rPr>
        <w:t xml:space="preserve">(London, 1755), </w:t>
      </w:r>
      <w:r w:rsidRPr="00371FC0">
        <w:rPr>
          <w:rFonts w:cs="Times New Roman"/>
        </w:rPr>
        <w:t>287-9.</w:t>
      </w:r>
    </w:p>
  </w:footnote>
  <w:footnote w:id="15">
    <w:p w:rsidR="00907B0D" w:rsidRPr="00371FC0" w:rsidRDefault="00907B0D" w:rsidP="00BF2F9C">
      <w:pPr>
        <w:pStyle w:val="FootnoteText"/>
        <w:rPr>
          <w:rFonts w:cs="Times New Roman"/>
        </w:rPr>
      </w:pPr>
      <w:r w:rsidRPr="00371FC0">
        <w:rPr>
          <w:rStyle w:val="FootnoteReference"/>
          <w:rFonts w:cs="Times New Roman"/>
        </w:rPr>
        <w:footnoteRef/>
      </w:r>
      <w:r w:rsidRPr="00371FC0">
        <w:rPr>
          <w:rFonts w:cs="Times New Roman"/>
        </w:rPr>
        <w:t xml:space="preserve"> A few references are sometimes made as part of wider surveys of</w:t>
      </w:r>
      <w:r>
        <w:rPr>
          <w:rFonts w:cs="Times New Roman"/>
        </w:rPr>
        <w:t xml:space="preserve"> the Baltic trade. The most not</w:t>
      </w:r>
      <w:r w:rsidRPr="00371FC0">
        <w:rPr>
          <w:rFonts w:cs="Times New Roman"/>
        </w:rPr>
        <w:t xml:space="preserve">able works in this regard are </w:t>
      </w:r>
      <w:r>
        <w:rPr>
          <w:rFonts w:cs="Times New Roman"/>
        </w:rPr>
        <w:t>S.-</w:t>
      </w:r>
      <w:proofErr w:type="spellStart"/>
      <w:r>
        <w:rPr>
          <w:rFonts w:cs="Times New Roman"/>
        </w:rPr>
        <w:t>E.</w:t>
      </w:r>
      <w:r w:rsidRPr="00371FC0">
        <w:rPr>
          <w:rFonts w:cs="Times New Roman"/>
        </w:rPr>
        <w:t>Åström</w:t>
      </w:r>
      <w:proofErr w:type="spellEnd"/>
      <w:r w:rsidRPr="00371FC0">
        <w:rPr>
          <w:rFonts w:cs="Times New Roman"/>
        </w:rPr>
        <w:t xml:space="preserve">, </w:t>
      </w:r>
      <w:proofErr w:type="gramStart"/>
      <w:r w:rsidRPr="00371FC0">
        <w:rPr>
          <w:rFonts w:cs="Times New Roman"/>
          <w:i/>
        </w:rPr>
        <w:t>From</w:t>
      </w:r>
      <w:proofErr w:type="gramEnd"/>
      <w:r w:rsidRPr="00371FC0">
        <w:rPr>
          <w:rFonts w:cs="Times New Roman"/>
          <w:i/>
        </w:rPr>
        <w:t xml:space="preserve"> cloth to iron. The Anglo-Baltic trade in the late seventeenth century </w:t>
      </w:r>
      <w:r w:rsidRPr="00371FC0">
        <w:rPr>
          <w:rFonts w:cs="Times New Roman"/>
        </w:rPr>
        <w:t xml:space="preserve">(Helsingfors, 1963); and </w:t>
      </w:r>
      <w:r>
        <w:rPr>
          <w:rFonts w:cs="Times New Roman"/>
        </w:rPr>
        <w:t xml:space="preserve">J.K. </w:t>
      </w:r>
      <w:proofErr w:type="spellStart"/>
      <w:r w:rsidRPr="00371FC0">
        <w:rPr>
          <w:rFonts w:cs="Times New Roman"/>
        </w:rPr>
        <w:t>Fedorowicz</w:t>
      </w:r>
      <w:proofErr w:type="spellEnd"/>
      <w:r w:rsidRPr="00371FC0">
        <w:rPr>
          <w:rFonts w:cs="Times New Roman"/>
        </w:rPr>
        <w:t xml:space="preserve">, </w:t>
      </w:r>
      <w:r w:rsidRPr="00371FC0">
        <w:rPr>
          <w:rFonts w:cs="Times New Roman"/>
          <w:i/>
        </w:rPr>
        <w:t xml:space="preserve">England’s Baltic trade in the early seventeenth century </w:t>
      </w:r>
      <w:r w:rsidRPr="00371FC0">
        <w:rPr>
          <w:rFonts w:cs="Times New Roman"/>
        </w:rPr>
        <w:t xml:space="preserve">(Cambridge, 1980), esp. 115-9; </w:t>
      </w:r>
      <w:r>
        <w:rPr>
          <w:rFonts w:cs="Times New Roman"/>
        </w:rPr>
        <w:t xml:space="preserve">Michael </w:t>
      </w:r>
      <w:r w:rsidRPr="00371FC0">
        <w:rPr>
          <w:rFonts w:cs="Times New Roman"/>
        </w:rPr>
        <w:t xml:space="preserve">North, ‘The export of timber and timber by-products from the Baltic region to western Europe, 1575-1775’, in </w:t>
      </w:r>
      <w:r>
        <w:rPr>
          <w:rFonts w:cs="Times New Roman"/>
        </w:rPr>
        <w:t xml:space="preserve">Michael </w:t>
      </w:r>
      <w:r w:rsidRPr="00371FC0">
        <w:rPr>
          <w:rFonts w:cs="Times New Roman"/>
        </w:rPr>
        <w:t xml:space="preserve">North, </w:t>
      </w:r>
      <w:r w:rsidRPr="00371FC0">
        <w:rPr>
          <w:rFonts w:cs="Times New Roman"/>
          <w:i/>
        </w:rPr>
        <w:t xml:space="preserve">From the North Sea to the Baltic. </w:t>
      </w:r>
      <w:proofErr w:type="gramStart"/>
      <w:r w:rsidRPr="00371FC0">
        <w:rPr>
          <w:rFonts w:cs="Times New Roman"/>
          <w:i/>
        </w:rPr>
        <w:t>Essays in commercial, monetary and agrarian history 1500-1800.</w:t>
      </w:r>
      <w:proofErr w:type="gramEnd"/>
      <w:r w:rsidRPr="00371FC0">
        <w:rPr>
          <w:rFonts w:cs="Times New Roman"/>
          <w:i/>
        </w:rPr>
        <w:t xml:space="preserve"> II. </w:t>
      </w:r>
      <w:r w:rsidR="00A85665">
        <w:rPr>
          <w:rFonts w:cs="Times New Roman"/>
        </w:rPr>
        <w:t>(Aldershot, 199</w:t>
      </w:r>
      <w:r>
        <w:rPr>
          <w:rFonts w:cs="Times New Roman"/>
        </w:rPr>
        <w:t xml:space="preserve">6), </w:t>
      </w:r>
      <w:r w:rsidRPr="00371FC0">
        <w:rPr>
          <w:rFonts w:cs="Times New Roman"/>
        </w:rPr>
        <w:t xml:space="preserve">4-5, 9. See also </w:t>
      </w:r>
      <w:r>
        <w:rPr>
          <w:rFonts w:cs="Times New Roman"/>
        </w:rPr>
        <w:t xml:space="preserve">Jason W. </w:t>
      </w:r>
      <w:r w:rsidRPr="00371FC0">
        <w:rPr>
          <w:rFonts w:cs="Times New Roman"/>
        </w:rPr>
        <w:t xml:space="preserve">Moore, ‘”Amsterdam is standing on Norway”, Part II: the global north Atlantic in the ecological revolution of the long seventeenth century’, </w:t>
      </w:r>
      <w:r w:rsidRPr="00371FC0">
        <w:rPr>
          <w:rFonts w:cs="Times New Roman"/>
          <w:i/>
        </w:rPr>
        <w:t xml:space="preserve">Journal of Agrarian Change, </w:t>
      </w:r>
      <w:r w:rsidRPr="00371FC0">
        <w:rPr>
          <w:rFonts w:cs="Times New Roman"/>
        </w:rPr>
        <w:t>10/2 (20</w:t>
      </w:r>
      <w:r>
        <w:rPr>
          <w:rFonts w:cs="Times New Roman"/>
        </w:rPr>
        <w:t xml:space="preserve">10), </w:t>
      </w:r>
      <w:r w:rsidRPr="00371FC0">
        <w:rPr>
          <w:rFonts w:cs="Times New Roman"/>
        </w:rPr>
        <w:t>188-227. Unfortunately Moore gets some of his facts wrong on potash.</w:t>
      </w:r>
      <w:r>
        <w:rPr>
          <w:rFonts w:cs="Times New Roman"/>
        </w:rPr>
        <w:t xml:space="preserve"> Kent’s book on the mid-eighteenth</w:t>
      </w:r>
      <w:r w:rsidRPr="00371FC0">
        <w:rPr>
          <w:rFonts w:cs="Times New Roman"/>
        </w:rPr>
        <w:t xml:space="preserve"> century northern trade focuses on Scandinavia and does not address potash at all. H.S.K. Kent, </w:t>
      </w:r>
      <w:r w:rsidRPr="00371FC0">
        <w:rPr>
          <w:rFonts w:cs="Times New Roman"/>
          <w:i/>
        </w:rPr>
        <w:t xml:space="preserve">War and trade in the northern seas. </w:t>
      </w:r>
      <w:proofErr w:type="gramStart"/>
      <w:r w:rsidRPr="00371FC0">
        <w:rPr>
          <w:rFonts w:cs="Times New Roman"/>
          <w:i/>
        </w:rPr>
        <w:t xml:space="preserve">Anglo-Scandinavian economic relations in the mid-eighteenth century </w:t>
      </w:r>
      <w:r w:rsidRPr="00371FC0">
        <w:rPr>
          <w:rFonts w:cs="Times New Roman"/>
        </w:rPr>
        <w:t>(Cambridge, 1973).</w:t>
      </w:r>
      <w:proofErr w:type="gramEnd"/>
    </w:p>
  </w:footnote>
  <w:footnote w:id="16">
    <w:p w:rsidR="00907B0D" w:rsidRPr="00371FC0" w:rsidRDefault="00907B0D" w:rsidP="00F84888">
      <w:pPr>
        <w:pStyle w:val="FootnoteText"/>
        <w:rPr>
          <w:rFonts w:cs="Times New Roman"/>
        </w:rPr>
      </w:pPr>
      <w:r w:rsidRPr="00371FC0">
        <w:rPr>
          <w:rStyle w:val="FootnoteReference"/>
          <w:rFonts w:cs="Times New Roman"/>
        </w:rPr>
        <w:footnoteRef/>
      </w:r>
      <w:r w:rsidRPr="00371FC0">
        <w:rPr>
          <w:rFonts w:cs="Times New Roman"/>
        </w:rPr>
        <w:t xml:space="preserve"> </w:t>
      </w:r>
      <w:r>
        <w:rPr>
          <w:rFonts w:cs="Times New Roman"/>
        </w:rPr>
        <w:t xml:space="preserve">N.J. </w:t>
      </w:r>
      <w:r w:rsidRPr="00371FC0">
        <w:rPr>
          <w:rFonts w:cs="Times New Roman"/>
        </w:rPr>
        <w:t xml:space="preserve">Williams, </w:t>
      </w:r>
      <w:r w:rsidRPr="00371FC0">
        <w:rPr>
          <w:rFonts w:cs="Times New Roman"/>
          <w:i/>
        </w:rPr>
        <w:t xml:space="preserve">The maritime trade of the East Anglian ports 1550-1590 </w:t>
      </w:r>
      <w:r w:rsidRPr="00371FC0">
        <w:rPr>
          <w:rFonts w:cs="Times New Roman"/>
        </w:rPr>
        <w:t xml:space="preserve">(Oxford, 1988); </w:t>
      </w:r>
      <w:r>
        <w:rPr>
          <w:rFonts w:cs="Times New Roman"/>
        </w:rPr>
        <w:t xml:space="preserve">R.W.K. </w:t>
      </w:r>
      <w:r w:rsidRPr="00371FC0">
        <w:rPr>
          <w:rFonts w:cs="Times New Roman"/>
        </w:rPr>
        <w:t xml:space="preserve">Hinton, </w:t>
      </w:r>
      <w:r>
        <w:rPr>
          <w:rFonts w:cs="Times New Roman"/>
          <w:i/>
        </w:rPr>
        <w:t xml:space="preserve">Port Books of Boston 1601-1640 </w:t>
      </w:r>
      <w:r>
        <w:rPr>
          <w:rFonts w:cs="Times New Roman"/>
        </w:rPr>
        <w:t>(Lincoln, 1956),</w:t>
      </w:r>
      <w:r w:rsidRPr="00371FC0">
        <w:rPr>
          <w:rFonts w:cs="Times New Roman"/>
          <w:i/>
        </w:rPr>
        <w:t xml:space="preserve"> </w:t>
      </w:r>
      <w:r w:rsidRPr="00371FC0">
        <w:rPr>
          <w:rFonts w:cs="Times New Roman"/>
        </w:rPr>
        <w:t xml:space="preserve">xiv; </w:t>
      </w:r>
      <w:r>
        <w:rPr>
          <w:rFonts w:cs="Times New Roman"/>
        </w:rPr>
        <w:t xml:space="preserve">G.A. </w:t>
      </w:r>
      <w:proofErr w:type="spellStart"/>
      <w:r w:rsidRPr="00371FC0">
        <w:rPr>
          <w:rFonts w:cs="Times New Roman"/>
        </w:rPr>
        <w:t>Metters</w:t>
      </w:r>
      <w:proofErr w:type="spellEnd"/>
      <w:r w:rsidRPr="00371FC0">
        <w:rPr>
          <w:rFonts w:cs="Times New Roman"/>
        </w:rPr>
        <w:t xml:space="preserve">, </w:t>
      </w:r>
      <w:r w:rsidRPr="00371FC0">
        <w:rPr>
          <w:rFonts w:cs="Times New Roman"/>
          <w:i/>
        </w:rPr>
        <w:t xml:space="preserve">The Kings Lynn Port Books 1610-14 </w:t>
      </w:r>
      <w:r w:rsidRPr="00371FC0">
        <w:rPr>
          <w:rFonts w:cs="Times New Roman"/>
        </w:rPr>
        <w:t>(</w:t>
      </w:r>
      <w:r>
        <w:rPr>
          <w:rFonts w:cs="Times New Roman"/>
        </w:rPr>
        <w:t xml:space="preserve">Norwich, </w:t>
      </w:r>
      <w:r w:rsidRPr="00371FC0">
        <w:rPr>
          <w:rFonts w:cs="Times New Roman"/>
        </w:rPr>
        <w:t xml:space="preserve">2009), </w:t>
      </w:r>
      <w:r w:rsidRPr="00371FC0">
        <w:rPr>
          <w:rFonts w:cs="Times New Roman"/>
          <w:i/>
        </w:rPr>
        <w:t>passim</w:t>
      </w:r>
      <w:r w:rsidRPr="00371FC0">
        <w:rPr>
          <w:rFonts w:cs="Times New Roman"/>
        </w:rPr>
        <w:t xml:space="preserve">; </w:t>
      </w:r>
      <w:r>
        <w:rPr>
          <w:rFonts w:cs="Times New Roman"/>
        </w:rPr>
        <w:t xml:space="preserve">A.M. </w:t>
      </w:r>
      <w:r w:rsidRPr="00371FC0">
        <w:rPr>
          <w:rFonts w:cs="Times New Roman"/>
        </w:rPr>
        <w:t>Millard, ‘The imports trade of London, 1600-1640’, University Colle</w:t>
      </w:r>
      <w:r>
        <w:rPr>
          <w:rFonts w:cs="Times New Roman"/>
        </w:rPr>
        <w:t xml:space="preserve">ge London PhD Thesis (1941), </w:t>
      </w:r>
      <w:r w:rsidRPr="00371FC0">
        <w:rPr>
          <w:rFonts w:cs="Times New Roman"/>
        </w:rPr>
        <w:t>8-10.</w:t>
      </w:r>
    </w:p>
  </w:footnote>
  <w:footnote w:id="17">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Some books, such as that for 1649, could not be consulted for conservation reasons. The Port Books containing any significant amounts of ash imports for the later sixteenth and seventeenth centuries are: T</w:t>
      </w:r>
      <w:r>
        <w:rPr>
          <w:rFonts w:cs="Times New Roman"/>
        </w:rPr>
        <w:t xml:space="preserve">he </w:t>
      </w:r>
      <w:r w:rsidRPr="00371FC0">
        <w:rPr>
          <w:rFonts w:cs="Times New Roman"/>
        </w:rPr>
        <w:t>N</w:t>
      </w:r>
      <w:r>
        <w:rPr>
          <w:rFonts w:cs="Times New Roman"/>
        </w:rPr>
        <w:t xml:space="preserve">ational </w:t>
      </w:r>
      <w:r w:rsidRPr="00371FC0">
        <w:rPr>
          <w:rFonts w:cs="Times New Roman"/>
        </w:rPr>
        <w:t>A</w:t>
      </w:r>
      <w:r>
        <w:rPr>
          <w:rFonts w:cs="Times New Roman"/>
        </w:rPr>
        <w:t>rchives (TNA)</w:t>
      </w:r>
      <w:r w:rsidRPr="00371FC0">
        <w:rPr>
          <w:rFonts w:cs="Times New Roman"/>
        </w:rPr>
        <w:t xml:space="preserve"> E190/3/2; E190/5/5; E190/6/3; E190/8/1; E190/8/2; E190/8/4; E190/9/5; E190/11/1; E190/12/1; E190/14/5; E190/15/5; E190/16/5; E190/17/1; E190/18/3; E190/18/6; E190/19/3. E190/20/6; E190/21/4; E190/22/1; E190/22/10; E190/23/4; E190/24/4; E190/25/6; E190/27/1; E190/29/3; E190/30/2; E190/31/3; E190/33/2; E190/35/6; E190/37/6; E190/37/8; E190/38/1; E190/38/5; E190/43/5;  E190/44/3; E190/48/7; E190/51/4; E190/56/1; E190/58/1; E190/65/1; E190/64/1; E190/68/1; E190/131/1; E190/134/1.</w:t>
      </w:r>
    </w:p>
  </w:footnote>
  <w:footnote w:id="18">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A general political history of the Sound Tolls is provided in Charles E. Hill, </w:t>
      </w:r>
      <w:r w:rsidRPr="00371FC0">
        <w:rPr>
          <w:rFonts w:cs="Times New Roman"/>
          <w:i/>
        </w:rPr>
        <w:t xml:space="preserve">The Danish Sound dues and the command of the Baltic. </w:t>
      </w:r>
      <w:proofErr w:type="gramStart"/>
      <w:r w:rsidRPr="00371FC0">
        <w:rPr>
          <w:rFonts w:cs="Times New Roman"/>
          <w:i/>
        </w:rPr>
        <w:t xml:space="preserve">A study of international relations </w:t>
      </w:r>
      <w:r w:rsidRPr="00371FC0">
        <w:rPr>
          <w:rFonts w:cs="Times New Roman"/>
        </w:rPr>
        <w:t>(Durham NC, 1926).</w:t>
      </w:r>
      <w:proofErr w:type="gramEnd"/>
    </w:p>
  </w:footnote>
  <w:footnote w:id="19">
    <w:p w:rsidR="00907B0D" w:rsidRPr="00371FC0" w:rsidRDefault="00907B0D" w:rsidP="00F84888">
      <w:pPr>
        <w:pStyle w:val="FootnoteText"/>
        <w:rPr>
          <w:rFonts w:cs="Times New Roman"/>
        </w:rPr>
      </w:pPr>
      <w:r w:rsidRPr="00371FC0">
        <w:rPr>
          <w:rStyle w:val="FootnoteReference"/>
          <w:rFonts w:cs="Times New Roman"/>
        </w:rPr>
        <w:footnoteRef/>
      </w:r>
      <w:r w:rsidRPr="00371FC0">
        <w:rPr>
          <w:rFonts w:cs="Times New Roman"/>
        </w:rPr>
        <w:t xml:space="preserve"> </w:t>
      </w:r>
      <w:r>
        <w:rPr>
          <w:rFonts w:cs="Times New Roman"/>
        </w:rPr>
        <w:t xml:space="preserve">All aggregated information on the Sound Tolls is extracted from Nina </w:t>
      </w:r>
      <w:proofErr w:type="spellStart"/>
      <w:r>
        <w:rPr>
          <w:rFonts w:cs="Times New Roman"/>
        </w:rPr>
        <w:t>Ellinger</w:t>
      </w:r>
      <w:proofErr w:type="spellEnd"/>
      <w:r>
        <w:rPr>
          <w:rFonts w:cs="Times New Roman"/>
        </w:rPr>
        <w:t xml:space="preserve"> </w:t>
      </w:r>
      <w:r w:rsidRPr="00371FC0">
        <w:rPr>
          <w:rFonts w:cs="Times New Roman"/>
        </w:rPr>
        <w:t xml:space="preserve">Bang </w:t>
      </w:r>
      <w:r>
        <w:rPr>
          <w:rFonts w:cs="Times New Roman"/>
        </w:rPr>
        <w:t xml:space="preserve">, </w:t>
      </w:r>
      <w:proofErr w:type="spellStart"/>
      <w:r>
        <w:rPr>
          <w:rFonts w:cs="Times New Roman"/>
          <w:i/>
        </w:rPr>
        <w:t>Tabeller</w:t>
      </w:r>
      <w:proofErr w:type="spellEnd"/>
      <w:r>
        <w:rPr>
          <w:rFonts w:cs="Times New Roman"/>
          <w:i/>
        </w:rPr>
        <w:t xml:space="preserve"> over </w:t>
      </w:r>
      <w:proofErr w:type="spellStart"/>
      <w:r>
        <w:rPr>
          <w:rFonts w:cs="Times New Roman"/>
          <w:i/>
        </w:rPr>
        <w:t>skibdfart</w:t>
      </w:r>
      <w:proofErr w:type="spellEnd"/>
      <w:r>
        <w:rPr>
          <w:rFonts w:cs="Times New Roman"/>
          <w:i/>
        </w:rPr>
        <w:t xml:space="preserve"> </w:t>
      </w:r>
      <w:proofErr w:type="spellStart"/>
      <w:r>
        <w:rPr>
          <w:rFonts w:cs="Times New Roman"/>
          <w:i/>
        </w:rPr>
        <w:t>og</w:t>
      </w:r>
      <w:proofErr w:type="spellEnd"/>
      <w:r>
        <w:rPr>
          <w:rFonts w:cs="Times New Roman"/>
          <w:i/>
        </w:rPr>
        <w:t xml:space="preserve"> </w:t>
      </w:r>
      <w:proofErr w:type="spellStart"/>
      <w:r>
        <w:rPr>
          <w:rFonts w:cs="Times New Roman"/>
          <w:i/>
        </w:rPr>
        <w:t>varentrasnport</w:t>
      </w:r>
      <w:proofErr w:type="spellEnd"/>
      <w:r>
        <w:rPr>
          <w:rFonts w:cs="Times New Roman"/>
          <w:i/>
        </w:rPr>
        <w:t xml:space="preserve"> </w:t>
      </w:r>
      <w:proofErr w:type="spellStart"/>
      <w:r>
        <w:rPr>
          <w:rFonts w:cs="Times New Roman"/>
          <w:i/>
        </w:rPr>
        <w:t>gennem</w:t>
      </w:r>
      <w:proofErr w:type="spellEnd"/>
      <w:r>
        <w:rPr>
          <w:rFonts w:cs="Times New Roman"/>
          <w:i/>
        </w:rPr>
        <w:t xml:space="preserve"> </w:t>
      </w:r>
      <w:proofErr w:type="spellStart"/>
      <w:r>
        <w:rPr>
          <w:rFonts w:cs="Times New Roman"/>
          <w:i/>
        </w:rPr>
        <w:t>Øresund</w:t>
      </w:r>
      <w:proofErr w:type="spellEnd"/>
      <w:r>
        <w:rPr>
          <w:rFonts w:cs="Times New Roman"/>
          <w:i/>
        </w:rPr>
        <w:t xml:space="preserve"> 1497-1660 </w:t>
      </w:r>
      <w:r>
        <w:rPr>
          <w:rFonts w:cs="Times New Roman"/>
        </w:rPr>
        <w:t xml:space="preserve"> 5 </w:t>
      </w:r>
      <w:proofErr w:type="spellStart"/>
      <w:r>
        <w:rPr>
          <w:rFonts w:cs="Times New Roman"/>
        </w:rPr>
        <w:t>vols</w:t>
      </w:r>
      <w:proofErr w:type="spellEnd"/>
      <w:r>
        <w:rPr>
          <w:rFonts w:cs="Times New Roman"/>
        </w:rPr>
        <w:t xml:space="preserve"> (Copenhagen, 1906-33); </w:t>
      </w:r>
      <w:proofErr w:type="spellStart"/>
      <w:r w:rsidRPr="00371FC0">
        <w:rPr>
          <w:rFonts w:cs="Times New Roman"/>
        </w:rPr>
        <w:t>Fedorowicz</w:t>
      </w:r>
      <w:proofErr w:type="spellEnd"/>
      <w:r>
        <w:rPr>
          <w:rFonts w:cs="Times New Roman"/>
        </w:rPr>
        <w:t xml:space="preserve">, </w:t>
      </w:r>
      <w:r>
        <w:rPr>
          <w:rFonts w:cs="Times New Roman"/>
          <w:i/>
        </w:rPr>
        <w:t xml:space="preserve">England’s </w:t>
      </w:r>
      <w:r w:rsidRPr="00371FC0">
        <w:rPr>
          <w:rFonts w:cs="Times New Roman"/>
          <w:i/>
        </w:rPr>
        <w:t>Baltic trade</w:t>
      </w:r>
      <w:r>
        <w:rPr>
          <w:rFonts w:cs="Times New Roman"/>
        </w:rPr>
        <w:t xml:space="preserve">, </w:t>
      </w:r>
      <w:r w:rsidRPr="00371FC0">
        <w:rPr>
          <w:rFonts w:cs="Times New Roman"/>
        </w:rPr>
        <w:t xml:space="preserve">90; on the apparently low level of evasion after 1618, see </w:t>
      </w:r>
      <w:r>
        <w:rPr>
          <w:rFonts w:cs="Times New Roman"/>
        </w:rPr>
        <w:t xml:space="preserve">J. </w:t>
      </w:r>
      <w:r w:rsidRPr="00371FC0">
        <w:rPr>
          <w:rFonts w:cs="Times New Roman"/>
        </w:rPr>
        <w:t xml:space="preserve">Dow, ‘A comparative note on the Sound Toll registers, Stockholm customs accounts, and Dundee shipping lists, 1589, 1613-22, ‘, </w:t>
      </w:r>
      <w:r w:rsidRPr="00371FC0">
        <w:rPr>
          <w:rFonts w:cs="Times New Roman"/>
          <w:i/>
        </w:rPr>
        <w:t xml:space="preserve">Scandinavian Economic History Review </w:t>
      </w:r>
      <w:r>
        <w:rPr>
          <w:rFonts w:cs="Times New Roman"/>
        </w:rPr>
        <w:t xml:space="preserve">12 (1964), </w:t>
      </w:r>
      <w:r w:rsidRPr="00371FC0">
        <w:rPr>
          <w:rFonts w:cs="Times New Roman"/>
        </w:rPr>
        <w:t>79-85.</w:t>
      </w:r>
    </w:p>
  </w:footnote>
  <w:footnote w:id="20">
    <w:p w:rsidR="00BA5C10" w:rsidRPr="00BA5C10" w:rsidRDefault="00BA5C10">
      <w:pPr>
        <w:pStyle w:val="FootnoteText"/>
      </w:pPr>
      <w:r>
        <w:rPr>
          <w:rStyle w:val="FootnoteReference"/>
        </w:rPr>
        <w:footnoteRef/>
      </w:r>
      <w:r>
        <w:t xml:space="preserve"> Sven-Erik </w:t>
      </w:r>
      <w:proofErr w:type="spellStart"/>
      <w:r>
        <w:t>Åström</w:t>
      </w:r>
      <w:proofErr w:type="spellEnd"/>
      <w:r>
        <w:t xml:space="preserve">, </w:t>
      </w:r>
      <w:proofErr w:type="gramStart"/>
      <w:r>
        <w:rPr>
          <w:i/>
        </w:rPr>
        <w:t>From</w:t>
      </w:r>
      <w:proofErr w:type="gramEnd"/>
      <w:r>
        <w:rPr>
          <w:i/>
        </w:rPr>
        <w:t xml:space="preserve"> tar to timber. </w:t>
      </w:r>
      <w:proofErr w:type="gramStart"/>
      <w:r>
        <w:rPr>
          <w:i/>
        </w:rPr>
        <w:t xml:space="preserve">Studies in northeast European forest exploitation and foreign trade 1660-1860 </w:t>
      </w:r>
      <w:r>
        <w:t>(Helsinki, 1988), 17.</w:t>
      </w:r>
      <w:proofErr w:type="gramEnd"/>
    </w:p>
  </w:footnote>
  <w:footnote w:id="21">
    <w:p w:rsidR="00907B0D" w:rsidRPr="00371FC0" w:rsidRDefault="00907B0D" w:rsidP="00F84888">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Williams</w:t>
      </w:r>
      <w:r>
        <w:rPr>
          <w:rFonts w:cs="Times New Roman"/>
        </w:rPr>
        <w:t xml:space="preserve">, </w:t>
      </w:r>
      <w:r>
        <w:rPr>
          <w:rFonts w:cs="Times New Roman"/>
          <w:i/>
        </w:rPr>
        <w:t xml:space="preserve">maritime trade, </w:t>
      </w:r>
      <w:r w:rsidRPr="00371FC0">
        <w:rPr>
          <w:rFonts w:cs="Times New Roman"/>
        </w:rPr>
        <w:t>26-32.</w:t>
      </w:r>
      <w:proofErr w:type="gramEnd"/>
    </w:p>
  </w:footnote>
  <w:footnote w:id="22">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Bang</w:t>
      </w:r>
      <w:r>
        <w:rPr>
          <w:rFonts w:cs="Times New Roman"/>
        </w:rPr>
        <w:t xml:space="preserve">, </w:t>
      </w:r>
      <w:proofErr w:type="spellStart"/>
      <w:r>
        <w:rPr>
          <w:rFonts w:cs="Times New Roman"/>
          <w:i/>
        </w:rPr>
        <w:t>Tabeller</w:t>
      </w:r>
      <w:proofErr w:type="spellEnd"/>
      <w:r w:rsidRPr="00371FC0">
        <w:rPr>
          <w:rFonts w:cs="Times New Roman"/>
        </w:rPr>
        <w:t>; TNA CUST 3/9-27.</w:t>
      </w:r>
      <w:proofErr w:type="gramEnd"/>
      <w:r w:rsidRPr="00371FC0">
        <w:rPr>
          <w:rFonts w:cs="Times New Roman"/>
        </w:rPr>
        <w:t xml:space="preserve"> The standard deviation is high at 68 (with amounts ranging from 70% to 130% outside of the years when foreigners dominated the trade between 1704 and 1711. Nevertheless, given that we would expect variation because of ash paying toll and being landed in different accounting years, among other reasons, this is still an excellent match. </w:t>
      </w:r>
    </w:p>
  </w:footnote>
  <w:footnote w:id="23">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The Sound Toll amount as a share of the Customs 3 total falls from 116% in 1706 to 70% in 1707, a mere 28% in 1708, then is much too high at 372% in 1709, 24% in 1710, 45% in 1711 and 35% in 1712 before returning to 73% in 1713. The anomalous peak in 1709 is probably because much of the potash carried through the Sound in 1709 was not landed in England until 1710. </w:t>
      </w:r>
    </w:p>
  </w:footnote>
  <w:footnote w:id="24">
    <w:p w:rsidR="00907B0D" w:rsidRPr="00371FC0" w:rsidRDefault="00907B0D" w:rsidP="00BF2F9C">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 xml:space="preserve">Calendar of Close rolls, Edward II, 1310; </w:t>
      </w:r>
      <w:r>
        <w:rPr>
          <w:rFonts w:cs="Times New Roman"/>
        </w:rPr>
        <w:t xml:space="preserve">H. </w:t>
      </w:r>
      <w:r w:rsidRPr="00371FC0">
        <w:rPr>
          <w:rFonts w:cs="Times New Roman"/>
        </w:rPr>
        <w:t xml:space="preserve">Zins, </w:t>
      </w:r>
      <w:r w:rsidRPr="00371FC0">
        <w:rPr>
          <w:rFonts w:cs="Times New Roman"/>
          <w:i/>
        </w:rPr>
        <w:t xml:space="preserve">England and the Baltic in the Elizabethan era </w:t>
      </w:r>
      <w:r>
        <w:rPr>
          <w:rFonts w:cs="Times New Roman"/>
        </w:rPr>
        <w:t xml:space="preserve">(Manchester, 1972), </w:t>
      </w:r>
      <w:r w:rsidRPr="00371FC0">
        <w:rPr>
          <w:rFonts w:cs="Times New Roman"/>
        </w:rPr>
        <w:t>11, 19, 21.</w:t>
      </w:r>
      <w:proofErr w:type="gramEnd"/>
    </w:p>
  </w:footnote>
  <w:footnote w:id="25">
    <w:p w:rsidR="00907B0D" w:rsidRPr="00371FC0" w:rsidRDefault="00907B0D" w:rsidP="00BF2F9C">
      <w:pPr>
        <w:pStyle w:val="FootnoteText"/>
        <w:rPr>
          <w:rFonts w:cs="Times New Roman"/>
          <w:lang w:val="en-US"/>
        </w:rPr>
      </w:pPr>
      <w:r w:rsidRPr="00371FC0">
        <w:rPr>
          <w:rStyle w:val="FootnoteReference"/>
          <w:rFonts w:cs="Times New Roman"/>
        </w:rPr>
        <w:footnoteRef/>
      </w:r>
      <w:r w:rsidRPr="00371FC0">
        <w:rPr>
          <w:rFonts w:cs="Times New Roman"/>
        </w:rPr>
        <w:t xml:space="preserve"> </w:t>
      </w:r>
      <w:r>
        <w:rPr>
          <w:rFonts w:cs="Times New Roman"/>
        </w:rPr>
        <w:t xml:space="preserve">J. </w:t>
      </w:r>
      <w:proofErr w:type="spellStart"/>
      <w:r w:rsidRPr="00371FC0">
        <w:rPr>
          <w:rFonts w:cs="Times New Roman"/>
          <w:lang w:val="en-US"/>
        </w:rPr>
        <w:t>Matusas</w:t>
      </w:r>
      <w:proofErr w:type="spellEnd"/>
      <w:r w:rsidRPr="00371FC0">
        <w:rPr>
          <w:rFonts w:cs="Times New Roman"/>
          <w:lang w:val="en-US"/>
        </w:rPr>
        <w:t xml:space="preserve"> </w:t>
      </w:r>
      <w:proofErr w:type="spellStart"/>
      <w:r w:rsidRPr="00371FC0">
        <w:rPr>
          <w:rFonts w:cs="Times New Roman"/>
          <w:i/>
          <w:lang w:val="en-US"/>
        </w:rPr>
        <w:t>Lietuvos</w:t>
      </w:r>
      <w:proofErr w:type="spellEnd"/>
      <w:r w:rsidRPr="00371FC0">
        <w:rPr>
          <w:rFonts w:cs="Times New Roman"/>
          <w:i/>
          <w:lang w:val="en-US"/>
        </w:rPr>
        <w:t xml:space="preserve"> </w:t>
      </w:r>
      <w:proofErr w:type="spellStart"/>
      <w:r w:rsidRPr="00371FC0">
        <w:rPr>
          <w:rFonts w:cs="Times New Roman"/>
          <w:i/>
          <w:lang w:val="en-US"/>
        </w:rPr>
        <w:t>misko</w:t>
      </w:r>
      <w:proofErr w:type="spellEnd"/>
      <w:r w:rsidRPr="00371FC0">
        <w:rPr>
          <w:rFonts w:cs="Times New Roman"/>
          <w:i/>
          <w:lang w:val="en-US"/>
        </w:rPr>
        <w:t xml:space="preserve"> </w:t>
      </w:r>
      <w:proofErr w:type="spellStart"/>
      <w:r w:rsidRPr="00371FC0">
        <w:rPr>
          <w:rFonts w:cs="Times New Roman"/>
          <w:i/>
          <w:lang w:val="en-US"/>
        </w:rPr>
        <w:t>gaminiai</w:t>
      </w:r>
      <w:proofErr w:type="spellEnd"/>
      <w:r w:rsidRPr="00371FC0">
        <w:rPr>
          <w:rFonts w:cs="Times New Roman"/>
          <w:i/>
          <w:lang w:val="en-US"/>
        </w:rPr>
        <w:t xml:space="preserve"> </w:t>
      </w:r>
      <w:proofErr w:type="spellStart"/>
      <w:r w:rsidRPr="00371FC0">
        <w:rPr>
          <w:rFonts w:cs="Times New Roman"/>
          <w:i/>
          <w:lang w:val="en-US"/>
        </w:rPr>
        <w:t>ir</w:t>
      </w:r>
      <w:proofErr w:type="spellEnd"/>
      <w:r w:rsidRPr="00371FC0">
        <w:rPr>
          <w:rFonts w:cs="Times New Roman"/>
          <w:i/>
          <w:lang w:val="en-US"/>
        </w:rPr>
        <w:t xml:space="preserve"> </w:t>
      </w:r>
      <w:proofErr w:type="spellStart"/>
      <w:r w:rsidRPr="00371FC0">
        <w:rPr>
          <w:rFonts w:cs="Times New Roman"/>
          <w:i/>
          <w:lang w:val="en-US"/>
        </w:rPr>
        <w:t>ju</w:t>
      </w:r>
      <w:proofErr w:type="spellEnd"/>
      <w:r w:rsidRPr="00371FC0">
        <w:rPr>
          <w:rFonts w:cs="Times New Roman"/>
          <w:i/>
          <w:lang w:val="en-US"/>
        </w:rPr>
        <w:t xml:space="preserve"> </w:t>
      </w:r>
      <w:proofErr w:type="spellStart"/>
      <w:r w:rsidRPr="00371FC0">
        <w:rPr>
          <w:rFonts w:cs="Times New Roman"/>
          <w:i/>
          <w:lang w:val="en-US"/>
        </w:rPr>
        <w:t>transportas</w:t>
      </w:r>
      <w:proofErr w:type="spellEnd"/>
      <w:r w:rsidRPr="00371FC0">
        <w:rPr>
          <w:rFonts w:cs="Times New Roman"/>
          <w:i/>
          <w:lang w:val="en-US"/>
        </w:rPr>
        <w:t xml:space="preserve"> </w:t>
      </w:r>
      <w:proofErr w:type="spellStart"/>
      <w:r w:rsidRPr="00371FC0">
        <w:rPr>
          <w:rFonts w:cs="Times New Roman"/>
          <w:i/>
          <w:lang w:val="en-US"/>
        </w:rPr>
        <w:t>iki</w:t>
      </w:r>
      <w:proofErr w:type="spellEnd"/>
      <w:r w:rsidRPr="00371FC0">
        <w:rPr>
          <w:rFonts w:cs="Times New Roman"/>
          <w:i/>
          <w:lang w:val="en-US"/>
        </w:rPr>
        <w:t xml:space="preserve"> XVI </w:t>
      </w:r>
      <w:proofErr w:type="spellStart"/>
      <w:r w:rsidRPr="00371FC0">
        <w:rPr>
          <w:rFonts w:cs="Times New Roman"/>
          <w:i/>
          <w:lang w:val="en-US"/>
        </w:rPr>
        <w:t>pabaigos</w:t>
      </w:r>
      <w:proofErr w:type="spellEnd"/>
      <w:r w:rsidRPr="00371FC0">
        <w:rPr>
          <w:rFonts w:cs="Times New Roman"/>
          <w:lang w:val="en-US"/>
        </w:rPr>
        <w:t>, (</w:t>
      </w:r>
      <w:proofErr w:type="spellStart"/>
      <w:r w:rsidRPr="00371FC0">
        <w:rPr>
          <w:rFonts w:cs="Times New Roman"/>
          <w:lang w:val="en-US"/>
        </w:rPr>
        <w:t>Musu</w:t>
      </w:r>
      <w:proofErr w:type="spellEnd"/>
      <w:r w:rsidRPr="00371FC0">
        <w:rPr>
          <w:rFonts w:cs="Times New Roman"/>
          <w:lang w:val="en-US"/>
        </w:rPr>
        <w:t xml:space="preserve"> </w:t>
      </w:r>
      <w:proofErr w:type="spellStart"/>
      <w:r w:rsidRPr="00371FC0">
        <w:rPr>
          <w:rFonts w:cs="Times New Roman"/>
          <w:lang w:val="en-US"/>
        </w:rPr>
        <w:t>Girios</w:t>
      </w:r>
      <w:proofErr w:type="spellEnd"/>
      <w:r w:rsidRPr="00371FC0">
        <w:rPr>
          <w:rFonts w:cs="Times New Roman"/>
          <w:lang w:val="en-US"/>
        </w:rPr>
        <w:t xml:space="preserve">, 1943), </w:t>
      </w:r>
      <w:proofErr w:type="spellStart"/>
      <w:r w:rsidRPr="00371FC0">
        <w:rPr>
          <w:rFonts w:cs="Times New Roman"/>
          <w:lang w:val="en-US"/>
        </w:rPr>
        <w:t>psl</w:t>
      </w:r>
      <w:proofErr w:type="spellEnd"/>
      <w:r w:rsidRPr="00371FC0">
        <w:rPr>
          <w:rFonts w:cs="Times New Roman"/>
          <w:lang w:val="en-US"/>
        </w:rPr>
        <w:t xml:space="preserve"> 3; </w:t>
      </w:r>
      <w:r>
        <w:rPr>
          <w:rFonts w:cs="Times New Roman"/>
          <w:lang w:val="en-US"/>
        </w:rPr>
        <w:t xml:space="preserve">J. </w:t>
      </w:r>
      <w:proofErr w:type="spellStart"/>
      <w:r w:rsidRPr="00371FC0">
        <w:rPr>
          <w:rFonts w:cs="Times New Roman"/>
        </w:rPr>
        <w:t>Jurginis</w:t>
      </w:r>
      <w:proofErr w:type="spellEnd"/>
      <w:r w:rsidRPr="00371FC0">
        <w:rPr>
          <w:rFonts w:cs="Times New Roman"/>
        </w:rPr>
        <w:t xml:space="preserve"> </w:t>
      </w:r>
      <w:proofErr w:type="spellStart"/>
      <w:r w:rsidRPr="00371FC0">
        <w:rPr>
          <w:rFonts w:cs="Times New Roman"/>
          <w:i/>
        </w:rPr>
        <w:t>Baudziavos</w:t>
      </w:r>
      <w:proofErr w:type="spellEnd"/>
      <w:r w:rsidRPr="00371FC0">
        <w:rPr>
          <w:rFonts w:cs="Times New Roman"/>
          <w:i/>
        </w:rPr>
        <w:t xml:space="preserve"> </w:t>
      </w:r>
      <w:proofErr w:type="spellStart"/>
      <w:r w:rsidRPr="00371FC0">
        <w:rPr>
          <w:rFonts w:cs="Times New Roman"/>
          <w:i/>
        </w:rPr>
        <w:t>isigalejimas</w:t>
      </w:r>
      <w:proofErr w:type="spellEnd"/>
      <w:r w:rsidRPr="00371FC0">
        <w:rPr>
          <w:rFonts w:cs="Times New Roman"/>
          <w:i/>
        </w:rPr>
        <w:t xml:space="preserve"> </w:t>
      </w:r>
      <w:proofErr w:type="spellStart"/>
      <w:r w:rsidRPr="00371FC0">
        <w:rPr>
          <w:rFonts w:cs="Times New Roman"/>
          <w:i/>
        </w:rPr>
        <w:t>Lieutvoje</w:t>
      </w:r>
      <w:proofErr w:type="spellEnd"/>
      <w:r>
        <w:rPr>
          <w:rFonts w:cs="Times New Roman"/>
        </w:rPr>
        <w:t xml:space="preserve">, </w:t>
      </w:r>
      <w:r w:rsidRPr="00371FC0">
        <w:rPr>
          <w:rFonts w:cs="Times New Roman"/>
        </w:rPr>
        <w:t xml:space="preserve">77; </w:t>
      </w:r>
      <w:r>
        <w:rPr>
          <w:rFonts w:cs="Times New Roman"/>
        </w:rPr>
        <w:t xml:space="preserve">Z. </w:t>
      </w:r>
      <w:proofErr w:type="spellStart"/>
      <w:r w:rsidRPr="00371FC0">
        <w:rPr>
          <w:rFonts w:cs="Times New Roman"/>
        </w:rPr>
        <w:t>Ivinskis</w:t>
      </w:r>
      <w:proofErr w:type="spellEnd"/>
      <w:r w:rsidRPr="00371FC0">
        <w:rPr>
          <w:rFonts w:cs="Times New Roman"/>
        </w:rPr>
        <w:t xml:space="preserve"> </w:t>
      </w:r>
      <w:proofErr w:type="spellStart"/>
      <w:r w:rsidRPr="00371FC0">
        <w:rPr>
          <w:rFonts w:cs="Times New Roman"/>
          <w:i/>
        </w:rPr>
        <w:t>Lietuvos</w:t>
      </w:r>
      <w:proofErr w:type="spellEnd"/>
      <w:r w:rsidRPr="00371FC0">
        <w:rPr>
          <w:rFonts w:cs="Times New Roman"/>
          <w:i/>
        </w:rPr>
        <w:t xml:space="preserve"> </w:t>
      </w:r>
      <w:proofErr w:type="spellStart"/>
      <w:r w:rsidRPr="00371FC0">
        <w:rPr>
          <w:rFonts w:cs="Times New Roman"/>
          <w:i/>
        </w:rPr>
        <w:t>prekyba</w:t>
      </w:r>
      <w:proofErr w:type="spellEnd"/>
      <w:r w:rsidRPr="00371FC0">
        <w:rPr>
          <w:rFonts w:cs="Times New Roman"/>
          <w:i/>
        </w:rPr>
        <w:t xml:space="preserve"> </w:t>
      </w:r>
      <w:proofErr w:type="spellStart"/>
      <w:r w:rsidRPr="00371FC0">
        <w:rPr>
          <w:rFonts w:cs="Times New Roman"/>
          <w:i/>
        </w:rPr>
        <w:t>su</w:t>
      </w:r>
      <w:proofErr w:type="spellEnd"/>
      <w:r w:rsidRPr="00371FC0">
        <w:rPr>
          <w:rFonts w:cs="Times New Roman"/>
          <w:i/>
        </w:rPr>
        <w:t xml:space="preserve"> </w:t>
      </w:r>
      <w:proofErr w:type="spellStart"/>
      <w:r w:rsidRPr="00371FC0">
        <w:rPr>
          <w:rFonts w:cs="Times New Roman"/>
          <w:i/>
        </w:rPr>
        <w:t>prusais</w:t>
      </w:r>
      <w:proofErr w:type="spellEnd"/>
      <w:r w:rsidRPr="00371FC0">
        <w:rPr>
          <w:rFonts w:cs="Times New Roman"/>
          <w:i/>
        </w:rPr>
        <w:t xml:space="preserve"> </w:t>
      </w:r>
      <w:proofErr w:type="spellStart"/>
      <w:r w:rsidRPr="00371FC0">
        <w:rPr>
          <w:rFonts w:cs="Times New Roman"/>
          <w:i/>
        </w:rPr>
        <w:t>iki</w:t>
      </w:r>
      <w:proofErr w:type="spellEnd"/>
      <w:r w:rsidRPr="00371FC0">
        <w:rPr>
          <w:rFonts w:cs="Times New Roman"/>
          <w:i/>
        </w:rPr>
        <w:t xml:space="preserve"> 16 </w:t>
      </w:r>
      <w:proofErr w:type="spellStart"/>
      <w:r w:rsidRPr="00371FC0">
        <w:rPr>
          <w:rFonts w:cs="Times New Roman"/>
          <w:i/>
        </w:rPr>
        <w:t>amziaus</w:t>
      </w:r>
      <w:proofErr w:type="spellEnd"/>
      <w:r w:rsidRPr="00371FC0">
        <w:rPr>
          <w:rFonts w:cs="Times New Roman"/>
          <w:i/>
        </w:rPr>
        <w:t xml:space="preserve"> </w:t>
      </w:r>
      <w:proofErr w:type="spellStart"/>
      <w:r w:rsidRPr="00371FC0">
        <w:rPr>
          <w:rFonts w:cs="Times New Roman"/>
          <w:i/>
        </w:rPr>
        <w:t>pradzios</w:t>
      </w:r>
      <w:proofErr w:type="spellEnd"/>
      <w:r w:rsidRPr="00371FC0">
        <w:rPr>
          <w:rFonts w:cs="Times New Roman"/>
          <w:i/>
        </w:rPr>
        <w:t xml:space="preserve"> </w:t>
      </w:r>
      <w:r>
        <w:rPr>
          <w:rFonts w:cs="Times New Roman"/>
        </w:rPr>
        <w:t xml:space="preserve">(Kaunas, 1934), </w:t>
      </w:r>
      <w:r w:rsidRPr="00371FC0">
        <w:rPr>
          <w:rFonts w:cs="Times New Roman"/>
        </w:rPr>
        <w:t xml:space="preserve">59; </w:t>
      </w:r>
      <w:r>
        <w:rPr>
          <w:rFonts w:cs="Times New Roman"/>
        </w:rPr>
        <w:t xml:space="preserve">M. </w:t>
      </w:r>
      <w:proofErr w:type="spellStart"/>
      <w:r w:rsidRPr="00371FC0">
        <w:rPr>
          <w:rFonts w:cs="Times New Roman"/>
          <w:lang w:val="en-US"/>
        </w:rPr>
        <w:t>Lukinas</w:t>
      </w:r>
      <w:proofErr w:type="spellEnd"/>
      <w:r w:rsidRPr="00371FC0">
        <w:rPr>
          <w:rFonts w:cs="Times New Roman"/>
          <w:lang w:val="en-US"/>
        </w:rPr>
        <w:t>, ‘</w:t>
      </w:r>
      <w:proofErr w:type="spellStart"/>
      <w:r w:rsidRPr="00371FC0">
        <w:rPr>
          <w:rFonts w:cs="Times New Roman"/>
          <w:lang w:val="en-US"/>
        </w:rPr>
        <w:t>Upytes</w:t>
      </w:r>
      <w:proofErr w:type="spellEnd"/>
      <w:r w:rsidRPr="00371FC0">
        <w:rPr>
          <w:rFonts w:cs="Times New Roman"/>
          <w:lang w:val="en-US"/>
        </w:rPr>
        <w:t xml:space="preserve"> </w:t>
      </w:r>
      <w:proofErr w:type="spellStart"/>
      <w:r w:rsidRPr="00371FC0">
        <w:rPr>
          <w:rFonts w:cs="Times New Roman"/>
          <w:lang w:val="en-US"/>
        </w:rPr>
        <w:t>krasto</w:t>
      </w:r>
      <w:proofErr w:type="spellEnd"/>
      <w:r w:rsidRPr="00371FC0">
        <w:rPr>
          <w:rFonts w:cs="Times New Roman"/>
          <w:lang w:val="en-US"/>
        </w:rPr>
        <w:t xml:space="preserve"> </w:t>
      </w:r>
      <w:proofErr w:type="spellStart"/>
      <w:r w:rsidRPr="00371FC0">
        <w:rPr>
          <w:rFonts w:cs="Times New Roman"/>
          <w:lang w:val="en-US"/>
        </w:rPr>
        <w:t>miskai</w:t>
      </w:r>
      <w:proofErr w:type="spellEnd"/>
      <w:r w:rsidRPr="00371FC0">
        <w:rPr>
          <w:rFonts w:cs="Times New Roman"/>
          <w:lang w:val="en-US"/>
        </w:rPr>
        <w:t xml:space="preserve"> XVI </w:t>
      </w:r>
      <w:proofErr w:type="spellStart"/>
      <w:r w:rsidRPr="00371FC0">
        <w:rPr>
          <w:rFonts w:cs="Times New Roman"/>
          <w:lang w:val="en-US"/>
        </w:rPr>
        <w:t>amziuje</w:t>
      </w:r>
      <w:proofErr w:type="spellEnd"/>
      <w:r w:rsidRPr="00371FC0">
        <w:rPr>
          <w:rFonts w:cs="Times New Roman"/>
          <w:lang w:val="en-US"/>
        </w:rPr>
        <w:t xml:space="preserve">’, </w:t>
      </w:r>
      <w:proofErr w:type="spellStart"/>
      <w:r w:rsidRPr="00371FC0">
        <w:rPr>
          <w:rFonts w:cs="Times New Roman"/>
          <w:i/>
          <w:lang w:val="en-US"/>
        </w:rPr>
        <w:t>Girios</w:t>
      </w:r>
      <w:proofErr w:type="spellEnd"/>
      <w:r w:rsidRPr="00371FC0">
        <w:rPr>
          <w:rFonts w:cs="Times New Roman"/>
          <w:i/>
          <w:lang w:val="en-US"/>
        </w:rPr>
        <w:t>,</w:t>
      </w:r>
      <w:r w:rsidRPr="00371FC0">
        <w:rPr>
          <w:rFonts w:cs="Times New Roman"/>
          <w:lang w:val="en-US"/>
        </w:rPr>
        <w:t xml:space="preserve"> 1 (1974)</w:t>
      </w:r>
      <w:r>
        <w:rPr>
          <w:rFonts w:cs="Times New Roman"/>
          <w:lang w:val="en-US"/>
        </w:rPr>
        <w:t xml:space="preserve">, </w:t>
      </w:r>
      <w:r w:rsidRPr="00371FC0">
        <w:rPr>
          <w:rFonts w:cs="Times New Roman"/>
          <w:lang w:val="en-US"/>
        </w:rPr>
        <w:t>11.</w:t>
      </w:r>
    </w:p>
  </w:footnote>
  <w:footnote w:id="26">
    <w:p w:rsidR="00907B0D" w:rsidRPr="00371FC0" w:rsidRDefault="00907B0D" w:rsidP="00BF2F9C">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r w:rsidRPr="00371FC0">
        <w:rPr>
          <w:rFonts w:cs="Times New Roman"/>
        </w:rPr>
        <w:t>Gelius</w:t>
      </w:r>
      <w:proofErr w:type="spellEnd"/>
      <w:r>
        <w:rPr>
          <w:rFonts w:cs="Times New Roman"/>
        </w:rPr>
        <w:t>, ‘</w:t>
      </w:r>
      <w:proofErr w:type="spellStart"/>
      <w:r>
        <w:rPr>
          <w:rFonts w:cs="Times New Roman"/>
        </w:rPr>
        <w:t>Seehandel</w:t>
      </w:r>
      <w:proofErr w:type="spellEnd"/>
      <w:r>
        <w:rPr>
          <w:rFonts w:cs="Times New Roman"/>
        </w:rPr>
        <w:t xml:space="preserve">’, </w:t>
      </w:r>
      <w:r w:rsidRPr="00371FC0">
        <w:rPr>
          <w:rFonts w:cs="Times New Roman"/>
        </w:rPr>
        <w:t>61.</w:t>
      </w:r>
    </w:p>
  </w:footnote>
  <w:footnote w:id="27">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In terms of the Eastland trade this was unusual, as many of the exporters operated out of other eastern ports with Ipswich playing a prominent role. Millard</w:t>
      </w:r>
      <w:r>
        <w:rPr>
          <w:rFonts w:cs="Times New Roman"/>
        </w:rPr>
        <w:t xml:space="preserve">, ‘Trade’, </w:t>
      </w:r>
      <w:r w:rsidRPr="00371FC0">
        <w:rPr>
          <w:rFonts w:cs="Times New Roman"/>
        </w:rPr>
        <w:t xml:space="preserve">100.  </w:t>
      </w:r>
    </w:p>
  </w:footnote>
  <w:footnote w:id="28">
    <w:p w:rsidR="00907B0D" w:rsidRPr="00371FC0" w:rsidRDefault="00907B0D" w:rsidP="0054662C">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r w:rsidRPr="00371FC0">
        <w:rPr>
          <w:rFonts w:cs="Times New Roman"/>
        </w:rPr>
        <w:t>Åström</w:t>
      </w:r>
      <w:proofErr w:type="spellEnd"/>
      <w:r w:rsidRPr="00371FC0">
        <w:rPr>
          <w:rFonts w:cs="Times New Roman"/>
        </w:rPr>
        <w:t xml:space="preserve">, </w:t>
      </w:r>
      <w:proofErr w:type="gramStart"/>
      <w:r w:rsidRPr="00371FC0">
        <w:rPr>
          <w:rFonts w:cs="Times New Roman"/>
          <w:i/>
        </w:rPr>
        <w:t>From</w:t>
      </w:r>
      <w:proofErr w:type="gramEnd"/>
      <w:r w:rsidRPr="00371FC0">
        <w:rPr>
          <w:rFonts w:cs="Times New Roman"/>
          <w:i/>
        </w:rPr>
        <w:t xml:space="preserve"> cloth to iron, </w:t>
      </w:r>
      <w:r w:rsidRPr="00371FC0">
        <w:rPr>
          <w:rFonts w:cs="Times New Roman"/>
        </w:rPr>
        <w:t xml:space="preserve">203. </w:t>
      </w:r>
      <w:proofErr w:type="spellStart"/>
      <w:r w:rsidRPr="00371FC0">
        <w:rPr>
          <w:rFonts w:cs="Times New Roman"/>
        </w:rPr>
        <w:t>Åström’s</w:t>
      </w:r>
      <w:proofErr w:type="spellEnd"/>
      <w:r w:rsidRPr="00371FC0">
        <w:rPr>
          <w:rFonts w:cs="Times New Roman"/>
        </w:rPr>
        <w:t xml:space="preserve"> figures are about 13% below the total trade for that year, because he did not include shipments to London from Germany, the Netherlands, the Mediterranean and Ireland. The percentage share uses my total from the London port book. </w:t>
      </w:r>
      <w:proofErr w:type="gramStart"/>
      <w:r w:rsidRPr="00371FC0">
        <w:rPr>
          <w:rFonts w:cs="Times New Roman"/>
        </w:rPr>
        <w:t>TNA E190/134/1; E190/163/3.</w:t>
      </w:r>
      <w:proofErr w:type="gramEnd"/>
      <w:r w:rsidRPr="00371FC0">
        <w:rPr>
          <w:rFonts w:cs="Times New Roman"/>
        </w:rPr>
        <w:t xml:space="preserve">   </w:t>
      </w:r>
      <w:r w:rsidRPr="00371FC0">
        <w:rPr>
          <w:rFonts w:cs="Times New Roman"/>
          <w:i/>
        </w:rPr>
        <w:t xml:space="preserve"> </w:t>
      </w:r>
    </w:p>
  </w:footnote>
  <w:footnote w:id="29">
    <w:p w:rsidR="00907B0D" w:rsidRPr="00371FC0" w:rsidRDefault="00907B0D" w:rsidP="0054662C">
      <w:pPr>
        <w:pStyle w:val="FootnoteText"/>
        <w:rPr>
          <w:rFonts w:cs="Times New Roman"/>
        </w:rPr>
      </w:pPr>
      <w:r w:rsidRPr="00371FC0">
        <w:rPr>
          <w:rStyle w:val="FootnoteReference"/>
          <w:rFonts w:cs="Times New Roman"/>
        </w:rPr>
        <w:footnoteRef/>
      </w:r>
      <w:r w:rsidRPr="00371FC0">
        <w:rPr>
          <w:rFonts w:cs="Times New Roman"/>
        </w:rPr>
        <w:t xml:space="preserve"> I have found ash shipments in TNA E190/312/7 (Hull) and E190/600/1 (Ipswich).</w:t>
      </w:r>
    </w:p>
  </w:footnote>
  <w:footnote w:id="30">
    <w:p w:rsidR="00907B0D" w:rsidRPr="00371FC0" w:rsidRDefault="00907B0D" w:rsidP="0054662C">
      <w:pPr>
        <w:pStyle w:val="FootnoteText"/>
        <w:rPr>
          <w:rFonts w:cs="Times New Roman"/>
        </w:rPr>
      </w:pPr>
      <w:r w:rsidRPr="00371FC0">
        <w:rPr>
          <w:rStyle w:val="FootnoteReference"/>
          <w:rFonts w:cs="Times New Roman"/>
        </w:rPr>
        <w:footnoteRef/>
      </w:r>
      <w:r w:rsidRPr="00371FC0">
        <w:rPr>
          <w:rFonts w:cs="Times New Roman"/>
        </w:rPr>
        <w:t xml:space="preserve"> TNA CUST 3/9-27</w:t>
      </w:r>
      <w:r>
        <w:rPr>
          <w:rFonts w:cs="Times New Roman"/>
        </w:rPr>
        <w:t>.</w:t>
      </w:r>
    </w:p>
  </w:footnote>
  <w:footnote w:id="31">
    <w:p w:rsidR="00907B0D" w:rsidRPr="00371FC0" w:rsidRDefault="00907B0D" w:rsidP="0054662C">
      <w:pPr>
        <w:pStyle w:val="FootnoteText"/>
        <w:rPr>
          <w:rFonts w:cs="Times New Roman"/>
        </w:rPr>
      </w:pPr>
      <w:r w:rsidRPr="00371FC0">
        <w:rPr>
          <w:rStyle w:val="FootnoteReference"/>
          <w:rFonts w:cs="Times New Roman"/>
        </w:rPr>
        <w:footnoteRef/>
      </w:r>
      <w:r w:rsidRPr="00371FC0">
        <w:rPr>
          <w:rFonts w:cs="Times New Roman"/>
        </w:rPr>
        <w:t xml:space="preserve"> 1 last comprised 12 ship-pounds, the former being about 3 000 litres and the latter 250 litres. The size of different cities’ measures varied however. </w:t>
      </w:r>
      <w:proofErr w:type="spellStart"/>
      <w:r w:rsidRPr="00371FC0">
        <w:rPr>
          <w:rFonts w:cs="Times New Roman"/>
        </w:rPr>
        <w:t>Gelius</w:t>
      </w:r>
      <w:proofErr w:type="spellEnd"/>
      <w:r w:rsidRPr="00371FC0">
        <w:rPr>
          <w:rFonts w:cs="Times New Roman"/>
        </w:rPr>
        <w:t xml:space="preserve"> reckons a </w:t>
      </w:r>
      <w:proofErr w:type="spellStart"/>
      <w:r w:rsidRPr="00371FC0">
        <w:rPr>
          <w:rFonts w:cs="Times New Roman"/>
        </w:rPr>
        <w:t>Danziger</w:t>
      </w:r>
      <w:proofErr w:type="spellEnd"/>
      <w:r w:rsidRPr="00371FC0">
        <w:rPr>
          <w:rFonts w:cs="Times New Roman"/>
        </w:rPr>
        <w:t xml:space="preserve"> ship-pound to have weighed 139.4 kg, and others in the Baltic being 136-139 kg. The Old Prussian ship-pound was 154.3 kg, Riga’s 167.3 kg, </w:t>
      </w:r>
      <w:proofErr w:type="spellStart"/>
      <w:r w:rsidRPr="00371FC0">
        <w:rPr>
          <w:rFonts w:cs="Times New Roman"/>
        </w:rPr>
        <w:t>Reval’s</w:t>
      </w:r>
      <w:proofErr w:type="spellEnd"/>
      <w:r w:rsidRPr="00371FC0">
        <w:rPr>
          <w:rFonts w:cs="Times New Roman"/>
        </w:rPr>
        <w:t xml:space="preserve"> 172.5 kg, Swedish 170 kg and Russian 163.8 kg</w:t>
      </w:r>
      <w:proofErr w:type="gramStart"/>
      <w:r w:rsidRPr="00371FC0">
        <w:rPr>
          <w:rFonts w:cs="Times New Roman"/>
        </w:rPr>
        <w:t>..</w:t>
      </w:r>
      <w:proofErr w:type="gramEnd"/>
      <w:r w:rsidRPr="00371FC0">
        <w:rPr>
          <w:rFonts w:cs="Times New Roman"/>
        </w:rPr>
        <w:t xml:space="preserve"> As it is never certain which measure is used, and indeed the figures can only be indicative of the average, a ship-pound of 154 kg or 338 imperial lbs is used in the calculations here. In the early and mid-seventeenth century Port Books, judging from weight and price evidence a </w:t>
      </w:r>
      <w:r w:rsidRPr="00371FC0">
        <w:rPr>
          <w:rFonts w:cs="Times New Roman"/>
          <w:i/>
        </w:rPr>
        <w:t xml:space="preserve">Last </w:t>
      </w:r>
      <w:r w:rsidRPr="00371FC0">
        <w:rPr>
          <w:rFonts w:cs="Times New Roman"/>
        </w:rPr>
        <w:t xml:space="preserve">of wood or soap ash equated to 12 barrels, and hence a barrel would be the same as a ship-pound. Confusingly, later customs tariffs also stated that a barrel was two hundredweight (224 lbs, or 102 kg), but it seems this only refers to potash and has no set equivalence to a </w:t>
      </w:r>
      <w:r w:rsidRPr="00371FC0">
        <w:rPr>
          <w:rFonts w:cs="Times New Roman"/>
          <w:i/>
        </w:rPr>
        <w:t>Last</w:t>
      </w:r>
      <w:r w:rsidRPr="00371FC0">
        <w:rPr>
          <w:rFonts w:cs="Times New Roman"/>
        </w:rPr>
        <w:t xml:space="preserve">. </w:t>
      </w:r>
      <w:proofErr w:type="spellStart"/>
      <w:r w:rsidRPr="00371FC0">
        <w:rPr>
          <w:rFonts w:cs="Times New Roman"/>
        </w:rPr>
        <w:t>Åström</w:t>
      </w:r>
      <w:proofErr w:type="spellEnd"/>
      <w:r w:rsidRPr="00371FC0">
        <w:rPr>
          <w:rFonts w:cs="Times New Roman"/>
        </w:rPr>
        <w:t xml:space="preserve"> believed that a ship-pound (for all products) weighed 3.25 cwt (364 lbs or around 165 kg) although for pitch and tar 12 barrels equalled one </w:t>
      </w:r>
      <w:r w:rsidRPr="00371FC0">
        <w:rPr>
          <w:rFonts w:cs="Times New Roman"/>
          <w:i/>
        </w:rPr>
        <w:t>Last.</w:t>
      </w:r>
      <w:r w:rsidRPr="00371FC0">
        <w:rPr>
          <w:rFonts w:cs="Times New Roman"/>
        </w:rPr>
        <w:t xml:space="preserve"> It is equally clear that both in some earlier  Port Book records, and predominately in the second half of the century, </w:t>
      </w:r>
      <w:r w:rsidRPr="00371FC0">
        <w:rPr>
          <w:rFonts w:cs="Times New Roman"/>
          <w:i/>
        </w:rPr>
        <w:t xml:space="preserve">actual </w:t>
      </w:r>
      <w:r w:rsidRPr="00371FC0">
        <w:rPr>
          <w:rFonts w:cs="Times New Roman"/>
        </w:rPr>
        <w:t>barrels, or ‘casks’ or ‘vats’ were of very different sizes, some containing only a hundredweight of ash and clearly much smaller than a ship-pound, others as much as a ton, and very much larger. The ‘barrel’ used for the customs tariffs may have been a notional until simply expressing an equivalence to two hundredweight, rather than the size of any actual barrel recorded in the Port Books. See TNA E190/15/5, E190/17/1, E190/18/3, E190/20/6, E190/24/4, E190/22/1, E190/65/1. I follow the calculations presented</w:t>
      </w:r>
      <w:r>
        <w:rPr>
          <w:rFonts w:cs="Times New Roman"/>
        </w:rPr>
        <w:t xml:space="preserve"> by Bock in 1783. </w:t>
      </w:r>
      <w:proofErr w:type="spellStart"/>
      <w:proofErr w:type="gramStart"/>
      <w:r>
        <w:rPr>
          <w:rFonts w:cs="Times New Roman"/>
        </w:rPr>
        <w:t>Gelius</w:t>
      </w:r>
      <w:proofErr w:type="spellEnd"/>
      <w:r>
        <w:rPr>
          <w:rFonts w:cs="Times New Roman"/>
        </w:rPr>
        <w:t>, ‘</w:t>
      </w:r>
      <w:proofErr w:type="spellStart"/>
      <w:r>
        <w:rPr>
          <w:rFonts w:cs="Times New Roman"/>
        </w:rPr>
        <w:t>Seehandel</w:t>
      </w:r>
      <w:proofErr w:type="spellEnd"/>
      <w:r>
        <w:rPr>
          <w:rFonts w:cs="Times New Roman"/>
        </w:rPr>
        <w:t xml:space="preserve">’ </w:t>
      </w:r>
      <w:r w:rsidRPr="00371FC0">
        <w:rPr>
          <w:rFonts w:cs="Times New Roman"/>
        </w:rPr>
        <w:t xml:space="preserve">63-4; </w:t>
      </w:r>
      <w:proofErr w:type="spellStart"/>
      <w:r w:rsidRPr="00371FC0">
        <w:rPr>
          <w:rFonts w:cs="Times New Roman"/>
        </w:rPr>
        <w:t>Mager</w:t>
      </w:r>
      <w:proofErr w:type="spellEnd"/>
      <w:r>
        <w:rPr>
          <w:rFonts w:cs="Times New Roman"/>
        </w:rPr>
        <w:t xml:space="preserve">, </w:t>
      </w:r>
      <w:r>
        <w:rPr>
          <w:rFonts w:cs="Times New Roman"/>
          <w:i/>
        </w:rPr>
        <w:t>Der Wald</w:t>
      </w:r>
      <w:r w:rsidRPr="00371FC0">
        <w:rPr>
          <w:rFonts w:cs="Times New Roman"/>
        </w:rPr>
        <w:t>, 41-2.</w:t>
      </w:r>
      <w:proofErr w:type="gramEnd"/>
      <w:r w:rsidRPr="00371FC0">
        <w:rPr>
          <w:rFonts w:cs="Times New Roman"/>
        </w:rPr>
        <w:t xml:space="preserve"> </w:t>
      </w:r>
      <w:proofErr w:type="spellStart"/>
      <w:r w:rsidRPr="00371FC0">
        <w:rPr>
          <w:rFonts w:cs="Times New Roman"/>
        </w:rPr>
        <w:t>Åström</w:t>
      </w:r>
      <w:proofErr w:type="spellEnd"/>
      <w:r>
        <w:rPr>
          <w:rFonts w:cs="Times New Roman"/>
        </w:rPr>
        <w:t xml:space="preserve">, </w:t>
      </w:r>
      <w:proofErr w:type="gramStart"/>
      <w:r>
        <w:rPr>
          <w:rFonts w:cs="Times New Roman"/>
          <w:i/>
        </w:rPr>
        <w:t>From</w:t>
      </w:r>
      <w:proofErr w:type="gramEnd"/>
      <w:r>
        <w:rPr>
          <w:rFonts w:cs="Times New Roman"/>
          <w:i/>
        </w:rPr>
        <w:t xml:space="preserve"> cloth to iron</w:t>
      </w:r>
      <w:r>
        <w:rPr>
          <w:rFonts w:cs="Times New Roman"/>
        </w:rPr>
        <w:t xml:space="preserve">, </w:t>
      </w:r>
      <w:r w:rsidRPr="00371FC0">
        <w:rPr>
          <w:rFonts w:cs="Times New Roman"/>
        </w:rPr>
        <w:t xml:space="preserve">13; </w:t>
      </w:r>
      <w:r>
        <w:rPr>
          <w:rFonts w:cs="Times New Roman"/>
        </w:rPr>
        <w:t xml:space="preserve">J. </w:t>
      </w:r>
      <w:proofErr w:type="spellStart"/>
      <w:r w:rsidRPr="00371FC0">
        <w:rPr>
          <w:rFonts w:cs="Times New Roman"/>
        </w:rPr>
        <w:t>Raithy</w:t>
      </w:r>
      <w:proofErr w:type="spellEnd"/>
      <w:r w:rsidRPr="00371FC0">
        <w:rPr>
          <w:rFonts w:cs="Times New Roman"/>
        </w:rPr>
        <w:t xml:space="preserve">, (ed.), </w:t>
      </w:r>
      <w:r w:rsidRPr="00371FC0">
        <w:rPr>
          <w:rStyle w:val="Emphasis"/>
          <w:rFonts w:cs="Times New Roman"/>
        </w:rPr>
        <w:t>Statutes of the Realm: volume 5: 1628-80</w:t>
      </w:r>
      <w:r>
        <w:rPr>
          <w:rFonts w:cs="Times New Roman"/>
        </w:rPr>
        <w:t xml:space="preserve"> (1819), </w:t>
      </w:r>
      <w:r w:rsidRPr="00371FC0">
        <w:rPr>
          <w:rFonts w:cs="Times New Roman"/>
        </w:rPr>
        <w:t xml:space="preserve">181-205; </w:t>
      </w:r>
      <w:r>
        <w:rPr>
          <w:rFonts w:cs="Times New Roman"/>
        </w:rPr>
        <w:t xml:space="preserve">J. </w:t>
      </w:r>
      <w:proofErr w:type="spellStart"/>
      <w:r w:rsidRPr="00371FC0">
        <w:rPr>
          <w:rFonts w:cs="Times New Roman"/>
        </w:rPr>
        <w:t>Raithby</w:t>
      </w:r>
      <w:proofErr w:type="spellEnd"/>
      <w:r w:rsidRPr="00371FC0">
        <w:rPr>
          <w:rFonts w:cs="Times New Roman"/>
        </w:rPr>
        <w:t xml:space="preserve">, (ed.), </w:t>
      </w:r>
      <w:r w:rsidRPr="00371FC0">
        <w:rPr>
          <w:rStyle w:val="Emphasis"/>
          <w:rFonts w:cs="Times New Roman"/>
        </w:rPr>
        <w:t>Statutes of the Realm: volume 6: 1685-94</w:t>
      </w:r>
      <w:r>
        <w:rPr>
          <w:rFonts w:cs="Times New Roman"/>
        </w:rPr>
        <w:t xml:space="preserve"> (1819), </w:t>
      </w:r>
      <w:r w:rsidRPr="00371FC0">
        <w:rPr>
          <w:rFonts w:cs="Times New Roman"/>
        </w:rPr>
        <w:t xml:space="preserve">221-225.  </w:t>
      </w:r>
    </w:p>
  </w:footnote>
  <w:footnote w:id="32">
    <w:p w:rsidR="00907B0D" w:rsidRPr="00371FC0" w:rsidRDefault="00907B0D" w:rsidP="0054662C">
      <w:pPr>
        <w:pStyle w:val="FootnoteText"/>
        <w:rPr>
          <w:rFonts w:cs="Times New Roman"/>
        </w:rPr>
      </w:pPr>
      <w:r w:rsidRPr="00371FC0">
        <w:rPr>
          <w:rStyle w:val="FootnoteReference"/>
          <w:rFonts w:cs="Times New Roman"/>
        </w:rPr>
        <w:footnoteRef/>
      </w:r>
      <w:r w:rsidRPr="00371FC0">
        <w:rPr>
          <w:rFonts w:cs="Times New Roman"/>
        </w:rPr>
        <w:t xml:space="preserve"> This is unfortunately what was done by </w:t>
      </w:r>
      <w:proofErr w:type="spellStart"/>
      <w:r w:rsidRPr="00371FC0">
        <w:rPr>
          <w:rFonts w:cs="Times New Roman"/>
        </w:rPr>
        <w:t>Fedorowicz</w:t>
      </w:r>
      <w:proofErr w:type="spellEnd"/>
      <w:r w:rsidRPr="00371FC0">
        <w:rPr>
          <w:rFonts w:cs="Times New Roman"/>
        </w:rPr>
        <w:t xml:space="preserve"> in assessing the size of the Baltic ash trade by volume, not accounting for the fact that the alkali content of each product is very different. </w:t>
      </w:r>
      <w:proofErr w:type="spellStart"/>
      <w:r w:rsidRPr="00371FC0">
        <w:rPr>
          <w:rFonts w:cs="Times New Roman"/>
        </w:rPr>
        <w:t>Fedorowicz</w:t>
      </w:r>
      <w:proofErr w:type="spellEnd"/>
      <w:r w:rsidRPr="00371FC0">
        <w:rPr>
          <w:rFonts w:cs="Times New Roman"/>
        </w:rPr>
        <w:t xml:space="preserve">, </w:t>
      </w:r>
      <w:r w:rsidRPr="00371FC0">
        <w:rPr>
          <w:rFonts w:cs="Times New Roman"/>
          <w:i/>
        </w:rPr>
        <w:t xml:space="preserve">England’s Baltic Trade, </w:t>
      </w:r>
      <w:r w:rsidRPr="00371FC0">
        <w:rPr>
          <w:rFonts w:cs="Times New Roman"/>
        </w:rPr>
        <w:t xml:space="preserve">116-7. </w:t>
      </w:r>
    </w:p>
  </w:footnote>
  <w:footnote w:id="33">
    <w:p w:rsidR="00907B0D" w:rsidRPr="00371FC0" w:rsidRDefault="00907B0D" w:rsidP="003C33D1">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proofErr w:type="gramStart"/>
      <w:r w:rsidRPr="00371FC0">
        <w:rPr>
          <w:rFonts w:cs="Times New Roman"/>
        </w:rPr>
        <w:t>Fedorowicz</w:t>
      </w:r>
      <w:proofErr w:type="spellEnd"/>
      <w:r>
        <w:rPr>
          <w:rFonts w:cs="Times New Roman"/>
        </w:rPr>
        <w:t xml:space="preserve">, </w:t>
      </w:r>
      <w:r>
        <w:rPr>
          <w:rFonts w:cs="Times New Roman"/>
          <w:i/>
        </w:rPr>
        <w:t xml:space="preserve">England’s </w:t>
      </w:r>
      <w:r w:rsidRPr="00371FC0">
        <w:rPr>
          <w:rFonts w:cs="Times New Roman"/>
          <w:i/>
        </w:rPr>
        <w:t>Baltic trade</w:t>
      </w:r>
      <w:r>
        <w:rPr>
          <w:rFonts w:cs="Times New Roman"/>
          <w:i/>
        </w:rPr>
        <w:t>,</w:t>
      </w:r>
      <w:r w:rsidRPr="00371FC0">
        <w:rPr>
          <w:rFonts w:cs="Times New Roman"/>
        </w:rPr>
        <w:t xml:space="preserve"> 172.</w:t>
      </w:r>
      <w:proofErr w:type="gramEnd"/>
    </w:p>
  </w:footnote>
  <w:footnote w:id="34">
    <w:p w:rsidR="00907B0D" w:rsidRPr="00371FC0" w:rsidRDefault="00907B0D" w:rsidP="003C33D1">
      <w:pPr>
        <w:pStyle w:val="FootnoteText"/>
        <w:rPr>
          <w:rFonts w:cs="Times New Roman"/>
        </w:rPr>
      </w:pPr>
      <w:r w:rsidRPr="00371FC0">
        <w:rPr>
          <w:rStyle w:val="FootnoteReference"/>
          <w:rFonts w:cs="Times New Roman"/>
        </w:rPr>
        <w:footnoteRef/>
      </w:r>
      <w:r w:rsidRPr="00371FC0">
        <w:rPr>
          <w:rFonts w:cs="Times New Roman"/>
        </w:rPr>
        <w:t xml:space="preserve"> TNA E190/8/1; Bang</w:t>
      </w:r>
      <w:r>
        <w:rPr>
          <w:rFonts w:cs="Times New Roman"/>
        </w:rPr>
        <w:t xml:space="preserve">, </w:t>
      </w:r>
      <w:proofErr w:type="spellStart"/>
      <w:r>
        <w:rPr>
          <w:rFonts w:cs="Times New Roman"/>
          <w:i/>
        </w:rPr>
        <w:t>Tabeller</w:t>
      </w:r>
      <w:proofErr w:type="spellEnd"/>
      <w:r w:rsidRPr="00371FC0">
        <w:rPr>
          <w:rFonts w:cs="Times New Roman"/>
        </w:rPr>
        <w:t xml:space="preserve">; </w:t>
      </w:r>
      <w:proofErr w:type="spellStart"/>
      <w:r w:rsidRPr="00371FC0">
        <w:rPr>
          <w:rFonts w:cs="Times New Roman"/>
        </w:rPr>
        <w:t>Gelius</w:t>
      </w:r>
      <w:proofErr w:type="spellEnd"/>
      <w:r w:rsidRPr="00371FC0">
        <w:rPr>
          <w:rFonts w:cs="Times New Roman"/>
        </w:rPr>
        <w:t xml:space="preserve"> notes tiny amounts of potash being exported from Danzig and </w:t>
      </w:r>
      <w:proofErr w:type="spellStart"/>
      <w:r w:rsidRPr="00371FC0">
        <w:rPr>
          <w:rFonts w:cs="Times New Roman"/>
        </w:rPr>
        <w:t>Königsberg</w:t>
      </w:r>
      <w:proofErr w:type="spellEnd"/>
      <w:r w:rsidRPr="00371FC0">
        <w:rPr>
          <w:rFonts w:cs="Times New Roman"/>
        </w:rPr>
        <w:t xml:space="preserve"> as early as 1530 and 1549 resp</w:t>
      </w:r>
      <w:r>
        <w:rPr>
          <w:rFonts w:cs="Times New Roman"/>
        </w:rPr>
        <w:t xml:space="preserve">ectively. </w:t>
      </w:r>
      <w:proofErr w:type="spellStart"/>
      <w:r>
        <w:rPr>
          <w:rFonts w:cs="Times New Roman"/>
        </w:rPr>
        <w:t>Gelius</w:t>
      </w:r>
      <w:proofErr w:type="spellEnd"/>
      <w:r>
        <w:rPr>
          <w:rFonts w:cs="Times New Roman"/>
        </w:rPr>
        <w:t>, ‘</w:t>
      </w:r>
      <w:proofErr w:type="spellStart"/>
      <w:r>
        <w:rPr>
          <w:rFonts w:cs="Times New Roman"/>
        </w:rPr>
        <w:t>Seehandel</w:t>
      </w:r>
      <w:proofErr w:type="spellEnd"/>
      <w:r>
        <w:rPr>
          <w:rFonts w:cs="Times New Roman"/>
        </w:rPr>
        <w:t xml:space="preserve">’, </w:t>
      </w:r>
      <w:r w:rsidRPr="00371FC0">
        <w:rPr>
          <w:rFonts w:cs="Times New Roman"/>
        </w:rPr>
        <w:t>69.</w:t>
      </w:r>
    </w:p>
  </w:footnote>
  <w:footnote w:id="35">
    <w:p w:rsidR="00907B0D" w:rsidRPr="00371FC0" w:rsidRDefault="00907B0D" w:rsidP="003C33D1">
      <w:pPr>
        <w:pStyle w:val="FootnoteText"/>
        <w:rPr>
          <w:rFonts w:cs="Times New Roman"/>
        </w:rPr>
      </w:pPr>
      <w:r w:rsidRPr="00371FC0">
        <w:rPr>
          <w:rStyle w:val="FootnoteReference"/>
          <w:rFonts w:cs="Times New Roman"/>
        </w:rPr>
        <w:footnoteRef/>
      </w:r>
      <w:r>
        <w:rPr>
          <w:rFonts w:cs="Times New Roman"/>
        </w:rPr>
        <w:t xml:space="preserve"> </w:t>
      </w:r>
      <w:proofErr w:type="spellStart"/>
      <w:r>
        <w:rPr>
          <w:rFonts w:cs="Times New Roman"/>
        </w:rPr>
        <w:t>Fedorowicz</w:t>
      </w:r>
      <w:proofErr w:type="spellEnd"/>
      <w:r>
        <w:rPr>
          <w:rFonts w:cs="Times New Roman"/>
        </w:rPr>
        <w:t xml:space="preserve">, </w:t>
      </w:r>
      <w:r>
        <w:rPr>
          <w:rFonts w:cs="Times New Roman"/>
          <w:i/>
        </w:rPr>
        <w:t xml:space="preserve">England’s </w:t>
      </w:r>
      <w:r w:rsidRPr="00371FC0">
        <w:rPr>
          <w:rFonts w:cs="Times New Roman"/>
          <w:i/>
        </w:rPr>
        <w:t>Baltic trade</w:t>
      </w:r>
      <w:r w:rsidRPr="00371FC0">
        <w:rPr>
          <w:rFonts w:cs="Times New Roman"/>
        </w:rPr>
        <w:t xml:space="preserve">, 158-161; </w:t>
      </w:r>
      <w:proofErr w:type="gramStart"/>
      <w:r w:rsidRPr="00371FC0">
        <w:rPr>
          <w:rFonts w:cs="Times New Roman"/>
        </w:rPr>
        <w:t>The</w:t>
      </w:r>
      <w:proofErr w:type="gramEnd"/>
      <w:r w:rsidRPr="00371FC0">
        <w:rPr>
          <w:rFonts w:cs="Times New Roman"/>
        </w:rPr>
        <w:t xml:space="preserve"> currency depreciation may also have encouraged a general expansion of imports from 1620, although English exports were badly disrupted. Millard</w:t>
      </w:r>
      <w:r>
        <w:rPr>
          <w:rFonts w:cs="Times New Roman"/>
        </w:rPr>
        <w:t xml:space="preserve">, ‘Trade’, </w:t>
      </w:r>
      <w:r w:rsidRPr="00371FC0">
        <w:rPr>
          <w:rFonts w:cs="Times New Roman"/>
        </w:rPr>
        <w:t>114, 180.</w:t>
      </w:r>
    </w:p>
  </w:footnote>
  <w:footnote w:id="36">
    <w:p w:rsidR="00907B0D" w:rsidRPr="00371FC0" w:rsidRDefault="00907B0D" w:rsidP="003C33D1">
      <w:pPr>
        <w:pStyle w:val="FootnoteText"/>
        <w:rPr>
          <w:rFonts w:cs="Times New Roman"/>
          <w:lang w:val="en-US"/>
        </w:rPr>
      </w:pPr>
      <w:r w:rsidRPr="00371FC0">
        <w:rPr>
          <w:rStyle w:val="FootnoteReference"/>
          <w:rFonts w:cs="Times New Roman"/>
        </w:rPr>
        <w:footnoteRef/>
      </w:r>
      <w:r w:rsidRPr="00371FC0">
        <w:rPr>
          <w:rFonts w:cs="Times New Roman"/>
        </w:rPr>
        <w:t xml:space="preserve"> </w:t>
      </w:r>
      <w:r>
        <w:rPr>
          <w:rFonts w:cs="Times New Roman"/>
        </w:rPr>
        <w:t xml:space="preserve">K. </w:t>
      </w:r>
      <w:proofErr w:type="spellStart"/>
      <w:r w:rsidRPr="00371FC0">
        <w:rPr>
          <w:rFonts w:cs="Times New Roman"/>
          <w:lang w:val="en-US"/>
        </w:rPr>
        <w:t>Sar</w:t>
      </w:r>
      <w:r>
        <w:rPr>
          <w:rFonts w:cs="Times New Roman"/>
          <w:lang w:val="en-US"/>
        </w:rPr>
        <w:t>n</w:t>
      </w:r>
      <w:r w:rsidRPr="00371FC0">
        <w:rPr>
          <w:rFonts w:cs="Times New Roman"/>
          <w:lang w:val="en-US"/>
        </w:rPr>
        <w:t>ecki</w:t>
      </w:r>
      <w:proofErr w:type="spellEnd"/>
      <w:r>
        <w:rPr>
          <w:rFonts w:cs="Times New Roman"/>
          <w:lang w:val="en-US"/>
        </w:rPr>
        <w:t>, ‘</w:t>
      </w:r>
      <w:proofErr w:type="spellStart"/>
      <w:r w:rsidRPr="00600DF2">
        <w:t>Przyczynek</w:t>
      </w:r>
      <w:proofErr w:type="spellEnd"/>
      <w:r w:rsidRPr="00600DF2">
        <w:t xml:space="preserve"> do </w:t>
      </w:r>
      <w:proofErr w:type="spellStart"/>
      <w:r w:rsidRPr="00600DF2">
        <w:t>dziejow</w:t>
      </w:r>
      <w:proofErr w:type="spellEnd"/>
      <w:r w:rsidRPr="00600DF2">
        <w:t xml:space="preserve"> </w:t>
      </w:r>
      <w:proofErr w:type="spellStart"/>
      <w:r w:rsidRPr="00600DF2">
        <w:t>otrzymywania</w:t>
      </w:r>
      <w:proofErr w:type="spellEnd"/>
      <w:r w:rsidRPr="00600DF2">
        <w:t xml:space="preserve"> </w:t>
      </w:r>
      <w:proofErr w:type="spellStart"/>
      <w:r w:rsidRPr="00600DF2">
        <w:t>potazu</w:t>
      </w:r>
      <w:proofErr w:type="spellEnd"/>
      <w:r w:rsidRPr="00600DF2">
        <w:t xml:space="preserve"> w </w:t>
      </w:r>
      <w:proofErr w:type="spellStart"/>
      <w:r w:rsidRPr="00600DF2">
        <w:t>dawnej</w:t>
      </w:r>
      <w:proofErr w:type="spellEnd"/>
      <w:r w:rsidRPr="00600DF2">
        <w:t xml:space="preserve"> </w:t>
      </w:r>
      <w:proofErr w:type="spellStart"/>
      <w:r w:rsidRPr="00600DF2">
        <w:t>Polsce</w:t>
      </w:r>
      <w:proofErr w:type="spellEnd"/>
      <w:r>
        <w:t>’,</w:t>
      </w:r>
      <w:r w:rsidRPr="00600DF2">
        <w:t xml:space="preserve"> </w:t>
      </w:r>
      <w:proofErr w:type="spellStart"/>
      <w:r w:rsidRPr="00907B0D">
        <w:rPr>
          <w:i/>
        </w:rPr>
        <w:t>Sylwan</w:t>
      </w:r>
      <w:proofErr w:type="spellEnd"/>
      <w:r w:rsidRPr="00600DF2">
        <w:t xml:space="preserve">, 8, </w:t>
      </w:r>
      <w:r w:rsidRPr="00371FC0">
        <w:rPr>
          <w:rFonts w:cs="Times New Roman"/>
          <w:lang w:val="en-US"/>
        </w:rPr>
        <w:t xml:space="preserve">(1960), 82; </w:t>
      </w:r>
      <w:r>
        <w:rPr>
          <w:rFonts w:cs="Times New Roman"/>
          <w:lang w:val="en-US"/>
        </w:rPr>
        <w:t xml:space="preserve">H.S. </w:t>
      </w:r>
      <w:r w:rsidRPr="00371FC0">
        <w:rPr>
          <w:rFonts w:cs="Times New Roman"/>
          <w:lang w:val="en-US"/>
        </w:rPr>
        <w:t xml:space="preserve">Cobb, (ed.), </w:t>
      </w:r>
      <w:proofErr w:type="gramStart"/>
      <w:r w:rsidRPr="00371FC0">
        <w:rPr>
          <w:rStyle w:val="Emphasis"/>
          <w:rFonts w:cs="Times New Roman"/>
        </w:rPr>
        <w:t>The</w:t>
      </w:r>
      <w:proofErr w:type="gramEnd"/>
      <w:r w:rsidRPr="00371FC0">
        <w:rPr>
          <w:rStyle w:val="Emphasis"/>
          <w:rFonts w:cs="Times New Roman"/>
        </w:rPr>
        <w:t xml:space="preserve"> overseas trade of London: exchequer customs accounts: 1480-1</w:t>
      </w:r>
      <w:r w:rsidR="00A157B0">
        <w:rPr>
          <w:rFonts w:cs="Times New Roman"/>
        </w:rPr>
        <w:t xml:space="preserve"> (London</w:t>
      </w:r>
      <w:r>
        <w:rPr>
          <w:rFonts w:cs="Times New Roman"/>
        </w:rPr>
        <w:t xml:space="preserve">, 1990), </w:t>
      </w:r>
      <w:r w:rsidRPr="00371FC0">
        <w:rPr>
          <w:rFonts w:cs="Times New Roman"/>
        </w:rPr>
        <w:t>33-52.</w:t>
      </w:r>
    </w:p>
  </w:footnote>
  <w:footnote w:id="37">
    <w:p w:rsidR="00907B0D" w:rsidRPr="00371FC0" w:rsidRDefault="00907B0D" w:rsidP="003C33D1">
      <w:pPr>
        <w:pStyle w:val="FootnoteText"/>
        <w:rPr>
          <w:rFonts w:cs="Times New Roman"/>
        </w:rPr>
      </w:pPr>
      <w:r w:rsidRPr="00371FC0">
        <w:rPr>
          <w:rStyle w:val="FootnoteReference"/>
          <w:rFonts w:cs="Times New Roman"/>
        </w:rPr>
        <w:footnoteRef/>
      </w:r>
      <w:r w:rsidRPr="00371FC0">
        <w:rPr>
          <w:rFonts w:cs="Times New Roman"/>
        </w:rPr>
        <w:t xml:space="preserve"> </w:t>
      </w:r>
      <w:r w:rsidR="007154E7">
        <w:rPr>
          <w:rFonts w:cs="Times New Roman"/>
        </w:rPr>
        <w:t xml:space="preserve">G. </w:t>
      </w:r>
      <w:proofErr w:type="spellStart"/>
      <w:r w:rsidR="007154E7">
        <w:rPr>
          <w:rFonts w:cs="Times New Roman"/>
          <w:lang w:val="en-US"/>
        </w:rPr>
        <w:t>Isokas</w:t>
      </w:r>
      <w:proofErr w:type="spellEnd"/>
      <w:r w:rsidR="007154E7">
        <w:rPr>
          <w:rFonts w:cs="Times New Roman"/>
          <w:lang w:val="en-US"/>
        </w:rPr>
        <w:t xml:space="preserve">, </w:t>
      </w:r>
      <w:proofErr w:type="spellStart"/>
      <w:r w:rsidRPr="00371FC0">
        <w:rPr>
          <w:rFonts w:cs="Times New Roman"/>
          <w:i/>
          <w:lang w:val="en-US"/>
        </w:rPr>
        <w:t>Giriose</w:t>
      </w:r>
      <w:proofErr w:type="spellEnd"/>
      <w:r w:rsidRPr="00371FC0">
        <w:rPr>
          <w:rFonts w:cs="Times New Roman"/>
          <w:i/>
          <w:lang w:val="en-US"/>
        </w:rPr>
        <w:t xml:space="preserve"> </w:t>
      </w:r>
      <w:r w:rsidR="007154E7">
        <w:rPr>
          <w:rFonts w:cs="Times New Roman"/>
          <w:lang w:val="en-US"/>
        </w:rPr>
        <w:t xml:space="preserve">(Vilnius, 1979), </w:t>
      </w:r>
      <w:r w:rsidRPr="00371FC0">
        <w:rPr>
          <w:rFonts w:cs="Times New Roman"/>
          <w:lang w:val="en-US"/>
        </w:rPr>
        <w:t>40-42</w:t>
      </w:r>
      <w:r>
        <w:rPr>
          <w:rFonts w:cs="Times New Roman"/>
          <w:lang w:val="en-US"/>
        </w:rPr>
        <w:t xml:space="preserve">; Bang, </w:t>
      </w:r>
      <w:proofErr w:type="spellStart"/>
      <w:r>
        <w:rPr>
          <w:rFonts w:cs="Times New Roman"/>
          <w:i/>
        </w:rPr>
        <w:t>Tabeller</w:t>
      </w:r>
      <w:proofErr w:type="spellEnd"/>
      <w:r>
        <w:rPr>
          <w:rFonts w:cs="Times New Roman"/>
        </w:rPr>
        <w:t>;</w:t>
      </w:r>
      <w:r w:rsidRPr="00371FC0">
        <w:rPr>
          <w:rFonts w:cs="Times New Roman"/>
          <w:lang w:val="en-US"/>
        </w:rPr>
        <w:t xml:space="preserve"> English vessels carried 1 460 </w:t>
      </w:r>
      <w:r w:rsidRPr="00371FC0">
        <w:rPr>
          <w:rFonts w:cs="Times New Roman"/>
          <w:i/>
          <w:lang w:val="en-US"/>
        </w:rPr>
        <w:t xml:space="preserve">Last </w:t>
      </w:r>
      <w:r w:rsidRPr="00371FC0">
        <w:rPr>
          <w:rFonts w:cs="Times New Roman"/>
          <w:lang w:val="en-US"/>
        </w:rPr>
        <w:t xml:space="preserve">in 1575 but generally at this time the amount ranged between 4-500 and 1 000 </w:t>
      </w:r>
      <w:r w:rsidRPr="00371FC0">
        <w:rPr>
          <w:rFonts w:cs="Times New Roman"/>
          <w:i/>
          <w:lang w:val="en-US"/>
        </w:rPr>
        <w:t>Last</w:t>
      </w:r>
      <w:r w:rsidRPr="00371FC0">
        <w:rPr>
          <w:rFonts w:cs="Times New Roman"/>
          <w:lang w:val="en-US"/>
        </w:rPr>
        <w:t>. Of course, some may also have been re-exported from the Netherlands, although the impact of the Dutch revolt was to lower the demand from Dutch vessels and may have opened opportunities to English traders.</w:t>
      </w:r>
    </w:p>
  </w:footnote>
  <w:footnote w:id="38">
    <w:p w:rsidR="00907B0D" w:rsidRPr="00371FC0" w:rsidRDefault="00907B0D" w:rsidP="003C33D1">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TNA SP 12.8.</w:t>
      </w:r>
      <w:proofErr w:type="gramEnd"/>
      <w:r w:rsidRPr="00371FC0">
        <w:rPr>
          <w:rFonts w:cs="Times New Roman"/>
        </w:rPr>
        <w:t xml:space="preserve"> </w:t>
      </w:r>
      <w:proofErr w:type="gramStart"/>
      <w:r w:rsidRPr="00371FC0">
        <w:rPr>
          <w:rFonts w:cs="Times New Roman"/>
        </w:rPr>
        <w:t>ff,</w:t>
      </w:r>
      <w:proofErr w:type="gramEnd"/>
      <w:r w:rsidRPr="00371FC0">
        <w:rPr>
          <w:rFonts w:cs="Times New Roman"/>
        </w:rPr>
        <w:t xml:space="preserve">63-4; British Library </w:t>
      </w:r>
      <w:r w:rsidR="007154E7">
        <w:rPr>
          <w:rFonts w:cs="Times New Roman"/>
        </w:rPr>
        <w:t xml:space="preserve">(BL) </w:t>
      </w:r>
      <w:proofErr w:type="spellStart"/>
      <w:r w:rsidRPr="00371FC0">
        <w:rPr>
          <w:rFonts w:cs="Times New Roman"/>
        </w:rPr>
        <w:t>Landsdowne</w:t>
      </w:r>
      <w:proofErr w:type="spellEnd"/>
      <w:r w:rsidRPr="00371FC0">
        <w:rPr>
          <w:rFonts w:cs="Times New Roman"/>
        </w:rPr>
        <w:t xml:space="preserve"> MS 8 ff.75-6; BL Cotton Titus MS B IV; see also BL </w:t>
      </w:r>
      <w:proofErr w:type="spellStart"/>
      <w:r w:rsidRPr="00371FC0">
        <w:rPr>
          <w:rFonts w:cs="Times New Roman"/>
        </w:rPr>
        <w:t>Landsdowne</w:t>
      </w:r>
      <w:proofErr w:type="spellEnd"/>
      <w:r w:rsidRPr="00371FC0">
        <w:rPr>
          <w:rFonts w:cs="Times New Roman"/>
        </w:rPr>
        <w:t xml:space="preserve"> MS 100, no.51 for another memo on trade during the office of Burghley. The values amount to less than 1% of total trade. The figure of a tenth is a supposition based on the scale of the English trade as revealed in the late 1580s, and the paucity of other references. The 1567-8 Port Book records 284.5 </w:t>
      </w:r>
      <w:r w:rsidRPr="00371FC0">
        <w:rPr>
          <w:rFonts w:cs="Times New Roman"/>
          <w:i/>
        </w:rPr>
        <w:t xml:space="preserve">Last </w:t>
      </w:r>
      <w:r w:rsidRPr="00371FC0">
        <w:rPr>
          <w:rFonts w:cs="Times New Roman"/>
        </w:rPr>
        <w:t xml:space="preserve">being landed December-September, a figure considerably above that in the Sound Tolls. Where values can be calculated a </w:t>
      </w:r>
      <w:r w:rsidRPr="00371FC0">
        <w:rPr>
          <w:rFonts w:cs="Times New Roman"/>
          <w:i/>
        </w:rPr>
        <w:t xml:space="preserve">Last </w:t>
      </w:r>
      <w:r w:rsidRPr="00371FC0">
        <w:rPr>
          <w:rFonts w:cs="Times New Roman"/>
        </w:rPr>
        <w:t xml:space="preserve">is £3 although £5 in one instance. </w:t>
      </w:r>
      <w:r w:rsidR="007154E7">
        <w:rPr>
          <w:rFonts w:cs="Times New Roman"/>
        </w:rPr>
        <w:t xml:space="preserve">B. </w:t>
      </w:r>
      <w:r w:rsidRPr="00371FC0">
        <w:rPr>
          <w:rFonts w:cs="Times New Roman"/>
        </w:rPr>
        <w:t xml:space="preserve">Dietz, (ed.), </w:t>
      </w:r>
      <w:proofErr w:type="gramStart"/>
      <w:r w:rsidRPr="00371FC0">
        <w:rPr>
          <w:rStyle w:val="Emphasis"/>
          <w:rFonts w:cs="Times New Roman"/>
        </w:rPr>
        <w:t>The</w:t>
      </w:r>
      <w:proofErr w:type="gramEnd"/>
      <w:r w:rsidRPr="00371FC0">
        <w:rPr>
          <w:rStyle w:val="Emphasis"/>
          <w:rFonts w:cs="Times New Roman"/>
        </w:rPr>
        <w:t xml:space="preserve"> port and trade of early Elizabethan London: documents</w:t>
      </w:r>
      <w:r w:rsidR="007154E7">
        <w:rPr>
          <w:rFonts w:cs="Times New Roman"/>
        </w:rPr>
        <w:t xml:space="preserve"> (1972)</w:t>
      </w:r>
      <w:r w:rsidRPr="00371FC0">
        <w:rPr>
          <w:rFonts w:cs="Times New Roman"/>
        </w:rPr>
        <w:t xml:space="preserve">. </w:t>
      </w:r>
    </w:p>
  </w:footnote>
  <w:footnote w:id="39">
    <w:p w:rsidR="00907B0D" w:rsidRPr="00371FC0" w:rsidRDefault="00907B0D" w:rsidP="003C33D1">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TNA E190/8/1, E190/82, E190/8/4.</w:t>
      </w:r>
      <w:proofErr w:type="gramEnd"/>
      <w:r w:rsidRPr="00371FC0">
        <w:rPr>
          <w:rFonts w:cs="Times New Roman"/>
        </w:rPr>
        <w:t xml:space="preserve"> Although he noted the probable importance of a </w:t>
      </w:r>
      <w:proofErr w:type="spellStart"/>
      <w:r w:rsidRPr="00371FC0">
        <w:rPr>
          <w:rFonts w:cs="Times New Roman"/>
        </w:rPr>
        <w:t>entrepôt</w:t>
      </w:r>
      <w:proofErr w:type="spellEnd"/>
      <w:r w:rsidRPr="00371FC0">
        <w:rPr>
          <w:rFonts w:cs="Times New Roman"/>
        </w:rPr>
        <w:t xml:space="preserve"> trade via the Netherlands, this means that J.K. </w:t>
      </w:r>
      <w:proofErr w:type="spellStart"/>
      <w:r w:rsidRPr="00371FC0">
        <w:rPr>
          <w:rFonts w:cs="Times New Roman"/>
        </w:rPr>
        <w:t>Fedorowicz’s</w:t>
      </w:r>
      <w:proofErr w:type="spellEnd"/>
      <w:r w:rsidRPr="00371FC0">
        <w:rPr>
          <w:rFonts w:cs="Times New Roman"/>
        </w:rPr>
        <w:t xml:space="preserve"> figures, based on the Sound Tolls, are very misleading, although his was a study of the direct trade rather than imports; he also, as noted above, aggregates together data on soap ashes and pota</w:t>
      </w:r>
      <w:r w:rsidR="007154E7">
        <w:rPr>
          <w:rFonts w:cs="Times New Roman"/>
        </w:rPr>
        <w:t xml:space="preserve">sh by volume. </w:t>
      </w:r>
      <w:proofErr w:type="spellStart"/>
      <w:proofErr w:type="gramStart"/>
      <w:r w:rsidR="007154E7">
        <w:rPr>
          <w:rFonts w:cs="Times New Roman"/>
        </w:rPr>
        <w:t>Fedorowicz</w:t>
      </w:r>
      <w:proofErr w:type="spellEnd"/>
      <w:r w:rsidR="007154E7">
        <w:rPr>
          <w:rFonts w:cs="Times New Roman"/>
        </w:rPr>
        <w:t xml:space="preserve">, </w:t>
      </w:r>
      <w:r>
        <w:rPr>
          <w:rFonts w:cs="Times New Roman"/>
          <w:i/>
        </w:rPr>
        <w:t xml:space="preserve">England’s </w:t>
      </w:r>
      <w:r w:rsidRPr="00371FC0">
        <w:rPr>
          <w:rFonts w:cs="Times New Roman"/>
          <w:i/>
        </w:rPr>
        <w:t>Baltic trade</w:t>
      </w:r>
      <w:r>
        <w:rPr>
          <w:rFonts w:cs="Times New Roman"/>
          <w:i/>
        </w:rPr>
        <w:t>,</w:t>
      </w:r>
      <w:r w:rsidRPr="00371FC0">
        <w:rPr>
          <w:rFonts w:cs="Times New Roman"/>
        </w:rPr>
        <w:t xml:space="preserve"> 74, 115-7.</w:t>
      </w:r>
      <w:proofErr w:type="gramEnd"/>
      <w:r w:rsidRPr="00371FC0">
        <w:rPr>
          <w:rFonts w:cs="Times New Roman"/>
        </w:rPr>
        <w:t xml:space="preserve"> English traders carried 693 </w:t>
      </w:r>
      <w:proofErr w:type="gramStart"/>
      <w:r w:rsidRPr="00371FC0">
        <w:rPr>
          <w:rFonts w:cs="Times New Roman"/>
          <w:i/>
        </w:rPr>
        <w:t>Last</w:t>
      </w:r>
      <w:proofErr w:type="gramEnd"/>
      <w:r w:rsidRPr="00371FC0">
        <w:rPr>
          <w:rFonts w:cs="Times New Roman"/>
          <w:i/>
        </w:rPr>
        <w:t xml:space="preserve"> </w:t>
      </w:r>
      <w:r w:rsidRPr="00371FC0">
        <w:rPr>
          <w:rFonts w:cs="Times New Roman"/>
        </w:rPr>
        <w:t>through the Sound in 1589, only half the sum which reached England during</w:t>
      </w:r>
      <w:r>
        <w:rPr>
          <w:rFonts w:cs="Times New Roman"/>
        </w:rPr>
        <w:t xml:space="preserve"> the summer months alone. Bang, </w:t>
      </w:r>
      <w:proofErr w:type="spellStart"/>
      <w:r>
        <w:rPr>
          <w:rFonts w:cs="Times New Roman"/>
          <w:i/>
        </w:rPr>
        <w:t>Tabeller</w:t>
      </w:r>
      <w:proofErr w:type="spellEnd"/>
      <w:r>
        <w:rPr>
          <w:rFonts w:cs="Times New Roman"/>
        </w:rPr>
        <w:t>;</w:t>
      </w:r>
      <w:r>
        <w:rPr>
          <w:rFonts w:cs="Times New Roman"/>
          <w:i/>
        </w:rPr>
        <w:t xml:space="preserve"> </w:t>
      </w:r>
      <w:proofErr w:type="gramStart"/>
      <w:r w:rsidRPr="00371FC0">
        <w:rPr>
          <w:rFonts w:cs="Times New Roman"/>
        </w:rPr>
        <w:t>The</w:t>
      </w:r>
      <w:proofErr w:type="gramEnd"/>
      <w:r w:rsidRPr="00371FC0">
        <w:rPr>
          <w:rFonts w:cs="Times New Roman"/>
        </w:rPr>
        <w:t xml:space="preserve"> </w:t>
      </w:r>
      <w:proofErr w:type="spellStart"/>
      <w:r w:rsidRPr="00371FC0">
        <w:rPr>
          <w:rFonts w:cs="Times New Roman"/>
        </w:rPr>
        <w:t>entrepôt</w:t>
      </w:r>
      <w:proofErr w:type="spellEnd"/>
      <w:r w:rsidRPr="00371FC0">
        <w:rPr>
          <w:rFonts w:cs="Times New Roman"/>
        </w:rPr>
        <w:t xml:space="preserve"> trade by the Dutch and from Hamburg was also very active from at least 1614 until the early 1620s. </w:t>
      </w:r>
      <w:r w:rsidR="007154E7">
        <w:rPr>
          <w:rFonts w:cs="Times New Roman"/>
        </w:rPr>
        <w:t xml:space="preserve">R.W.K. </w:t>
      </w:r>
      <w:r w:rsidRPr="00371FC0">
        <w:rPr>
          <w:rFonts w:cs="Times New Roman"/>
        </w:rPr>
        <w:t>Hinton</w:t>
      </w:r>
      <w:r w:rsidR="007154E7">
        <w:rPr>
          <w:rFonts w:cs="Times New Roman"/>
        </w:rPr>
        <w:t xml:space="preserve">, </w:t>
      </w:r>
      <w:r w:rsidR="007154E7">
        <w:rPr>
          <w:rFonts w:cs="Times New Roman"/>
          <w:i/>
        </w:rPr>
        <w:t>The Eastland trade and the common weal in the seventeenth century</w:t>
      </w:r>
      <w:r w:rsidRPr="00371FC0">
        <w:rPr>
          <w:rFonts w:cs="Times New Roman"/>
        </w:rPr>
        <w:t xml:space="preserve"> (</w:t>
      </w:r>
      <w:proofErr w:type="spellStart"/>
      <w:r w:rsidR="007154E7">
        <w:rPr>
          <w:rFonts w:cs="Times New Roman"/>
        </w:rPr>
        <w:t>Ca</w:t>
      </w:r>
      <w:proofErr w:type="gramStart"/>
      <w:r w:rsidR="007154E7">
        <w:rPr>
          <w:rFonts w:cs="Times New Roman"/>
        </w:rPr>
        <w:t>,bridge</w:t>
      </w:r>
      <w:proofErr w:type="spellEnd"/>
      <w:proofErr w:type="gramEnd"/>
      <w:r w:rsidR="007154E7">
        <w:rPr>
          <w:rFonts w:cs="Times New Roman"/>
        </w:rPr>
        <w:t xml:space="preserve">, 1959), </w:t>
      </w:r>
      <w:r w:rsidRPr="00371FC0">
        <w:rPr>
          <w:rFonts w:cs="Times New Roman"/>
        </w:rPr>
        <w:t>10, 20, 23.</w:t>
      </w:r>
    </w:p>
  </w:footnote>
  <w:footnote w:id="40">
    <w:p w:rsidR="00907B0D" w:rsidRPr="00371FC0" w:rsidRDefault="00907B0D" w:rsidP="003C33D1">
      <w:pPr>
        <w:autoSpaceDE w:val="0"/>
        <w:autoSpaceDN w:val="0"/>
        <w:adjustRightInd w:val="0"/>
        <w:rPr>
          <w:sz w:val="20"/>
          <w:szCs w:val="20"/>
        </w:rPr>
      </w:pPr>
      <w:r w:rsidRPr="00371FC0">
        <w:rPr>
          <w:rStyle w:val="FootnoteReference"/>
          <w:sz w:val="20"/>
          <w:szCs w:val="20"/>
        </w:rPr>
        <w:footnoteRef/>
      </w:r>
      <w:r w:rsidRPr="00371FC0">
        <w:rPr>
          <w:sz w:val="20"/>
          <w:szCs w:val="20"/>
        </w:rPr>
        <w:t xml:space="preserve"> The Swedes also began the export of potash from neighbouring </w:t>
      </w:r>
      <w:proofErr w:type="spellStart"/>
      <w:r w:rsidRPr="00371FC0">
        <w:rPr>
          <w:sz w:val="20"/>
          <w:szCs w:val="20"/>
        </w:rPr>
        <w:t>Halland</w:t>
      </w:r>
      <w:proofErr w:type="spellEnd"/>
      <w:r w:rsidRPr="00371FC0">
        <w:rPr>
          <w:sz w:val="20"/>
          <w:szCs w:val="20"/>
        </w:rPr>
        <w:t xml:space="preserve">, having acquired it in 1645, as well as </w:t>
      </w:r>
      <w:proofErr w:type="spellStart"/>
      <w:r w:rsidRPr="00371FC0">
        <w:rPr>
          <w:sz w:val="20"/>
          <w:szCs w:val="20"/>
        </w:rPr>
        <w:t>Småland</w:t>
      </w:r>
      <w:proofErr w:type="spellEnd"/>
      <w:r w:rsidRPr="00371FC0">
        <w:rPr>
          <w:sz w:val="20"/>
          <w:szCs w:val="20"/>
        </w:rPr>
        <w:t xml:space="preserve"> further north. </w:t>
      </w:r>
      <w:r w:rsidR="007154E7">
        <w:rPr>
          <w:sz w:val="20"/>
          <w:szCs w:val="20"/>
        </w:rPr>
        <w:t xml:space="preserve">D. </w:t>
      </w:r>
      <w:proofErr w:type="spellStart"/>
      <w:r w:rsidRPr="00371FC0">
        <w:rPr>
          <w:sz w:val="20"/>
          <w:szCs w:val="20"/>
        </w:rPr>
        <w:t>Torbrand</w:t>
      </w:r>
      <w:proofErr w:type="spellEnd"/>
      <w:r w:rsidRPr="00371FC0">
        <w:rPr>
          <w:sz w:val="20"/>
          <w:szCs w:val="20"/>
        </w:rPr>
        <w:t>, ‘</w:t>
      </w:r>
      <w:r w:rsidRPr="00371FC0">
        <w:rPr>
          <w:bCs/>
          <w:sz w:val="20"/>
          <w:szCs w:val="20"/>
          <w:lang w:val="en-US"/>
        </w:rPr>
        <w:t xml:space="preserve">The Potash Companies in the Province of </w:t>
      </w:r>
      <w:proofErr w:type="spellStart"/>
      <w:r w:rsidRPr="00371FC0">
        <w:rPr>
          <w:bCs/>
          <w:sz w:val="20"/>
          <w:szCs w:val="20"/>
          <w:lang w:val="en-US"/>
        </w:rPr>
        <w:t>Blekinge</w:t>
      </w:r>
      <w:proofErr w:type="spellEnd"/>
      <w:r w:rsidRPr="00371FC0">
        <w:rPr>
          <w:bCs/>
          <w:sz w:val="20"/>
          <w:szCs w:val="20"/>
          <w:lang w:val="en-US"/>
        </w:rPr>
        <w:t xml:space="preserve"> at the Close of the Danish Era (1649-1656)’, </w:t>
      </w:r>
      <w:proofErr w:type="spellStart"/>
      <w:r w:rsidRPr="00371FC0">
        <w:rPr>
          <w:i/>
          <w:iCs/>
          <w:sz w:val="20"/>
          <w:szCs w:val="20"/>
          <w:lang w:val="en-US"/>
        </w:rPr>
        <w:t>Geografiska</w:t>
      </w:r>
      <w:proofErr w:type="spellEnd"/>
      <w:r w:rsidRPr="00371FC0">
        <w:rPr>
          <w:i/>
          <w:iCs/>
          <w:sz w:val="20"/>
          <w:szCs w:val="20"/>
          <w:lang w:val="en-US"/>
        </w:rPr>
        <w:t xml:space="preserve"> </w:t>
      </w:r>
      <w:proofErr w:type="spellStart"/>
      <w:r w:rsidRPr="00371FC0">
        <w:rPr>
          <w:i/>
          <w:iCs/>
          <w:sz w:val="20"/>
          <w:szCs w:val="20"/>
          <w:lang w:val="en-US"/>
        </w:rPr>
        <w:t>Annaler</w:t>
      </w:r>
      <w:proofErr w:type="spellEnd"/>
      <w:r w:rsidRPr="00371FC0">
        <w:rPr>
          <w:i/>
          <w:iCs/>
          <w:sz w:val="20"/>
          <w:szCs w:val="20"/>
          <w:lang w:val="en-US"/>
        </w:rPr>
        <w:t>. Series B, Human Geography</w:t>
      </w:r>
      <w:r w:rsidRPr="00371FC0">
        <w:rPr>
          <w:sz w:val="20"/>
          <w:szCs w:val="20"/>
          <w:lang w:val="en-US"/>
        </w:rPr>
        <w:t xml:space="preserve">, </w:t>
      </w:r>
      <w:r w:rsidR="007154E7">
        <w:rPr>
          <w:sz w:val="20"/>
          <w:szCs w:val="20"/>
          <w:lang w:val="en-US"/>
        </w:rPr>
        <w:t>47</w:t>
      </w:r>
      <w:r w:rsidRPr="00371FC0">
        <w:rPr>
          <w:sz w:val="20"/>
          <w:szCs w:val="20"/>
          <w:lang w:val="en-US"/>
        </w:rPr>
        <w:t xml:space="preserve"> (1965), 56-69</w:t>
      </w:r>
      <w:r w:rsidRPr="00371FC0">
        <w:rPr>
          <w:sz w:val="20"/>
          <w:szCs w:val="20"/>
        </w:rPr>
        <w:t xml:space="preserve">; </w:t>
      </w:r>
      <w:proofErr w:type="spellStart"/>
      <w:r w:rsidRPr="00371FC0">
        <w:rPr>
          <w:sz w:val="20"/>
          <w:szCs w:val="20"/>
        </w:rPr>
        <w:t>Åhman</w:t>
      </w:r>
      <w:proofErr w:type="spellEnd"/>
      <w:proofErr w:type="gramStart"/>
      <w:r w:rsidRPr="00371FC0">
        <w:rPr>
          <w:sz w:val="20"/>
          <w:szCs w:val="20"/>
        </w:rPr>
        <w:t>,</w:t>
      </w:r>
      <w:r w:rsidR="007154E7">
        <w:rPr>
          <w:sz w:val="20"/>
          <w:szCs w:val="20"/>
        </w:rPr>
        <w:t xml:space="preserve"> ,</w:t>
      </w:r>
      <w:proofErr w:type="gramEnd"/>
      <w:r w:rsidR="00476FAB" w:rsidRPr="00476FAB">
        <w:rPr>
          <w:i/>
          <w:sz w:val="20"/>
          <w:szCs w:val="20"/>
        </w:rPr>
        <w:t xml:space="preserve"> </w:t>
      </w:r>
      <w:proofErr w:type="spellStart"/>
      <w:r w:rsidR="00476FAB" w:rsidRPr="00371FC0">
        <w:rPr>
          <w:i/>
          <w:sz w:val="20"/>
          <w:szCs w:val="20"/>
        </w:rPr>
        <w:t>Hamiltonska</w:t>
      </w:r>
      <w:proofErr w:type="spellEnd"/>
      <w:r w:rsidR="00476FAB" w:rsidRPr="00371FC0">
        <w:rPr>
          <w:i/>
          <w:sz w:val="20"/>
          <w:szCs w:val="20"/>
        </w:rPr>
        <w:t xml:space="preserve"> </w:t>
      </w:r>
      <w:proofErr w:type="spellStart"/>
      <w:r w:rsidR="00476FAB" w:rsidRPr="00371FC0">
        <w:rPr>
          <w:i/>
          <w:sz w:val="20"/>
          <w:szCs w:val="20"/>
        </w:rPr>
        <w:t>Pottaskekompaniet</w:t>
      </w:r>
      <w:proofErr w:type="spellEnd"/>
      <w:r w:rsidR="00476FAB">
        <w:rPr>
          <w:i/>
          <w:sz w:val="20"/>
          <w:szCs w:val="20"/>
        </w:rPr>
        <w:t xml:space="preserve">, </w:t>
      </w:r>
      <w:r w:rsidRPr="00371FC0">
        <w:rPr>
          <w:sz w:val="20"/>
          <w:szCs w:val="20"/>
        </w:rPr>
        <w:t xml:space="preserve">7, 13; </w:t>
      </w:r>
      <w:r w:rsidR="007154E7">
        <w:rPr>
          <w:sz w:val="20"/>
          <w:szCs w:val="20"/>
        </w:rPr>
        <w:t xml:space="preserve">M. </w:t>
      </w:r>
      <w:proofErr w:type="spellStart"/>
      <w:r w:rsidRPr="00371FC0">
        <w:rPr>
          <w:sz w:val="20"/>
          <w:szCs w:val="20"/>
        </w:rPr>
        <w:t>Bogucka</w:t>
      </w:r>
      <w:proofErr w:type="spellEnd"/>
      <w:r w:rsidRPr="00371FC0">
        <w:rPr>
          <w:sz w:val="20"/>
          <w:szCs w:val="20"/>
        </w:rPr>
        <w:t xml:space="preserve">, ‘Der </w:t>
      </w:r>
      <w:proofErr w:type="spellStart"/>
      <w:r w:rsidRPr="00371FC0">
        <w:rPr>
          <w:sz w:val="20"/>
          <w:szCs w:val="20"/>
        </w:rPr>
        <w:t>Pottaschehandel</w:t>
      </w:r>
      <w:proofErr w:type="spellEnd"/>
      <w:r w:rsidRPr="00371FC0">
        <w:rPr>
          <w:sz w:val="20"/>
          <w:szCs w:val="20"/>
        </w:rPr>
        <w:t xml:space="preserve"> in Danzig in der </w:t>
      </w:r>
      <w:proofErr w:type="spellStart"/>
      <w:r w:rsidRPr="00371FC0">
        <w:rPr>
          <w:sz w:val="20"/>
          <w:szCs w:val="20"/>
        </w:rPr>
        <w:t>ersten</w:t>
      </w:r>
      <w:proofErr w:type="spellEnd"/>
      <w:r w:rsidRPr="00371FC0">
        <w:rPr>
          <w:sz w:val="20"/>
          <w:szCs w:val="20"/>
        </w:rPr>
        <w:t xml:space="preserve"> </w:t>
      </w:r>
      <w:proofErr w:type="spellStart"/>
      <w:r w:rsidRPr="00371FC0">
        <w:rPr>
          <w:sz w:val="20"/>
          <w:szCs w:val="20"/>
        </w:rPr>
        <w:t>Hälfte</w:t>
      </w:r>
      <w:proofErr w:type="spellEnd"/>
      <w:r w:rsidRPr="00371FC0">
        <w:rPr>
          <w:sz w:val="20"/>
          <w:szCs w:val="20"/>
        </w:rPr>
        <w:t xml:space="preserve"> des 17. </w:t>
      </w:r>
      <w:proofErr w:type="spellStart"/>
      <w:r w:rsidRPr="00371FC0">
        <w:rPr>
          <w:sz w:val="20"/>
          <w:szCs w:val="20"/>
        </w:rPr>
        <w:t>Jahrhunderts</w:t>
      </w:r>
      <w:proofErr w:type="spellEnd"/>
      <w:r w:rsidRPr="00371FC0">
        <w:rPr>
          <w:sz w:val="20"/>
          <w:szCs w:val="20"/>
        </w:rPr>
        <w:t xml:space="preserve">’, in </w:t>
      </w:r>
      <w:r w:rsidR="007154E7">
        <w:rPr>
          <w:sz w:val="20"/>
          <w:szCs w:val="20"/>
        </w:rPr>
        <w:t xml:space="preserve">K. </w:t>
      </w:r>
      <w:proofErr w:type="spellStart"/>
      <w:r w:rsidRPr="00371FC0">
        <w:rPr>
          <w:sz w:val="20"/>
          <w:szCs w:val="20"/>
        </w:rPr>
        <w:t>Fritze</w:t>
      </w:r>
      <w:proofErr w:type="spellEnd"/>
      <w:r w:rsidRPr="00371FC0">
        <w:rPr>
          <w:sz w:val="20"/>
          <w:szCs w:val="20"/>
        </w:rPr>
        <w:t xml:space="preserve">, </w:t>
      </w:r>
      <w:r w:rsidR="007154E7">
        <w:rPr>
          <w:sz w:val="20"/>
          <w:szCs w:val="20"/>
        </w:rPr>
        <w:t xml:space="preserve">E. </w:t>
      </w:r>
      <w:r w:rsidRPr="00371FC0">
        <w:rPr>
          <w:sz w:val="20"/>
          <w:szCs w:val="20"/>
        </w:rPr>
        <w:t>Müller-</w:t>
      </w:r>
      <w:proofErr w:type="spellStart"/>
      <w:r w:rsidRPr="00371FC0">
        <w:rPr>
          <w:sz w:val="20"/>
          <w:szCs w:val="20"/>
        </w:rPr>
        <w:t>Mertens</w:t>
      </w:r>
      <w:proofErr w:type="spellEnd"/>
      <w:r w:rsidRPr="00371FC0">
        <w:rPr>
          <w:sz w:val="20"/>
          <w:szCs w:val="20"/>
        </w:rPr>
        <w:t xml:space="preserve">, &amp; </w:t>
      </w:r>
      <w:r w:rsidR="007154E7">
        <w:rPr>
          <w:sz w:val="20"/>
          <w:szCs w:val="20"/>
        </w:rPr>
        <w:t>W. Stark</w:t>
      </w:r>
      <w:r w:rsidRPr="00371FC0">
        <w:rPr>
          <w:sz w:val="20"/>
          <w:szCs w:val="20"/>
        </w:rPr>
        <w:t xml:space="preserve">, </w:t>
      </w:r>
      <w:proofErr w:type="spellStart"/>
      <w:r w:rsidRPr="00371FC0">
        <w:rPr>
          <w:i/>
          <w:sz w:val="20"/>
          <w:szCs w:val="20"/>
        </w:rPr>
        <w:t>Autonomie</w:t>
      </w:r>
      <w:proofErr w:type="spellEnd"/>
      <w:r w:rsidRPr="00371FC0">
        <w:rPr>
          <w:i/>
          <w:sz w:val="20"/>
          <w:szCs w:val="20"/>
        </w:rPr>
        <w:t xml:space="preserve">, </w:t>
      </w:r>
      <w:proofErr w:type="spellStart"/>
      <w:r w:rsidRPr="00371FC0">
        <w:rPr>
          <w:i/>
          <w:sz w:val="20"/>
          <w:szCs w:val="20"/>
        </w:rPr>
        <w:t>Wirtschaft</w:t>
      </w:r>
      <w:proofErr w:type="spellEnd"/>
      <w:r w:rsidRPr="00371FC0">
        <w:rPr>
          <w:i/>
          <w:sz w:val="20"/>
          <w:szCs w:val="20"/>
        </w:rPr>
        <w:t xml:space="preserve"> und </w:t>
      </w:r>
      <w:proofErr w:type="spellStart"/>
      <w:r w:rsidRPr="00371FC0">
        <w:rPr>
          <w:i/>
          <w:sz w:val="20"/>
          <w:szCs w:val="20"/>
        </w:rPr>
        <w:t>Kultur</w:t>
      </w:r>
      <w:proofErr w:type="spellEnd"/>
      <w:r w:rsidRPr="00371FC0">
        <w:rPr>
          <w:i/>
          <w:sz w:val="20"/>
          <w:szCs w:val="20"/>
        </w:rPr>
        <w:t xml:space="preserve"> der </w:t>
      </w:r>
      <w:proofErr w:type="spellStart"/>
      <w:r w:rsidRPr="00371FC0">
        <w:rPr>
          <w:i/>
          <w:sz w:val="20"/>
          <w:szCs w:val="20"/>
        </w:rPr>
        <w:t>Hansestädte</w:t>
      </w:r>
      <w:proofErr w:type="spellEnd"/>
      <w:r w:rsidRPr="00371FC0">
        <w:rPr>
          <w:i/>
          <w:sz w:val="20"/>
          <w:szCs w:val="20"/>
        </w:rPr>
        <w:t xml:space="preserve"> </w:t>
      </w:r>
      <w:r w:rsidR="007154E7">
        <w:rPr>
          <w:sz w:val="20"/>
          <w:szCs w:val="20"/>
        </w:rPr>
        <w:t xml:space="preserve">(Weimar, 1984), </w:t>
      </w:r>
      <w:r w:rsidRPr="00371FC0">
        <w:rPr>
          <w:sz w:val="20"/>
          <w:szCs w:val="20"/>
        </w:rPr>
        <w:t xml:space="preserve">147, 150; </w:t>
      </w:r>
      <w:r w:rsidR="007154E7">
        <w:rPr>
          <w:sz w:val="20"/>
          <w:szCs w:val="20"/>
        </w:rPr>
        <w:t xml:space="preserve">G.D. </w:t>
      </w:r>
      <w:r w:rsidRPr="00371FC0">
        <w:rPr>
          <w:sz w:val="20"/>
          <w:szCs w:val="20"/>
        </w:rPr>
        <w:t xml:space="preserve">Ramsay, </w:t>
      </w:r>
      <w:r w:rsidRPr="00371FC0">
        <w:rPr>
          <w:i/>
          <w:sz w:val="20"/>
          <w:szCs w:val="20"/>
        </w:rPr>
        <w:t xml:space="preserve">English overseas trade during the centuries of emergence </w:t>
      </w:r>
      <w:r w:rsidR="007154E7">
        <w:rPr>
          <w:sz w:val="20"/>
          <w:szCs w:val="20"/>
        </w:rPr>
        <w:t xml:space="preserve">(London , 1957), </w:t>
      </w:r>
      <w:r w:rsidRPr="00371FC0">
        <w:rPr>
          <w:sz w:val="20"/>
          <w:szCs w:val="20"/>
        </w:rPr>
        <w:t>124-6.</w:t>
      </w:r>
    </w:p>
  </w:footnote>
  <w:footnote w:id="41">
    <w:p w:rsidR="00907B0D" w:rsidRPr="00371FC0" w:rsidRDefault="00907B0D" w:rsidP="004B33BB">
      <w:pPr>
        <w:rPr>
          <w:sz w:val="20"/>
          <w:szCs w:val="20"/>
        </w:rPr>
      </w:pPr>
      <w:r w:rsidRPr="00371FC0">
        <w:rPr>
          <w:rStyle w:val="FootnoteReference"/>
          <w:sz w:val="20"/>
          <w:szCs w:val="20"/>
        </w:rPr>
        <w:footnoteRef/>
      </w:r>
      <w:r w:rsidRPr="00371FC0">
        <w:rPr>
          <w:sz w:val="20"/>
          <w:szCs w:val="20"/>
        </w:rPr>
        <w:t xml:space="preserve"> </w:t>
      </w:r>
      <w:proofErr w:type="gramStart"/>
      <w:r w:rsidRPr="00371FC0">
        <w:rPr>
          <w:sz w:val="20"/>
          <w:szCs w:val="20"/>
        </w:rPr>
        <w:t xml:space="preserve">TNA C78/593; </w:t>
      </w:r>
      <w:r w:rsidR="007154E7">
        <w:rPr>
          <w:sz w:val="20"/>
          <w:szCs w:val="20"/>
        </w:rPr>
        <w:t xml:space="preserve">J.T. </w:t>
      </w:r>
      <w:proofErr w:type="spellStart"/>
      <w:r w:rsidRPr="00371FC0">
        <w:rPr>
          <w:sz w:val="20"/>
          <w:szCs w:val="20"/>
        </w:rPr>
        <w:t>Kotilaine</w:t>
      </w:r>
      <w:proofErr w:type="spellEnd"/>
      <w:r w:rsidR="007154E7">
        <w:rPr>
          <w:sz w:val="20"/>
          <w:szCs w:val="20"/>
        </w:rPr>
        <w:t>,</w:t>
      </w:r>
      <w:r w:rsidRPr="00371FC0">
        <w:rPr>
          <w:sz w:val="20"/>
          <w:szCs w:val="20"/>
        </w:rPr>
        <w:t xml:space="preserve"> </w:t>
      </w:r>
      <w:r w:rsidRPr="00371FC0">
        <w:rPr>
          <w:i/>
          <w:sz w:val="20"/>
          <w:szCs w:val="20"/>
          <w:lang w:val="en-US"/>
        </w:rPr>
        <w:t>Russia’s foreign trade and economic expansion in the Seventeenth Century</w:t>
      </w:r>
      <w:r w:rsidRPr="00371FC0">
        <w:rPr>
          <w:sz w:val="20"/>
          <w:szCs w:val="20"/>
          <w:lang w:val="en-US"/>
        </w:rPr>
        <w:t>.</w:t>
      </w:r>
      <w:proofErr w:type="gramEnd"/>
      <w:r w:rsidRPr="00371FC0">
        <w:rPr>
          <w:sz w:val="20"/>
          <w:szCs w:val="20"/>
          <w:lang w:val="en-US"/>
        </w:rPr>
        <w:t xml:space="preserve"> 2005, p. 184; </w:t>
      </w:r>
      <w:proofErr w:type="spellStart"/>
      <w:r w:rsidRPr="00371FC0">
        <w:rPr>
          <w:sz w:val="20"/>
          <w:szCs w:val="20"/>
          <w:lang w:val="en-US"/>
        </w:rPr>
        <w:t>Åstrom</w:t>
      </w:r>
      <w:proofErr w:type="spellEnd"/>
      <w:r w:rsidR="007154E7">
        <w:rPr>
          <w:sz w:val="20"/>
          <w:szCs w:val="20"/>
          <w:lang w:val="en-US"/>
        </w:rPr>
        <w:t xml:space="preserve">, </w:t>
      </w:r>
      <w:proofErr w:type="gramStart"/>
      <w:r w:rsidR="007154E7">
        <w:rPr>
          <w:i/>
          <w:sz w:val="20"/>
          <w:szCs w:val="20"/>
          <w:lang w:val="en-US"/>
        </w:rPr>
        <w:t>From</w:t>
      </w:r>
      <w:proofErr w:type="gramEnd"/>
      <w:r w:rsidR="007154E7">
        <w:rPr>
          <w:i/>
          <w:sz w:val="20"/>
          <w:szCs w:val="20"/>
          <w:lang w:val="en-US"/>
        </w:rPr>
        <w:t xml:space="preserve"> cloth to iron</w:t>
      </w:r>
      <w:r w:rsidRPr="00371FC0">
        <w:rPr>
          <w:sz w:val="20"/>
          <w:szCs w:val="20"/>
          <w:lang w:val="en-US"/>
        </w:rPr>
        <w:t xml:space="preserve">, 179; </w:t>
      </w:r>
      <w:proofErr w:type="spellStart"/>
      <w:r w:rsidRPr="00371FC0">
        <w:rPr>
          <w:sz w:val="20"/>
          <w:szCs w:val="20"/>
        </w:rPr>
        <w:t>Veluwenkamp</w:t>
      </w:r>
      <w:proofErr w:type="spellEnd"/>
      <w:r w:rsidRPr="00371FC0">
        <w:rPr>
          <w:sz w:val="20"/>
          <w:szCs w:val="20"/>
        </w:rPr>
        <w:t xml:space="preserve">, J.W., </w:t>
      </w:r>
      <w:r w:rsidRPr="00371FC0">
        <w:rPr>
          <w:i/>
          <w:sz w:val="20"/>
          <w:szCs w:val="20"/>
        </w:rPr>
        <w:t xml:space="preserve">Archangel. </w:t>
      </w:r>
      <w:proofErr w:type="spellStart"/>
      <w:proofErr w:type="gramStart"/>
      <w:r w:rsidRPr="00371FC0">
        <w:rPr>
          <w:i/>
          <w:sz w:val="20"/>
          <w:szCs w:val="20"/>
        </w:rPr>
        <w:t>Nederlandse</w:t>
      </w:r>
      <w:proofErr w:type="spellEnd"/>
      <w:r w:rsidRPr="00371FC0">
        <w:rPr>
          <w:i/>
          <w:sz w:val="20"/>
          <w:szCs w:val="20"/>
        </w:rPr>
        <w:t xml:space="preserve"> </w:t>
      </w:r>
      <w:proofErr w:type="spellStart"/>
      <w:r w:rsidRPr="00371FC0">
        <w:rPr>
          <w:i/>
          <w:sz w:val="20"/>
          <w:szCs w:val="20"/>
        </w:rPr>
        <w:t>ondernemers</w:t>
      </w:r>
      <w:proofErr w:type="spellEnd"/>
      <w:r w:rsidRPr="00371FC0">
        <w:rPr>
          <w:i/>
          <w:sz w:val="20"/>
          <w:szCs w:val="20"/>
        </w:rPr>
        <w:t xml:space="preserve"> in </w:t>
      </w:r>
      <w:proofErr w:type="spellStart"/>
      <w:r w:rsidRPr="00371FC0">
        <w:rPr>
          <w:i/>
          <w:sz w:val="20"/>
          <w:szCs w:val="20"/>
        </w:rPr>
        <w:t>Rusland</w:t>
      </w:r>
      <w:proofErr w:type="spellEnd"/>
      <w:r w:rsidRPr="00371FC0">
        <w:rPr>
          <w:i/>
          <w:sz w:val="20"/>
          <w:szCs w:val="20"/>
        </w:rPr>
        <w:t xml:space="preserve"> 1550-1785 </w:t>
      </w:r>
      <w:r w:rsidRPr="00371FC0">
        <w:rPr>
          <w:sz w:val="20"/>
          <w:szCs w:val="20"/>
        </w:rPr>
        <w:t>(Amsterdam, 2000), 101.</w:t>
      </w:r>
      <w:proofErr w:type="gramEnd"/>
    </w:p>
  </w:footnote>
  <w:footnote w:id="42">
    <w:p w:rsidR="00907B0D" w:rsidRPr="00371FC0" w:rsidRDefault="00907B0D" w:rsidP="002C7E6D">
      <w:pPr>
        <w:pStyle w:val="FootnoteText"/>
        <w:rPr>
          <w:rFonts w:cs="Times New Roman"/>
        </w:rPr>
      </w:pPr>
      <w:r w:rsidRPr="00371FC0">
        <w:rPr>
          <w:rStyle w:val="FootnoteReference"/>
          <w:rFonts w:cs="Times New Roman"/>
        </w:rPr>
        <w:footnoteRef/>
      </w:r>
      <w:r w:rsidR="007154E7">
        <w:rPr>
          <w:rFonts w:cs="Times New Roman"/>
        </w:rPr>
        <w:t xml:space="preserve"> </w:t>
      </w:r>
      <w:proofErr w:type="spellStart"/>
      <w:r w:rsidR="007154E7">
        <w:rPr>
          <w:rFonts w:cs="Times New Roman"/>
        </w:rPr>
        <w:t>Åstrom</w:t>
      </w:r>
      <w:proofErr w:type="spellEnd"/>
      <w:r w:rsidR="007154E7">
        <w:rPr>
          <w:rFonts w:cs="Times New Roman"/>
        </w:rPr>
        <w:t xml:space="preserve">, </w:t>
      </w:r>
      <w:r w:rsidR="007154E7">
        <w:rPr>
          <w:rFonts w:cs="Times New Roman"/>
          <w:i/>
        </w:rPr>
        <w:t>From cloth to iron,</w:t>
      </w:r>
      <w:r w:rsidR="007154E7">
        <w:rPr>
          <w:rFonts w:cs="Times New Roman"/>
        </w:rPr>
        <w:t xml:space="preserve"> </w:t>
      </w:r>
      <w:r w:rsidRPr="00371FC0">
        <w:rPr>
          <w:rFonts w:cs="Times New Roman"/>
        </w:rPr>
        <w:t xml:space="preserve">49, 126 </w:t>
      </w:r>
    </w:p>
  </w:footnote>
  <w:footnote w:id="43">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Ex</w:t>
      </w:r>
      <w:r w:rsidR="007154E7">
        <w:rPr>
          <w:rFonts w:cs="Times New Roman"/>
        </w:rPr>
        <w:t>tracted from sources in Note 16</w:t>
      </w:r>
      <w:r w:rsidRPr="00371FC0">
        <w:rPr>
          <w:rFonts w:cs="Times New Roman"/>
        </w:rPr>
        <w:t>.</w:t>
      </w:r>
      <w:proofErr w:type="gramEnd"/>
    </w:p>
  </w:footnote>
  <w:footnote w:id="44">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proofErr w:type="gramStart"/>
      <w:r w:rsidRPr="00371FC0">
        <w:rPr>
          <w:rFonts w:cs="Times New Roman"/>
        </w:rPr>
        <w:t>Krünitz</w:t>
      </w:r>
      <w:proofErr w:type="spellEnd"/>
      <w:r w:rsidRPr="00371FC0">
        <w:rPr>
          <w:rFonts w:cs="Times New Roman"/>
        </w:rPr>
        <w:t xml:space="preserve"> quoting </w:t>
      </w:r>
      <w:proofErr w:type="spellStart"/>
      <w:r w:rsidRPr="00371FC0">
        <w:rPr>
          <w:rFonts w:cs="Times New Roman"/>
        </w:rPr>
        <w:t>Wildenhayn</w:t>
      </w:r>
      <w:proofErr w:type="spellEnd"/>
      <w:r w:rsidRPr="00371FC0">
        <w:rPr>
          <w:rFonts w:cs="Times New Roman"/>
        </w:rPr>
        <w:t>, drawing on Anglophone work</w:t>
      </w:r>
      <w:r w:rsidR="00936329">
        <w:rPr>
          <w:rFonts w:cs="Times New Roman"/>
        </w:rPr>
        <w:t xml:space="preserve"> by Dossin and Lewis; in </w:t>
      </w:r>
      <w:proofErr w:type="spellStart"/>
      <w:r w:rsidR="00936329">
        <w:rPr>
          <w:rFonts w:cs="Times New Roman"/>
        </w:rPr>
        <w:t>Krünitz</w:t>
      </w:r>
      <w:proofErr w:type="spellEnd"/>
      <w:r w:rsidR="00936329">
        <w:rPr>
          <w:rFonts w:cs="Times New Roman"/>
        </w:rPr>
        <w:t xml:space="preserve">, </w:t>
      </w:r>
      <w:proofErr w:type="spellStart"/>
      <w:r w:rsidR="00936329" w:rsidRPr="00371FC0">
        <w:rPr>
          <w:rFonts w:cs="Times New Roman"/>
          <w:i/>
          <w:color w:val="212121"/>
          <w:shd w:val="clear" w:color="auto" w:fill="FFFFFF"/>
        </w:rPr>
        <w:t>Encyklopädie</w:t>
      </w:r>
      <w:proofErr w:type="spellEnd"/>
      <w:r w:rsidR="00936329">
        <w:rPr>
          <w:rFonts w:cs="Times New Roman"/>
        </w:rPr>
        <w:t xml:space="preserve">, </w:t>
      </w:r>
      <w:r w:rsidRPr="00371FC0">
        <w:rPr>
          <w:rFonts w:cs="Times New Roman"/>
        </w:rPr>
        <w:t>439-40.</w:t>
      </w:r>
      <w:proofErr w:type="gramEnd"/>
      <w:r w:rsidRPr="00371FC0">
        <w:rPr>
          <w:rFonts w:cs="Times New Roman"/>
        </w:rPr>
        <w:t xml:space="preserve"> Perhaps unsurprisingly the</w:t>
      </w:r>
      <w:r w:rsidR="00936329">
        <w:rPr>
          <w:rFonts w:cs="Times New Roman"/>
        </w:rPr>
        <w:t xml:space="preserve"> German </w:t>
      </w:r>
      <w:proofErr w:type="spellStart"/>
      <w:r w:rsidR="00936329">
        <w:rPr>
          <w:rFonts w:cs="Times New Roman"/>
        </w:rPr>
        <w:t>Wildenhayn</w:t>
      </w:r>
      <w:proofErr w:type="spellEnd"/>
      <w:r w:rsidR="00936329">
        <w:rPr>
          <w:rFonts w:cs="Times New Roman"/>
        </w:rPr>
        <w:t xml:space="preserve"> disagreed (</w:t>
      </w:r>
      <w:r w:rsidRPr="00371FC0">
        <w:rPr>
          <w:rFonts w:cs="Times New Roman"/>
        </w:rPr>
        <w:t>447)</w:t>
      </w:r>
    </w:p>
  </w:footnote>
  <w:footnote w:id="45">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Gittins, ‘Innovations</w:t>
      </w:r>
      <w:r w:rsidR="00936329">
        <w:rPr>
          <w:rFonts w:cs="Times New Roman"/>
        </w:rPr>
        <w:t xml:space="preserve">’, </w:t>
      </w:r>
      <w:r w:rsidRPr="00371FC0">
        <w:rPr>
          <w:rFonts w:cs="Times New Roman"/>
        </w:rPr>
        <w:t xml:space="preserve">199; </w:t>
      </w:r>
      <w:proofErr w:type="spellStart"/>
      <w:r w:rsidRPr="00371FC0">
        <w:rPr>
          <w:rFonts w:cs="Times New Roman"/>
        </w:rPr>
        <w:t>Knoppers</w:t>
      </w:r>
      <w:proofErr w:type="spellEnd"/>
      <w:r w:rsidRPr="00371FC0">
        <w:rPr>
          <w:rFonts w:cs="Times New Roman"/>
        </w:rPr>
        <w:t xml:space="preserve"> &amp; Nicholls</w:t>
      </w:r>
      <w:r w:rsidR="00936329">
        <w:rPr>
          <w:rFonts w:cs="Times New Roman"/>
        </w:rPr>
        <w:t>, ‘</w:t>
      </w:r>
      <w:proofErr w:type="spellStart"/>
      <w:r w:rsidR="00936329">
        <w:rPr>
          <w:rFonts w:cs="Times New Roman"/>
        </w:rPr>
        <w:t>Ostseeraum</w:t>
      </w:r>
      <w:proofErr w:type="spellEnd"/>
      <w:r w:rsidR="00936329">
        <w:rPr>
          <w:rFonts w:cs="Times New Roman"/>
        </w:rPr>
        <w:t xml:space="preserve">’, </w:t>
      </w:r>
      <w:r w:rsidRPr="00371FC0">
        <w:rPr>
          <w:rFonts w:cs="Times New Roman"/>
        </w:rPr>
        <w:t>81-3</w:t>
      </w:r>
    </w:p>
  </w:footnote>
  <w:footnote w:id="46">
    <w:p w:rsidR="00907B0D" w:rsidRPr="00371FC0" w:rsidRDefault="00907B0D" w:rsidP="002C7E6D">
      <w:pPr>
        <w:pStyle w:val="FootnoteText"/>
        <w:jc w:val="both"/>
        <w:rPr>
          <w:rFonts w:cs="Times New Roman"/>
        </w:rPr>
      </w:pPr>
      <w:r w:rsidRPr="00371FC0">
        <w:rPr>
          <w:rStyle w:val="FootnoteReference"/>
          <w:rFonts w:cs="Times New Roman"/>
        </w:rPr>
        <w:footnoteRef/>
      </w:r>
      <w:r w:rsidRPr="00371FC0">
        <w:rPr>
          <w:rFonts w:cs="Times New Roman"/>
        </w:rPr>
        <w:t xml:space="preserve"> TNA </w:t>
      </w:r>
      <w:proofErr w:type="spellStart"/>
      <w:r w:rsidRPr="00371FC0">
        <w:rPr>
          <w:rFonts w:cs="Times New Roman"/>
        </w:rPr>
        <w:t>TNA</w:t>
      </w:r>
      <w:proofErr w:type="spellEnd"/>
      <w:r w:rsidRPr="00371FC0">
        <w:rPr>
          <w:rFonts w:cs="Times New Roman"/>
        </w:rPr>
        <w:t xml:space="preserve"> E190/3/2; E190/5/5; E190/6/3; E190/8/1; E190/8/2; E190/8/4; E190/9/5; E190/11/1; E190/12/1; E190/14/5; a petition from a John Aston who appears to be seeking some kind of monopoly right on the importation of soap ashes in 1608 claimed he could reduce the price from £26 to £20 per </w:t>
      </w:r>
      <w:r w:rsidRPr="00371FC0">
        <w:rPr>
          <w:rFonts w:cs="Times New Roman"/>
          <w:i/>
        </w:rPr>
        <w:t xml:space="preserve">Last. </w:t>
      </w:r>
      <w:r w:rsidRPr="00371FC0">
        <w:rPr>
          <w:rFonts w:cs="Times New Roman"/>
        </w:rPr>
        <w:t xml:space="preserve">This corresponds neither with the price in the Port Books or the implied price of a </w:t>
      </w:r>
      <w:r w:rsidRPr="00371FC0">
        <w:rPr>
          <w:rFonts w:cs="Times New Roman"/>
          <w:i/>
        </w:rPr>
        <w:t xml:space="preserve">Last </w:t>
      </w:r>
      <w:r w:rsidRPr="00371FC0">
        <w:rPr>
          <w:rFonts w:cs="Times New Roman"/>
        </w:rPr>
        <w:t xml:space="preserve">of potashes, and in fact falls roughly midway between them.  </w:t>
      </w:r>
      <w:r w:rsidR="00936329">
        <w:rPr>
          <w:rFonts w:cs="Times New Roman"/>
        </w:rPr>
        <w:t xml:space="preserve">M.S. </w:t>
      </w:r>
      <w:proofErr w:type="spellStart"/>
      <w:r w:rsidRPr="00371FC0">
        <w:rPr>
          <w:rFonts w:cs="Times New Roman"/>
        </w:rPr>
        <w:t>Giuseppi</w:t>
      </w:r>
      <w:proofErr w:type="spellEnd"/>
      <w:r w:rsidRPr="00371FC0">
        <w:rPr>
          <w:rFonts w:cs="Times New Roman"/>
        </w:rPr>
        <w:t xml:space="preserve">, &amp; </w:t>
      </w:r>
      <w:r w:rsidR="00936329">
        <w:rPr>
          <w:rFonts w:cs="Times New Roman"/>
        </w:rPr>
        <w:t xml:space="preserve">Owen G. </w:t>
      </w:r>
      <w:proofErr w:type="spellStart"/>
      <w:r w:rsidRPr="00371FC0">
        <w:rPr>
          <w:rFonts w:cs="Times New Roman"/>
        </w:rPr>
        <w:t>Dyfnallt</w:t>
      </w:r>
      <w:proofErr w:type="spellEnd"/>
      <w:r w:rsidR="00936329">
        <w:rPr>
          <w:rFonts w:cs="Times New Roman"/>
        </w:rPr>
        <w:t xml:space="preserve">, </w:t>
      </w:r>
      <w:r w:rsidRPr="00371FC0">
        <w:rPr>
          <w:rStyle w:val="Emphasis"/>
          <w:rFonts w:cs="Times New Roman"/>
        </w:rPr>
        <w:t>Calendar of the Cecil Papers in Hatfield House, Volume 20: 1608</w:t>
      </w:r>
      <w:r w:rsidR="00936329">
        <w:rPr>
          <w:rFonts w:cs="Times New Roman"/>
        </w:rPr>
        <w:t xml:space="preserve"> (1968), </w:t>
      </w:r>
      <w:r w:rsidRPr="00371FC0">
        <w:rPr>
          <w:rFonts w:cs="Times New Roman"/>
        </w:rPr>
        <w:t xml:space="preserve">287-315. </w:t>
      </w:r>
    </w:p>
  </w:footnote>
  <w:footnote w:id="47">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See ‘The state of rates and impositions’, in </w:t>
      </w:r>
      <w:r w:rsidR="00936329">
        <w:rPr>
          <w:rFonts w:cs="Times New Roman"/>
        </w:rPr>
        <w:t xml:space="preserve">Owen G. </w:t>
      </w:r>
      <w:proofErr w:type="spellStart"/>
      <w:r w:rsidRPr="00371FC0">
        <w:rPr>
          <w:rFonts w:cs="Times New Roman"/>
        </w:rPr>
        <w:t>Dyfnallt</w:t>
      </w:r>
      <w:proofErr w:type="spellEnd"/>
      <w:r w:rsidRPr="00371FC0">
        <w:rPr>
          <w:rFonts w:cs="Times New Roman"/>
        </w:rPr>
        <w:t xml:space="preserve"> (ed.), </w:t>
      </w:r>
      <w:r w:rsidRPr="00371FC0">
        <w:rPr>
          <w:rStyle w:val="Emphasis"/>
          <w:rFonts w:cs="Times New Roman"/>
        </w:rPr>
        <w:t>Calendar of the Cecil Papers in Hatfield House, Volume 21: 1609-1612</w:t>
      </w:r>
      <w:r w:rsidR="00936329">
        <w:rPr>
          <w:rFonts w:cs="Times New Roman"/>
        </w:rPr>
        <w:t xml:space="preserve"> (1970),  </w:t>
      </w:r>
      <w:r w:rsidRPr="00371FC0">
        <w:rPr>
          <w:rFonts w:cs="Times New Roman"/>
        </w:rPr>
        <w:t>272-290.</w:t>
      </w:r>
    </w:p>
  </w:footnote>
  <w:footnote w:id="48">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Although the Danish Crown had the right to first purchase, creating an incentive to declare values accurately, the Crown had no incentive to arbitrarily confiscate goods and destroy one of their main sources of income. At the rate of 4 Danish </w:t>
      </w:r>
      <w:proofErr w:type="spellStart"/>
      <w:r w:rsidRPr="00371FC0">
        <w:rPr>
          <w:rFonts w:cs="Times New Roman"/>
        </w:rPr>
        <w:t>rixdollars</w:t>
      </w:r>
      <w:proofErr w:type="spellEnd"/>
      <w:r w:rsidRPr="00371FC0">
        <w:rPr>
          <w:rFonts w:cs="Times New Roman"/>
        </w:rPr>
        <w:t xml:space="preserve"> to the English pound, a hundred pounds of potash would be valued at around 10s in Denmark in 1625 and 1645, and 16s in 1635, as opposed to the official valuation for English customs of 25s. Computed from Hinton</w:t>
      </w:r>
      <w:r>
        <w:rPr>
          <w:rFonts w:cs="Times New Roman"/>
        </w:rPr>
        <w:t>,</w:t>
      </w:r>
      <w:r w:rsidR="00936329">
        <w:rPr>
          <w:rFonts w:cs="Times New Roman"/>
        </w:rPr>
        <w:t xml:space="preserve"> </w:t>
      </w:r>
      <w:r w:rsidR="00936329">
        <w:rPr>
          <w:rFonts w:cs="Times New Roman"/>
          <w:i/>
        </w:rPr>
        <w:t xml:space="preserve">Eastland trade </w:t>
      </w:r>
      <w:r>
        <w:rPr>
          <w:rFonts w:cs="Times New Roman"/>
        </w:rPr>
        <w:t xml:space="preserve">36, 39; and Bang, </w:t>
      </w:r>
      <w:proofErr w:type="spellStart"/>
      <w:r>
        <w:rPr>
          <w:rFonts w:cs="Times New Roman"/>
          <w:i/>
        </w:rPr>
        <w:t>Tabeller</w:t>
      </w:r>
      <w:proofErr w:type="spellEnd"/>
      <w:r>
        <w:rPr>
          <w:rFonts w:cs="Times New Roman"/>
          <w:i/>
        </w:rPr>
        <w:t>.</w:t>
      </w:r>
    </w:p>
  </w:footnote>
  <w:footnote w:id="49">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Based on a ship-pound containing 364 lb.</w:t>
      </w:r>
      <w:proofErr w:type="gramEnd"/>
      <w:r w:rsidRPr="00371FC0">
        <w:rPr>
          <w:rFonts w:cs="Times New Roman"/>
        </w:rPr>
        <w:t xml:space="preserve"> On </w:t>
      </w:r>
      <w:proofErr w:type="spellStart"/>
      <w:r w:rsidRPr="00371FC0">
        <w:rPr>
          <w:rFonts w:cs="Times New Roman"/>
        </w:rPr>
        <w:t>Cockayne’s</w:t>
      </w:r>
      <w:proofErr w:type="spellEnd"/>
      <w:r w:rsidRPr="00371FC0">
        <w:rPr>
          <w:rFonts w:cs="Times New Roman"/>
        </w:rPr>
        <w:t xml:space="preserve"> contract, Northamptonshire Record Office C3023, 27 May 1624.On the Eastland </w:t>
      </w:r>
      <w:proofErr w:type="gramStart"/>
      <w:r w:rsidRPr="00371FC0">
        <w:rPr>
          <w:rFonts w:cs="Times New Roman"/>
        </w:rPr>
        <w:t>company’s</w:t>
      </w:r>
      <w:proofErr w:type="gramEnd"/>
      <w:r w:rsidRPr="00371FC0">
        <w:rPr>
          <w:rFonts w:cs="Times New Roman"/>
        </w:rPr>
        <w:t xml:space="preserve"> valuation, see Hinton</w:t>
      </w:r>
      <w:r w:rsidR="00936329">
        <w:rPr>
          <w:rFonts w:cs="Times New Roman"/>
        </w:rPr>
        <w:t xml:space="preserve">, </w:t>
      </w:r>
      <w:r w:rsidR="00936329">
        <w:rPr>
          <w:rFonts w:cs="Times New Roman"/>
          <w:i/>
        </w:rPr>
        <w:t>Eastland trade</w:t>
      </w:r>
      <w:r>
        <w:rPr>
          <w:rFonts w:cs="Times New Roman"/>
        </w:rPr>
        <w:t xml:space="preserve">, 45; and </w:t>
      </w:r>
      <w:proofErr w:type="spellStart"/>
      <w:r>
        <w:rPr>
          <w:rFonts w:cs="Times New Roman"/>
        </w:rPr>
        <w:t>Fedorowicz</w:t>
      </w:r>
      <w:proofErr w:type="spellEnd"/>
      <w:r>
        <w:rPr>
          <w:rFonts w:cs="Times New Roman"/>
        </w:rPr>
        <w:t xml:space="preserve">, </w:t>
      </w:r>
      <w:r>
        <w:rPr>
          <w:rFonts w:cs="Times New Roman"/>
          <w:i/>
        </w:rPr>
        <w:t xml:space="preserve">England’s </w:t>
      </w:r>
      <w:r w:rsidRPr="00371FC0">
        <w:rPr>
          <w:rFonts w:cs="Times New Roman"/>
          <w:i/>
        </w:rPr>
        <w:t>Baltic trade</w:t>
      </w:r>
      <w:r>
        <w:rPr>
          <w:rFonts w:cs="Times New Roman"/>
        </w:rPr>
        <w:t xml:space="preserve">, </w:t>
      </w:r>
      <w:r w:rsidRPr="00371FC0">
        <w:rPr>
          <w:rFonts w:cs="Times New Roman"/>
        </w:rPr>
        <w:t xml:space="preserve">115. </w:t>
      </w:r>
      <w:proofErr w:type="spellStart"/>
      <w:r w:rsidRPr="00371FC0">
        <w:rPr>
          <w:rFonts w:cs="Times New Roman"/>
        </w:rPr>
        <w:t>Fedorowicz</w:t>
      </w:r>
      <w:proofErr w:type="spellEnd"/>
      <w:r w:rsidRPr="00371FC0">
        <w:rPr>
          <w:rFonts w:cs="Times New Roman"/>
        </w:rPr>
        <w:t xml:space="preserve"> notes (correctly) that this valuation is far above that implied in Denmark, but what the company seems to have conveniently </w:t>
      </w:r>
      <w:proofErr w:type="gramStart"/>
      <w:r w:rsidRPr="00371FC0">
        <w:rPr>
          <w:rFonts w:cs="Times New Roman"/>
        </w:rPr>
        <w:t>be</w:t>
      </w:r>
      <w:proofErr w:type="gramEnd"/>
      <w:r w:rsidRPr="00371FC0">
        <w:rPr>
          <w:rFonts w:cs="Times New Roman"/>
        </w:rPr>
        <w:t xml:space="preserve"> doing was arguing for exchange rates based on English rather than Danzig prices. </w:t>
      </w:r>
      <w:r w:rsidR="00476FAB">
        <w:rPr>
          <w:rFonts w:cs="Times New Roman"/>
        </w:rPr>
        <w:t xml:space="preserve">E. </w:t>
      </w:r>
      <w:r w:rsidRPr="00371FC0">
        <w:rPr>
          <w:rFonts w:cs="Times New Roman"/>
        </w:rPr>
        <w:t xml:space="preserve">Williams, </w:t>
      </w:r>
      <w:r w:rsidRPr="00371FC0">
        <w:rPr>
          <w:rFonts w:cs="Times New Roman"/>
          <w:i/>
        </w:rPr>
        <w:t>Virg</w:t>
      </w:r>
      <w:r w:rsidR="00415108">
        <w:rPr>
          <w:rFonts w:cs="Times New Roman"/>
          <w:i/>
        </w:rPr>
        <w:t xml:space="preserve">o </w:t>
      </w:r>
      <w:proofErr w:type="spellStart"/>
      <w:r w:rsidR="00415108">
        <w:rPr>
          <w:rFonts w:cs="Times New Roman"/>
          <w:i/>
        </w:rPr>
        <w:t>tri</w:t>
      </w:r>
      <w:r w:rsidRPr="00371FC0">
        <w:rPr>
          <w:rFonts w:cs="Times New Roman"/>
          <w:i/>
        </w:rPr>
        <w:t>u</w:t>
      </w:r>
      <w:r w:rsidR="00415108">
        <w:rPr>
          <w:rFonts w:cs="Times New Roman"/>
          <w:i/>
        </w:rPr>
        <w:t>m</w:t>
      </w:r>
      <w:r w:rsidRPr="00371FC0">
        <w:rPr>
          <w:rFonts w:cs="Times New Roman"/>
          <w:i/>
        </w:rPr>
        <w:t>phans</w:t>
      </w:r>
      <w:proofErr w:type="spellEnd"/>
      <w:r w:rsidRPr="00371FC0">
        <w:rPr>
          <w:rFonts w:cs="Times New Roman"/>
          <w:i/>
        </w:rPr>
        <w:t xml:space="preserve"> </w:t>
      </w:r>
      <w:r w:rsidRPr="00371FC0">
        <w:rPr>
          <w:rFonts w:cs="Times New Roman"/>
        </w:rPr>
        <w:t xml:space="preserve">(London, 1650), 46; </w:t>
      </w:r>
      <w:r w:rsidRPr="00476FAB">
        <w:rPr>
          <w:rFonts w:cs="Times New Roman"/>
        </w:rPr>
        <w:t>See SP 14/155/39.</w:t>
      </w:r>
    </w:p>
  </w:footnote>
  <w:footnote w:id="50">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w:t>
      </w:r>
      <w:r w:rsidR="00476FAB">
        <w:rPr>
          <w:rFonts w:cs="Times New Roman"/>
        </w:rPr>
        <w:t xml:space="preserve">C.H. </w:t>
      </w:r>
      <w:r w:rsidRPr="00371FC0">
        <w:rPr>
          <w:rFonts w:cs="Times New Roman"/>
        </w:rPr>
        <w:t xml:space="preserve">Firth, &amp; </w:t>
      </w:r>
      <w:r w:rsidR="00476FAB">
        <w:rPr>
          <w:rFonts w:cs="Times New Roman"/>
        </w:rPr>
        <w:t xml:space="preserve">R.S. </w:t>
      </w:r>
      <w:proofErr w:type="spellStart"/>
      <w:r w:rsidRPr="00371FC0">
        <w:rPr>
          <w:rFonts w:cs="Times New Roman"/>
        </w:rPr>
        <w:t>Rait</w:t>
      </w:r>
      <w:proofErr w:type="spellEnd"/>
      <w:r w:rsidRPr="00371FC0">
        <w:rPr>
          <w:rFonts w:cs="Times New Roman"/>
        </w:rPr>
        <w:t>, (</w:t>
      </w:r>
      <w:proofErr w:type="spellStart"/>
      <w:r w:rsidRPr="00371FC0">
        <w:rPr>
          <w:rFonts w:cs="Times New Roman"/>
        </w:rPr>
        <w:t>eds</w:t>
      </w:r>
      <w:proofErr w:type="spellEnd"/>
      <w:r w:rsidRPr="00371FC0">
        <w:rPr>
          <w:rFonts w:cs="Times New Roman"/>
        </w:rPr>
        <w:t xml:space="preserve">), </w:t>
      </w:r>
      <w:r w:rsidRPr="00371FC0">
        <w:rPr>
          <w:rStyle w:val="Emphasis"/>
          <w:rFonts w:cs="Times New Roman"/>
        </w:rPr>
        <w:t>Acts and Ordinances of the Interregnum, 1642-1660</w:t>
      </w:r>
      <w:r w:rsidRPr="00371FC0">
        <w:rPr>
          <w:rFonts w:cs="Times New Roman"/>
        </w:rPr>
        <w:t xml:space="preserve"> (1</w:t>
      </w:r>
      <w:r w:rsidR="00476FAB">
        <w:rPr>
          <w:rFonts w:cs="Times New Roman"/>
        </w:rPr>
        <w:t>911)</w:t>
      </w:r>
      <w:proofErr w:type="gramStart"/>
      <w:r w:rsidR="00476FAB">
        <w:rPr>
          <w:rFonts w:cs="Times New Roman"/>
        </w:rPr>
        <w:t xml:space="preserve">,  </w:t>
      </w:r>
      <w:r w:rsidRPr="00371FC0">
        <w:rPr>
          <w:rFonts w:cs="Times New Roman"/>
        </w:rPr>
        <w:t>1186</w:t>
      </w:r>
      <w:proofErr w:type="gramEnd"/>
      <w:r w:rsidRPr="00371FC0">
        <w:rPr>
          <w:rFonts w:cs="Times New Roman"/>
        </w:rPr>
        <w:t>-1223.</w:t>
      </w:r>
    </w:p>
  </w:footnote>
  <w:footnote w:id="51">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That is, at £27 5s 6d for an English long ton. </w:t>
      </w:r>
      <w:proofErr w:type="spellStart"/>
      <w:r w:rsidRPr="00371FC0">
        <w:rPr>
          <w:rFonts w:cs="Times New Roman"/>
        </w:rPr>
        <w:t>Åhman</w:t>
      </w:r>
      <w:proofErr w:type="spellEnd"/>
      <w:r w:rsidR="00476FAB">
        <w:rPr>
          <w:rFonts w:cs="Times New Roman"/>
        </w:rPr>
        <w:t xml:space="preserve">, </w:t>
      </w:r>
      <w:proofErr w:type="spellStart"/>
      <w:r w:rsidR="00476FAB">
        <w:rPr>
          <w:i/>
        </w:rPr>
        <w:t>Hamiltonska</w:t>
      </w:r>
      <w:proofErr w:type="spellEnd"/>
      <w:r w:rsidR="00476FAB">
        <w:rPr>
          <w:i/>
        </w:rPr>
        <w:t xml:space="preserve"> </w:t>
      </w:r>
      <w:proofErr w:type="spellStart"/>
      <w:r w:rsidR="00476FAB">
        <w:rPr>
          <w:i/>
        </w:rPr>
        <w:t>Pottaskekompaniet</w:t>
      </w:r>
      <w:proofErr w:type="spellEnd"/>
      <w:r w:rsidR="00476FAB">
        <w:rPr>
          <w:i/>
        </w:rPr>
        <w:t xml:space="preserve">, </w:t>
      </w:r>
      <w:r w:rsidRPr="00371FC0">
        <w:rPr>
          <w:rFonts w:cs="Times New Roman"/>
        </w:rPr>
        <w:t>54.</w:t>
      </w:r>
    </w:p>
  </w:footnote>
  <w:footnote w:id="52">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Calculated on the basis of potash imports at London selling prices of £13 000 in 1663 and £29 000 in 1669, which match reasonably well the relative size cargoes recorded in the Sound Toll. Assumes a ship-pound of 364 lbs. BL Add MS 36785; also see Hinton</w:t>
      </w:r>
      <w:r w:rsidR="00476FAB">
        <w:rPr>
          <w:rFonts w:cs="Times New Roman"/>
        </w:rPr>
        <w:t xml:space="preserve">, </w:t>
      </w:r>
      <w:r w:rsidR="00476FAB">
        <w:rPr>
          <w:rFonts w:cs="Times New Roman"/>
          <w:i/>
        </w:rPr>
        <w:t>Eastland trade</w:t>
      </w:r>
      <w:r w:rsidR="00476FAB">
        <w:rPr>
          <w:rFonts w:cs="Times New Roman"/>
        </w:rPr>
        <w:t xml:space="preserve">, </w:t>
      </w:r>
      <w:r w:rsidRPr="00371FC0">
        <w:rPr>
          <w:rFonts w:cs="Times New Roman"/>
        </w:rPr>
        <w:t xml:space="preserve">105. Later data used by Ralph Davis for ‘free on board’ or ‘first cost’ prices (i.e. at the port of departure) in the period 1697-1699 does not match the Sound Toll records well for 1697-8. The 1699 figure compared with Customs 3 would imply a ratio of c.445 lb to one ship-pound, as opposed to 364 lb as generally used here. For this year, the ‘East Country’ price implied would be around 21-25s per hundredweight. </w:t>
      </w:r>
      <w:proofErr w:type="gramStart"/>
      <w:r w:rsidRPr="00371FC0">
        <w:rPr>
          <w:rFonts w:cs="Times New Roman"/>
        </w:rPr>
        <w:t>Hinton</w:t>
      </w:r>
      <w:r w:rsidR="00476FAB">
        <w:rPr>
          <w:rFonts w:cs="Times New Roman"/>
        </w:rPr>
        <w:t xml:space="preserve">, </w:t>
      </w:r>
      <w:r w:rsidR="00476FAB">
        <w:rPr>
          <w:rFonts w:cs="Times New Roman"/>
          <w:i/>
        </w:rPr>
        <w:t>Eastland trade</w:t>
      </w:r>
      <w:r w:rsidR="00476FAB">
        <w:rPr>
          <w:rFonts w:cs="Times New Roman"/>
        </w:rPr>
        <w:t xml:space="preserve">, </w:t>
      </w:r>
      <w:r w:rsidRPr="00371FC0">
        <w:rPr>
          <w:rFonts w:cs="Times New Roman"/>
        </w:rPr>
        <w:t>113.</w:t>
      </w:r>
      <w:proofErr w:type="gramEnd"/>
      <w:r w:rsidRPr="00371FC0">
        <w:rPr>
          <w:rFonts w:cs="Times New Roman"/>
        </w:rPr>
        <w:t xml:space="preserve"> Notably an inventory of an English </w:t>
      </w:r>
      <w:proofErr w:type="spellStart"/>
      <w:r w:rsidRPr="00371FC0">
        <w:rPr>
          <w:rFonts w:cs="Times New Roman"/>
        </w:rPr>
        <w:t>soapmaker</w:t>
      </w:r>
      <w:proofErr w:type="spellEnd"/>
      <w:r w:rsidRPr="00371FC0">
        <w:rPr>
          <w:rFonts w:cs="Times New Roman"/>
        </w:rPr>
        <w:t xml:space="preserve"> from 1670 valued soap ashes (before or after use we do not know) at 20s (presumably per hundredweight) but ‘English ashes’ at only 10s. Entry for ‘English’ in </w:t>
      </w:r>
      <w:r w:rsidR="00476FAB">
        <w:rPr>
          <w:rFonts w:cs="Times New Roman"/>
        </w:rPr>
        <w:t xml:space="preserve">N. </w:t>
      </w:r>
      <w:r w:rsidRPr="00371FC0">
        <w:rPr>
          <w:rFonts w:cs="Times New Roman"/>
        </w:rPr>
        <w:t xml:space="preserve">Cox, &amp; </w:t>
      </w:r>
      <w:r w:rsidR="00476FAB">
        <w:rPr>
          <w:rFonts w:cs="Times New Roman"/>
        </w:rPr>
        <w:t xml:space="preserve">K. </w:t>
      </w:r>
      <w:proofErr w:type="spellStart"/>
      <w:r w:rsidRPr="00371FC0">
        <w:rPr>
          <w:rFonts w:cs="Times New Roman"/>
        </w:rPr>
        <w:t>Dannehl</w:t>
      </w:r>
      <w:proofErr w:type="spellEnd"/>
      <w:r w:rsidRPr="00371FC0">
        <w:rPr>
          <w:rFonts w:cs="Times New Roman"/>
        </w:rPr>
        <w:t xml:space="preserve">, </w:t>
      </w:r>
      <w:r w:rsidRPr="00371FC0">
        <w:rPr>
          <w:rStyle w:val="Emphasis"/>
          <w:rFonts w:cs="Times New Roman"/>
        </w:rPr>
        <w:t>Dictionary of Traded Goods and Commodities, 1550-1820</w:t>
      </w:r>
      <w:r w:rsidR="00476FAB">
        <w:rPr>
          <w:rFonts w:cs="Times New Roman"/>
        </w:rPr>
        <w:t xml:space="preserve"> (2007); </w:t>
      </w:r>
      <w:proofErr w:type="spellStart"/>
      <w:r w:rsidR="00476FAB">
        <w:rPr>
          <w:rFonts w:cs="Times New Roman"/>
        </w:rPr>
        <w:t>Åstrom</w:t>
      </w:r>
      <w:proofErr w:type="spellEnd"/>
      <w:r w:rsidRPr="00371FC0">
        <w:rPr>
          <w:rFonts w:cs="Times New Roman"/>
        </w:rPr>
        <w:t xml:space="preserve">, </w:t>
      </w:r>
      <w:r w:rsidR="00476FAB">
        <w:rPr>
          <w:rFonts w:cs="Times New Roman"/>
          <w:i/>
        </w:rPr>
        <w:t xml:space="preserve">from cloth to iron, </w:t>
      </w:r>
      <w:r w:rsidRPr="00371FC0">
        <w:rPr>
          <w:rFonts w:cs="Times New Roman"/>
        </w:rPr>
        <w:t>158.</w:t>
      </w:r>
    </w:p>
  </w:footnote>
  <w:footnote w:id="53">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That is, at 3 </w:t>
      </w:r>
      <w:r w:rsidRPr="00371FC0">
        <w:rPr>
          <w:rFonts w:cs="Times New Roman"/>
          <w:i/>
        </w:rPr>
        <w:t xml:space="preserve">d. </w:t>
      </w:r>
      <w:proofErr w:type="gramStart"/>
      <w:r w:rsidRPr="00371FC0">
        <w:rPr>
          <w:rFonts w:cs="Times New Roman"/>
        </w:rPr>
        <w:t>Per</w:t>
      </w:r>
      <w:proofErr w:type="gramEnd"/>
      <w:r w:rsidRPr="00371FC0">
        <w:rPr>
          <w:rFonts w:cs="Times New Roman"/>
        </w:rPr>
        <w:t xml:space="preserve"> lb. </w:t>
      </w:r>
      <w:r w:rsidR="00476FAB">
        <w:rPr>
          <w:rFonts w:cs="Times New Roman"/>
        </w:rPr>
        <w:t xml:space="preserve">C. </w:t>
      </w:r>
      <w:proofErr w:type="spellStart"/>
      <w:r w:rsidRPr="00371FC0">
        <w:rPr>
          <w:rFonts w:cs="Times New Roman"/>
        </w:rPr>
        <w:t>Headlam</w:t>
      </w:r>
      <w:proofErr w:type="spellEnd"/>
      <w:r w:rsidRPr="00371FC0">
        <w:rPr>
          <w:rFonts w:cs="Times New Roman"/>
        </w:rPr>
        <w:t xml:space="preserve">, (ed.), </w:t>
      </w:r>
      <w:r w:rsidRPr="00371FC0">
        <w:rPr>
          <w:rStyle w:val="Emphasis"/>
          <w:rFonts w:cs="Times New Roman"/>
        </w:rPr>
        <w:t>Calendar of State Papers Colonial, America and West Indies, Volume 24: 1708-1709</w:t>
      </w:r>
      <w:r w:rsidRPr="00371FC0">
        <w:rPr>
          <w:rFonts w:cs="Times New Roman"/>
        </w:rPr>
        <w:t xml:space="preserve"> (</w:t>
      </w:r>
      <w:r w:rsidR="00476FAB">
        <w:rPr>
          <w:rFonts w:cs="Times New Roman"/>
        </w:rPr>
        <w:t xml:space="preserve">1922), </w:t>
      </w:r>
      <w:r w:rsidRPr="00371FC0">
        <w:rPr>
          <w:rFonts w:cs="Times New Roman"/>
        </w:rPr>
        <w:t>18-33 (July 7</w:t>
      </w:r>
      <w:r w:rsidRPr="00371FC0">
        <w:rPr>
          <w:rFonts w:cs="Times New Roman"/>
          <w:vertAlign w:val="superscript"/>
        </w:rPr>
        <w:t>th</w:t>
      </w:r>
      <w:r w:rsidRPr="00371FC0">
        <w:rPr>
          <w:rFonts w:cs="Times New Roman"/>
        </w:rPr>
        <w:t>).</w:t>
      </w:r>
    </w:p>
  </w:footnote>
  <w:footnote w:id="54">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The 1736 is contained in a petition to set up production in North Carolina, stating that a ton cost £24 and around 2 300 tons was imported annually, coming to £55 200. </w:t>
      </w:r>
      <w:r w:rsidRPr="00371FC0">
        <w:rPr>
          <w:rStyle w:val="Emphasis"/>
          <w:rFonts w:cs="Times New Roman"/>
        </w:rPr>
        <w:t>Calendar of State Papers Colonial, America and West Indies, Volume 42: 1735-1736</w:t>
      </w:r>
      <w:r w:rsidRPr="00371FC0">
        <w:rPr>
          <w:rFonts w:cs="Times New Roman"/>
        </w:rPr>
        <w:t xml:space="preserve"> (1953), </w:t>
      </w:r>
      <w:r w:rsidR="00476FAB">
        <w:rPr>
          <w:rFonts w:cs="Times New Roman"/>
        </w:rPr>
        <w:t>151-156; i</w:t>
      </w:r>
      <w:r w:rsidRPr="00371FC0">
        <w:rPr>
          <w:rFonts w:cs="Times New Roman"/>
        </w:rPr>
        <w:t>n 1755 Stephens reckoned 3 000 tons were imported to Britain (i.e. over 6 million lbs) at a value of over £100 000, implying 34s per hundredweight, although the sum of money seems rather generic; and he sold some of his own production at 33s per cwt. Stephens</w:t>
      </w:r>
      <w:r w:rsidR="00476FAB">
        <w:rPr>
          <w:rFonts w:cs="Times New Roman"/>
        </w:rPr>
        <w:t xml:space="preserve">, </w:t>
      </w:r>
      <w:r w:rsidR="00476FAB">
        <w:rPr>
          <w:rFonts w:cs="Times New Roman"/>
          <w:i/>
        </w:rPr>
        <w:t>method,</w:t>
      </w:r>
      <w:r w:rsidRPr="00371FC0">
        <w:rPr>
          <w:rFonts w:cs="Times New Roman"/>
        </w:rPr>
        <w:t xml:space="preserve"> 14, 18, 28; </w:t>
      </w:r>
      <w:proofErr w:type="spellStart"/>
      <w:r w:rsidRPr="00371FC0">
        <w:rPr>
          <w:rFonts w:cs="Times New Roman"/>
        </w:rPr>
        <w:t>Clow</w:t>
      </w:r>
      <w:proofErr w:type="spellEnd"/>
      <w:r w:rsidRPr="00371FC0">
        <w:rPr>
          <w:rFonts w:cs="Times New Roman"/>
        </w:rPr>
        <w:t xml:space="preserve"> &amp; </w:t>
      </w:r>
      <w:proofErr w:type="spellStart"/>
      <w:r w:rsidRPr="00371FC0">
        <w:rPr>
          <w:rFonts w:cs="Times New Roman"/>
        </w:rPr>
        <w:t>Clow</w:t>
      </w:r>
      <w:proofErr w:type="spellEnd"/>
      <w:r w:rsidR="00476FAB">
        <w:rPr>
          <w:rFonts w:cs="Times New Roman"/>
        </w:rPr>
        <w:t xml:space="preserve">, </w:t>
      </w:r>
      <w:r w:rsidR="00476FAB">
        <w:rPr>
          <w:rFonts w:cs="Times New Roman"/>
          <w:i/>
        </w:rPr>
        <w:t xml:space="preserve">chemical revolution, </w:t>
      </w:r>
      <w:r w:rsidRPr="00371FC0">
        <w:rPr>
          <w:rFonts w:cs="Times New Roman"/>
        </w:rPr>
        <w:t>66., also cite prices implying a rise from a mere 14s per cwt in 1740 to around 22s in 1750;  See also p.67; NAS NG1/1/17; NG1/7/5; NG1/16/1; NG1/42/1; NG1/53/1.</w:t>
      </w:r>
    </w:p>
  </w:footnote>
  <w:footnote w:id="55">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w:t>
      </w:r>
      <w:r w:rsidR="00476FAB">
        <w:rPr>
          <w:rFonts w:cs="Times New Roman"/>
        </w:rPr>
        <w:t xml:space="preserve">N.W. </w:t>
      </w:r>
      <w:proofErr w:type="spellStart"/>
      <w:r w:rsidRPr="00371FC0">
        <w:rPr>
          <w:rFonts w:cs="Times New Roman"/>
        </w:rPr>
        <w:t>Posthumus</w:t>
      </w:r>
      <w:proofErr w:type="spellEnd"/>
      <w:r w:rsidRPr="00371FC0">
        <w:rPr>
          <w:rFonts w:cs="Times New Roman"/>
        </w:rPr>
        <w:t xml:space="preserve">, </w:t>
      </w:r>
      <w:r w:rsidRPr="00371FC0">
        <w:rPr>
          <w:rFonts w:cs="Times New Roman"/>
          <w:i/>
        </w:rPr>
        <w:t>Inquiry into the History of Prices in Holland</w:t>
      </w:r>
      <w:r w:rsidR="00476FAB">
        <w:rPr>
          <w:rFonts w:cs="Times New Roman"/>
        </w:rPr>
        <w:t xml:space="preserve"> (</w:t>
      </w:r>
      <w:r w:rsidRPr="00371FC0">
        <w:rPr>
          <w:rFonts w:cs="Times New Roman"/>
        </w:rPr>
        <w:t>Leiden, 1946)</w:t>
      </w:r>
    </w:p>
  </w:footnote>
  <w:footnote w:id="56">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It may have been the impact of the War of Austrian Succession that triggered efforts to find cheaper alternatives in Scotland, with similar effects during the Seven Years’ War of 1757-63. See NAS NG 1/1/17; NG1/7/5; NG1/16/1; Hinton</w:t>
      </w:r>
      <w:r w:rsidR="00476FAB">
        <w:rPr>
          <w:rFonts w:cs="Times New Roman"/>
        </w:rPr>
        <w:t xml:space="preserve">, </w:t>
      </w:r>
      <w:r w:rsidR="00476FAB">
        <w:rPr>
          <w:rFonts w:cs="Times New Roman"/>
          <w:i/>
        </w:rPr>
        <w:t>Eastland trade</w:t>
      </w:r>
      <w:r w:rsidRPr="00371FC0">
        <w:rPr>
          <w:rFonts w:cs="Times New Roman"/>
        </w:rPr>
        <w:t>, p.187.</w:t>
      </w:r>
    </w:p>
  </w:footnote>
  <w:footnote w:id="57">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See </w:t>
      </w:r>
      <w:proofErr w:type="spellStart"/>
      <w:r w:rsidRPr="00371FC0">
        <w:rPr>
          <w:rFonts w:cs="Times New Roman"/>
        </w:rPr>
        <w:t>G</w:t>
      </w:r>
      <w:r>
        <w:rPr>
          <w:rFonts w:cs="Times New Roman"/>
        </w:rPr>
        <w:t>elius</w:t>
      </w:r>
      <w:proofErr w:type="spellEnd"/>
      <w:r w:rsidRPr="00371FC0">
        <w:rPr>
          <w:rFonts w:cs="Times New Roman"/>
        </w:rPr>
        <w:t>,</w:t>
      </w:r>
      <w:r>
        <w:rPr>
          <w:rFonts w:cs="Times New Roman"/>
        </w:rPr>
        <w:t xml:space="preserve"> ‘</w:t>
      </w:r>
      <w:proofErr w:type="spellStart"/>
      <w:r>
        <w:rPr>
          <w:rFonts w:cs="Times New Roman"/>
        </w:rPr>
        <w:t>Seehandel</w:t>
      </w:r>
      <w:proofErr w:type="spellEnd"/>
      <w:r>
        <w:rPr>
          <w:rFonts w:cs="Times New Roman"/>
        </w:rPr>
        <w:t xml:space="preserve">’, </w:t>
      </w:r>
      <w:r w:rsidRPr="00371FC0">
        <w:rPr>
          <w:rFonts w:cs="Times New Roman"/>
        </w:rPr>
        <w:t>62.</w:t>
      </w:r>
    </w:p>
  </w:footnote>
  <w:footnote w:id="58">
    <w:p w:rsidR="00907B0D" w:rsidRPr="00371FC0" w:rsidRDefault="00907B0D" w:rsidP="002C7E6D">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 xml:space="preserve">Calculated from data provided by Bob Allen and available at </w:t>
      </w:r>
      <w:r w:rsidRPr="00371FC0">
        <w:rPr>
          <w:rStyle w:val="ft"/>
          <w:rFonts w:cs="Times New Roman"/>
          <w:color w:val="222222"/>
        </w:rPr>
        <w:t>http://www.nuffield.ox.ac.uk/users/allen/greatdiv</w:t>
      </w:r>
      <w:r>
        <w:rPr>
          <w:rFonts w:cs="Times New Roman"/>
        </w:rPr>
        <w:t>.</w:t>
      </w:r>
      <w:proofErr w:type="gramEnd"/>
      <w:r>
        <w:rPr>
          <w:rFonts w:cs="Times New Roman"/>
        </w:rPr>
        <w:t xml:space="preserve"> </w:t>
      </w:r>
      <w:proofErr w:type="spellStart"/>
      <w:proofErr w:type="gramStart"/>
      <w:r>
        <w:rPr>
          <w:rFonts w:cs="Times New Roman"/>
        </w:rPr>
        <w:t>Fedorowicz</w:t>
      </w:r>
      <w:proofErr w:type="spellEnd"/>
      <w:r>
        <w:rPr>
          <w:rFonts w:cs="Times New Roman"/>
        </w:rPr>
        <w:t xml:space="preserve">, </w:t>
      </w:r>
      <w:r>
        <w:rPr>
          <w:rFonts w:cs="Times New Roman"/>
          <w:i/>
        </w:rPr>
        <w:t xml:space="preserve">England’s </w:t>
      </w:r>
      <w:r w:rsidRPr="00371FC0">
        <w:rPr>
          <w:rFonts w:cs="Times New Roman"/>
          <w:i/>
        </w:rPr>
        <w:t>Baltic trade</w:t>
      </w:r>
      <w:r>
        <w:rPr>
          <w:rFonts w:cs="Times New Roman"/>
        </w:rPr>
        <w:t xml:space="preserve">, </w:t>
      </w:r>
      <w:r w:rsidRPr="00371FC0">
        <w:rPr>
          <w:rFonts w:cs="Times New Roman"/>
        </w:rPr>
        <w:t>94.</w:t>
      </w:r>
      <w:proofErr w:type="gramEnd"/>
    </w:p>
  </w:footnote>
  <w:footnote w:id="59">
    <w:p w:rsidR="00907B0D" w:rsidRPr="00371FC0" w:rsidRDefault="00907B0D" w:rsidP="002C7E6D">
      <w:pPr>
        <w:pStyle w:val="FootnoteText"/>
        <w:rPr>
          <w:rFonts w:cs="Times New Roman"/>
        </w:rPr>
      </w:pPr>
      <w:r w:rsidRPr="00371FC0">
        <w:rPr>
          <w:rStyle w:val="FootnoteReference"/>
          <w:rFonts w:cs="Times New Roman"/>
        </w:rPr>
        <w:footnoteRef/>
      </w:r>
      <w:r>
        <w:rPr>
          <w:rFonts w:cs="Times New Roman"/>
        </w:rPr>
        <w:t xml:space="preserve"> </w:t>
      </w:r>
      <w:proofErr w:type="spellStart"/>
      <w:proofErr w:type="gramStart"/>
      <w:r>
        <w:rPr>
          <w:rFonts w:cs="Times New Roman"/>
        </w:rPr>
        <w:t>Fedorowicz</w:t>
      </w:r>
      <w:proofErr w:type="spellEnd"/>
      <w:r>
        <w:rPr>
          <w:rFonts w:cs="Times New Roman"/>
        </w:rPr>
        <w:t xml:space="preserve">, </w:t>
      </w:r>
      <w:r>
        <w:rPr>
          <w:rFonts w:cs="Times New Roman"/>
          <w:i/>
        </w:rPr>
        <w:t xml:space="preserve">England’s </w:t>
      </w:r>
      <w:r w:rsidRPr="00371FC0">
        <w:rPr>
          <w:rFonts w:cs="Times New Roman"/>
          <w:i/>
        </w:rPr>
        <w:t>Baltic trade</w:t>
      </w:r>
      <w:r>
        <w:rPr>
          <w:rFonts w:cs="Times New Roman"/>
          <w:i/>
        </w:rPr>
        <w:t>,</w:t>
      </w:r>
      <w:r w:rsidRPr="00371FC0">
        <w:rPr>
          <w:rFonts w:cs="Times New Roman"/>
        </w:rPr>
        <w:t xml:space="preserve"> 103.</w:t>
      </w:r>
      <w:proofErr w:type="gramEnd"/>
    </w:p>
  </w:footnote>
  <w:footnote w:id="60">
    <w:p w:rsidR="00907B0D" w:rsidRPr="00371FC0" w:rsidRDefault="00907B0D" w:rsidP="00BF2F9C">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TNA SP/</w:t>
      </w:r>
      <w:r w:rsidRPr="00371FC0">
        <w:rPr>
          <w:rStyle w:val="definition"/>
          <w:rFonts w:cs="Times New Roman"/>
        </w:rPr>
        <w:t>14/158 f.79</w:t>
      </w:r>
      <w:r w:rsidRPr="00371FC0">
        <w:rPr>
          <w:rFonts w:cs="Times New Roman"/>
        </w:rPr>
        <w:t xml:space="preserve">; </w:t>
      </w:r>
      <w:r w:rsidRPr="00371FC0">
        <w:rPr>
          <w:rStyle w:val="definition"/>
          <w:rFonts w:cs="Times New Roman"/>
        </w:rPr>
        <w:t xml:space="preserve">SP 14/155 f.58, 62; </w:t>
      </w:r>
      <w:proofErr w:type="spellStart"/>
      <w:r>
        <w:rPr>
          <w:rFonts w:cs="Times New Roman"/>
        </w:rPr>
        <w:t>Fedorowicz</w:t>
      </w:r>
      <w:proofErr w:type="spellEnd"/>
      <w:r>
        <w:rPr>
          <w:rFonts w:cs="Times New Roman"/>
        </w:rPr>
        <w:t xml:space="preserve">, </w:t>
      </w:r>
      <w:r>
        <w:rPr>
          <w:rFonts w:cs="Times New Roman"/>
          <w:i/>
        </w:rPr>
        <w:t xml:space="preserve">England’s </w:t>
      </w:r>
      <w:r w:rsidRPr="00371FC0">
        <w:rPr>
          <w:rFonts w:cs="Times New Roman"/>
          <w:i/>
        </w:rPr>
        <w:t>Baltic trade</w:t>
      </w:r>
      <w:r>
        <w:rPr>
          <w:rFonts w:cs="Times New Roman"/>
        </w:rPr>
        <w:t xml:space="preserve">, </w:t>
      </w:r>
      <w:r w:rsidRPr="00371FC0">
        <w:rPr>
          <w:rFonts w:cs="Times New Roman"/>
        </w:rPr>
        <w:t>gives a detailed account of the frequently inept dealings of the British Crown; pp.174-187.</w:t>
      </w:r>
      <w:proofErr w:type="gramEnd"/>
    </w:p>
  </w:footnote>
  <w:footnote w:id="61">
    <w:p w:rsidR="00907B0D" w:rsidRPr="00371FC0" w:rsidRDefault="00907B0D" w:rsidP="00226DA6">
      <w:pPr>
        <w:pStyle w:val="FootnoteText"/>
        <w:rPr>
          <w:rFonts w:cs="Times New Roman"/>
        </w:rPr>
      </w:pPr>
      <w:r w:rsidRPr="00371FC0">
        <w:rPr>
          <w:rStyle w:val="FootnoteReference"/>
          <w:rFonts w:cs="Times New Roman"/>
        </w:rPr>
        <w:footnoteRef/>
      </w:r>
      <w:r>
        <w:rPr>
          <w:rFonts w:cs="Times New Roman"/>
        </w:rPr>
        <w:t xml:space="preserve"> </w:t>
      </w:r>
      <w:proofErr w:type="spellStart"/>
      <w:proofErr w:type="gramStart"/>
      <w:r>
        <w:rPr>
          <w:rFonts w:cs="Times New Roman"/>
        </w:rPr>
        <w:t>Fedorowicz</w:t>
      </w:r>
      <w:proofErr w:type="spellEnd"/>
      <w:r>
        <w:rPr>
          <w:rFonts w:cs="Times New Roman"/>
        </w:rPr>
        <w:t xml:space="preserve">, </w:t>
      </w:r>
      <w:r>
        <w:rPr>
          <w:rFonts w:cs="Times New Roman"/>
          <w:i/>
        </w:rPr>
        <w:t xml:space="preserve">England’s </w:t>
      </w:r>
      <w:r w:rsidRPr="00371FC0">
        <w:rPr>
          <w:rFonts w:cs="Times New Roman"/>
          <w:i/>
        </w:rPr>
        <w:t>Baltic trade</w:t>
      </w:r>
      <w:r>
        <w:rPr>
          <w:rFonts w:cs="Times New Roman"/>
        </w:rPr>
        <w:t xml:space="preserve">, </w:t>
      </w:r>
      <w:r w:rsidR="00476FAB">
        <w:rPr>
          <w:rFonts w:cs="Times New Roman"/>
        </w:rPr>
        <w:t xml:space="preserve">168-73, 207; </w:t>
      </w:r>
      <w:proofErr w:type="spellStart"/>
      <w:r w:rsidR="00476FAB">
        <w:rPr>
          <w:rFonts w:cs="Times New Roman"/>
        </w:rPr>
        <w:t>Clow</w:t>
      </w:r>
      <w:proofErr w:type="spellEnd"/>
      <w:r w:rsidR="00476FAB">
        <w:rPr>
          <w:rFonts w:cs="Times New Roman"/>
        </w:rPr>
        <w:t xml:space="preserve"> &amp; </w:t>
      </w:r>
      <w:proofErr w:type="spellStart"/>
      <w:r w:rsidR="00476FAB">
        <w:rPr>
          <w:rFonts w:cs="Times New Roman"/>
        </w:rPr>
        <w:t>Clow</w:t>
      </w:r>
      <w:proofErr w:type="spellEnd"/>
      <w:r w:rsidR="00476FAB">
        <w:rPr>
          <w:rFonts w:cs="Times New Roman"/>
        </w:rPr>
        <w:t xml:space="preserve">, </w:t>
      </w:r>
      <w:r w:rsidR="00476FAB">
        <w:rPr>
          <w:rFonts w:cs="Times New Roman"/>
          <w:i/>
        </w:rPr>
        <w:t xml:space="preserve">chemical revolution, </w:t>
      </w:r>
      <w:r w:rsidRPr="00371FC0">
        <w:rPr>
          <w:rFonts w:cs="Times New Roman"/>
        </w:rPr>
        <w:t xml:space="preserve">5, 15-6; </w:t>
      </w:r>
      <w:r w:rsidR="00476FAB">
        <w:rPr>
          <w:rFonts w:cs="Times New Roman"/>
        </w:rPr>
        <w:t xml:space="preserve">David </w:t>
      </w:r>
      <w:proofErr w:type="spellStart"/>
      <w:r w:rsidRPr="00371FC0">
        <w:rPr>
          <w:rFonts w:cs="Times New Roman"/>
        </w:rPr>
        <w:t>Ormrod</w:t>
      </w:r>
      <w:proofErr w:type="spellEnd"/>
      <w:r w:rsidRPr="00371FC0">
        <w:rPr>
          <w:rFonts w:cs="Times New Roman"/>
        </w:rPr>
        <w:t xml:space="preserve">, </w:t>
      </w:r>
      <w:r w:rsidRPr="00371FC0">
        <w:rPr>
          <w:rFonts w:cs="Times New Roman"/>
          <w:i/>
        </w:rPr>
        <w:t>The rise of commercial empires.</w:t>
      </w:r>
      <w:proofErr w:type="gramEnd"/>
      <w:r w:rsidRPr="00371FC0">
        <w:rPr>
          <w:rFonts w:cs="Times New Roman"/>
          <w:i/>
        </w:rPr>
        <w:t xml:space="preserve"> </w:t>
      </w:r>
      <w:proofErr w:type="gramStart"/>
      <w:r w:rsidRPr="00371FC0">
        <w:rPr>
          <w:rFonts w:cs="Times New Roman"/>
          <w:i/>
        </w:rPr>
        <w:t xml:space="preserve">England and the Netherlands in the age of mercantilism, 1650-1770 </w:t>
      </w:r>
      <w:r w:rsidR="00476FAB">
        <w:rPr>
          <w:rFonts w:cs="Times New Roman"/>
        </w:rPr>
        <w:t xml:space="preserve">(Cambridge, 2003), </w:t>
      </w:r>
      <w:r w:rsidRPr="00371FC0">
        <w:rPr>
          <w:rFonts w:cs="Times New Roman"/>
        </w:rPr>
        <w:t>282.</w:t>
      </w:r>
      <w:proofErr w:type="gramEnd"/>
    </w:p>
  </w:footnote>
  <w:footnote w:id="62">
    <w:p w:rsidR="00907B0D" w:rsidRPr="00371FC0" w:rsidRDefault="00907B0D" w:rsidP="00226DA6">
      <w:pPr>
        <w:pStyle w:val="FootnoteText"/>
        <w:rPr>
          <w:rFonts w:cs="Times New Roman"/>
        </w:rPr>
      </w:pPr>
      <w:r w:rsidRPr="00371FC0">
        <w:rPr>
          <w:rStyle w:val="FootnoteReference"/>
          <w:rFonts w:cs="Times New Roman"/>
        </w:rPr>
        <w:footnoteRef/>
      </w:r>
      <w:r w:rsidRPr="00371FC0">
        <w:rPr>
          <w:rFonts w:cs="Times New Roman"/>
        </w:rPr>
        <w:t xml:space="preserve"> This led to some confusion when German pearl ashes were imported from the Netherlands or Germany and recorded as potashes, but it was agreed in 1692 that this trade was legitimate. This was rectified in statute in 1698 when pearl-ash imports from Germany were made legal. </w:t>
      </w:r>
      <w:r w:rsidR="00476FAB">
        <w:rPr>
          <w:rFonts w:cs="Times New Roman"/>
        </w:rPr>
        <w:t xml:space="preserve">W.A. </w:t>
      </w:r>
      <w:r w:rsidRPr="00371FC0">
        <w:rPr>
          <w:rFonts w:cs="Times New Roman"/>
        </w:rPr>
        <w:t xml:space="preserve">Shaw, (ed.), </w:t>
      </w:r>
      <w:r w:rsidRPr="00371FC0">
        <w:rPr>
          <w:rStyle w:val="Emphasis"/>
          <w:rFonts w:cs="Times New Roman"/>
        </w:rPr>
        <w:t>Calendar of Treasury Books, Volume 9: 1689-1692</w:t>
      </w:r>
      <w:r w:rsidRPr="00371FC0">
        <w:rPr>
          <w:rFonts w:cs="Times New Roman"/>
        </w:rPr>
        <w:t xml:space="preserve"> (1931), pp. 1434-1445; also </w:t>
      </w:r>
      <w:r w:rsidR="00476FAB">
        <w:rPr>
          <w:rFonts w:cs="Times New Roman"/>
        </w:rPr>
        <w:t xml:space="preserve">W.A. </w:t>
      </w:r>
      <w:r w:rsidRPr="00371FC0">
        <w:rPr>
          <w:rFonts w:cs="Times New Roman"/>
        </w:rPr>
        <w:t xml:space="preserve">Shaw, (ed.), </w:t>
      </w:r>
      <w:r w:rsidRPr="00371FC0">
        <w:rPr>
          <w:rStyle w:val="Emphasis"/>
          <w:rFonts w:cs="Times New Roman"/>
        </w:rPr>
        <w:t>Calendar of Treasury Books, Volume 1: 1660-1667</w:t>
      </w:r>
      <w:r w:rsidR="00476FAB">
        <w:rPr>
          <w:rFonts w:cs="Times New Roman"/>
        </w:rPr>
        <w:t xml:space="preserve"> (1904), </w:t>
      </w:r>
      <w:r w:rsidRPr="00371FC0">
        <w:rPr>
          <w:rFonts w:cs="Times New Roman"/>
        </w:rPr>
        <w:t xml:space="preserve">490-497; </w:t>
      </w:r>
      <w:r w:rsidR="00476FAB">
        <w:rPr>
          <w:rFonts w:cs="Times New Roman"/>
        </w:rPr>
        <w:t xml:space="preserve">J. </w:t>
      </w:r>
      <w:proofErr w:type="spellStart"/>
      <w:r w:rsidRPr="00371FC0">
        <w:rPr>
          <w:rFonts w:cs="Times New Roman"/>
        </w:rPr>
        <w:t>Raithby</w:t>
      </w:r>
      <w:proofErr w:type="spellEnd"/>
      <w:r w:rsidRPr="00371FC0">
        <w:rPr>
          <w:rFonts w:cs="Times New Roman"/>
        </w:rPr>
        <w:t xml:space="preserve">, </w:t>
      </w:r>
      <w:r w:rsidRPr="00371FC0">
        <w:rPr>
          <w:rStyle w:val="Emphasis"/>
          <w:rFonts w:cs="Times New Roman"/>
        </w:rPr>
        <w:t>Statutes of the Realm: volume 7: 1695-1701</w:t>
      </w:r>
      <w:r w:rsidRPr="00371FC0">
        <w:rPr>
          <w:rFonts w:cs="Times New Roman"/>
        </w:rPr>
        <w:t xml:space="preserve"> (1820), 501-508.</w:t>
      </w:r>
    </w:p>
  </w:footnote>
  <w:footnote w:id="63">
    <w:p w:rsidR="00907B0D" w:rsidRPr="00371FC0" w:rsidRDefault="00907B0D" w:rsidP="00012DC7">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r w:rsidRPr="00371FC0">
        <w:rPr>
          <w:rFonts w:cs="Times New Roman"/>
        </w:rPr>
        <w:t>Bogucka</w:t>
      </w:r>
      <w:proofErr w:type="spellEnd"/>
      <w:r w:rsidR="00476FAB">
        <w:rPr>
          <w:rFonts w:cs="Times New Roman"/>
        </w:rPr>
        <w:t>, ‘</w:t>
      </w:r>
      <w:proofErr w:type="spellStart"/>
      <w:r w:rsidR="00476FAB">
        <w:rPr>
          <w:rFonts w:cs="Times New Roman"/>
        </w:rPr>
        <w:t>Pottaschehandel</w:t>
      </w:r>
      <w:proofErr w:type="spellEnd"/>
      <w:r w:rsidR="00476FAB">
        <w:rPr>
          <w:rFonts w:cs="Times New Roman"/>
        </w:rPr>
        <w:t xml:space="preserve">’, </w:t>
      </w:r>
      <w:r w:rsidRPr="00371FC0">
        <w:rPr>
          <w:rFonts w:cs="Times New Roman"/>
        </w:rPr>
        <w:t>151.</w:t>
      </w:r>
    </w:p>
  </w:footnote>
  <w:footnote w:id="64">
    <w:p w:rsidR="00907B0D" w:rsidRPr="00371FC0" w:rsidRDefault="00907B0D" w:rsidP="00012DC7">
      <w:pPr>
        <w:pStyle w:val="FootnoteText"/>
        <w:rPr>
          <w:rFonts w:cs="Times New Roman"/>
        </w:rPr>
      </w:pPr>
      <w:r w:rsidRPr="00371FC0">
        <w:rPr>
          <w:rStyle w:val="FootnoteReference"/>
          <w:rFonts w:cs="Times New Roman"/>
        </w:rPr>
        <w:footnoteRef/>
      </w:r>
      <w:r w:rsidRPr="00371FC0">
        <w:rPr>
          <w:rFonts w:cs="Times New Roman"/>
        </w:rPr>
        <w:t xml:space="preserve"> Calculated from </w:t>
      </w:r>
      <w:proofErr w:type="spellStart"/>
      <w:r w:rsidRPr="00371FC0">
        <w:rPr>
          <w:rFonts w:cs="Times New Roman"/>
        </w:rPr>
        <w:t>Åhman</w:t>
      </w:r>
      <w:proofErr w:type="spellEnd"/>
      <w:r w:rsidR="00476FAB">
        <w:rPr>
          <w:rFonts w:cs="Times New Roman"/>
        </w:rPr>
        <w:t xml:space="preserve">, </w:t>
      </w:r>
      <w:proofErr w:type="spellStart"/>
      <w:r w:rsidR="00476FAB">
        <w:rPr>
          <w:i/>
        </w:rPr>
        <w:t>Hamiltonska</w:t>
      </w:r>
      <w:proofErr w:type="spellEnd"/>
      <w:r w:rsidR="00476FAB">
        <w:rPr>
          <w:i/>
        </w:rPr>
        <w:t xml:space="preserve"> </w:t>
      </w:r>
      <w:proofErr w:type="spellStart"/>
      <w:r w:rsidR="00476FAB">
        <w:rPr>
          <w:i/>
        </w:rPr>
        <w:t>Pottaskekompaniet</w:t>
      </w:r>
      <w:proofErr w:type="spellEnd"/>
      <w:r w:rsidR="00476FAB">
        <w:rPr>
          <w:rFonts w:cs="Times New Roman"/>
        </w:rPr>
        <w:t xml:space="preserve">, </w:t>
      </w:r>
      <w:proofErr w:type="gramStart"/>
      <w:r w:rsidRPr="00371FC0">
        <w:rPr>
          <w:rFonts w:cs="Times New Roman"/>
        </w:rPr>
        <w:t>53</w:t>
      </w:r>
      <w:proofErr w:type="gramEnd"/>
      <w:r w:rsidRPr="00371FC0">
        <w:rPr>
          <w:rFonts w:cs="Times New Roman"/>
        </w:rPr>
        <w:t xml:space="preserve">-4. If the prices were anything like those recorded nearby in 1649, when the price was 21-22 s per cwt, the profit margin was slim indeed, but 1649-50 was a very high price year. On the other hand the Company had the right to buy up ordinary wood ash at the price of around 10-11s (16 </w:t>
      </w:r>
      <w:proofErr w:type="spellStart"/>
      <w:r w:rsidRPr="00371FC0">
        <w:rPr>
          <w:rFonts w:cs="Times New Roman"/>
          <w:i/>
        </w:rPr>
        <w:t>öre</w:t>
      </w:r>
      <w:proofErr w:type="spellEnd"/>
      <w:r w:rsidRPr="00371FC0">
        <w:rPr>
          <w:rFonts w:cs="Times New Roman"/>
        </w:rPr>
        <w:t xml:space="preserve">) that suggests a similar price per cwt of potash. This agreement was possibly an error by the company predicated in the high prices early in the decade and the early tests of producing potash from local ash, and would explain the alacrity with which peasants sold to them.  Indeed, it may only have been in the 1650s that potash production was at all feasible in southern Scandinavia. Hamilton’s company was bankrupted soon after, not helped by the Swedish-Danish war that broke out in 1658 </w:t>
      </w:r>
      <w:proofErr w:type="spellStart"/>
      <w:r w:rsidRPr="00371FC0">
        <w:rPr>
          <w:rFonts w:cs="Times New Roman"/>
        </w:rPr>
        <w:t>Åhman</w:t>
      </w:r>
      <w:proofErr w:type="spellEnd"/>
      <w:r w:rsidR="00476FAB">
        <w:rPr>
          <w:rFonts w:cs="Times New Roman"/>
        </w:rPr>
        <w:t xml:space="preserve">, </w:t>
      </w:r>
      <w:proofErr w:type="spellStart"/>
      <w:r w:rsidR="00476FAB" w:rsidRPr="00371FC0">
        <w:rPr>
          <w:i/>
        </w:rPr>
        <w:t>Hamiltonska</w:t>
      </w:r>
      <w:proofErr w:type="spellEnd"/>
      <w:r w:rsidR="00476FAB" w:rsidRPr="00371FC0">
        <w:rPr>
          <w:i/>
        </w:rPr>
        <w:t xml:space="preserve"> </w:t>
      </w:r>
      <w:proofErr w:type="spellStart"/>
      <w:r w:rsidR="00476FAB" w:rsidRPr="00371FC0">
        <w:rPr>
          <w:i/>
        </w:rPr>
        <w:t>Pottaskekompaniet</w:t>
      </w:r>
      <w:proofErr w:type="spellEnd"/>
      <w:r w:rsidR="00476FAB">
        <w:rPr>
          <w:i/>
        </w:rPr>
        <w:t xml:space="preserve">, </w:t>
      </w:r>
      <w:r w:rsidRPr="00371FC0">
        <w:rPr>
          <w:rFonts w:cs="Times New Roman"/>
        </w:rPr>
        <w:t xml:space="preserve">10, 23, 58, </w:t>
      </w:r>
      <w:proofErr w:type="gramStart"/>
      <w:r w:rsidRPr="00371FC0">
        <w:rPr>
          <w:rFonts w:cs="Times New Roman"/>
        </w:rPr>
        <w:t>62</w:t>
      </w:r>
      <w:proofErr w:type="gramEnd"/>
      <w:r w:rsidRPr="00371FC0">
        <w:rPr>
          <w:rFonts w:cs="Times New Roman"/>
        </w:rPr>
        <w:t>-3.</w:t>
      </w:r>
    </w:p>
  </w:footnote>
  <w:footnote w:id="65">
    <w:p w:rsidR="00907B0D" w:rsidRPr="00371FC0" w:rsidRDefault="00907B0D" w:rsidP="005E47CD">
      <w:pPr>
        <w:pStyle w:val="FootnoteText"/>
        <w:rPr>
          <w:rFonts w:cs="Times New Roman"/>
        </w:rPr>
      </w:pPr>
      <w:r w:rsidRPr="00371FC0">
        <w:rPr>
          <w:rStyle w:val="FootnoteReference"/>
          <w:rFonts w:cs="Times New Roman"/>
        </w:rPr>
        <w:footnoteRef/>
      </w:r>
      <w:r w:rsidRPr="00371FC0">
        <w:rPr>
          <w:rFonts w:cs="Times New Roman"/>
        </w:rPr>
        <w:t xml:space="preserve"> See also TNA </w:t>
      </w:r>
      <w:r w:rsidRPr="00371FC0">
        <w:rPr>
          <w:rStyle w:val="definition"/>
          <w:rFonts w:cs="Times New Roman"/>
        </w:rPr>
        <w:t>SP 82/11 f.220</w:t>
      </w:r>
      <w:r w:rsidRPr="00371FC0">
        <w:rPr>
          <w:rFonts w:cs="Times New Roman"/>
        </w:rPr>
        <w:t xml:space="preserve"> regarding Wallachian shipments in the 1670s; </w:t>
      </w:r>
      <w:proofErr w:type="spellStart"/>
      <w:r w:rsidRPr="00371FC0">
        <w:rPr>
          <w:rFonts w:cs="Times New Roman"/>
        </w:rPr>
        <w:t>Bogucka</w:t>
      </w:r>
      <w:proofErr w:type="spellEnd"/>
      <w:r w:rsidR="00CD069B">
        <w:rPr>
          <w:rFonts w:cs="Times New Roman"/>
        </w:rPr>
        <w:t>, ‘</w:t>
      </w:r>
      <w:proofErr w:type="spellStart"/>
      <w:r w:rsidR="00CD069B">
        <w:rPr>
          <w:rFonts w:cs="Times New Roman"/>
        </w:rPr>
        <w:t>Pottaschehandel</w:t>
      </w:r>
      <w:proofErr w:type="spellEnd"/>
      <w:r w:rsidR="00CD069B">
        <w:rPr>
          <w:rFonts w:cs="Times New Roman"/>
        </w:rPr>
        <w:t>’,</w:t>
      </w:r>
      <w:r w:rsidRPr="00371FC0">
        <w:rPr>
          <w:rFonts w:cs="Times New Roman"/>
        </w:rPr>
        <w:t xml:space="preserve"> 148-9; Hinton</w:t>
      </w:r>
      <w:r w:rsidR="00CD069B">
        <w:rPr>
          <w:rFonts w:cs="Times New Roman"/>
        </w:rPr>
        <w:t xml:space="preserve">, </w:t>
      </w:r>
      <w:r w:rsidR="00CD069B">
        <w:rPr>
          <w:rFonts w:cs="Times New Roman"/>
          <w:i/>
        </w:rPr>
        <w:t>Eastland trade</w:t>
      </w:r>
      <w:r w:rsidRPr="00371FC0">
        <w:rPr>
          <w:rFonts w:cs="Times New Roman"/>
        </w:rPr>
        <w:t>, 158.</w:t>
      </w:r>
    </w:p>
  </w:footnote>
  <w:footnote w:id="66">
    <w:p w:rsidR="00907B0D" w:rsidRPr="00CD069B" w:rsidRDefault="00907B0D" w:rsidP="00012DC7">
      <w:pPr>
        <w:pStyle w:val="FootnoteText"/>
        <w:rPr>
          <w:rFonts w:cs="Times New Roman"/>
          <w:i/>
        </w:rPr>
      </w:pPr>
      <w:r w:rsidRPr="00371FC0">
        <w:rPr>
          <w:rStyle w:val="FootnoteReference"/>
          <w:rFonts w:cs="Times New Roman"/>
        </w:rPr>
        <w:footnoteRef/>
      </w:r>
      <w:r w:rsidR="00CD069B">
        <w:rPr>
          <w:rFonts w:cs="Times New Roman"/>
        </w:rPr>
        <w:t xml:space="preserve"> </w:t>
      </w:r>
      <w:proofErr w:type="spellStart"/>
      <w:proofErr w:type="gramStart"/>
      <w:r w:rsidR="00CD069B" w:rsidRPr="00371FC0">
        <w:t>Kotilaine</w:t>
      </w:r>
      <w:proofErr w:type="spellEnd"/>
      <w:r w:rsidRPr="00371FC0">
        <w:rPr>
          <w:rFonts w:cs="Times New Roman"/>
        </w:rPr>
        <w:t>.</w:t>
      </w:r>
      <w:proofErr w:type="gramEnd"/>
      <w:r w:rsidR="00CD069B">
        <w:rPr>
          <w:rFonts w:cs="Times New Roman"/>
        </w:rPr>
        <w:t xml:space="preserve"> </w:t>
      </w:r>
      <w:proofErr w:type="gramStart"/>
      <w:r w:rsidR="00CD069B">
        <w:rPr>
          <w:rFonts w:cs="Times New Roman"/>
          <w:i/>
        </w:rPr>
        <w:t>Russia’s foreign trade.</w:t>
      </w:r>
      <w:proofErr w:type="gramEnd"/>
    </w:p>
  </w:footnote>
  <w:footnote w:id="67">
    <w:p w:rsidR="00907B0D" w:rsidRPr="00371FC0" w:rsidRDefault="00907B0D" w:rsidP="00012DC7">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proofErr w:type="gramStart"/>
      <w:r w:rsidRPr="00371FC0">
        <w:rPr>
          <w:rFonts w:cs="Times New Roman"/>
          <w:lang w:val="en-US"/>
        </w:rPr>
        <w:t>Isokas</w:t>
      </w:r>
      <w:proofErr w:type="spellEnd"/>
      <w:r w:rsidR="00CD069B">
        <w:rPr>
          <w:rFonts w:cs="Times New Roman"/>
          <w:lang w:val="en-US"/>
        </w:rPr>
        <w:t xml:space="preserve">, </w:t>
      </w:r>
      <w:proofErr w:type="spellStart"/>
      <w:r w:rsidRPr="00371FC0">
        <w:rPr>
          <w:rFonts w:cs="Times New Roman"/>
          <w:i/>
          <w:lang w:val="en-US"/>
        </w:rPr>
        <w:t>Giriose</w:t>
      </w:r>
      <w:proofErr w:type="spellEnd"/>
      <w:r w:rsidRPr="00371FC0">
        <w:rPr>
          <w:rFonts w:cs="Times New Roman"/>
          <w:lang w:val="en-US"/>
        </w:rPr>
        <w:t xml:space="preserve"> 40-42; </w:t>
      </w:r>
      <w:r w:rsidR="00CD069B">
        <w:rPr>
          <w:rFonts w:cs="Times New Roman"/>
          <w:lang w:val="en-US"/>
        </w:rPr>
        <w:t xml:space="preserve">E. </w:t>
      </w:r>
      <w:proofErr w:type="spellStart"/>
      <w:r w:rsidRPr="00371FC0">
        <w:rPr>
          <w:rFonts w:cs="Times New Roman"/>
          <w:lang w:val="en-US"/>
        </w:rPr>
        <w:t>Navys</w:t>
      </w:r>
      <w:proofErr w:type="spellEnd"/>
      <w:r w:rsidRPr="00371FC0">
        <w:rPr>
          <w:rFonts w:cs="Times New Roman"/>
          <w:lang w:val="en-US"/>
        </w:rPr>
        <w:t xml:space="preserve"> ‘</w:t>
      </w:r>
      <w:proofErr w:type="spellStart"/>
      <w:r w:rsidRPr="00371FC0">
        <w:rPr>
          <w:rFonts w:cs="Times New Roman"/>
          <w:lang w:val="en-US"/>
        </w:rPr>
        <w:t>Apie</w:t>
      </w:r>
      <w:proofErr w:type="spellEnd"/>
      <w:r w:rsidRPr="00371FC0">
        <w:rPr>
          <w:rFonts w:cs="Times New Roman"/>
          <w:lang w:val="en-US"/>
        </w:rPr>
        <w:t xml:space="preserve"> </w:t>
      </w:r>
      <w:proofErr w:type="spellStart"/>
      <w:r w:rsidRPr="00371FC0">
        <w:rPr>
          <w:rFonts w:cs="Times New Roman"/>
          <w:lang w:val="en-US"/>
        </w:rPr>
        <w:t>reakreacinius</w:t>
      </w:r>
      <w:proofErr w:type="spellEnd"/>
      <w:r w:rsidRPr="00371FC0">
        <w:rPr>
          <w:rFonts w:cs="Times New Roman"/>
          <w:lang w:val="en-US"/>
        </w:rPr>
        <w:t xml:space="preserve"> </w:t>
      </w:r>
      <w:proofErr w:type="spellStart"/>
      <w:r w:rsidRPr="00371FC0">
        <w:rPr>
          <w:rFonts w:cs="Times New Roman"/>
          <w:lang w:val="en-US"/>
        </w:rPr>
        <w:t>misku</w:t>
      </w:r>
      <w:proofErr w:type="spellEnd"/>
      <w:r w:rsidRPr="00371FC0">
        <w:rPr>
          <w:rFonts w:cs="Times New Roman"/>
          <w:lang w:val="en-US"/>
        </w:rPr>
        <w:t xml:space="preserve"> </w:t>
      </w:r>
      <w:proofErr w:type="spellStart"/>
      <w:r w:rsidRPr="00371FC0">
        <w:rPr>
          <w:rFonts w:cs="Times New Roman"/>
          <w:lang w:val="en-US"/>
        </w:rPr>
        <w:t>Lietuvoje</w:t>
      </w:r>
      <w:proofErr w:type="spellEnd"/>
      <w:r w:rsidRPr="00371FC0">
        <w:rPr>
          <w:rFonts w:cs="Times New Roman"/>
          <w:lang w:val="en-US"/>
        </w:rPr>
        <w:t xml:space="preserve">’ </w:t>
      </w:r>
      <w:proofErr w:type="spellStart"/>
      <w:r w:rsidRPr="00371FC0">
        <w:rPr>
          <w:rFonts w:cs="Times New Roman"/>
          <w:i/>
          <w:lang w:val="en-US"/>
        </w:rPr>
        <w:t>Girios</w:t>
      </w:r>
      <w:proofErr w:type="spellEnd"/>
      <w:r w:rsidRPr="00371FC0">
        <w:rPr>
          <w:rFonts w:cs="Times New Roman"/>
          <w:i/>
          <w:lang w:val="en-US"/>
        </w:rPr>
        <w:t>,</w:t>
      </w:r>
      <w:r w:rsidRPr="00371FC0">
        <w:rPr>
          <w:rFonts w:cs="Times New Roman"/>
          <w:lang w:val="en-US"/>
        </w:rPr>
        <w:t xml:space="preserve"> 12 (1976), 13; Kunnas</w:t>
      </w:r>
      <w:r w:rsidR="00CD069B">
        <w:rPr>
          <w:rFonts w:cs="Times New Roman"/>
          <w:lang w:val="en-US"/>
        </w:rPr>
        <w:t>, ‘Potash’</w:t>
      </w:r>
      <w:r w:rsidRPr="00371FC0">
        <w:rPr>
          <w:rFonts w:cs="Times New Roman"/>
          <w:lang w:val="en-US"/>
        </w:rPr>
        <w:t>.</w:t>
      </w:r>
      <w:proofErr w:type="gramEnd"/>
    </w:p>
  </w:footnote>
  <w:footnote w:id="68">
    <w:p w:rsidR="00907B0D" w:rsidRPr="00371FC0" w:rsidRDefault="00907B0D" w:rsidP="005E47CD">
      <w:pPr>
        <w:pStyle w:val="FootnoteText"/>
        <w:rPr>
          <w:rFonts w:cs="Times New Roman"/>
        </w:rPr>
      </w:pPr>
      <w:r w:rsidRPr="00371FC0">
        <w:rPr>
          <w:rStyle w:val="FootnoteReference"/>
          <w:rFonts w:cs="Times New Roman"/>
        </w:rPr>
        <w:footnoteRef/>
      </w:r>
      <w:r w:rsidR="00CD069B">
        <w:rPr>
          <w:rFonts w:cs="Times New Roman"/>
        </w:rPr>
        <w:t xml:space="preserve"> </w:t>
      </w:r>
      <w:proofErr w:type="spellStart"/>
      <w:proofErr w:type="gramStart"/>
      <w:r w:rsidR="00CD069B">
        <w:rPr>
          <w:rFonts w:cs="Times New Roman"/>
        </w:rPr>
        <w:t>Mager</w:t>
      </w:r>
      <w:proofErr w:type="spellEnd"/>
      <w:r w:rsidRPr="00371FC0">
        <w:rPr>
          <w:rFonts w:cs="Times New Roman"/>
        </w:rPr>
        <w:t>,</w:t>
      </w:r>
      <w:r w:rsidR="00CD069B">
        <w:rPr>
          <w:rFonts w:cs="Times New Roman"/>
        </w:rPr>
        <w:t xml:space="preserve"> </w:t>
      </w:r>
      <w:r w:rsidR="00CD069B">
        <w:rPr>
          <w:rFonts w:cs="Times New Roman"/>
          <w:i/>
        </w:rPr>
        <w:t>Der Wald,</w:t>
      </w:r>
      <w:r w:rsidRPr="00371FC0">
        <w:rPr>
          <w:rFonts w:cs="Times New Roman"/>
        </w:rPr>
        <w:t xml:space="preserve"> 43-4, 47.</w:t>
      </w:r>
      <w:proofErr w:type="gramEnd"/>
    </w:p>
  </w:footnote>
  <w:footnote w:id="69">
    <w:p w:rsidR="00907B0D" w:rsidRPr="00371FC0" w:rsidRDefault="00907B0D" w:rsidP="005E47CD">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00A157B0">
        <w:rPr>
          <w:rFonts w:cs="Times New Roman"/>
        </w:rPr>
        <w:t xml:space="preserve">Michael </w:t>
      </w:r>
      <w:r w:rsidRPr="00371FC0">
        <w:rPr>
          <w:rFonts w:cs="Times New Roman"/>
        </w:rPr>
        <w:t>North</w:t>
      </w:r>
      <w:r w:rsidR="00A157B0">
        <w:rPr>
          <w:rFonts w:cs="Times New Roman"/>
        </w:rPr>
        <w:t>, ‘</w:t>
      </w:r>
      <w:proofErr w:type="spellStart"/>
      <w:r w:rsidR="00A157B0">
        <w:rPr>
          <w:rFonts w:cs="Times New Roman"/>
        </w:rPr>
        <w:t>Waldwarenhandel</w:t>
      </w:r>
      <w:proofErr w:type="spellEnd"/>
      <w:r w:rsidR="00A157B0">
        <w:rPr>
          <w:rFonts w:cs="Times New Roman"/>
        </w:rPr>
        <w:t xml:space="preserve"> und –production.</w:t>
      </w:r>
      <w:proofErr w:type="gramEnd"/>
      <w:r w:rsidR="00A157B0">
        <w:rPr>
          <w:rFonts w:cs="Times New Roman"/>
        </w:rPr>
        <w:t xml:space="preserve"> </w:t>
      </w:r>
      <w:proofErr w:type="spellStart"/>
      <w:r w:rsidR="00A157B0">
        <w:rPr>
          <w:rFonts w:cs="Times New Roman"/>
        </w:rPr>
        <w:t>Ein</w:t>
      </w:r>
      <w:proofErr w:type="spellEnd"/>
      <w:r w:rsidR="00A157B0">
        <w:rPr>
          <w:rFonts w:cs="Times New Roman"/>
        </w:rPr>
        <w:t xml:space="preserve"> </w:t>
      </w:r>
      <w:proofErr w:type="spellStart"/>
      <w:r w:rsidR="00A157B0">
        <w:rPr>
          <w:rFonts w:cs="Times New Roman"/>
        </w:rPr>
        <w:t>Beispiel</w:t>
      </w:r>
      <w:proofErr w:type="spellEnd"/>
      <w:r w:rsidR="00A157B0">
        <w:rPr>
          <w:rFonts w:cs="Times New Roman"/>
        </w:rPr>
        <w:t xml:space="preserve"> </w:t>
      </w:r>
      <w:proofErr w:type="spellStart"/>
      <w:r w:rsidR="00A157B0">
        <w:rPr>
          <w:rFonts w:cs="Times New Roman"/>
        </w:rPr>
        <w:t>für</w:t>
      </w:r>
      <w:proofErr w:type="spellEnd"/>
      <w:r w:rsidR="00A157B0">
        <w:rPr>
          <w:rFonts w:cs="Times New Roman"/>
        </w:rPr>
        <w:t xml:space="preserve"> die </w:t>
      </w:r>
      <w:proofErr w:type="spellStart"/>
      <w:r w:rsidR="00A157B0">
        <w:rPr>
          <w:rFonts w:cs="Times New Roman"/>
        </w:rPr>
        <w:t>Beziehungen</w:t>
      </w:r>
      <w:proofErr w:type="spellEnd"/>
      <w:r w:rsidR="00A157B0">
        <w:rPr>
          <w:rFonts w:cs="Times New Roman"/>
        </w:rPr>
        <w:t xml:space="preserve"> </w:t>
      </w:r>
      <w:proofErr w:type="spellStart"/>
      <w:r w:rsidR="00A157B0">
        <w:rPr>
          <w:rFonts w:cs="Times New Roman"/>
        </w:rPr>
        <w:t>Königsberg</w:t>
      </w:r>
      <w:proofErr w:type="spellEnd"/>
      <w:r w:rsidR="00A157B0">
        <w:rPr>
          <w:rFonts w:cs="Times New Roman"/>
        </w:rPr>
        <w:t xml:space="preserve">-Amsterdam </w:t>
      </w:r>
      <w:proofErr w:type="spellStart"/>
      <w:r w:rsidR="00A157B0">
        <w:rPr>
          <w:rFonts w:cs="Times New Roman"/>
        </w:rPr>
        <w:t>im</w:t>
      </w:r>
      <w:proofErr w:type="spellEnd"/>
      <w:r w:rsidR="00A157B0">
        <w:rPr>
          <w:rFonts w:cs="Times New Roman"/>
        </w:rPr>
        <w:t xml:space="preserve"> 17. </w:t>
      </w:r>
      <w:proofErr w:type="spellStart"/>
      <w:r w:rsidR="00A157B0">
        <w:rPr>
          <w:rFonts w:cs="Times New Roman"/>
        </w:rPr>
        <w:t>Jahrhundert</w:t>
      </w:r>
      <w:proofErr w:type="spellEnd"/>
      <w:r w:rsidR="00A157B0">
        <w:rPr>
          <w:rFonts w:cs="Times New Roman"/>
        </w:rPr>
        <w:t xml:space="preserve">’, in W.J. </w:t>
      </w:r>
      <w:proofErr w:type="spellStart"/>
      <w:r w:rsidR="00A157B0">
        <w:rPr>
          <w:rFonts w:cs="Times New Roman"/>
        </w:rPr>
        <w:t>Wieringa</w:t>
      </w:r>
      <w:proofErr w:type="spellEnd"/>
      <w:r w:rsidR="00A157B0">
        <w:rPr>
          <w:rFonts w:cs="Times New Roman"/>
        </w:rPr>
        <w:t xml:space="preserve"> (ed.), </w:t>
      </w:r>
      <w:proofErr w:type="gramStart"/>
      <w:r w:rsidR="00A157B0">
        <w:rPr>
          <w:rFonts w:cs="Times New Roman"/>
          <w:i/>
        </w:rPr>
        <w:t>The</w:t>
      </w:r>
      <w:proofErr w:type="gramEnd"/>
      <w:r w:rsidR="00A157B0">
        <w:rPr>
          <w:rFonts w:cs="Times New Roman"/>
          <w:i/>
        </w:rPr>
        <w:t xml:space="preserve"> interactions of Amsterdam and Antwerp with the Baltic region 1400-1800</w:t>
      </w:r>
      <w:r w:rsidRPr="00371FC0">
        <w:rPr>
          <w:rFonts w:cs="Times New Roman"/>
        </w:rPr>
        <w:t xml:space="preserve"> (</w:t>
      </w:r>
      <w:r w:rsidR="00A157B0">
        <w:rPr>
          <w:rFonts w:cs="Times New Roman"/>
        </w:rPr>
        <w:t>Leiden, 1</w:t>
      </w:r>
      <w:r w:rsidR="00CD069B">
        <w:rPr>
          <w:rFonts w:cs="Times New Roman"/>
        </w:rPr>
        <w:t xml:space="preserve">983), </w:t>
      </w:r>
      <w:r w:rsidRPr="00371FC0">
        <w:rPr>
          <w:rFonts w:cs="Times New Roman"/>
        </w:rPr>
        <w:t xml:space="preserve">80; </w:t>
      </w:r>
      <w:proofErr w:type="spellStart"/>
      <w:r w:rsidR="00CD069B">
        <w:rPr>
          <w:rFonts w:cs="Times New Roman"/>
        </w:rPr>
        <w:t>Sarn</w:t>
      </w:r>
      <w:r w:rsidRPr="00371FC0">
        <w:rPr>
          <w:rFonts w:cs="Times New Roman"/>
        </w:rPr>
        <w:t>ecki</w:t>
      </w:r>
      <w:proofErr w:type="spellEnd"/>
      <w:r>
        <w:rPr>
          <w:rFonts w:cs="Times New Roman"/>
        </w:rPr>
        <w:t>, ‘</w:t>
      </w:r>
      <w:proofErr w:type="spellStart"/>
      <w:r w:rsidRPr="00600DF2">
        <w:t>otrzymywania</w:t>
      </w:r>
      <w:proofErr w:type="spellEnd"/>
      <w:r w:rsidRPr="00600DF2">
        <w:t xml:space="preserve"> </w:t>
      </w:r>
      <w:proofErr w:type="spellStart"/>
      <w:r w:rsidRPr="00600DF2">
        <w:t>potazu</w:t>
      </w:r>
      <w:proofErr w:type="spellEnd"/>
      <w:r>
        <w:rPr>
          <w:rFonts w:cs="Times New Roman"/>
        </w:rPr>
        <w:t xml:space="preserve">, </w:t>
      </w:r>
      <w:r w:rsidRPr="00371FC0">
        <w:rPr>
          <w:rFonts w:cs="Times New Roman"/>
        </w:rPr>
        <w:t xml:space="preserve">71, 74-5, 83; </w:t>
      </w:r>
      <w:r>
        <w:rPr>
          <w:rFonts w:cs="Times New Roman"/>
        </w:rPr>
        <w:t xml:space="preserve">K. </w:t>
      </w:r>
      <w:r w:rsidRPr="00371FC0">
        <w:rPr>
          <w:rFonts w:cs="Times New Roman"/>
          <w:lang w:val="en-US"/>
        </w:rPr>
        <w:t xml:space="preserve">Jablonskis </w:t>
      </w:r>
      <w:proofErr w:type="spellStart"/>
      <w:r w:rsidRPr="00371FC0">
        <w:rPr>
          <w:rFonts w:cs="Times New Roman"/>
          <w:i/>
          <w:lang w:val="en-US"/>
        </w:rPr>
        <w:t>Lietuvos</w:t>
      </w:r>
      <w:proofErr w:type="spellEnd"/>
      <w:r w:rsidRPr="00371FC0">
        <w:rPr>
          <w:rFonts w:cs="Times New Roman"/>
          <w:i/>
          <w:lang w:val="en-US"/>
        </w:rPr>
        <w:t xml:space="preserve"> </w:t>
      </w:r>
      <w:proofErr w:type="spellStart"/>
      <w:r w:rsidRPr="00371FC0">
        <w:rPr>
          <w:rFonts w:cs="Times New Roman"/>
          <w:i/>
          <w:lang w:val="en-US"/>
        </w:rPr>
        <w:t>valstieciu</w:t>
      </w:r>
      <w:proofErr w:type="spellEnd"/>
      <w:r w:rsidRPr="00371FC0">
        <w:rPr>
          <w:rFonts w:cs="Times New Roman"/>
          <w:i/>
          <w:lang w:val="en-US"/>
        </w:rPr>
        <w:t xml:space="preserve"> </w:t>
      </w:r>
      <w:proofErr w:type="spellStart"/>
      <w:r w:rsidRPr="00371FC0">
        <w:rPr>
          <w:rFonts w:cs="Times New Roman"/>
          <w:i/>
          <w:lang w:val="en-US"/>
        </w:rPr>
        <w:t>ir</w:t>
      </w:r>
      <w:proofErr w:type="spellEnd"/>
      <w:r w:rsidRPr="00371FC0">
        <w:rPr>
          <w:rFonts w:cs="Times New Roman"/>
          <w:i/>
          <w:lang w:val="en-US"/>
        </w:rPr>
        <w:t xml:space="preserve"> </w:t>
      </w:r>
      <w:proofErr w:type="spellStart"/>
      <w:r w:rsidRPr="00371FC0">
        <w:rPr>
          <w:rFonts w:cs="Times New Roman"/>
          <w:i/>
          <w:lang w:val="en-US"/>
        </w:rPr>
        <w:t>miestelenu</w:t>
      </w:r>
      <w:proofErr w:type="spellEnd"/>
      <w:r w:rsidRPr="00371FC0">
        <w:rPr>
          <w:rFonts w:cs="Times New Roman"/>
          <w:i/>
          <w:lang w:val="en-US"/>
        </w:rPr>
        <w:t xml:space="preserve"> </w:t>
      </w:r>
      <w:proofErr w:type="spellStart"/>
      <w:r w:rsidRPr="00371FC0">
        <w:rPr>
          <w:rFonts w:cs="Times New Roman"/>
          <w:i/>
          <w:lang w:val="en-US"/>
        </w:rPr>
        <w:t>gincai</w:t>
      </w:r>
      <w:proofErr w:type="spellEnd"/>
      <w:r w:rsidRPr="00371FC0">
        <w:rPr>
          <w:rFonts w:cs="Times New Roman"/>
          <w:i/>
          <w:lang w:val="en-US"/>
        </w:rPr>
        <w:t xml:space="preserve"> </w:t>
      </w:r>
      <w:proofErr w:type="spellStart"/>
      <w:r w:rsidRPr="00371FC0">
        <w:rPr>
          <w:rFonts w:cs="Times New Roman"/>
          <w:i/>
          <w:lang w:val="en-US"/>
        </w:rPr>
        <w:t>su</w:t>
      </w:r>
      <w:proofErr w:type="spellEnd"/>
      <w:r w:rsidRPr="00371FC0">
        <w:rPr>
          <w:rFonts w:cs="Times New Roman"/>
          <w:i/>
          <w:lang w:val="en-US"/>
        </w:rPr>
        <w:t xml:space="preserve"> </w:t>
      </w:r>
      <w:proofErr w:type="spellStart"/>
      <w:r w:rsidRPr="00371FC0">
        <w:rPr>
          <w:rFonts w:cs="Times New Roman"/>
          <w:i/>
          <w:lang w:val="en-US"/>
        </w:rPr>
        <w:t>dvaru</w:t>
      </w:r>
      <w:proofErr w:type="spellEnd"/>
      <w:r w:rsidRPr="00371FC0">
        <w:rPr>
          <w:rFonts w:cs="Times New Roman"/>
          <w:i/>
          <w:lang w:val="en-US"/>
        </w:rPr>
        <w:t xml:space="preserve"> </w:t>
      </w:r>
      <w:proofErr w:type="spellStart"/>
      <w:r w:rsidRPr="00371FC0">
        <w:rPr>
          <w:rFonts w:cs="Times New Roman"/>
          <w:i/>
          <w:lang w:val="en-US"/>
        </w:rPr>
        <w:t>valdytojais</w:t>
      </w:r>
      <w:proofErr w:type="spellEnd"/>
      <w:r w:rsidRPr="00371FC0">
        <w:rPr>
          <w:rFonts w:cs="Times New Roman"/>
          <w:lang w:val="en-US"/>
        </w:rPr>
        <w:t xml:space="preserve">, II </w:t>
      </w:r>
      <w:proofErr w:type="spellStart"/>
      <w:r w:rsidRPr="00371FC0">
        <w:rPr>
          <w:rFonts w:cs="Times New Roman"/>
          <w:lang w:val="en-US"/>
        </w:rPr>
        <w:t>dalis</w:t>
      </w:r>
      <w:proofErr w:type="spellEnd"/>
      <w:r w:rsidRPr="00371FC0">
        <w:rPr>
          <w:rFonts w:cs="Times New Roman"/>
          <w:lang w:val="en-US"/>
        </w:rPr>
        <w:t>, (Vilnius, 1961</w:t>
      </w:r>
      <w:r>
        <w:rPr>
          <w:rFonts w:cs="Times New Roman"/>
          <w:lang w:val="en-US"/>
        </w:rPr>
        <w:t>), 21.</w:t>
      </w:r>
    </w:p>
  </w:footnote>
  <w:footnote w:id="70">
    <w:p w:rsidR="00907B0D" w:rsidRPr="00371FC0" w:rsidRDefault="00907B0D" w:rsidP="005E47CD">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r w:rsidRPr="00371FC0">
        <w:rPr>
          <w:rFonts w:cs="Times New Roman"/>
        </w:rPr>
        <w:t>Ivinskis</w:t>
      </w:r>
      <w:proofErr w:type="spellEnd"/>
      <w:r w:rsidRPr="00371FC0">
        <w:rPr>
          <w:rFonts w:cs="Times New Roman"/>
        </w:rPr>
        <w:t xml:space="preserve">, </w:t>
      </w:r>
      <w:proofErr w:type="spellStart"/>
      <w:r w:rsidRPr="00371FC0">
        <w:rPr>
          <w:rFonts w:cs="Times New Roman"/>
          <w:i/>
        </w:rPr>
        <w:t>Lietuvos</w:t>
      </w:r>
      <w:proofErr w:type="spellEnd"/>
      <w:r w:rsidRPr="00371FC0">
        <w:rPr>
          <w:rFonts w:cs="Times New Roman"/>
          <w:i/>
        </w:rPr>
        <w:t xml:space="preserve"> </w:t>
      </w:r>
      <w:proofErr w:type="spellStart"/>
      <w:r w:rsidRPr="00371FC0">
        <w:rPr>
          <w:rFonts w:cs="Times New Roman"/>
          <w:i/>
        </w:rPr>
        <w:t>prekyba</w:t>
      </w:r>
      <w:proofErr w:type="spellEnd"/>
      <w:proofErr w:type="gramStart"/>
      <w:r w:rsidR="00CD069B">
        <w:rPr>
          <w:rFonts w:cs="Times New Roman"/>
          <w:i/>
        </w:rPr>
        <w:t xml:space="preserve">, </w:t>
      </w:r>
      <w:r w:rsidRPr="00371FC0">
        <w:rPr>
          <w:rFonts w:cs="Times New Roman"/>
          <w:i/>
        </w:rPr>
        <w:t xml:space="preserve"> </w:t>
      </w:r>
      <w:r w:rsidRPr="00371FC0">
        <w:rPr>
          <w:rFonts w:cs="Times New Roman"/>
        </w:rPr>
        <w:t>69</w:t>
      </w:r>
      <w:proofErr w:type="gramEnd"/>
      <w:r w:rsidRPr="00371FC0">
        <w:rPr>
          <w:rFonts w:cs="Times New Roman"/>
        </w:rPr>
        <w:t>.</w:t>
      </w:r>
    </w:p>
  </w:footnote>
  <w:footnote w:id="71">
    <w:p w:rsidR="00907B0D" w:rsidRPr="00CA5DC5" w:rsidRDefault="00907B0D" w:rsidP="00CA5DC5">
      <w:pPr>
        <w:rPr>
          <w:sz w:val="20"/>
          <w:szCs w:val="20"/>
        </w:rPr>
      </w:pPr>
      <w:r w:rsidRPr="00371FC0">
        <w:rPr>
          <w:rStyle w:val="FootnoteReference"/>
          <w:sz w:val="20"/>
          <w:szCs w:val="20"/>
        </w:rPr>
        <w:footnoteRef/>
      </w:r>
      <w:r w:rsidRPr="00371FC0">
        <w:rPr>
          <w:sz w:val="20"/>
          <w:szCs w:val="20"/>
        </w:rPr>
        <w:t xml:space="preserve"> </w:t>
      </w:r>
      <w:r w:rsidR="00CD069B">
        <w:rPr>
          <w:sz w:val="20"/>
          <w:szCs w:val="20"/>
        </w:rPr>
        <w:t xml:space="preserve">J.T. </w:t>
      </w:r>
      <w:proofErr w:type="spellStart"/>
      <w:r w:rsidRPr="00371FC0">
        <w:rPr>
          <w:sz w:val="20"/>
          <w:szCs w:val="20"/>
        </w:rPr>
        <w:t>Kotilaine</w:t>
      </w:r>
      <w:proofErr w:type="spellEnd"/>
      <w:r w:rsidRPr="00371FC0">
        <w:rPr>
          <w:sz w:val="20"/>
          <w:szCs w:val="20"/>
        </w:rPr>
        <w:t xml:space="preserve">, ‘Competing Claims: Russian Foreign Trade via Arkhangelsk and the Eastern Baltic Ports in the 17th Century’, </w:t>
      </w:r>
      <w:proofErr w:type="spellStart"/>
      <w:r w:rsidRPr="00371FC0">
        <w:rPr>
          <w:i/>
          <w:sz w:val="20"/>
          <w:szCs w:val="20"/>
        </w:rPr>
        <w:t>Kritika</w:t>
      </w:r>
      <w:proofErr w:type="spellEnd"/>
      <w:r w:rsidRPr="00371FC0">
        <w:rPr>
          <w:i/>
          <w:sz w:val="20"/>
          <w:szCs w:val="20"/>
        </w:rPr>
        <w:t>: Explorations in Russian and Eurasian History</w:t>
      </w:r>
      <w:r w:rsidRPr="00371FC0">
        <w:rPr>
          <w:sz w:val="20"/>
          <w:szCs w:val="20"/>
        </w:rPr>
        <w:t>, 4</w:t>
      </w:r>
      <w:r w:rsidR="00CD069B">
        <w:rPr>
          <w:sz w:val="20"/>
          <w:szCs w:val="20"/>
        </w:rPr>
        <w:t xml:space="preserve">, (2003), </w:t>
      </w:r>
      <w:r w:rsidRPr="00371FC0">
        <w:rPr>
          <w:sz w:val="20"/>
          <w:szCs w:val="20"/>
        </w:rPr>
        <w:t xml:space="preserve">300; </w:t>
      </w:r>
      <w:proofErr w:type="spellStart"/>
      <w:r w:rsidRPr="00371FC0">
        <w:rPr>
          <w:sz w:val="20"/>
          <w:szCs w:val="20"/>
        </w:rPr>
        <w:t>Veluwenkamp</w:t>
      </w:r>
      <w:proofErr w:type="spellEnd"/>
      <w:r w:rsidRPr="00371FC0">
        <w:rPr>
          <w:sz w:val="20"/>
          <w:szCs w:val="20"/>
        </w:rPr>
        <w:t xml:space="preserve">, </w:t>
      </w:r>
      <w:r w:rsidRPr="00371FC0">
        <w:rPr>
          <w:i/>
          <w:sz w:val="20"/>
          <w:szCs w:val="20"/>
        </w:rPr>
        <w:t>Archangel.</w:t>
      </w:r>
    </w:p>
  </w:footnote>
  <w:footnote w:id="72">
    <w:p w:rsidR="00907B0D" w:rsidRPr="00371FC0" w:rsidRDefault="00907B0D" w:rsidP="005E47CD">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proofErr w:type="gramStart"/>
      <w:r w:rsidRPr="00371FC0">
        <w:rPr>
          <w:rFonts w:cs="Times New Roman"/>
        </w:rPr>
        <w:t>Åhman</w:t>
      </w:r>
      <w:proofErr w:type="spellEnd"/>
      <w:r w:rsidR="00476FAB">
        <w:rPr>
          <w:rFonts w:cs="Times New Roman"/>
        </w:rPr>
        <w:t xml:space="preserve">, </w:t>
      </w:r>
      <w:proofErr w:type="spellStart"/>
      <w:r w:rsidR="00476FAB" w:rsidRPr="00371FC0">
        <w:rPr>
          <w:i/>
        </w:rPr>
        <w:t>Hamiltonska</w:t>
      </w:r>
      <w:proofErr w:type="spellEnd"/>
      <w:r w:rsidR="00476FAB" w:rsidRPr="00371FC0">
        <w:rPr>
          <w:i/>
        </w:rPr>
        <w:t xml:space="preserve"> </w:t>
      </w:r>
      <w:proofErr w:type="spellStart"/>
      <w:r w:rsidR="00476FAB" w:rsidRPr="00371FC0">
        <w:rPr>
          <w:i/>
        </w:rPr>
        <w:t>Pottaskekompaniet</w:t>
      </w:r>
      <w:proofErr w:type="spellEnd"/>
      <w:r w:rsidR="00476FAB">
        <w:rPr>
          <w:i/>
        </w:rPr>
        <w:t xml:space="preserve">, </w:t>
      </w:r>
      <w:r w:rsidRPr="00371FC0">
        <w:rPr>
          <w:rFonts w:cs="Times New Roman"/>
        </w:rPr>
        <w:t>5-6, 22-3, 26, 28-9, 31, 33-4; TNA C78/593.</w:t>
      </w:r>
      <w:proofErr w:type="gramEnd"/>
    </w:p>
  </w:footnote>
  <w:footnote w:id="73">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w:t>
      </w:r>
      <w:r w:rsidRPr="00371FC0">
        <w:rPr>
          <w:rStyle w:val="definition"/>
          <w:rFonts w:cs="Times New Roman"/>
        </w:rPr>
        <w:t xml:space="preserve">SP 14/141 </w:t>
      </w:r>
      <w:proofErr w:type="gramStart"/>
      <w:r w:rsidRPr="00371FC0">
        <w:rPr>
          <w:rStyle w:val="definition"/>
          <w:rFonts w:cs="Times New Roman"/>
        </w:rPr>
        <w:t>f.165</w:t>
      </w:r>
      <w:r w:rsidRPr="00371FC0">
        <w:rPr>
          <w:rFonts w:cs="Times New Roman"/>
        </w:rPr>
        <w:t> .</w:t>
      </w:r>
      <w:proofErr w:type="gramEnd"/>
    </w:p>
  </w:footnote>
  <w:footnote w:id="74">
    <w:p w:rsidR="00907B0D" w:rsidRPr="00371FC0" w:rsidRDefault="00907B0D" w:rsidP="005E47CD">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r w:rsidRPr="00371FC0">
        <w:rPr>
          <w:rFonts w:cs="Times New Roman"/>
        </w:rPr>
        <w:t>Sa</w:t>
      </w:r>
      <w:r w:rsidR="00CD069B">
        <w:rPr>
          <w:rFonts w:cs="Times New Roman"/>
        </w:rPr>
        <w:t>rn</w:t>
      </w:r>
      <w:r w:rsidRPr="00371FC0">
        <w:rPr>
          <w:rFonts w:cs="Times New Roman"/>
        </w:rPr>
        <w:t>ecki</w:t>
      </w:r>
      <w:proofErr w:type="spellEnd"/>
      <w:r w:rsidRPr="00371FC0">
        <w:rPr>
          <w:rFonts w:cs="Times New Roman"/>
        </w:rPr>
        <w:t>,</w:t>
      </w:r>
      <w:r w:rsidR="00CD069B">
        <w:rPr>
          <w:rFonts w:cs="Times New Roman"/>
        </w:rPr>
        <w:t xml:space="preserve"> ‘</w:t>
      </w:r>
      <w:proofErr w:type="spellStart"/>
      <w:r w:rsidR="00CD069B">
        <w:rPr>
          <w:lang w:val="en-US"/>
        </w:rPr>
        <w:t>otrzymywania</w:t>
      </w:r>
      <w:proofErr w:type="spellEnd"/>
      <w:r w:rsidR="00CD069B">
        <w:rPr>
          <w:lang w:val="en-US"/>
        </w:rPr>
        <w:t xml:space="preserve"> </w:t>
      </w:r>
      <w:proofErr w:type="spellStart"/>
      <w:r w:rsidR="00CD069B">
        <w:rPr>
          <w:lang w:val="en-US"/>
        </w:rPr>
        <w:t>potazu</w:t>
      </w:r>
      <w:proofErr w:type="spellEnd"/>
      <w:r w:rsidR="00CD069B">
        <w:rPr>
          <w:lang w:val="en-US"/>
        </w:rPr>
        <w:t xml:space="preserve">’, </w:t>
      </w:r>
      <w:r w:rsidRPr="00371FC0">
        <w:rPr>
          <w:rFonts w:cs="Times New Roman"/>
        </w:rPr>
        <w:t xml:space="preserve">72, citing </w:t>
      </w:r>
      <w:proofErr w:type="spellStart"/>
      <w:r w:rsidRPr="00371FC0">
        <w:rPr>
          <w:rFonts w:cs="Times New Roman"/>
          <w:lang w:val="en-US"/>
        </w:rPr>
        <w:t>Wankowicz</w:t>
      </w:r>
      <w:proofErr w:type="spellEnd"/>
      <w:r w:rsidRPr="00371FC0">
        <w:rPr>
          <w:rFonts w:cs="Times New Roman"/>
          <w:lang w:val="en-US"/>
        </w:rPr>
        <w:t xml:space="preserve"> M. in </w:t>
      </w:r>
      <w:proofErr w:type="spellStart"/>
      <w:r w:rsidRPr="00371FC0">
        <w:rPr>
          <w:rFonts w:cs="Times New Roman"/>
          <w:i/>
          <w:lang w:val="en-US"/>
        </w:rPr>
        <w:t>Przeglad</w:t>
      </w:r>
      <w:proofErr w:type="spellEnd"/>
      <w:r w:rsidRPr="00371FC0">
        <w:rPr>
          <w:rFonts w:cs="Times New Roman"/>
          <w:i/>
          <w:lang w:val="en-US"/>
        </w:rPr>
        <w:t xml:space="preserve"> </w:t>
      </w:r>
      <w:proofErr w:type="spellStart"/>
      <w:r w:rsidRPr="00371FC0">
        <w:rPr>
          <w:rFonts w:cs="Times New Roman"/>
          <w:i/>
          <w:lang w:val="en-US"/>
        </w:rPr>
        <w:t>Kultur</w:t>
      </w:r>
      <w:proofErr w:type="spellEnd"/>
      <w:r w:rsidRPr="00371FC0">
        <w:rPr>
          <w:rFonts w:cs="Times New Roman"/>
          <w:i/>
          <w:lang w:val="en-US"/>
        </w:rPr>
        <w:t>,</w:t>
      </w:r>
      <w:r w:rsidR="00CD069B">
        <w:rPr>
          <w:rFonts w:cs="Times New Roman"/>
          <w:lang w:val="en-US"/>
        </w:rPr>
        <w:t xml:space="preserve"> 4</w:t>
      </w:r>
      <w:r w:rsidRPr="00371FC0">
        <w:rPr>
          <w:rFonts w:cs="Times New Roman"/>
          <w:lang w:val="en-US"/>
        </w:rPr>
        <w:t xml:space="preserve"> (1957); see an appeal for potash makers from 1632, in </w:t>
      </w:r>
      <w:r w:rsidR="00CD069B">
        <w:rPr>
          <w:rFonts w:cs="Times New Roman"/>
          <w:lang w:val="en-US"/>
        </w:rPr>
        <w:t xml:space="preserve">J. </w:t>
      </w:r>
      <w:r w:rsidRPr="00371FC0">
        <w:rPr>
          <w:rFonts w:cs="Times New Roman"/>
        </w:rPr>
        <w:t xml:space="preserve">Day, </w:t>
      </w:r>
      <w:r w:rsidRPr="00371FC0">
        <w:rPr>
          <w:rStyle w:val="Emphasis"/>
          <w:rFonts w:cs="Times New Roman"/>
        </w:rPr>
        <w:t>A Publication of Guiana's Plantation</w:t>
      </w:r>
      <w:r w:rsidR="00CD069B">
        <w:rPr>
          <w:rFonts w:cs="Times New Roman"/>
        </w:rPr>
        <w:t xml:space="preserve"> (1632), </w:t>
      </w:r>
      <w:r w:rsidRPr="00371FC0">
        <w:rPr>
          <w:rFonts w:cs="Times New Roman"/>
        </w:rPr>
        <w:t xml:space="preserve">22; and the suggestion of Newfoundland as a site for ash-making in 1610, </w:t>
      </w:r>
      <w:r w:rsidR="00CD069B">
        <w:rPr>
          <w:rFonts w:cs="Times New Roman"/>
        </w:rPr>
        <w:t xml:space="preserve">G.G. </w:t>
      </w:r>
      <w:r w:rsidRPr="00371FC0">
        <w:rPr>
          <w:rFonts w:cs="Times New Roman"/>
        </w:rPr>
        <w:t xml:space="preserve">Harris, </w:t>
      </w:r>
      <w:r w:rsidR="00CD069B">
        <w:rPr>
          <w:rFonts w:cs="Times New Roman"/>
        </w:rPr>
        <w:t xml:space="preserve">(ed.), </w:t>
      </w:r>
      <w:r w:rsidRPr="00371FC0">
        <w:rPr>
          <w:rStyle w:val="Emphasis"/>
          <w:rFonts w:cs="Times New Roman"/>
        </w:rPr>
        <w:t>Trinity House of Deptford Transactions, 1609-35: London Record Society 19</w:t>
      </w:r>
      <w:r w:rsidR="00CD069B">
        <w:rPr>
          <w:rFonts w:cs="Times New Roman"/>
        </w:rPr>
        <w:t xml:space="preserve"> (1983), </w:t>
      </w:r>
      <w:r w:rsidRPr="00371FC0">
        <w:rPr>
          <w:rFonts w:cs="Times New Roman"/>
        </w:rPr>
        <w:t>1.</w:t>
      </w:r>
    </w:p>
  </w:footnote>
  <w:footnote w:id="75">
    <w:p w:rsidR="00907B0D" w:rsidRPr="00371FC0" w:rsidRDefault="00907B0D" w:rsidP="005E47CD">
      <w:pPr>
        <w:pStyle w:val="FootnoteText"/>
        <w:rPr>
          <w:rFonts w:cs="Times New Roman"/>
        </w:rPr>
      </w:pPr>
      <w:r w:rsidRPr="00371FC0">
        <w:rPr>
          <w:rStyle w:val="FootnoteReference"/>
          <w:rFonts w:cs="Times New Roman"/>
        </w:rPr>
        <w:footnoteRef/>
      </w:r>
      <w:r w:rsidRPr="00371FC0">
        <w:rPr>
          <w:rFonts w:cs="Times New Roman"/>
        </w:rPr>
        <w:t xml:space="preserve"> </w:t>
      </w:r>
      <w:r w:rsidR="00CD069B">
        <w:rPr>
          <w:rFonts w:cs="Times New Roman"/>
        </w:rPr>
        <w:t xml:space="preserve">C. </w:t>
      </w:r>
      <w:proofErr w:type="spellStart"/>
      <w:r w:rsidRPr="00371FC0">
        <w:rPr>
          <w:rFonts w:cs="Times New Roman"/>
        </w:rPr>
        <w:t>Headlam</w:t>
      </w:r>
      <w:proofErr w:type="spellEnd"/>
      <w:r w:rsidRPr="00371FC0">
        <w:rPr>
          <w:rFonts w:cs="Times New Roman"/>
        </w:rPr>
        <w:t xml:space="preserve">, (ed.), 'America and West Indies: November 1700, 26-30', </w:t>
      </w:r>
      <w:r w:rsidRPr="00371FC0">
        <w:rPr>
          <w:rStyle w:val="Emphasis"/>
          <w:rFonts w:cs="Times New Roman"/>
        </w:rPr>
        <w:t>Calendar of State Papers Colonial, America and West Indies, Volume 18: 1700</w:t>
      </w:r>
      <w:r w:rsidR="00CD069B">
        <w:rPr>
          <w:rFonts w:cs="Times New Roman"/>
        </w:rPr>
        <w:t xml:space="preserve"> (1910), </w:t>
      </w:r>
      <w:r w:rsidRPr="00371FC0">
        <w:rPr>
          <w:rFonts w:cs="Times New Roman"/>
        </w:rPr>
        <w:t>664-706. November 28</w:t>
      </w:r>
      <w:r w:rsidRPr="00371FC0">
        <w:rPr>
          <w:rFonts w:cs="Times New Roman"/>
          <w:vertAlign w:val="superscript"/>
        </w:rPr>
        <w:t>th</w:t>
      </w:r>
      <w:r w:rsidR="00CD069B">
        <w:rPr>
          <w:rFonts w:cs="Times New Roman"/>
        </w:rPr>
        <w:t xml:space="preserve">; </w:t>
      </w:r>
      <w:proofErr w:type="spellStart"/>
      <w:r w:rsidR="00CD069B">
        <w:rPr>
          <w:rFonts w:cs="Times New Roman"/>
        </w:rPr>
        <w:t>C.Headlam</w:t>
      </w:r>
      <w:proofErr w:type="spellEnd"/>
      <w:r w:rsidR="00CD069B">
        <w:rPr>
          <w:rFonts w:cs="Times New Roman"/>
        </w:rPr>
        <w:t xml:space="preserve"> (ed.), </w:t>
      </w:r>
      <w:r w:rsidRPr="00371FC0">
        <w:rPr>
          <w:rStyle w:val="Emphasis"/>
          <w:rFonts w:cs="Times New Roman"/>
        </w:rPr>
        <w:t>Calendar of State Papers Colonial, America and West Indies, Volume 31: 1719-1720</w:t>
      </w:r>
      <w:r w:rsidR="00CD069B">
        <w:rPr>
          <w:rFonts w:cs="Times New Roman"/>
        </w:rPr>
        <w:t xml:space="preserve"> (1933), </w:t>
      </w:r>
      <w:r w:rsidRPr="00371FC0">
        <w:rPr>
          <w:rFonts w:cs="Times New Roman"/>
        </w:rPr>
        <w:t>123-146.</w:t>
      </w:r>
    </w:p>
  </w:footnote>
  <w:footnote w:id="76">
    <w:p w:rsidR="00907B0D" w:rsidRPr="00371FC0" w:rsidRDefault="00907B0D" w:rsidP="005E47CD">
      <w:pPr>
        <w:pStyle w:val="FootnoteText"/>
        <w:rPr>
          <w:rFonts w:cs="Times New Roman"/>
        </w:rPr>
      </w:pPr>
      <w:r w:rsidRPr="00371FC0">
        <w:rPr>
          <w:rStyle w:val="FootnoteReference"/>
          <w:rFonts w:cs="Times New Roman"/>
        </w:rPr>
        <w:footnoteRef/>
      </w:r>
      <w:r w:rsidRPr="00371FC0">
        <w:rPr>
          <w:rFonts w:cs="Times New Roman"/>
        </w:rPr>
        <w:t xml:space="preserve"> </w:t>
      </w:r>
      <w:r w:rsidR="00CD069B">
        <w:rPr>
          <w:rFonts w:cs="Times New Roman"/>
        </w:rPr>
        <w:t xml:space="preserve">K.H. </w:t>
      </w:r>
      <w:proofErr w:type="spellStart"/>
      <w:r w:rsidRPr="00371FC0">
        <w:rPr>
          <w:rFonts w:cs="Times New Roman"/>
        </w:rPr>
        <w:t>Ledward</w:t>
      </w:r>
      <w:proofErr w:type="spellEnd"/>
      <w:r w:rsidRPr="00371FC0">
        <w:rPr>
          <w:rFonts w:cs="Times New Roman"/>
        </w:rPr>
        <w:t xml:space="preserve">, (ed.), </w:t>
      </w:r>
      <w:r w:rsidRPr="00371FC0">
        <w:rPr>
          <w:rStyle w:val="Emphasis"/>
          <w:rFonts w:cs="Times New Roman"/>
        </w:rPr>
        <w:t>Journals of the Board of Trade and Plantations, Volume 1: April 1704 - January 1709</w:t>
      </w:r>
      <w:r w:rsidR="00CD069B">
        <w:rPr>
          <w:rFonts w:cs="Times New Roman"/>
        </w:rPr>
        <w:t xml:space="preserve"> (1920), </w:t>
      </w:r>
      <w:r w:rsidRPr="00371FC0">
        <w:rPr>
          <w:rFonts w:cs="Times New Roman"/>
        </w:rPr>
        <w:t>8-19.</w:t>
      </w:r>
    </w:p>
  </w:footnote>
  <w:footnote w:id="77">
    <w:p w:rsidR="00907B0D" w:rsidRPr="00371FC0" w:rsidRDefault="00907B0D" w:rsidP="005E47CD">
      <w:pPr>
        <w:pStyle w:val="FootnoteText"/>
        <w:rPr>
          <w:rFonts w:cs="Times New Roman"/>
        </w:rPr>
      </w:pPr>
      <w:r w:rsidRPr="00371FC0">
        <w:rPr>
          <w:rStyle w:val="FootnoteReference"/>
          <w:rFonts w:cs="Times New Roman"/>
        </w:rPr>
        <w:footnoteRef/>
      </w:r>
      <w:r w:rsidRPr="00371FC0">
        <w:rPr>
          <w:rFonts w:cs="Times New Roman"/>
        </w:rPr>
        <w:t xml:space="preserve"> The latter claim seems almost certain to be an exaggeration, as it would imply a price of 40-50s per hundredweight. W. </w:t>
      </w:r>
      <w:proofErr w:type="spellStart"/>
      <w:r w:rsidRPr="00371FC0">
        <w:rPr>
          <w:rFonts w:cs="Times New Roman"/>
        </w:rPr>
        <w:t>Popple</w:t>
      </w:r>
      <w:proofErr w:type="spellEnd"/>
      <w:r w:rsidRPr="00371FC0">
        <w:rPr>
          <w:rFonts w:cs="Times New Roman"/>
        </w:rPr>
        <w:t xml:space="preserve"> to W. Lowndes. </w:t>
      </w:r>
      <w:proofErr w:type="gramStart"/>
      <w:r w:rsidRPr="00371FC0">
        <w:rPr>
          <w:rFonts w:cs="Times New Roman"/>
        </w:rPr>
        <w:t>Report upon the proposals of John Keble.</w:t>
      </w:r>
      <w:proofErr w:type="gramEnd"/>
      <w:r w:rsidRPr="00371FC0">
        <w:rPr>
          <w:rFonts w:cs="Times New Roman"/>
        </w:rPr>
        <w:t xml:space="preserve"> </w:t>
      </w:r>
      <w:r w:rsidR="00CD069B">
        <w:rPr>
          <w:rFonts w:cs="Times New Roman"/>
        </w:rPr>
        <w:t xml:space="preserve">C. </w:t>
      </w:r>
      <w:proofErr w:type="spellStart"/>
      <w:r w:rsidRPr="00371FC0">
        <w:rPr>
          <w:rFonts w:cs="Times New Roman"/>
        </w:rPr>
        <w:t>Headlam</w:t>
      </w:r>
      <w:proofErr w:type="spellEnd"/>
      <w:r w:rsidRPr="00371FC0">
        <w:rPr>
          <w:rFonts w:cs="Times New Roman"/>
        </w:rPr>
        <w:t xml:space="preserve">, </w:t>
      </w:r>
      <w:r w:rsidRPr="00371FC0">
        <w:rPr>
          <w:rStyle w:val="Emphasis"/>
          <w:rFonts w:cs="Times New Roman"/>
        </w:rPr>
        <w:t>Calendar of State Papers Colonial, America and West Indies, Volume 24: 1708-1709</w:t>
      </w:r>
      <w:r w:rsidR="00CD069B">
        <w:rPr>
          <w:rFonts w:cs="Times New Roman"/>
        </w:rPr>
        <w:t xml:space="preserve"> (1922), </w:t>
      </w:r>
      <w:r w:rsidRPr="00371FC0">
        <w:rPr>
          <w:rFonts w:cs="Times New Roman"/>
        </w:rPr>
        <w:t xml:space="preserve">33-40; July 29, in </w:t>
      </w:r>
      <w:r w:rsidR="00CD069B">
        <w:rPr>
          <w:rFonts w:cs="Times New Roman"/>
        </w:rPr>
        <w:t xml:space="preserve">C. </w:t>
      </w:r>
      <w:proofErr w:type="spellStart"/>
      <w:r w:rsidRPr="00371FC0">
        <w:rPr>
          <w:rFonts w:cs="Times New Roman"/>
        </w:rPr>
        <w:t>Headlam</w:t>
      </w:r>
      <w:proofErr w:type="spellEnd"/>
      <w:r w:rsidRPr="00371FC0">
        <w:rPr>
          <w:rFonts w:cs="Times New Roman"/>
        </w:rPr>
        <w:t xml:space="preserve">, </w:t>
      </w:r>
      <w:r w:rsidR="00CD069B">
        <w:rPr>
          <w:rFonts w:cs="Times New Roman"/>
        </w:rPr>
        <w:t xml:space="preserve">(ed.), </w:t>
      </w:r>
      <w:r w:rsidRPr="00371FC0">
        <w:rPr>
          <w:rStyle w:val="Emphasis"/>
          <w:rFonts w:cs="Times New Roman"/>
        </w:rPr>
        <w:t>Calendar of State Papers Colonial, America and West Indies, Volume 36: 1728-1729</w:t>
      </w:r>
      <w:r w:rsidR="00CD069B">
        <w:rPr>
          <w:rFonts w:cs="Times New Roman"/>
        </w:rPr>
        <w:t xml:space="preserve"> (1937), </w:t>
      </w:r>
      <w:r w:rsidRPr="00371FC0">
        <w:rPr>
          <w:rFonts w:cs="Times New Roman"/>
        </w:rPr>
        <w:t xml:space="preserve">455-462; Stephens was experimenting in the Carolinas from the late 1740s and was a leading campaigner for the reduction of duties and obtaining a patent for colonial potash production. See </w:t>
      </w:r>
      <w:r w:rsidR="00CD069B">
        <w:rPr>
          <w:rFonts w:cs="Times New Roman"/>
        </w:rPr>
        <w:t xml:space="preserve">Stephens, </w:t>
      </w:r>
      <w:r w:rsidRPr="00371FC0">
        <w:rPr>
          <w:rFonts w:cs="Times New Roman"/>
          <w:i/>
        </w:rPr>
        <w:t>method</w:t>
      </w:r>
      <w:r w:rsidR="00CD069B">
        <w:rPr>
          <w:rFonts w:cs="Times New Roman"/>
          <w:i/>
        </w:rPr>
        <w:t>,</w:t>
      </w:r>
      <w:r w:rsidRPr="00371FC0">
        <w:rPr>
          <w:rFonts w:cs="Times New Roman"/>
          <w:i/>
        </w:rPr>
        <w:t xml:space="preserve"> </w:t>
      </w:r>
      <w:r w:rsidRPr="00371FC0">
        <w:rPr>
          <w:rFonts w:cs="Times New Roman"/>
        </w:rPr>
        <w:t>1-viii; s</w:t>
      </w:r>
      <w:proofErr w:type="spellStart"/>
      <w:r w:rsidRPr="00371FC0">
        <w:rPr>
          <w:rFonts w:cs="Times New Roman"/>
          <w:lang w:val="en-US"/>
        </w:rPr>
        <w:t>ee</w:t>
      </w:r>
      <w:proofErr w:type="spellEnd"/>
      <w:r w:rsidRPr="00371FC0">
        <w:rPr>
          <w:rFonts w:cs="Times New Roman"/>
          <w:lang w:val="en-US"/>
        </w:rPr>
        <w:t xml:space="preserve"> also a further plea for assistance form Eastland merchants in 1632</w:t>
      </w:r>
      <w:r w:rsidR="00CD069B">
        <w:rPr>
          <w:rFonts w:cs="Times New Roman"/>
          <w:lang w:val="en-US"/>
        </w:rPr>
        <w:t xml:space="preserve">: </w:t>
      </w:r>
      <w:r w:rsidRPr="00371FC0">
        <w:rPr>
          <w:rStyle w:val="Emphasis"/>
          <w:rFonts w:cs="Times New Roman"/>
        </w:rPr>
        <w:t>Calendar of State Papers Colonial, America and West Indies, Volume 9: 1675-1676 and Addenda 1574-1674</w:t>
      </w:r>
      <w:r w:rsidR="00CD069B">
        <w:rPr>
          <w:rFonts w:cs="Times New Roman"/>
        </w:rPr>
        <w:t xml:space="preserve"> (1893), </w:t>
      </w:r>
      <w:r w:rsidRPr="00371FC0">
        <w:rPr>
          <w:rFonts w:cs="Times New Roman"/>
        </w:rPr>
        <w:t>73; and a desire for experti</w:t>
      </w:r>
      <w:r w:rsidR="00936329">
        <w:rPr>
          <w:rFonts w:cs="Times New Roman"/>
        </w:rPr>
        <w:t xml:space="preserve">se in 1635, </w:t>
      </w:r>
      <w:proofErr w:type="spellStart"/>
      <w:r w:rsidR="00936329">
        <w:rPr>
          <w:rFonts w:cs="Times New Roman"/>
        </w:rPr>
        <w:t>Knoppers</w:t>
      </w:r>
      <w:proofErr w:type="spellEnd"/>
      <w:r w:rsidR="00936329">
        <w:rPr>
          <w:rFonts w:cs="Times New Roman"/>
        </w:rPr>
        <w:t xml:space="preserve"> &amp; Nicholls, </w:t>
      </w:r>
      <w:r w:rsidR="00936329" w:rsidRPr="00CD069B">
        <w:rPr>
          <w:rFonts w:cs="Times New Roman"/>
          <w:color w:val="212121"/>
          <w:shd w:val="clear" w:color="auto" w:fill="FFFFFF"/>
        </w:rPr>
        <w:t>‘</w:t>
      </w:r>
      <w:proofErr w:type="spellStart"/>
      <w:r w:rsidR="00936329" w:rsidRPr="00CD069B">
        <w:rPr>
          <w:rFonts w:cs="Times New Roman"/>
          <w:color w:val="212121"/>
          <w:shd w:val="clear" w:color="auto" w:fill="FFFFFF"/>
        </w:rPr>
        <w:t>Ostseeraum</w:t>
      </w:r>
      <w:proofErr w:type="spellEnd"/>
      <w:r w:rsidR="00936329" w:rsidRPr="00CD069B">
        <w:rPr>
          <w:rFonts w:cs="Times New Roman"/>
          <w:color w:val="212121"/>
          <w:shd w:val="clear" w:color="auto" w:fill="FFFFFF"/>
        </w:rPr>
        <w:t>’</w:t>
      </w:r>
      <w:r w:rsidR="00936329">
        <w:rPr>
          <w:rFonts w:cs="Times New Roman"/>
          <w:i/>
          <w:color w:val="212121"/>
          <w:shd w:val="clear" w:color="auto" w:fill="FFFFFF"/>
        </w:rPr>
        <w:t xml:space="preserve">, </w:t>
      </w:r>
      <w:r w:rsidRPr="00371FC0">
        <w:rPr>
          <w:rFonts w:cs="Times New Roman"/>
        </w:rPr>
        <w:t>70.</w:t>
      </w:r>
    </w:p>
  </w:footnote>
  <w:footnote w:id="78">
    <w:p w:rsidR="00907B0D" w:rsidRPr="00371FC0" w:rsidRDefault="00907B0D" w:rsidP="00012DC7">
      <w:pPr>
        <w:pStyle w:val="Default"/>
        <w:rPr>
          <w:rFonts w:ascii="Times New Roman" w:hAnsi="Times New Roman" w:cs="Times New Roman"/>
          <w:sz w:val="20"/>
          <w:szCs w:val="20"/>
        </w:rPr>
      </w:pPr>
      <w:r w:rsidRPr="00371FC0">
        <w:rPr>
          <w:rStyle w:val="FootnoteReference"/>
          <w:rFonts w:ascii="Times New Roman" w:hAnsi="Times New Roman" w:cs="Times New Roman"/>
          <w:sz w:val="20"/>
          <w:szCs w:val="20"/>
        </w:rPr>
        <w:footnoteRef/>
      </w:r>
      <w:r w:rsidR="00CD069B">
        <w:rPr>
          <w:rFonts w:ascii="Times New Roman" w:hAnsi="Times New Roman" w:cs="Times New Roman"/>
          <w:sz w:val="20"/>
          <w:szCs w:val="20"/>
        </w:rPr>
        <w:t xml:space="preserve"> Roberts</w:t>
      </w:r>
      <w:r w:rsidR="00A85665">
        <w:rPr>
          <w:rFonts w:ascii="Times New Roman" w:hAnsi="Times New Roman" w:cs="Times New Roman"/>
          <w:sz w:val="20"/>
          <w:szCs w:val="20"/>
        </w:rPr>
        <w:t xml:space="preserve">, ‘American potash’, </w:t>
      </w:r>
      <w:r w:rsidR="00CD069B">
        <w:rPr>
          <w:rFonts w:ascii="Times New Roman" w:hAnsi="Times New Roman" w:cs="Times New Roman"/>
          <w:sz w:val="20"/>
          <w:szCs w:val="20"/>
        </w:rPr>
        <w:t xml:space="preserve"> </w:t>
      </w:r>
      <w:r w:rsidRPr="00371FC0">
        <w:rPr>
          <w:rFonts w:ascii="Times New Roman" w:hAnsi="Times New Roman" w:cs="Times New Roman"/>
          <w:sz w:val="20"/>
          <w:szCs w:val="20"/>
        </w:rPr>
        <w:t xml:space="preserve">383; </w:t>
      </w:r>
      <w:r w:rsidR="00A85665">
        <w:rPr>
          <w:rFonts w:ascii="Times New Roman" w:hAnsi="Times New Roman" w:cs="Times New Roman"/>
          <w:sz w:val="20"/>
          <w:szCs w:val="20"/>
        </w:rPr>
        <w:t xml:space="preserve">G.M. </w:t>
      </w:r>
      <w:r w:rsidRPr="00371FC0">
        <w:rPr>
          <w:rFonts w:ascii="Times New Roman" w:hAnsi="Times New Roman" w:cs="Times New Roman"/>
          <w:sz w:val="20"/>
          <w:szCs w:val="20"/>
        </w:rPr>
        <w:t xml:space="preserve">Hendon, ‘Forest Products of Colonial Georgia’, </w:t>
      </w:r>
    </w:p>
    <w:p w:rsidR="00907B0D" w:rsidRPr="00371FC0" w:rsidRDefault="00907B0D" w:rsidP="00012DC7">
      <w:pPr>
        <w:pStyle w:val="FootnoteText"/>
        <w:rPr>
          <w:rFonts w:cs="Times New Roman"/>
        </w:rPr>
      </w:pPr>
      <w:proofErr w:type="gramStart"/>
      <w:r w:rsidRPr="00371FC0">
        <w:rPr>
          <w:rFonts w:cs="Times New Roman"/>
          <w:i/>
        </w:rPr>
        <w:t>Journal of Forest History</w:t>
      </w:r>
      <w:r w:rsidR="00A85665">
        <w:rPr>
          <w:rFonts w:cs="Times New Roman"/>
        </w:rPr>
        <w:t xml:space="preserve">, 23 (1979), </w:t>
      </w:r>
      <w:r w:rsidRPr="00371FC0">
        <w:rPr>
          <w:rFonts w:cs="Times New Roman"/>
        </w:rPr>
        <w:t>130.</w:t>
      </w:r>
      <w:proofErr w:type="gramEnd"/>
    </w:p>
  </w:footnote>
  <w:footnote w:id="79">
    <w:p w:rsidR="00907B0D" w:rsidRPr="00371FC0" w:rsidRDefault="00907B0D" w:rsidP="00534690">
      <w:pPr>
        <w:pStyle w:val="Default"/>
        <w:rPr>
          <w:rFonts w:ascii="Times New Roman" w:hAnsi="Times New Roman" w:cs="Times New Roman"/>
          <w:sz w:val="20"/>
          <w:szCs w:val="20"/>
        </w:rPr>
      </w:pPr>
      <w:r w:rsidRPr="00371FC0">
        <w:rPr>
          <w:rStyle w:val="FootnoteReference"/>
          <w:rFonts w:ascii="Times New Roman" w:hAnsi="Times New Roman" w:cs="Times New Roman"/>
          <w:sz w:val="20"/>
          <w:szCs w:val="20"/>
        </w:rPr>
        <w:footnoteRef/>
      </w:r>
      <w:r w:rsidRPr="00371FC0">
        <w:rPr>
          <w:rFonts w:ascii="Times New Roman" w:hAnsi="Times New Roman" w:cs="Times New Roman"/>
          <w:sz w:val="20"/>
          <w:szCs w:val="20"/>
        </w:rPr>
        <w:t xml:space="preserve"> On premiums offered by the Society for the Encouragement of Arts, Manufactures and Commerce, see </w:t>
      </w:r>
      <w:r w:rsidRPr="00371FC0">
        <w:rPr>
          <w:rFonts w:ascii="Times New Roman" w:hAnsi="Times New Roman" w:cs="Times New Roman"/>
          <w:bCs/>
          <w:i/>
          <w:iCs/>
          <w:sz w:val="20"/>
          <w:szCs w:val="20"/>
        </w:rPr>
        <w:t>Gazetteer and New Daily Advertiser</w:t>
      </w:r>
      <w:r w:rsidRPr="00371FC0">
        <w:rPr>
          <w:rFonts w:ascii="Times New Roman" w:hAnsi="Times New Roman" w:cs="Times New Roman"/>
          <w:sz w:val="20"/>
          <w:szCs w:val="20"/>
        </w:rPr>
        <w:t xml:space="preserve"> (London, England), Friday, June 29, 1764; </w:t>
      </w:r>
      <w:proofErr w:type="spellStart"/>
      <w:r w:rsidRPr="00371FC0">
        <w:rPr>
          <w:rFonts w:ascii="Times New Roman" w:hAnsi="Times New Roman" w:cs="Times New Roman"/>
          <w:sz w:val="20"/>
          <w:szCs w:val="20"/>
        </w:rPr>
        <w:t>Knoppers</w:t>
      </w:r>
      <w:proofErr w:type="spellEnd"/>
      <w:r w:rsidRPr="00371FC0">
        <w:rPr>
          <w:rFonts w:ascii="Times New Roman" w:hAnsi="Times New Roman" w:cs="Times New Roman"/>
          <w:sz w:val="20"/>
          <w:szCs w:val="20"/>
        </w:rPr>
        <w:t xml:space="preserve"> &amp; Nicholls</w:t>
      </w:r>
      <w:r w:rsidR="00936329">
        <w:rPr>
          <w:rFonts w:ascii="Times New Roman" w:hAnsi="Times New Roman" w:cs="Times New Roman"/>
          <w:sz w:val="20"/>
          <w:szCs w:val="20"/>
        </w:rPr>
        <w:t>, ‘</w:t>
      </w:r>
      <w:proofErr w:type="spellStart"/>
      <w:r w:rsidR="00936329">
        <w:rPr>
          <w:rFonts w:ascii="Times New Roman" w:hAnsi="Times New Roman" w:cs="Times New Roman"/>
          <w:sz w:val="20"/>
          <w:szCs w:val="20"/>
        </w:rPr>
        <w:t>Ostseeraum</w:t>
      </w:r>
      <w:proofErr w:type="spellEnd"/>
      <w:r w:rsidR="00936329">
        <w:rPr>
          <w:rFonts w:ascii="Times New Roman" w:hAnsi="Times New Roman" w:cs="Times New Roman"/>
          <w:sz w:val="20"/>
          <w:szCs w:val="20"/>
        </w:rPr>
        <w:t xml:space="preserve">’, </w:t>
      </w:r>
      <w:r w:rsidRPr="00371FC0">
        <w:rPr>
          <w:rFonts w:ascii="Times New Roman" w:hAnsi="Times New Roman" w:cs="Times New Roman"/>
          <w:sz w:val="20"/>
          <w:szCs w:val="20"/>
        </w:rPr>
        <w:t>66, 71; Roberts</w:t>
      </w:r>
      <w:r w:rsidR="00A85665">
        <w:rPr>
          <w:rFonts w:ascii="Times New Roman" w:hAnsi="Times New Roman" w:cs="Times New Roman"/>
          <w:sz w:val="20"/>
          <w:szCs w:val="20"/>
        </w:rPr>
        <w:t xml:space="preserve">, ‘American potash’, </w:t>
      </w:r>
      <w:r w:rsidRPr="00371FC0">
        <w:rPr>
          <w:rFonts w:ascii="Times New Roman" w:hAnsi="Times New Roman" w:cs="Times New Roman"/>
          <w:sz w:val="20"/>
          <w:szCs w:val="20"/>
        </w:rPr>
        <w:t xml:space="preserve">384-391; for the subsequent development, see </w:t>
      </w:r>
      <w:r w:rsidR="00A85665">
        <w:rPr>
          <w:rFonts w:ascii="Times New Roman" w:hAnsi="Times New Roman" w:cs="Times New Roman"/>
          <w:sz w:val="20"/>
          <w:szCs w:val="20"/>
        </w:rPr>
        <w:t xml:space="preserve">Michael </w:t>
      </w:r>
      <w:r w:rsidRPr="00371FC0">
        <w:rPr>
          <w:rFonts w:ascii="Times New Roman" w:hAnsi="Times New Roman" w:cs="Times New Roman"/>
          <w:sz w:val="20"/>
          <w:szCs w:val="20"/>
        </w:rPr>
        <w:t xml:space="preserve">Williams, ‘Products of the Forest: Mapping the Census of 1840’, </w:t>
      </w:r>
      <w:r w:rsidRPr="00371FC0">
        <w:rPr>
          <w:rFonts w:ascii="Times New Roman" w:hAnsi="Times New Roman" w:cs="Times New Roman"/>
          <w:i/>
          <w:sz w:val="20"/>
          <w:szCs w:val="20"/>
        </w:rPr>
        <w:t xml:space="preserve">Journal of Forest History </w:t>
      </w:r>
      <w:r w:rsidR="00A85665">
        <w:rPr>
          <w:rFonts w:ascii="Times New Roman" w:hAnsi="Times New Roman" w:cs="Times New Roman"/>
          <w:sz w:val="20"/>
          <w:szCs w:val="20"/>
        </w:rPr>
        <w:t xml:space="preserve">24 (1980), </w:t>
      </w:r>
      <w:r w:rsidRPr="00371FC0">
        <w:rPr>
          <w:rFonts w:ascii="Times New Roman" w:hAnsi="Times New Roman" w:cs="Times New Roman"/>
          <w:sz w:val="20"/>
          <w:szCs w:val="20"/>
        </w:rPr>
        <w:t>7, 12-3.</w:t>
      </w:r>
    </w:p>
  </w:footnote>
  <w:footnote w:id="80">
    <w:p w:rsidR="00907B0D" w:rsidRPr="00371FC0" w:rsidRDefault="00907B0D" w:rsidP="0045287F">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r w:rsidRPr="00371FC0">
        <w:rPr>
          <w:rFonts w:cs="Times New Roman"/>
        </w:rPr>
        <w:t>Torbrand</w:t>
      </w:r>
      <w:proofErr w:type="spellEnd"/>
      <w:r w:rsidR="00A85665">
        <w:rPr>
          <w:rFonts w:cs="Times New Roman"/>
        </w:rPr>
        <w:t xml:space="preserve">, ‘Potash’, </w:t>
      </w:r>
      <w:r w:rsidRPr="00371FC0">
        <w:rPr>
          <w:rFonts w:cs="Times New Roman"/>
        </w:rPr>
        <w:t xml:space="preserve">58; </w:t>
      </w:r>
      <w:proofErr w:type="spellStart"/>
      <w:r w:rsidRPr="00371FC0">
        <w:rPr>
          <w:rFonts w:cs="Times New Roman"/>
        </w:rPr>
        <w:t>Åhman</w:t>
      </w:r>
      <w:proofErr w:type="spellEnd"/>
      <w:r w:rsidR="00476FAB">
        <w:rPr>
          <w:rFonts w:cs="Times New Roman"/>
        </w:rPr>
        <w:t xml:space="preserve">, </w:t>
      </w:r>
      <w:proofErr w:type="spellStart"/>
      <w:r w:rsidR="00476FAB" w:rsidRPr="00371FC0">
        <w:rPr>
          <w:i/>
        </w:rPr>
        <w:t>Hamiltonska</w:t>
      </w:r>
      <w:proofErr w:type="spellEnd"/>
      <w:r w:rsidR="00476FAB" w:rsidRPr="00371FC0">
        <w:rPr>
          <w:i/>
        </w:rPr>
        <w:t xml:space="preserve"> Pottaskekompaniet</w:t>
      </w:r>
      <w:r w:rsidRPr="00371FC0">
        <w:rPr>
          <w:rFonts w:cs="Times New Roman"/>
        </w:rPr>
        <w:t>3, 43; for north American methods, s</w:t>
      </w:r>
      <w:r w:rsidR="00A85665">
        <w:rPr>
          <w:rFonts w:cs="Times New Roman"/>
        </w:rPr>
        <w:t xml:space="preserve">ee </w:t>
      </w:r>
      <w:proofErr w:type="spellStart"/>
      <w:r w:rsidR="00A85665">
        <w:rPr>
          <w:rFonts w:cs="Times New Roman"/>
        </w:rPr>
        <w:t>Knopper</w:t>
      </w:r>
      <w:proofErr w:type="spellEnd"/>
      <w:r w:rsidR="00A85665">
        <w:rPr>
          <w:rFonts w:cs="Times New Roman"/>
        </w:rPr>
        <w:t xml:space="preserve"> &amp; Nicholls, ‘</w:t>
      </w:r>
      <w:proofErr w:type="spellStart"/>
      <w:r w:rsidR="00A85665">
        <w:rPr>
          <w:rFonts w:cs="Times New Roman"/>
        </w:rPr>
        <w:t>Ostseehandel</w:t>
      </w:r>
      <w:proofErr w:type="spellEnd"/>
      <w:r w:rsidR="00A85665">
        <w:rPr>
          <w:rFonts w:cs="Times New Roman"/>
        </w:rPr>
        <w:t xml:space="preserve">’, </w:t>
      </w:r>
      <w:r w:rsidRPr="00371FC0">
        <w:rPr>
          <w:rFonts w:cs="Times New Roman"/>
        </w:rPr>
        <w:t xml:space="preserve">63; </w:t>
      </w:r>
      <w:r w:rsidR="00A85665">
        <w:rPr>
          <w:rFonts w:cs="Times New Roman"/>
        </w:rPr>
        <w:t xml:space="preserve">J. </w:t>
      </w:r>
      <w:proofErr w:type="spellStart"/>
      <w:r w:rsidRPr="00371FC0">
        <w:rPr>
          <w:rFonts w:cs="Times New Roman"/>
          <w:lang w:eastAsia="en-GB"/>
        </w:rPr>
        <w:t>Kunckel</w:t>
      </w:r>
      <w:proofErr w:type="spellEnd"/>
      <w:r w:rsidRPr="00371FC0">
        <w:rPr>
          <w:rFonts w:cs="Times New Roman"/>
          <w:lang w:eastAsia="en-GB"/>
        </w:rPr>
        <w:t xml:space="preserve">, </w:t>
      </w:r>
      <w:proofErr w:type="spellStart"/>
      <w:r w:rsidRPr="00371FC0">
        <w:rPr>
          <w:rFonts w:cs="Times New Roman"/>
          <w:i/>
          <w:iCs/>
          <w:lang w:eastAsia="en-GB"/>
        </w:rPr>
        <w:t>Ars</w:t>
      </w:r>
      <w:proofErr w:type="spellEnd"/>
      <w:r w:rsidRPr="00371FC0">
        <w:rPr>
          <w:rFonts w:cs="Times New Roman"/>
          <w:i/>
          <w:iCs/>
          <w:lang w:eastAsia="en-GB"/>
        </w:rPr>
        <w:t xml:space="preserve"> </w:t>
      </w:r>
      <w:proofErr w:type="spellStart"/>
      <w:r w:rsidRPr="00371FC0">
        <w:rPr>
          <w:rFonts w:cs="Times New Roman"/>
          <w:i/>
          <w:iCs/>
          <w:lang w:eastAsia="en-GB"/>
        </w:rPr>
        <w:t>vitraria</w:t>
      </w:r>
      <w:proofErr w:type="spellEnd"/>
      <w:r w:rsidRPr="00371FC0">
        <w:rPr>
          <w:rFonts w:cs="Times New Roman"/>
          <w:i/>
          <w:iCs/>
          <w:lang w:eastAsia="en-GB"/>
        </w:rPr>
        <w:t xml:space="preserve"> </w:t>
      </w:r>
      <w:proofErr w:type="spellStart"/>
      <w:r w:rsidRPr="00371FC0">
        <w:rPr>
          <w:rFonts w:cs="Times New Roman"/>
          <w:i/>
          <w:iCs/>
          <w:lang w:eastAsia="en-GB"/>
        </w:rPr>
        <w:t>experimentalis</w:t>
      </w:r>
      <w:proofErr w:type="spellEnd"/>
      <w:r w:rsidRPr="00371FC0">
        <w:rPr>
          <w:rFonts w:cs="Times New Roman"/>
          <w:i/>
          <w:iCs/>
          <w:lang w:eastAsia="en-GB"/>
        </w:rPr>
        <w:t xml:space="preserve">, </w:t>
      </w:r>
      <w:proofErr w:type="spellStart"/>
      <w:r w:rsidRPr="00371FC0">
        <w:rPr>
          <w:rFonts w:cs="Times New Roman"/>
          <w:i/>
          <w:iCs/>
          <w:lang w:eastAsia="en-GB"/>
        </w:rPr>
        <w:t>oder</w:t>
      </w:r>
      <w:proofErr w:type="spellEnd"/>
      <w:r w:rsidRPr="00371FC0">
        <w:rPr>
          <w:rFonts w:cs="Times New Roman"/>
          <w:i/>
          <w:iCs/>
          <w:lang w:eastAsia="en-GB"/>
        </w:rPr>
        <w:t xml:space="preserve"> </w:t>
      </w:r>
      <w:proofErr w:type="spellStart"/>
      <w:r w:rsidRPr="00371FC0">
        <w:rPr>
          <w:rFonts w:cs="Times New Roman"/>
          <w:i/>
          <w:iCs/>
          <w:lang w:eastAsia="en-GB"/>
        </w:rPr>
        <w:t>vollkommene</w:t>
      </w:r>
      <w:proofErr w:type="spellEnd"/>
      <w:r w:rsidRPr="00371FC0">
        <w:rPr>
          <w:rFonts w:cs="Times New Roman"/>
          <w:i/>
          <w:iCs/>
          <w:lang w:eastAsia="en-GB"/>
        </w:rPr>
        <w:t xml:space="preserve"> </w:t>
      </w:r>
      <w:proofErr w:type="spellStart"/>
      <w:r w:rsidRPr="00371FC0">
        <w:rPr>
          <w:rFonts w:cs="Times New Roman"/>
          <w:i/>
          <w:iCs/>
          <w:lang w:eastAsia="en-GB"/>
        </w:rPr>
        <w:t>Glasmacher</w:t>
      </w:r>
      <w:proofErr w:type="spellEnd"/>
      <w:r w:rsidRPr="00371FC0">
        <w:rPr>
          <w:rFonts w:cs="Times New Roman"/>
          <w:i/>
          <w:iCs/>
          <w:lang w:eastAsia="en-GB"/>
        </w:rPr>
        <w:t xml:space="preserve"> - </w:t>
      </w:r>
      <w:proofErr w:type="spellStart"/>
      <w:r w:rsidRPr="00371FC0">
        <w:rPr>
          <w:rFonts w:cs="Times New Roman"/>
          <w:i/>
          <w:iCs/>
          <w:lang w:eastAsia="en-GB"/>
        </w:rPr>
        <w:t>Kunst</w:t>
      </w:r>
      <w:proofErr w:type="spellEnd"/>
      <w:r w:rsidRPr="00371FC0">
        <w:rPr>
          <w:rFonts w:cs="Times New Roman"/>
          <w:lang w:eastAsia="en-GB"/>
        </w:rPr>
        <w:t>,</w:t>
      </w:r>
      <w:r w:rsidR="00A85665">
        <w:rPr>
          <w:rFonts w:cs="Times New Roman"/>
          <w:lang w:eastAsia="en-GB"/>
        </w:rPr>
        <w:t xml:space="preserve"> (Frankfurt am Main, 1679)</w:t>
      </w:r>
      <w:proofErr w:type="gramStart"/>
      <w:r w:rsidR="00A85665">
        <w:rPr>
          <w:rFonts w:cs="Times New Roman"/>
          <w:lang w:eastAsia="en-GB"/>
        </w:rPr>
        <w:t xml:space="preserve">,  </w:t>
      </w:r>
      <w:r w:rsidRPr="00371FC0">
        <w:rPr>
          <w:rFonts w:cs="Times New Roman"/>
          <w:lang w:eastAsia="en-GB"/>
        </w:rPr>
        <w:t>321</w:t>
      </w:r>
      <w:proofErr w:type="gramEnd"/>
      <w:r w:rsidRPr="00371FC0">
        <w:rPr>
          <w:rFonts w:cs="Times New Roman"/>
          <w:lang w:eastAsia="en-GB"/>
        </w:rPr>
        <w:t>-7; Stephens</w:t>
      </w:r>
      <w:r w:rsidR="00A85665">
        <w:rPr>
          <w:rFonts w:cs="Times New Roman"/>
          <w:lang w:eastAsia="en-GB"/>
        </w:rPr>
        <w:t xml:space="preserve">, </w:t>
      </w:r>
      <w:r w:rsidR="00A85665">
        <w:rPr>
          <w:rFonts w:cs="Times New Roman"/>
          <w:i/>
          <w:lang w:eastAsia="en-GB"/>
        </w:rPr>
        <w:t xml:space="preserve">method, </w:t>
      </w:r>
      <w:r w:rsidRPr="00371FC0">
        <w:rPr>
          <w:rFonts w:cs="Times New Roman"/>
          <w:lang w:eastAsia="en-GB"/>
        </w:rPr>
        <w:t>2-6.</w:t>
      </w:r>
    </w:p>
  </w:footnote>
  <w:footnote w:id="81">
    <w:p w:rsidR="00907B0D" w:rsidRPr="00371FC0" w:rsidRDefault="00907B0D" w:rsidP="0045287F">
      <w:pPr>
        <w:pStyle w:val="FootnoteText"/>
        <w:rPr>
          <w:rFonts w:cs="Times New Roman"/>
          <w:lang w:val="en-US"/>
        </w:rPr>
      </w:pPr>
      <w:r w:rsidRPr="00371FC0">
        <w:rPr>
          <w:rStyle w:val="FootnoteReference"/>
          <w:rFonts w:cs="Times New Roman"/>
        </w:rPr>
        <w:footnoteRef/>
      </w:r>
      <w:r w:rsidRPr="00371FC0">
        <w:rPr>
          <w:rFonts w:cs="Times New Roman"/>
        </w:rPr>
        <w:t xml:space="preserve"> </w:t>
      </w:r>
      <w:proofErr w:type="spellStart"/>
      <w:r w:rsidRPr="00371FC0">
        <w:rPr>
          <w:rFonts w:cs="Times New Roman"/>
        </w:rPr>
        <w:t>Sarnecki</w:t>
      </w:r>
      <w:proofErr w:type="spellEnd"/>
      <w:r w:rsidR="00A85665">
        <w:rPr>
          <w:rFonts w:cs="Times New Roman"/>
        </w:rPr>
        <w:t>, ‘</w:t>
      </w:r>
      <w:proofErr w:type="spellStart"/>
      <w:r w:rsidRPr="00371FC0">
        <w:rPr>
          <w:rFonts w:cs="Times New Roman"/>
        </w:rPr>
        <w:t>otrzymywania</w:t>
      </w:r>
      <w:proofErr w:type="spellEnd"/>
      <w:r w:rsidRPr="00371FC0">
        <w:rPr>
          <w:rFonts w:cs="Times New Roman"/>
        </w:rPr>
        <w:t xml:space="preserve"> </w:t>
      </w:r>
      <w:proofErr w:type="spellStart"/>
      <w:r w:rsidRPr="00371FC0">
        <w:rPr>
          <w:rFonts w:cs="Times New Roman"/>
        </w:rPr>
        <w:t>potazu</w:t>
      </w:r>
      <w:proofErr w:type="spellEnd"/>
      <w:r w:rsidR="00A85665">
        <w:rPr>
          <w:rFonts w:cs="Times New Roman"/>
        </w:rPr>
        <w:t>’</w:t>
      </w:r>
      <w:r w:rsidR="00B0403C">
        <w:rPr>
          <w:rFonts w:cs="Times New Roman"/>
        </w:rPr>
        <w:t xml:space="preserve">, </w:t>
      </w:r>
      <w:r w:rsidRPr="00371FC0">
        <w:rPr>
          <w:rFonts w:cs="Times New Roman"/>
          <w:lang w:val="en-US"/>
        </w:rPr>
        <w:t xml:space="preserve">72, 78; late eighteenth in early nineteenth century German sources describe a careful process of filtration of the lye to concentrate the alkali content. </w:t>
      </w:r>
      <w:proofErr w:type="spellStart"/>
      <w:proofErr w:type="gramStart"/>
      <w:r w:rsidRPr="00371FC0">
        <w:rPr>
          <w:rFonts w:cs="Times New Roman"/>
          <w:lang w:val="en-US"/>
        </w:rPr>
        <w:t>Woitsch</w:t>
      </w:r>
      <w:proofErr w:type="spellEnd"/>
      <w:r w:rsidR="00A85665">
        <w:rPr>
          <w:rFonts w:cs="Times New Roman"/>
          <w:lang w:val="en-US"/>
        </w:rPr>
        <w:t xml:space="preserve">, ‘Potash’, </w:t>
      </w:r>
      <w:r w:rsidRPr="00371FC0">
        <w:rPr>
          <w:rFonts w:cs="Times New Roman"/>
          <w:lang w:val="en-US"/>
        </w:rPr>
        <w:t>12-4; Dunbar</w:t>
      </w:r>
      <w:r w:rsidR="00A85665">
        <w:rPr>
          <w:rFonts w:cs="Times New Roman"/>
          <w:lang w:val="en-US"/>
        </w:rPr>
        <w:t xml:space="preserve">, </w:t>
      </w:r>
      <w:proofErr w:type="spellStart"/>
      <w:r w:rsidR="00A85665" w:rsidRPr="00371FC0">
        <w:rPr>
          <w:i/>
        </w:rPr>
        <w:t>Smegmatalogia</w:t>
      </w:r>
      <w:proofErr w:type="spellEnd"/>
      <w:r w:rsidRPr="00371FC0">
        <w:rPr>
          <w:rFonts w:cs="Times New Roman"/>
          <w:lang w:val="en-US"/>
        </w:rPr>
        <w:t xml:space="preserve"> (1736), pp.2-6, 11-2.</w:t>
      </w:r>
      <w:proofErr w:type="gramEnd"/>
    </w:p>
  </w:footnote>
  <w:footnote w:id="82">
    <w:p w:rsidR="00907B0D" w:rsidRPr="00371FC0" w:rsidRDefault="00907B0D" w:rsidP="003A1F0D">
      <w:pPr>
        <w:pStyle w:val="FootnoteText"/>
        <w:rPr>
          <w:rFonts w:cs="Times New Roman"/>
        </w:rPr>
      </w:pPr>
      <w:r w:rsidRPr="00371FC0">
        <w:rPr>
          <w:rStyle w:val="FootnoteReference"/>
          <w:rFonts w:cs="Times New Roman"/>
        </w:rPr>
        <w:footnoteRef/>
      </w:r>
      <w:r w:rsidR="00936329">
        <w:rPr>
          <w:rFonts w:cs="Times New Roman"/>
        </w:rPr>
        <w:t xml:space="preserve"> </w:t>
      </w:r>
      <w:proofErr w:type="spellStart"/>
      <w:r w:rsidR="00936329">
        <w:rPr>
          <w:rFonts w:cs="Times New Roman"/>
        </w:rPr>
        <w:t>Krünitz</w:t>
      </w:r>
      <w:proofErr w:type="spellEnd"/>
      <w:r w:rsidRPr="00371FC0">
        <w:rPr>
          <w:rFonts w:cs="Times New Roman"/>
        </w:rPr>
        <w:t xml:space="preserve">, </w:t>
      </w:r>
      <w:proofErr w:type="spellStart"/>
      <w:proofErr w:type="gramStart"/>
      <w:r w:rsidR="00936329" w:rsidRPr="00371FC0">
        <w:rPr>
          <w:rFonts w:cs="Times New Roman"/>
          <w:i/>
          <w:color w:val="212121"/>
          <w:shd w:val="clear" w:color="auto" w:fill="FFFFFF"/>
        </w:rPr>
        <w:t>Encyklopädie</w:t>
      </w:r>
      <w:proofErr w:type="spellEnd"/>
      <w:r w:rsidR="00936329" w:rsidRPr="00371FC0">
        <w:rPr>
          <w:rFonts w:cs="Times New Roman"/>
        </w:rPr>
        <w:t xml:space="preserve"> </w:t>
      </w:r>
      <w:r w:rsidR="00936329">
        <w:rPr>
          <w:rFonts w:cs="Times New Roman"/>
        </w:rPr>
        <w:t>,</w:t>
      </w:r>
      <w:proofErr w:type="gramEnd"/>
      <w:r w:rsidR="00936329">
        <w:rPr>
          <w:rFonts w:cs="Times New Roman"/>
        </w:rPr>
        <w:t xml:space="preserve"> </w:t>
      </w:r>
      <w:r w:rsidRPr="00371FC0">
        <w:rPr>
          <w:rFonts w:cs="Times New Roman"/>
        </w:rPr>
        <w:t>431-2, 451, 458-61, 593-6. The Silesian ash was produced by sintering rather than leaching and calcination.</w:t>
      </w:r>
    </w:p>
  </w:footnote>
  <w:footnote w:id="83">
    <w:p w:rsidR="00907B0D" w:rsidRPr="00371FC0" w:rsidRDefault="00907B0D" w:rsidP="003A1F0D">
      <w:pPr>
        <w:pStyle w:val="FootnoteText"/>
        <w:rPr>
          <w:rFonts w:cs="Times New Roman"/>
        </w:rPr>
      </w:pPr>
      <w:r w:rsidRPr="00371FC0">
        <w:rPr>
          <w:rStyle w:val="FootnoteReference"/>
          <w:rFonts w:cs="Times New Roman"/>
        </w:rPr>
        <w:footnoteRef/>
      </w:r>
      <w:r w:rsidR="00A85665">
        <w:rPr>
          <w:rFonts w:cs="Times New Roman"/>
        </w:rPr>
        <w:t xml:space="preserve"> </w:t>
      </w:r>
      <w:proofErr w:type="spellStart"/>
      <w:r w:rsidR="00A85665">
        <w:rPr>
          <w:rFonts w:cs="Times New Roman"/>
        </w:rPr>
        <w:t>Knopper</w:t>
      </w:r>
      <w:proofErr w:type="spellEnd"/>
      <w:r w:rsidR="00A85665">
        <w:rPr>
          <w:rFonts w:cs="Times New Roman"/>
        </w:rPr>
        <w:t xml:space="preserve"> &amp; Nicholls</w:t>
      </w:r>
      <w:r w:rsidRPr="00371FC0">
        <w:rPr>
          <w:rFonts w:cs="Times New Roman"/>
        </w:rPr>
        <w:t xml:space="preserve">, </w:t>
      </w:r>
      <w:r w:rsidR="00A85665">
        <w:rPr>
          <w:rFonts w:cs="Times New Roman"/>
        </w:rPr>
        <w:t>‘</w:t>
      </w:r>
      <w:proofErr w:type="spellStart"/>
      <w:r w:rsidR="00A85665">
        <w:rPr>
          <w:rFonts w:cs="Times New Roman"/>
        </w:rPr>
        <w:t>Ostseehandel</w:t>
      </w:r>
      <w:proofErr w:type="spellEnd"/>
      <w:r w:rsidR="00A85665">
        <w:rPr>
          <w:rFonts w:cs="Times New Roman"/>
        </w:rPr>
        <w:t xml:space="preserve">’, </w:t>
      </w:r>
      <w:r w:rsidRPr="00371FC0">
        <w:rPr>
          <w:rFonts w:cs="Times New Roman"/>
        </w:rPr>
        <w:t>61; also followed by North</w:t>
      </w:r>
      <w:r w:rsidR="00A85665">
        <w:rPr>
          <w:rFonts w:cs="Times New Roman"/>
        </w:rPr>
        <w:t xml:space="preserve">, ‘export’, </w:t>
      </w:r>
      <w:r w:rsidRPr="00371FC0">
        <w:rPr>
          <w:rFonts w:cs="Times New Roman"/>
        </w:rPr>
        <w:t xml:space="preserve">9; this is very similar to the calculation made by </w:t>
      </w:r>
      <w:proofErr w:type="spellStart"/>
      <w:r w:rsidRPr="00371FC0">
        <w:rPr>
          <w:rFonts w:cs="Times New Roman"/>
        </w:rPr>
        <w:t>Åhman</w:t>
      </w:r>
      <w:proofErr w:type="spellEnd"/>
      <w:r w:rsidRPr="00371FC0">
        <w:rPr>
          <w:rFonts w:cs="Times New Roman"/>
        </w:rPr>
        <w:t>, where 1 m</w:t>
      </w:r>
      <w:r w:rsidRPr="00371FC0">
        <w:rPr>
          <w:rFonts w:cs="Times New Roman"/>
          <w:vertAlign w:val="superscript"/>
        </w:rPr>
        <w:t xml:space="preserve">3 </w:t>
      </w:r>
      <w:r w:rsidRPr="00371FC0">
        <w:rPr>
          <w:rFonts w:cs="Times New Roman"/>
        </w:rPr>
        <w:t xml:space="preserve">makes 0.65 kg of potash. </w:t>
      </w:r>
      <w:proofErr w:type="spellStart"/>
      <w:r w:rsidRPr="00371FC0">
        <w:rPr>
          <w:rFonts w:cs="Times New Roman"/>
        </w:rPr>
        <w:t>Åhman</w:t>
      </w:r>
      <w:proofErr w:type="spellEnd"/>
      <w:r w:rsidR="00476FAB">
        <w:rPr>
          <w:rFonts w:cs="Times New Roman"/>
        </w:rPr>
        <w:t xml:space="preserve">, </w:t>
      </w:r>
      <w:proofErr w:type="spellStart"/>
      <w:r w:rsidR="00476FAB" w:rsidRPr="00371FC0">
        <w:rPr>
          <w:i/>
        </w:rPr>
        <w:t>Hamiltonska</w:t>
      </w:r>
      <w:proofErr w:type="spellEnd"/>
      <w:r w:rsidR="00476FAB" w:rsidRPr="00371FC0">
        <w:rPr>
          <w:i/>
        </w:rPr>
        <w:t xml:space="preserve"> </w:t>
      </w:r>
      <w:proofErr w:type="spellStart"/>
      <w:r w:rsidR="00476FAB" w:rsidRPr="00371FC0">
        <w:rPr>
          <w:i/>
        </w:rPr>
        <w:t>Pottaskekompaniet</w:t>
      </w:r>
      <w:proofErr w:type="spellEnd"/>
      <w:proofErr w:type="gramStart"/>
      <w:r w:rsidR="00476FAB">
        <w:rPr>
          <w:i/>
        </w:rPr>
        <w:t xml:space="preserve">, </w:t>
      </w:r>
      <w:r w:rsidRPr="00371FC0">
        <w:rPr>
          <w:rFonts w:cs="Times New Roman"/>
        </w:rPr>
        <w:t xml:space="preserve"> 72</w:t>
      </w:r>
      <w:proofErr w:type="gramEnd"/>
      <w:r w:rsidRPr="00371FC0">
        <w:rPr>
          <w:rFonts w:cs="Times New Roman"/>
        </w:rPr>
        <w:t>.</w:t>
      </w:r>
    </w:p>
  </w:footnote>
  <w:footnote w:id="84">
    <w:p w:rsidR="00907B0D" w:rsidRPr="00371FC0" w:rsidRDefault="00907B0D" w:rsidP="003A1F0D">
      <w:pPr>
        <w:pStyle w:val="FootnoteText"/>
        <w:rPr>
          <w:rFonts w:cs="Times New Roman"/>
        </w:rPr>
      </w:pPr>
      <w:r w:rsidRPr="00371FC0">
        <w:rPr>
          <w:rStyle w:val="FootnoteReference"/>
          <w:rFonts w:cs="Times New Roman"/>
        </w:rPr>
        <w:footnoteRef/>
      </w:r>
      <w:r w:rsidRPr="00371FC0">
        <w:rPr>
          <w:rFonts w:cs="Times New Roman"/>
        </w:rPr>
        <w:t xml:space="preserve"> </w:t>
      </w:r>
      <w:r w:rsidR="00A85665">
        <w:rPr>
          <w:rFonts w:cs="Times New Roman"/>
        </w:rPr>
        <w:t xml:space="preserve">Joachim </w:t>
      </w:r>
      <w:proofErr w:type="spellStart"/>
      <w:r w:rsidRPr="00371FC0">
        <w:rPr>
          <w:rFonts w:cs="Times New Roman"/>
        </w:rPr>
        <w:t>Radkau</w:t>
      </w:r>
      <w:proofErr w:type="spellEnd"/>
      <w:r w:rsidRPr="00371FC0">
        <w:rPr>
          <w:rFonts w:cs="Times New Roman"/>
        </w:rPr>
        <w:t xml:space="preserve">, </w:t>
      </w:r>
      <w:proofErr w:type="spellStart"/>
      <w:r w:rsidRPr="00371FC0">
        <w:rPr>
          <w:rFonts w:cs="Times New Roman"/>
          <w:i/>
        </w:rPr>
        <w:t>Holz</w:t>
      </w:r>
      <w:proofErr w:type="spellEnd"/>
      <w:r w:rsidRPr="00371FC0">
        <w:rPr>
          <w:rFonts w:cs="Times New Roman"/>
          <w:i/>
        </w:rPr>
        <w:t xml:space="preserve">. </w:t>
      </w:r>
      <w:proofErr w:type="spellStart"/>
      <w:proofErr w:type="gramStart"/>
      <w:r w:rsidRPr="00371FC0">
        <w:rPr>
          <w:rFonts w:cs="Times New Roman"/>
          <w:i/>
        </w:rPr>
        <w:t>Wie</w:t>
      </w:r>
      <w:proofErr w:type="spellEnd"/>
      <w:r w:rsidRPr="00371FC0">
        <w:rPr>
          <w:rFonts w:cs="Times New Roman"/>
          <w:i/>
        </w:rPr>
        <w:t xml:space="preserve"> </w:t>
      </w:r>
      <w:proofErr w:type="spellStart"/>
      <w:r w:rsidRPr="00371FC0">
        <w:rPr>
          <w:rFonts w:cs="Times New Roman"/>
          <w:i/>
        </w:rPr>
        <w:t>ein</w:t>
      </w:r>
      <w:proofErr w:type="spellEnd"/>
      <w:r w:rsidRPr="00371FC0">
        <w:rPr>
          <w:rFonts w:cs="Times New Roman"/>
          <w:i/>
        </w:rPr>
        <w:t xml:space="preserve"> </w:t>
      </w:r>
      <w:proofErr w:type="spellStart"/>
      <w:r w:rsidRPr="00371FC0">
        <w:rPr>
          <w:rFonts w:cs="Times New Roman"/>
          <w:i/>
        </w:rPr>
        <w:t>Naturstoff</w:t>
      </w:r>
      <w:proofErr w:type="spellEnd"/>
      <w:r w:rsidRPr="00371FC0">
        <w:rPr>
          <w:rFonts w:cs="Times New Roman"/>
          <w:i/>
        </w:rPr>
        <w:t xml:space="preserve"> Geschichte </w:t>
      </w:r>
      <w:proofErr w:type="spellStart"/>
      <w:r w:rsidRPr="00371FC0">
        <w:rPr>
          <w:rFonts w:cs="Times New Roman"/>
          <w:i/>
        </w:rPr>
        <w:t>schreibt</w:t>
      </w:r>
      <w:proofErr w:type="spellEnd"/>
      <w:r w:rsidRPr="00371FC0">
        <w:rPr>
          <w:rFonts w:cs="Times New Roman"/>
          <w:i/>
        </w:rPr>
        <w:t xml:space="preserve"> </w:t>
      </w:r>
      <w:r w:rsidR="00A85665">
        <w:rPr>
          <w:rFonts w:cs="Times New Roman"/>
        </w:rPr>
        <w:t>(</w:t>
      </w:r>
      <w:proofErr w:type="spellStart"/>
      <w:r w:rsidR="00A85665">
        <w:rPr>
          <w:rFonts w:cs="Times New Roman"/>
        </w:rPr>
        <w:t>München</w:t>
      </w:r>
      <w:proofErr w:type="spellEnd"/>
      <w:r w:rsidR="00A85665">
        <w:rPr>
          <w:rFonts w:cs="Times New Roman"/>
        </w:rPr>
        <w:t xml:space="preserve">, 2007), </w:t>
      </w:r>
      <w:r w:rsidRPr="00371FC0">
        <w:rPr>
          <w:rFonts w:cs="Times New Roman"/>
        </w:rPr>
        <w:t>115.</w:t>
      </w:r>
      <w:proofErr w:type="gramEnd"/>
      <w:r w:rsidRPr="00371FC0">
        <w:rPr>
          <w:rFonts w:cs="Times New Roman"/>
        </w:rPr>
        <w:t xml:space="preserve"> </w:t>
      </w:r>
      <w:proofErr w:type="spellStart"/>
      <w:r w:rsidRPr="00371FC0">
        <w:rPr>
          <w:rFonts w:cs="Times New Roman"/>
        </w:rPr>
        <w:t>Hasel</w:t>
      </w:r>
      <w:proofErr w:type="spellEnd"/>
      <w:r w:rsidRPr="00371FC0">
        <w:rPr>
          <w:rFonts w:cs="Times New Roman"/>
        </w:rPr>
        <w:t xml:space="preserve"> gives a figure of 1m</w:t>
      </w:r>
      <w:r w:rsidRPr="00371FC0">
        <w:rPr>
          <w:rFonts w:cs="Times New Roman"/>
          <w:vertAlign w:val="superscript"/>
        </w:rPr>
        <w:t xml:space="preserve">3 </w:t>
      </w:r>
      <w:r w:rsidRPr="00371FC0">
        <w:rPr>
          <w:rFonts w:cs="Times New Roman"/>
        </w:rPr>
        <w:t>of wood making a ‘</w:t>
      </w:r>
      <w:proofErr w:type="spellStart"/>
      <w:r w:rsidRPr="00371FC0">
        <w:rPr>
          <w:rFonts w:cs="Times New Roman"/>
        </w:rPr>
        <w:t>Zentner</w:t>
      </w:r>
      <w:proofErr w:type="spellEnd"/>
      <w:r w:rsidRPr="00371FC0">
        <w:rPr>
          <w:rFonts w:cs="Times New Roman"/>
        </w:rPr>
        <w:t xml:space="preserve">’ (approx. 50kg) of ash that is so improbably out of line he probably meant 1kg. </w:t>
      </w:r>
      <w:r w:rsidR="00A157B0">
        <w:rPr>
          <w:rFonts w:cs="Times New Roman"/>
        </w:rPr>
        <w:t xml:space="preserve">Karl </w:t>
      </w:r>
      <w:proofErr w:type="spellStart"/>
      <w:r w:rsidRPr="00371FC0">
        <w:rPr>
          <w:rFonts w:cs="Times New Roman"/>
        </w:rPr>
        <w:t>Hasel</w:t>
      </w:r>
      <w:proofErr w:type="spellEnd"/>
      <w:r w:rsidR="00A157B0">
        <w:rPr>
          <w:rFonts w:cs="Times New Roman"/>
        </w:rPr>
        <w:t xml:space="preserve"> &amp; </w:t>
      </w:r>
      <w:proofErr w:type="spellStart"/>
      <w:r w:rsidR="00A157B0">
        <w:rPr>
          <w:rFonts w:cs="Times New Roman"/>
        </w:rPr>
        <w:t>Ekkehard</w:t>
      </w:r>
      <w:proofErr w:type="spellEnd"/>
      <w:r w:rsidR="00A157B0">
        <w:rPr>
          <w:rFonts w:cs="Times New Roman"/>
        </w:rPr>
        <w:t xml:space="preserve"> Schwartz, </w:t>
      </w:r>
      <w:proofErr w:type="spellStart"/>
      <w:r w:rsidR="00A157B0">
        <w:rPr>
          <w:rFonts w:cs="Times New Roman"/>
          <w:i/>
        </w:rPr>
        <w:t>Forstgeschichte</w:t>
      </w:r>
      <w:proofErr w:type="spellEnd"/>
      <w:r w:rsidR="00A157B0">
        <w:rPr>
          <w:rFonts w:cs="Times New Roman"/>
          <w:i/>
        </w:rPr>
        <w:t xml:space="preserve">. </w:t>
      </w:r>
      <w:proofErr w:type="spellStart"/>
      <w:proofErr w:type="gramStart"/>
      <w:r w:rsidR="00A157B0">
        <w:rPr>
          <w:rFonts w:cs="Times New Roman"/>
          <w:i/>
        </w:rPr>
        <w:t>Ein</w:t>
      </w:r>
      <w:proofErr w:type="spellEnd"/>
      <w:r w:rsidR="00A157B0">
        <w:rPr>
          <w:rFonts w:cs="Times New Roman"/>
          <w:i/>
        </w:rPr>
        <w:t xml:space="preserve"> </w:t>
      </w:r>
      <w:proofErr w:type="spellStart"/>
      <w:r w:rsidR="00A157B0">
        <w:rPr>
          <w:rFonts w:cs="Times New Roman"/>
          <w:i/>
        </w:rPr>
        <w:t>Grundriss</w:t>
      </w:r>
      <w:proofErr w:type="spellEnd"/>
      <w:r w:rsidR="00A157B0">
        <w:rPr>
          <w:rFonts w:cs="Times New Roman"/>
          <w:i/>
        </w:rPr>
        <w:t xml:space="preserve"> </w:t>
      </w:r>
      <w:proofErr w:type="spellStart"/>
      <w:r w:rsidR="00A157B0">
        <w:rPr>
          <w:rFonts w:cs="Times New Roman"/>
          <w:i/>
        </w:rPr>
        <w:t>für</w:t>
      </w:r>
      <w:proofErr w:type="spellEnd"/>
      <w:r w:rsidR="00A157B0">
        <w:rPr>
          <w:rFonts w:cs="Times New Roman"/>
          <w:i/>
        </w:rPr>
        <w:t xml:space="preserve"> </w:t>
      </w:r>
      <w:proofErr w:type="spellStart"/>
      <w:r w:rsidR="00A157B0">
        <w:rPr>
          <w:rFonts w:cs="Times New Roman"/>
          <w:i/>
        </w:rPr>
        <w:t>Studium</w:t>
      </w:r>
      <w:proofErr w:type="spellEnd"/>
      <w:r w:rsidR="00A157B0">
        <w:rPr>
          <w:rFonts w:cs="Times New Roman"/>
          <w:i/>
        </w:rPr>
        <w:t xml:space="preserve"> und Praxis.</w:t>
      </w:r>
      <w:proofErr w:type="gramEnd"/>
      <w:r w:rsidR="00A157B0">
        <w:rPr>
          <w:rFonts w:cs="Times New Roman"/>
          <w:i/>
        </w:rPr>
        <w:t xml:space="preserve"> </w:t>
      </w:r>
      <w:r w:rsidR="00A157B0">
        <w:rPr>
          <w:rFonts w:cs="Times New Roman"/>
        </w:rPr>
        <w:t>3</w:t>
      </w:r>
      <w:r w:rsidR="00A157B0" w:rsidRPr="00A157B0">
        <w:rPr>
          <w:rFonts w:cs="Times New Roman"/>
          <w:vertAlign w:val="superscript"/>
        </w:rPr>
        <w:t>rd</w:t>
      </w:r>
      <w:r w:rsidR="00A157B0">
        <w:rPr>
          <w:rFonts w:cs="Times New Roman"/>
        </w:rPr>
        <w:t xml:space="preserve"> edition</w:t>
      </w:r>
      <w:r w:rsidRPr="00371FC0">
        <w:rPr>
          <w:rFonts w:cs="Times New Roman"/>
        </w:rPr>
        <w:t xml:space="preserve"> (</w:t>
      </w:r>
      <w:r w:rsidR="00A157B0">
        <w:rPr>
          <w:rFonts w:cs="Times New Roman"/>
        </w:rPr>
        <w:t xml:space="preserve">Kassel, </w:t>
      </w:r>
      <w:r w:rsidRPr="00371FC0">
        <w:rPr>
          <w:rFonts w:cs="Times New Roman"/>
        </w:rPr>
        <w:t>20</w:t>
      </w:r>
      <w:r w:rsidR="00A157B0">
        <w:rPr>
          <w:rFonts w:cs="Times New Roman"/>
        </w:rPr>
        <w:t xml:space="preserve">06), </w:t>
      </w:r>
      <w:r w:rsidRPr="00371FC0">
        <w:rPr>
          <w:rFonts w:cs="Times New Roman"/>
        </w:rPr>
        <w:t>219, although he may well have mistaken the amount of fuel used in heating pots and kettles in the process of distilling the lye with the amount of wood requ</w:t>
      </w:r>
      <w:r w:rsidR="00936329">
        <w:rPr>
          <w:rFonts w:cs="Times New Roman"/>
        </w:rPr>
        <w:t xml:space="preserve">ired. On this see </w:t>
      </w:r>
      <w:proofErr w:type="spellStart"/>
      <w:r w:rsidR="00936329">
        <w:rPr>
          <w:rFonts w:cs="Times New Roman"/>
        </w:rPr>
        <w:t>Krünitz</w:t>
      </w:r>
      <w:proofErr w:type="spellEnd"/>
      <w:r w:rsidR="00936329">
        <w:rPr>
          <w:rFonts w:cs="Times New Roman"/>
        </w:rPr>
        <w:t xml:space="preserve">, </w:t>
      </w:r>
      <w:proofErr w:type="spellStart"/>
      <w:r w:rsidR="00936329" w:rsidRPr="00371FC0">
        <w:rPr>
          <w:rFonts w:cs="Times New Roman"/>
          <w:i/>
          <w:color w:val="212121"/>
          <w:shd w:val="clear" w:color="auto" w:fill="FFFFFF"/>
        </w:rPr>
        <w:t>Encyklopädie</w:t>
      </w:r>
      <w:proofErr w:type="spellEnd"/>
      <w:r w:rsidR="00936329">
        <w:rPr>
          <w:rFonts w:cs="Times New Roman"/>
          <w:i/>
          <w:color w:val="212121"/>
          <w:shd w:val="clear" w:color="auto" w:fill="FFFFFF"/>
        </w:rPr>
        <w:t>,</w:t>
      </w:r>
      <w:r w:rsidR="00936329" w:rsidRPr="00371FC0">
        <w:rPr>
          <w:rFonts w:cs="Times New Roman"/>
        </w:rPr>
        <w:t xml:space="preserve"> </w:t>
      </w:r>
      <w:r w:rsidRPr="00371FC0">
        <w:rPr>
          <w:rFonts w:cs="Times New Roman"/>
        </w:rPr>
        <w:t>386, 390-1.</w:t>
      </w:r>
    </w:p>
  </w:footnote>
  <w:footnote w:id="85">
    <w:p w:rsidR="00907B0D" w:rsidRPr="00371FC0" w:rsidRDefault="00907B0D" w:rsidP="003A1F0D">
      <w:pPr>
        <w:pStyle w:val="Default"/>
        <w:rPr>
          <w:rFonts w:ascii="Times New Roman" w:hAnsi="Times New Roman" w:cs="Times New Roman"/>
          <w:sz w:val="20"/>
          <w:szCs w:val="20"/>
        </w:rPr>
      </w:pPr>
      <w:r w:rsidRPr="00371FC0">
        <w:rPr>
          <w:rStyle w:val="FootnoteReference"/>
          <w:rFonts w:ascii="Times New Roman" w:hAnsi="Times New Roman" w:cs="Times New Roman"/>
          <w:sz w:val="20"/>
          <w:szCs w:val="20"/>
        </w:rPr>
        <w:footnoteRef/>
      </w:r>
      <w:r w:rsidRPr="00371FC0">
        <w:rPr>
          <w:rFonts w:ascii="Times New Roman" w:hAnsi="Times New Roman" w:cs="Times New Roman"/>
          <w:sz w:val="20"/>
          <w:szCs w:val="20"/>
        </w:rPr>
        <w:t xml:space="preserve"> This is treated by me as from ‘cords superficial’, or stacked wood, but if solid timber was meant the estimate would be more in line with others. </w:t>
      </w:r>
      <w:r w:rsidR="00A85665">
        <w:rPr>
          <w:rFonts w:ascii="Times New Roman" w:hAnsi="Times New Roman" w:cs="Times New Roman"/>
          <w:sz w:val="20"/>
          <w:szCs w:val="20"/>
        </w:rPr>
        <w:t xml:space="preserve">R.K. </w:t>
      </w:r>
      <w:r w:rsidRPr="00371FC0">
        <w:rPr>
          <w:rFonts w:ascii="Times New Roman" w:hAnsi="Times New Roman" w:cs="Times New Roman"/>
          <w:sz w:val="20"/>
          <w:szCs w:val="20"/>
        </w:rPr>
        <w:t xml:space="preserve">McGregor, ‘Changing Technologies and Forest Consumption in the Upper Delaware Valley, 1790-1880’, </w:t>
      </w:r>
      <w:r w:rsidRPr="00371FC0">
        <w:rPr>
          <w:rFonts w:ascii="Times New Roman" w:hAnsi="Times New Roman" w:cs="Times New Roman"/>
          <w:i/>
          <w:sz w:val="20"/>
          <w:szCs w:val="20"/>
        </w:rPr>
        <w:t>Journal of Forest History</w:t>
      </w:r>
      <w:r w:rsidR="00A85665">
        <w:rPr>
          <w:rFonts w:ascii="Times New Roman" w:hAnsi="Times New Roman" w:cs="Times New Roman"/>
          <w:sz w:val="20"/>
          <w:szCs w:val="20"/>
        </w:rPr>
        <w:t xml:space="preserve"> 32 (1988), </w:t>
      </w:r>
      <w:r w:rsidRPr="00371FC0">
        <w:rPr>
          <w:rFonts w:ascii="Times New Roman" w:hAnsi="Times New Roman" w:cs="Times New Roman"/>
          <w:sz w:val="20"/>
          <w:szCs w:val="20"/>
        </w:rPr>
        <w:t>69-81.</w:t>
      </w:r>
    </w:p>
  </w:footnote>
  <w:footnote w:id="86">
    <w:p w:rsidR="00907B0D" w:rsidRPr="00371FC0" w:rsidRDefault="00907B0D" w:rsidP="003A1F0D">
      <w:pPr>
        <w:pStyle w:val="FootnoteText"/>
        <w:rPr>
          <w:rFonts w:cs="Times New Roman"/>
        </w:rPr>
      </w:pPr>
      <w:r w:rsidRPr="00371FC0">
        <w:rPr>
          <w:rStyle w:val="FootnoteReference"/>
          <w:rFonts w:cs="Times New Roman"/>
        </w:rPr>
        <w:footnoteRef/>
      </w:r>
      <w:r w:rsidR="00936329">
        <w:rPr>
          <w:rFonts w:cs="Times New Roman"/>
        </w:rPr>
        <w:t xml:space="preserve"> </w:t>
      </w:r>
      <w:proofErr w:type="spellStart"/>
      <w:r w:rsidR="00936329">
        <w:rPr>
          <w:rFonts w:cs="Times New Roman"/>
        </w:rPr>
        <w:t>Krünitz</w:t>
      </w:r>
      <w:proofErr w:type="spellEnd"/>
      <w:r w:rsidR="00936329">
        <w:rPr>
          <w:rFonts w:cs="Times New Roman"/>
        </w:rPr>
        <w:t xml:space="preserve">, </w:t>
      </w:r>
      <w:proofErr w:type="spellStart"/>
      <w:proofErr w:type="gramStart"/>
      <w:r w:rsidR="00936329" w:rsidRPr="00371FC0">
        <w:rPr>
          <w:rFonts w:cs="Times New Roman"/>
          <w:i/>
          <w:color w:val="212121"/>
          <w:shd w:val="clear" w:color="auto" w:fill="FFFFFF"/>
        </w:rPr>
        <w:t>Encyklopädie</w:t>
      </w:r>
      <w:proofErr w:type="spellEnd"/>
      <w:r w:rsidR="00936329" w:rsidRPr="00371FC0">
        <w:rPr>
          <w:rFonts w:cs="Times New Roman"/>
        </w:rPr>
        <w:t xml:space="preserve"> </w:t>
      </w:r>
      <w:r w:rsidR="00936329">
        <w:rPr>
          <w:rFonts w:cs="Times New Roman"/>
        </w:rPr>
        <w:t>,</w:t>
      </w:r>
      <w:proofErr w:type="gramEnd"/>
      <w:r w:rsidR="00936329">
        <w:rPr>
          <w:rFonts w:cs="Times New Roman"/>
        </w:rPr>
        <w:t xml:space="preserve"> </w:t>
      </w:r>
      <w:r w:rsidRPr="00371FC0">
        <w:rPr>
          <w:rFonts w:cs="Times New Roman"/>
        </w:rPr>
        <w:t>466.</w:t>
      </w:r>
    </w:p>
  </w:footnote>
  <w:footnote w:id="87">
    <w:p w:rsidR="00907B0D" w:rsidRPr="00371FC0" w:rsidRDefault="00907B0D" w:rsidP="003A1F0D">
      <w:pPr>
        <w:pStyle w:val="FootnoteText"/>
        <w:rPr>
          <w:rFonts w:cs="Times New Roman"/>
        </w:rPr>
      </w:pPr>
      <w:r w:rsidRPr="00371FC0">
        <w:rPr>
          <w:rStyle w:val="FootnoteReference"/>
          <w:rFonts w:cs="Times New Roman"/>
        </w:rPr>
        <w:footnoteRef/>
      </w:r>
      <w:r w:rsidRPr="00371FC0">
        <w:rPr>
          <w:rFonts w:cs="Times New Roman"/>
        </w:rPr>
        <w:t xml:space="preserve"> Kunnas</w:t>
      </w:r>
      <w:r w:rsidR="00A85665">
        <w:rPr>
          <w:rFonts w:cs="Times New Roman"/>
        </w:rPr>
        <w:t xml:space="preserve">, ‘Potash’, </w:t>
      </w:r>
      <w:r w:rsidRPr="00371FC0">
        <w:rPr>
          <w:rFonts w:cs="Times New Roman"/>
        </w:rPr>
        <w:t xml:space="preserve">295. Similarly for Sweden </w:t>
      </w:r>
      <w:proofErr w:type="spellStart"/>
      <w:r w:rsidRPr="00371FC0">
        <w:rPr>
          <w:rFonts w:cs="Times New Roman"/>
        </w:rPr>
        <w:t>Sundberg</w:t>
      </w:r>
      <w:proofErr w:type="spellEnd"/>
      <w:r w:rsidRPr="00371FC0">
        <w:rPr>
          <w:rFonts w:cs="Times New Roman"/>
        </w:rPr>
        <w:t xml:space="preserve"> et al. Reckoned on 1.5 – 2 m</w:t>
      </w:r>
      <w:r w:rsidRPr="00371FC0">
        <w:rPr>
          <w:rFonts w:cs="Times New Roman"/>
          <w:vertAlign w:val="superscript"/>
        </w:rPr>
        <w:t xml:space="preserve">3 </w:t>
      </w:r>
      <w:r w:rsidRPr="00371FC0">
        <w:rPr>
          <w:rFonts w:cs="Times New Roman"/>
        </w:rPr>
        <w:t xml:space="preserve">of beech or birch being required per kg ‘potassium’, by which they seem to mean potash. </w:t>
      </w:r>
      <w:r w:rsidR="00A85665">
        <w:rPr>
          <w:rFonts w:cs="Times New Roman"/>
        </w:rPr>
        <w:t xml:space="preserve">U. </w:t>
      </w:r>
      <w:proofErr w:type="spellStart"/>
      <w:r w:rsidRPr="00371FC0">
        <w:rPr>
          <w:rFonts w:cs="Times New Roman"/>
        </w:rPr>
        <w:t>Sundberg</w:t>
      </w:r>
      <w:proofErr w:type="spellEnd"/>
      <w:r w:rsidRPr="00371FC0">
        <w:rPr>
          <w:rFonts w:cs="Times New Roman"/>
        </w:rPr>
        <w:t xml:space="preserve">, </w:t>
      </w:r>
      <w:r w:rsidR="00A85665">
        <w:rPr>
          <w:rFonts w:cs="Times New Roman"/>
        </w:rPr>
        <w:t xml:space="preserve">J. </w:t>
      </w:r>
      <w:proofErr w:type="spellStart"/>
      <w:r w:rsidRPr="00371FC0">
        <w:rPr>
          <w:rFonts w:cs="Times New Roman"/>
        </w:rPr>
        <w:t>Lindegeren</w:t>
      </w:r>
      <w:proofErr w:type="spellEnd"/>
      <w:r w:rsidRPr="00371FC0">
        <w:rPr>
          <w:rFonts w:cs="Times New Roman"/>
        </w:rPr>
        <w:t xml:space="preserve">, </w:t>
      </w:r>
      <w:r w:rsidR="00A85665">
        <w:rPr>
          <w:rFonts w:cs="Times New Roman"/>
        </w:rPr>
        <w:t xml:space="preserve">H.T. </w:t>
      </w:r>
      <w:proofErr w:type="spellStart"/>
      <w:r w:rsidRPr="00371FC0">
        <w:rPr>
          <w:rFonts w:cs="Times New Roman"/>
        </w:rPr>
        <w:t>Odum</w:t>
      </w:r>
      <w:proofErr w:type="spellEnd"/>
      <w:r w:rsidRPr="00371FC0">
        <w:rPr>
          <w:rFonts w:cs="Times New Roman"/>
        </w:rPr>
        <w:t xml:space="preserve">, &amp; </w:t>
      </w:r>
      <w:r w:rsidR="00A85665">
        <w:rPr>
          <w:rFonts w:cs="Times New Roman"/>
        </w:rPr>
        <w:t xml:space="preserve">S. </w:t>
      </w:r>
      <w:r w:rsidRPr="00371FC0">
        <w:rPr>
          <w:rFonts w:cs="Times New Roman"/>
        </w:rPr>
        <w:t xml:space="preserve">Doherty, </w:t>
      </w:r>
      <w:r w:rsidRPr="00371FC0">
        <w:rPr>
          <w:rFonts w:cs="Times New Roman"/>
          <w:i/>
        </w:rPr>
        <w:t xml:space="preserve">Forest </w:t>
      </w:r>
      <w:proofErr w:type="spellStart"/>
      <w:r w:rsidRPr="00371FC0">
        <w:rPr>
          <w:rFonts w:cs="Times New Roman"/>
          <w:i/>
        </w:rPr>
        <w:t>emergy</w:t>
      </w:r>
      <w:proofErr w:type="spellEnd"/>
      <w:r w:rsidRPr="00371FC0">
        <w:rPr>
          <w:rFonts w:cs="Times New Roman"/>
          <w:i/>
        </w:rPr>
        <w:t xml:space="preserve"> basis for Swedish power in the 17</w:t>
      </w:r>
      <w:r w:rsidRPr="00371FC0">
        <w:rPr>
          <w:rFonts w:cs="Times New Roman"/>
          <w:i/>
          <w:vertAlign w:val="superscript"/>
        </w:rPr>
        <w:t>th</w:t>
      </w:r>
      <w:r w:rsidRPr="00371FC0">
        <w:rPr>
          <w:rFonts w:cs="Times New Roman"/>
          <w:i/>
        </w:rPr>
        <w:t xml:space="preserve"> century, </w:t>
      </w:r>
      <w:r w:rsidR="00A85665">
        <w:rPr>
          <w:rFonts w:cs="Times New Roman"/>
        </w:rPr>
        <w:t xml:space="preserve">(Stockholm, 1994), </w:t>
      </w:r>
      <w:r w:rsidRPr="00371FC0">
        <w:rPr>
          <w:rFonts w:cs="Times New Roman"/>
        </w:rPr>
        <w:t>36.</w:t>
      </w:r>
    </w:p>
  </w:footnote>
  <w:footnote w:id="88">
    <w:p w:rsidR="00907B0D" w:rsidRPr="00371FC0" w:rsidRDefault="00907B0D" w:rsidP="003A1F0D">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proofErr w:type="gramStart"/>
      <w:r w:rsidRPr="00371FC0">
        <w:rPr>
          <w:rFonts w:cs="Times New Roman"/>
        </w:rPr>
        <w:t>Mager</w:t>
      </w:r>
      <w:proofErr w:type="spellEnd"/>
      <w:r w:rsidR="00A85665">
        <w:rPr>
          <w:rFonts w:cs="Times New Roman"/>
        </w:rPr>
        <w:t xml:space="preserve">, </w:t>
      </w:r>
      <w:r w:rsidR="00A85665">
        <w:rPr>
          <w:rFonts w:cs="Times New Roman"/>
          <w:i/>
        </w:rPr>
        <w:t xml:space="preserve">Der Wald, </w:t>
      </w:r>
      <w:r w:rsidRPr="00371FC0">
        <w:rPr>
          <w:rFonts w:cs="Times New Roman"/>
        </w:rPr>
        <w:t>41.</w:t>
      </w:r>
      <w:proofErr w:type="gramEnd"/>
      <w:r w:rsidRPr="00371FC0">
        <w:rPr>
          <w:rFonts w:cs="Times New Roman"/>
        </w:rPr>
        <w:t xml:space="preserve">  The doomed Hamilton </w:t>
      </w:r>
      <w:proofErr w:type="gramStart"/>
      <w:r w:rsidRPr="00371FC0">
        <w:rPr>
          <w:rFonts w:cs="Times New Roman"/>
        </w:rPr>
        <w:t>company</w:t>
      </w:r>
      <w:proofErr w:type="gramEnd"/>
      <w:r w:rsidRPr="00371FC0">
        <w:rPr>
          <w:rFonts w:cs="Times New Roman"/>
        </w:rPr>
        <w:t xml:space="preserve"> managed a conversion rate of 2.2% in </w:t>
      </w:r>
      <w:proofErr w:type="spellStart"/>
      <w:r w:rsidRPr="00371FC0">
        <w:rPr>
          <w:rFonts w:cs="Times New Roman"/>
        </w:rPr>
        <w:t>Esbjörnamåla</w:t>
      </w:r>
      <w:proofErr w:type="spellEnd"/>
      <w:r w:rsidRPr="00371FC0">
        <w:rPr>
          <w:rFonts w:cs="Times New Roman"/>
        </w:rPr>
        <w:t>, that is one cask of potash took 45 casks of ash sold to them by the peasants to make. They had reckoned on a conversion rate of</w:t>
      </w:r>
      <w:r w:rsidR="00476FAB">
        <w:rPr>
          <w:rFonts w:cs="Times New Roman"/>
        </w:rPr>
        <w:t xml:space="preserve"> 8.2%, or 1:12. </w:t>
      </w:r>
      <w:proofErr w:type="spellStart"/>
      <w:r w:rsidR="00476FAB">
        <w:rPr>
          <w:rFonts w:cs="Times New Roman"/>
        </w:rPr>
        <w:t>Åhman</w:t>
      </w:r>
      <w:proofErr w:type="spellEnd"/>
      <w:r w:rsidR="00476FAB">
        <w:rPr>
          <w:rFonts w:cs="Times New Roman"/>
        </w:rPr>
        <w:t xml:space="preserve">, </w:t>
      </w:r>
      <w:proofErr w:type="spellStart"/>
      <w:r w:rsidR="00476FAB" w:rsidRPr="00371FC0">
        <w:rPr>
          <w:i/>
        </w:rPr>
        <w:t>Hamiltonska</w:t>
      </w:r>
      <w:proofErr w:type="spellEnd"/>
      <w:r w:rsidR="00476FAB" w:rsidRPr="00371FC0">
        <w:rPr>
          <w:i/>
        </w:rPr>
        <w:t xml:space="preserve"> </w:t>
      </w:r>
      <w:proofErr w:type="spellStart"/>
      <w:proofErr w:type="gramStart"/>
      <w:r w:rsidR="00476FAB" w:rsidRPr="00371FC0">
        <w:rPr>
          <w:i/>
        </w:rPr>
        <w:t>Pottaskekompaniet</w:t>
      </w:r>
      <w:proofErr w:type="spellEnd"/>
      <w:r w:rsidR="00476FAB" w:rsidRPr="00371FC0">
        <w:rPr>
          <w:i/>
        </w:rPr>
        <w:t xml:space="preserve"> </w:t>
      </w:r>
      <w:r w:rsidR="00476FAB">
        <w:rPr>
          <w:i/>
        </w:rPr>
        <w:t>,</w:t>
      </w:r>
      <w:r w:rsidRPr="00371FC0">
        <w:rPr>
          <w:rFonts w:cs="Times New Roman"/>
        </w:rPr>
        <w:t>58</w:t>
      </w:r>
      <w:proofErr w:type="gramEnd"/>
      <w:r w:rsidRPr="00371FC0">
        <w:rPr>
          <w:rFonts w:cs="Times New Roman"/>
        </w:rPr>
        <w:t xml:space="preserve">. </w:t>
      </w:r>
    </w:p>
  </w:footnote>
  <w:footnote w:id="89">
    <w:p w:rsidR="00907B0D" w:rsidRPr="00371FC0" w:rsidRDefault="00907B0D" w:rsidP="003A1F0D">
      <w:pPr>
        <w:pStyle w:val="FootnoteText"/>
        <w:rPr>
          <w:rFonts w:cs="Times New Roman"/>
        </w:rPr>
      </w:pPr>
      <w:r w:rsidRPr="00371FC0">
        <w:rPr>
          <w:rStyle w:val="FootnoteReference"/>
          <w:rFonts w:cs="Times New Roman"/>
        </w:rPr>
        <w:footnoteRef/>
      </w:r>
      <w:r w:rsidRPr="00371FC0">
        <w:rPr>
          <w:rFonts w:cs="Times New Roman"/>
        </w:rPr>
        <w:t xml:space="preserve">  </w:t>
      </w:r>
      <w:r w:rsidRPr="00371FC0">
        <w:rPr>
          <w:rStyle w:val="Emphasis"/>
          <w:rFonts w:cs="Times New Roman"/>
        </w:rPr>
        <w:t>Acts and Ordinances of the Interregnum, 1642-1660</w:t>
      </w:r>
      <w:r w:rsidR="00A85665">
        <w:rPr>
          <w:rFonts w:cs="Times New Roman"/>
        </w:rPr>
        <w:t xml:space="preserve"> (1911)</w:t>
      </w:r>
      <w:proofErr w:type="gramStart"/>
      <w:r w:rsidR="00A85665">
        <w:rPr>
          <w:rFonts w:cs="Times New Roman"/>
        </w:rPr>
        <w:t xml:space="preserve">,  </w:t>
      </w:r>
      <w:r w:rsidRPr="00371FC0">
        <w:rPr>
          <w:rFonts w:cs="Times New Roman"/>
        </w:rPr>
        <w:t>1186</w:t>
      </w:r>
      <w:proofErr w:type="gramEnd"/>
      <w:r w:rsidRPr="00371FC0">
        <w:rPr>
          <w:rFonts w:cs="Times New Roman"/>
        </w:rPr>
        <w:t>-1223; 72 years allow comparison in the Dutch prices. Posthumous</w:t>
      </w:r>
      <w:r w:rsidR="00A85665">
        <w:rPr>
          <w:rFonts w:cs="Times New Roman"/>
        </w:rPr>
        <w:t xml:space="preserve">, </w:t>
      </w:r>
      <w:r w:rsidR="00A157B0">
        <w:rPr>
          <w:rFonts w:cs="Times New Roman"/>
          <w:i/>
        </w:rPr>
        <w:t>Inquiry</w:t>
      </w:r>
      <w:r w:rsidRPr="00371FC0">
        <w:rPr>
          <w:rFonts w:cs="Times New Roman"/>
        </w:rPr>
        <w:t>; Williams</w:t>
      </w:r>
      <w:r w:rsidR="00415108">
        <w:rPr>
          <w:rFonts w:cs="Times New Roman"/>
        </w:rPr>
        <w:t xml:space="preserve">, </w:t>
      </w:r>
      <w:r w:rsidR="00415108">
        <w:rPr>
          <w:rFonts w:cs="Times New Roman"/>
          <w:i/>
        </w:rPr>
        <w:t xml:space="preserve">Virgo </w:t>
      </w:r>
      <w:proofErr w:type="spellStart"/>
      <w:r w:rsidR="00415108">
        <w:rPr>
          <w:rFonts w:cs="Times New Roman"/>
          <w:i/>
        </w:rPr>
        <w:t>triumphans</w:t>
      </w:r>
      <w:proofErr w:type="spellEnd"/>
      <w:r w:rsidRPr="00371FC0">
        <w:rPr>
          <w:rFonts w:cs="Times New Roman"/>
        </w:rPr>
        <w:t xml:space="preserve">, 46; </w:t>
      </w:r>
      <w:proofErr w:type="spellStart"/>
      <w:r w:rsidRPr="00371FC0">
        <w:rPr>
          <w:rFonts w:cs="Times New Roman"/>
        </w:rPr>
        <w:t>Åhman</w:t>
      </w:r>
      <w:proofErr w:type="spellEnd"/>
      <w:r w:rsidRPr="00371FC0">
        <w:rPr>
          <w:rFonts w:cs="Times New Roman"/>
        </w:rPr>
        <w:t>, erroneously drawing on the Grimm brothers’ dictionary, thought that this ‘</w:t>
      </w:r>
      <w:proofErr w:type="spellStart"/>
      <w:r w:rsidRPr="00371FC0">
        <w:rPr>
          <w:rFonts w:cs="Times New Roman"/>
        </w:rPr>
        <w:t>woad</w:t>
      </w:r>
      <w:proofErr w:type="spellEnd"/>
      <w:r w:rsidRPr="00371FC0">
        <w:rPr>
          <w:rFonts w:cs="Times New Roman"/>
        </w:rPr>
        <w:t>-ash’ was only used for dyeing and was an altogether different product, but the ‘</w:t>
      </w:r>
      <w:proofErr w:type="spellStart"/>
      <w:r w:rsidRPr="00371FC0">
        <w:rPr>
          <w:rFonts w:cs="Times New Roman"/>
        </w:rPr>
        <w:t>woad</w:t>
      </w:r>
      <w:proofErr w:type="spellEnd"/>
      <w:r w:rsidRPr="00371FC0">
        <w:rPr>
          <w:rFonts w:cs="Times New Roman"/>
        </w:rPr>
        <w:t xml:space="preserve">’ probably refers to the colour of soap ashes . </w:t>
      </w:r>
      <w:proofErr w:type="spellStart"/>
      <w:r w:rsidRPr="00371FC0">
        <w:rPr>
          <w:rFonts w:cs="Times New Roman"/>
        </w:rPr>
        <w:t>Åhman</w:t>
      </w:r>
      <w:proofErr w:type="spellEnd"/>
      <w:r w:rsidR="00476FAB">
        <w:rPr>
          <w:rFonts w:cs="Times New Roman"/>
        </w:rPr>
        <w:t xml:space="preserve">, </w:t>
      </w:r>
      <w:proofErr w:type="spellStart"/>
      <w:r w:rsidR="00476FAB" w:rsidRPr="00371FC0">
        <w:rPr>
          <w:i/>
        </w:rPr>
        <w:t>Hamiltonska</w:t>
      </w:r>
      <w:proofErr w:type="spellEnd"/>
      <w:r w:rsidR="00476FAB" w:rsidRPr="00371FC0">
        <w:rPr>
          <w:i/>
        </w:rPr>
        <w:t xml:space="preserve"> </w:t>
      </w:r>
      <w:proofErr w:type="spellStart"/>
      <w:r w:rsidR="00476FAB" w:rsidRPr="00371FC0">
        <w:rPr>
          <w:i/>
        </w:rPr>
        <w:t>Pottaskekompaniet</w:t>
      </w:r>
      <w:proofErr w:type="spellEnd"/>
      <w:r w:rsidRPr="00371FC0">
        <w:rPr>
          <w:rFonts w:cs="Times New Roman"/>
        </w:rPr>
        <w:t>, p.15.</w:t>
      </w:r>
    </w:p>
  </w:footnote>
  <w:footnote w:id="90">
    <w:p w:rsidR="00907B0D" w:rsidRPr="00371FC0" w:rsidRDefault="00907B0D" w:rsidP="003A1F0D">
      <w:pPr>
        <w:pStyle w:val="FootnoteText"/>
        <w:rPr>
          <w:rFonts w:cs="Times New Roman"/>
        </w:rPr>
      </w:pPr>
      <w:r w:rsidRPr="00371FC0">
        <w:rPr>
          <w:rStyle w:val="FootnoteReference"/>
          <w:rFonts w:cs="Times New Roman"/>
        </w:rPr>
        <w:footnoteRef/>
      </w:r>
      <w:r w:rsidR="00A85665">
        <w:rPr>
          <w:rFonts w:cs="Times New Roman"/>
        </w:rPr>
        <w:t xml:space="preserve"> Dunbar, </w:t>
      </w:r>
      <w:proofErr w:type="spellStart"/>
      <w:r w:rsidR="00A85665" w:rsidRPr="00371FC0">
        <w:rPr>
          <w:i/>
        </w:rPr>
        <w:t>Smegmatalogia</w:t>
      </w:r>
      <w:proofErr w:type="spellEnd"/>
      <w:r w:rsidR="00A85665">
        <w:rPr>
          <w:i/>
        </w:rPr>
        <w:t>,</w:t>
      </w:r>
      <w:r w:rsidR="00A85665" w:rsidRPr="00371FC0">
        <w:rPr>
          <w:rFonts w:cs="Times New Roman"/>
        </w:rPr>
        <w:t xml:space="preserve"> </w:t>
      </w:r>
      <w:r w:rsidRPr="00371FC0">
        <w:rPr>
          <w:rFonts w:cs="Times New Roman"/>
        </w:rPr>
        <w:t>7-8.</w:t>
      </w:r>
    </w:p>
  </w:footnote>
  <w:footnote w:id="91">
    <w:p w:rsidR="00907B0D" w:rsidRPr="00371FC0" w:rsidRDefault="00907B0D">
      <w:pPr>
        <w:pStyle w:val="FootnoteText"/>
        <w:rPr>
          <w:rFonts w:cs="Times New Roman"/>
        </w:rPr>
      </w:pPr>
      <w:r w:rsidRPr="00371FC0">
        <w:rPr>
          <w:rStyle w:val="FootnoteReference"/>
          <w:rFonts w:cs="Times New Roman"/>
        </w:rPr>
        <w:footnoteRef/>
      </w:r>
      <w:r w:rsidRPr="00371FC0">
        <w:rPr>
          <w:rStyle w:val="FootnoteReference"/>
          <w:rFonts w:cs="Times New Roman"/>
        </w:rPr>
        <w:footnoteRef/>
      </w:r>
      <w:r w:rsidRPr="00371FC0">
        <w:rPr>
          <w:rFonts w:cs="Times New Roman"/>
        </w:rPr>
        <w:t xml:space="preserve"> </w:t>
      </w:r>
      <w:proofErr w:type="spellStart"/>
      <w:r w:rsidRPr="00371FC0">
        <w:rPr>
          <w:rFonts w:cs="Times New Roman"/>
        </w:rPr>
        <w:t>Gelius</w:t>
      </w:r>
      <w:proofErr w:type="spellEnd"/>
      <w:r w:rsidRPr="00371FC0">
        <w:rPr>
          <w:rFonts w:cs="Times New Roman"/>
        </w:rPr>
        <w:t xml:space="preserve"> claimed that the total may have been as high as 20 million m</w:t>
      </w:r>
      <w:r w:rsidRPr="00371FC0">
        <w:rPr>
          <w:rFonts w:cs="Times New Roman"/>
          <w:vertAlign w:val="superscript"/>
        </w:rPr>
        <w:t xml:space="preserve">3 </w:t>
      </w:r>
      <w:r w:rsidRPr="00371FC0">
        <w:rPr>
          <w:rFonts w:cs="Times New Roman"/>
        </w:rPr>
        <w:t>in the 1580s, almost entirely from ‘</w:t>
      </w:r>
      <w:proofErr w:type="spellStart"/>
      <w:r w:rsidRPr="00371FC0">
        <w:rPr>
          <w:rFonts w:cs="Times New Roman"/>
        </w:rPr>
        <w:t>woad</w:t>
      </w:r>
      <w:proofErr w:type="spellEnd"/>
      <w:r w:rsidRPr="00371FC0">
        <w:rPr>
          <w:rFonts w:cs="Times New Roman"/>
        </w:rPr>
        <w:t>-ashes’ but this seems improbably from what we know of the general scale of the trade and the implied demand for wood on the Baltic shores. This may derive from an error in the ash to wo</w:t>
      </w:r>
      <w:r>
        <w:rPr>
          <w:rFonts w:cs="Times New Roman"/>
        </w:rPr>
        <w:t xml:space="preserve">od conversion. </w:t>
      </w:r>
      <w:proofErr w:type="spellStart"/>
      <w:r>
        <w:rPr>
          <w:rFonts w:cs="Times New Roman"/>
        </w:rPr>
        <w:t>Gelius</w:t>
      </w:r>
      <w:proofErr w:type="spellEnd"/>
      <w:r>
        <w:rPr>
          <w:rFonts w:cs="Times New Roman"/>
        </w:rPr>
        <w:t>, ‘</w:t>
      </w:r>
      <w:proofErr w:type="spellStart"/>
      <w:r>
        <w:rPr>
          <w:rFonts w:cs="Times New Roman"/>
        </w:rPr>
        <w:t>Seehandel</w:t>
      </w:r>
      <w:proofErr w:type="spellEnd"/>
      <w:r>
        <w:rPr>
          <w:rFonts w:cs="Times New Roman"/>
        </w:rPr>
        <w:t xml:space="preserve">’, </w:t>
      </w:r>
      <w:r w:rsidRPr="00371FC0">
        <w:rPr>
          <w:rFonts w:cs="Times New Roman"/>
        </w:rPr>
        <w:t>69.</w:t>
      </w:r>
    </w:p>
  </w:footnote>
  <w:footnote w:id="92">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w:t>
      </w:r>
      <w:hyperlink r:id="rId1" w:history="1">
        <w:proofErr w:type="gramStart"/>
        <w:r w:rsidRPr="008606BF">
          <w:rPr>
            <w:rStyle w:val="Hyperlink"/>
            <w:rFonts w:cs="Times New Roman"/>
            <w:color w:val="000000" w:themeColor="text1"/>
            <w:lang w:val="en-US"/>
          </w:rPr>
          <w:t>http://www.rusnature.info/reg/10_6.htm</w:t>
        </w:r>
      </w:hyperlink>
      <w:r w:rsidRPr="008606BF">
        <w:rPr>
          <w:rFonts w:cs="Times New Roman"/>
          <w:color w:val="000000" w:themeColor="text1"/>
          <w:lang w:val="en-US"/>
        </w:rPr>
        <w:t xml:space="preserve">; </w:t>
      </w:r>
      <w:proofErr w:type="spellStart"/>
      <w:r w:rsidRPr="00371FC0">
        <w:rPr>
          <w:rFonts w:cs="Times New Roman"/>
          <w:lang w:val="en-US"/>
        </w:rPr>
        <w:t>Gelius</w:t>
      </w:r>
      <w:proofErr w:type="spellEnd"/>
      <w:r>
        <w:rPr>
          <w:rFonts w:cs="Times New Roman"/>
          <w:lang w:val="en-US"/>
        </w:rPr>
        <w:t xml:space="preserve">, </w:t>
      </w:r>
      <w:r>
        <w:rPr>
          <w:rFonts w:cs="Times New Roman"/>
        </w:rPr>
        <w:t>‘</w:t>
      </w:r>
      <w:proofErr w:type="spellStart"/>
      <w:r>
        <w:rPr>
          <w:rFonts w:cs="Times New Roman"/>
        </w:rPr>
        <w:t>Seehandel</w:t>
      </w:r>
      <w:proofErr w:type="spellEnd"/>
      <w:r>
        <w:rPr>
          <w:rFonts w:cs="Times New Roman"/>
        </w:rPr>
        <w:t>’</w:t>
      </w:r>
      <w:r>
        <w:rPr>
          <w:rFonts w:cs="Times New Roman"/>
          <w:lang w:val="en-US"/>
        </w:rPr>
        <w:t xml:space="preserve">, </w:t>
      </w:r>
      <w:r w:rsidRPr="00371FC0">
        <w:rPr>
          <w:rFonts w:cs="Times New Roman"/>
          <w:lang w:val="en-US"/>
        </w:rPr>
        <w:t>68.</w:t>
      </w:r>
      <w:proofErr w:type="gramEnd"/>
    </w:p>
  </w:footnote>
  <w:footnote w:id="93">
    <w:p w:rsidR="00907B0D" w:rsidRPr="00A179B7" w:rsidRDefault="00907B0D" w:rsidP="00A179B7">
      <w:pPr>
        <w:rPr>
          <w:sz w:val="20"/>
          <w:szCs w:val="20"/>
        </w:rPr>
      </w:pPr>
      <w:r w:rsidRPr="00371FC0">
        <w:rPr>
          <w:rStyle w:val="FootnoteReference"/>
        </w:rPr>
        <w:footnoteRef/>
      </w:r>
      <w:r w:rsidRPr="00371FC0">
        <w:t xml:space="preserve"> </w:t>
      </w:r>
      <w:r w:rsidR="00A179B7" w:rsidRPr="00A179B7">
        <w:rPr>
          <w:sz w:val="20"/>
          <w:szCs w:val="20"/>
        </w:rPr>
        <w:t xml:space="preserve">Author’s own estimate on Germany with particular reference to </w:t>
      </w:r>
      <w:r w:rsidR="00A179B7">
        <w:rPr>
          <w:sz w:val="20"/>
          <w:szCs w:val="20"/>
        </w:rPr>
        <w:t xml:space="preserve">E.W. </w:t>
      </w:r>
      <w:proofErr w:type="spellStart"/>
      <w:r w:rsidR="00A179B7" w:rsidRPr="00A179B7">
        <w:rPr>
          <w:rFonts w:eastAsia="Times New Roman"/>
          <w:color w:val="000000"/>
          <w:sz w:val="20"/>
          <w:szCs w:val="20"/>
          <w:lang w:eastAsia="en-GB"/>
        </w:rPr>
        <w:t>Maron</w:t>
      </w:r>
      <w:proofErr w:type="spellEnd"/>
      <w:r w:rsidR="00A179B7" w:rsidRPr="00A179B7">
        <w:rPr>
          <w:rFonts w:eastAsia="Times New Roman"/>
          <w:color w:val="000000"/>
          <w:sz w:val="20"/>
          <w:szCs w:val="20"/>
          <w:lang w:eastAsia="en-GB"/>
        </w:rPr>
        <w:t xml:space="preserve">, </w:t>
      </w:r>
      <w:proofErr w:type="spellStart"/>
      <w:r w:rsidR="00A179B7" w:rsidRPr="00A179B7">
        <w:rPr>
          <w:rFonts w:eastAsia="Times New Roman"/>
          <w:i/>
          <w:iCs/>
          <w:color w:val="000000"/>
          <w:sz w:val="20"/>
          <w:szCs w:val="20"/>
          <w:lang w:eastAsia="en-GB"/>
        </w:rPr>
        <w:t>Forststatistik</w:t>
      </w:r>
      <w:proofErr w:type="spellEnd"/>
      <w:r w:rsidR="00A179B7" w:rsidRPr="00A179B7">
        <w:rPr>
          <w:rFonts w:eastAsia="Times New Roman"/>
          <w:i/>
          <w:iCs/>
          <w:color w:val="000000"/>
          <w:sz w:val="20"/>
          <w:szCs w:val="20"/>
          <w:lang w:eastAsia="en-GB"/>
        </w:rPr>
        <w:t xml:space="preserve"> der </w:t>
      </w:r>
      <w:proofErr w:type="spellStart"/>
      <w:r w:rsidR="00A179B7" w:rsidRPr="00A179B7">
        <w:rPr>
          <w:rFonts w:eastAsia="Times New Roman"/>
          <w:i/>
          <w:iCs/>
          <w:color w:val="000000"/>
          <w:sz w:val="20"/>
          <w:szCs w:val="20"/>
          <w:lang w:eastAsia="en-GB"/>
        </w:rPr>
        <w:t>saemtlichen</w:t>
      </w:r>
      <w:proofErr w:type="spellEnd"/>
      <w:r w:rsidR="00A179B7" w:rsidRPr="00A179B7">
        <w:rPr>
          <w:rFonts w:eastAsia="Times New Roman"/>
          <w:i/>
          <w:iCs/>
          <w:color w:val="000000"/>
          <w:sz w:val="20"/>
          <w:szCs w:val="20"/>
          <w:lang w:eastAsia="en-GB"/>
        </w:rPr>
        <w:t xml:space="preserve"> </w:t>
      </w:r>
      <w:proofErr w:type="spellStart"/>
      <w:r w:rsidR="00A179B7" w:rsidRPr="00A179B7">
        <w:rPr>
          <w:rFonts w:eastAsia="Times New Roman"/>
          <w:i/>
          <w:iCs/>
          <w:color w:val="000000"/>
          <w:sz w:val="20"/>
          <w:szCs w:val="20"/>
          <w:lang w:eastAsia="en-GB"/>
        </w:rPr>
        <w:t>Waelder</w:t>
      </w:r>
      <w:proofErr w:type="spellEnd"/>
      <w:r w:rsidR="00A179B7" w:rsidRPr="00A179B7">
        <w:rPr>
          <w:rFonts w:eastAsia="Times New Roman"/>
          <w:i/>
          <w:iCs/>
          <w:color w:val="000000"/>
          <w:sz w:val="20"/>
          <w:szCs w:val="20"/>
          <w:lang w:eastAsia="en-GB"/>
        </w:rPr>
        <w:t xml:space="preserve"> </w:t>
      </w:r>
      <w:proofErr w:type="spellStart"/>
      <w:r w:rsidR="00A179B7" w:rsidRPr="00A179B7">
        <w:rPr>
          <w:rFonts w:eastAsia="Times New Roman"/>
          <w:i/>
          <w:iCs/>
          <w:color w:val="000000"/>
          <w:sz w:val="20"/>
          <w:szCs w:val="20"/>
          <w:lang w:eastAsia="en-GB"/>
        </w:rPr>
        <w:t>Deutschlands</w:t>
      </w:r>
      <w:proofErr w:type="spellEnd"/>
      <w:r w:rsidR="00A179B7" w:rsidRPr="00A179B7">
        <w:rPr>
          <w:rFonts w:eastAsia="Times New Roman"/>
          <w:i/>
          <w:iCs/>
          <w:color w:val="000000"/>
          <w:sz w:val="20"/>
          <w:szCs w:val="20"/>
          <w:lang w:eastAsia="en-GB"/>
        </w:rPr>
        <w:t xml:space="preserve"> </w:t>
      </w:r>
      <w:proofErr w:type="spellStart"/>
      <w:r w:rsidR="00A179B7" w:rsidRPr="00A179B7">
        <w:rPr>
          <w:rFonts w:eastAsia="Times New Roman"/>
          <w:i/>
          <w:iCs/>
          <w:color w:val="000000"/>
          <w:sz w:val="20"/>
          <w:szCs w:val="20"/>
          <w:lang w:eastAsia="en-GB"/>
        </w:rPr>
        <w:t>einschliesslich</w:t>
      </w:r>
      <w:proofErr w:type="spellEnd"/>
      <w:r w:rsidR="00A179B7" w:rsidRPr="00A179B7">
        <w:rPr>
          <w:rFonts w:eastAsia="Times New Roman"/>
          <w:i/>
          <w:iCs/>
          <w:color w:val="000000"/>
          <w:sz w:val="20"/>
          <w:szCs w:val="20"/>
          <w:lang w:eastAsia="en-GB"/>
        </w:rPr>
        <w:t xml:space="preserve"> Preussen </w:t>
      </w:r>
      <w:r w:rsidR="00A179B7" w:rsidRPr="00A179B7">
        <w:rPr>
          <w:rFonts w:eastAsia="Times New Roman"/>
          <w:color w:val="000000"/>
          <w:sz w:val="20"/>
          <w:szCs w:val="20"/>
          <w:lang w:eastAsia="en-GB"/>
        </w:rPr>
        <w:t xml:space="preserve">(Berlin, 1862); </w:t>
      </w:r>
      <w:r w:rsidR="00A179B7" w:rsidRPr="00A179B7">
        <w:rPr>
          <w:sz w:val="20"/>
          <w:szCs w:val="20"/>
        </w:rPr>
        <w:t xml:space="preserve">On Poland-Lithuania, </w:t>
      </w:r>
      <w:r w:rsidRPr="00A179B7">
        <w:rPr>
          <w:sz w:val="20"/>
          <w:szCs w:val="20"/>
        </w:rPr>
        <w:t xml:space="preserve">estimate is based on </w:t>
      </w:r>
      <w:proofErr w:type="spellStart"/>
      <w:r w:rsidRPr="00A179B7">
        <w:rPr>
          <w:sz w:val="20"/>
          <w:szCs w:val="20"/>
        </w:rPr>
        <w:t>Wiecko’s</w:t>
      </w:r>
      <w:proofErr w:type="spellEnd"/>
      <w:r w:rsidRPr="00A179B7">
        <w:rPr>
          <w:sz w:val="20"/>
          <w:szCs w:val="20"/>
        </w:rPr>
        <w:t xml:space="preserve"> reckoning of there being 15 million hectares of forest, with a (possibly high) assumption of 3 m</w:t>
      </w:r>
      <w:r w:rsidRPr="00A179B7">
        <w:rPr>
          <w:sz w:val="20"/>
          <w:szCs w:val="20"/>
          <w:vertAlign w:val="superscript"/>
        </w:rPr>
        <w:t xml:space="preserve">3 </w:t>
      </w:r>
      <w:r w:rsidRPr="00A179B7">
        <w:rPr>
          <w:sz w:val="20"/>
          <w:szCs w:val="20"/>
        </w:rPr>
        <w:t xml:space="preserve">growth </w:t>
      </w:r>
      <w:r w:rsidRPr="00A179B7">
        <w:rPr>
          <w:i/>
          <w:sz w:val="20"/>
          <w:szCs w:val="20"/>
        </w:rPr>
        <w:t xml:space="preserve">per annum. </w:t>
      </w:r>
      <w:r w:rsidR="00415108" w:rsidRPr="00A179B7">
        <w:rPr>
          <w:sz w:val="20"/>
          <w:szCs w:val="20"/>
        </w:rPr>
        <w:t xml:space="preserve">A. </w:t>
      </w:r>
      <w:proofErr w:type="spellStart"/>
      <w:r w:rsidRPr="00A179B7">
        <w:rPr>
          <w:sz w:val="20"/>
          <w:szCs w:val="20"/>
        </w:rPr>
        <w:t>Wyrobisz</w:t>
      </w:r>
      <w:proofErr w:type="spellEnd"/>
      <w:r w:rsidRPr="00A179B7">
        <w:rPr>
          <w:sz w:val="20"/>
          <w:szCs w:val="20"/>
        </w:rPr>
        <w:t xml:space="preserve">, </w:t>
      </w:r>
      <w:r w:rsidRPr="00A179B7">
        <w:rPr>
          <w:i/>
          <w:sz w:val="20"/>
          <w:szCs w:val="20"/>
        </w:rPr>
        <w:t xml:space="preserve">La </w:t>
      </w:r>
      <w:proofErr w:type="spellStart"/>
      <w:r w:rsidRPr="00A179B7">
        <w:rPr>
          <w:i/>
          <w:sz w:val="20"/>
          <w:szCs w:val="20"/>
        </w:rPr>
        <w:t>crise</w:t>
      </w:r>
      <w:proofErr w:type="spellEnd"/>
      <w:r w:rsidRPr="00A179B7">
        <w:rPr>
          <w:i/>
          <w:sz w:val="20"/>
          <w:szCs w:val="20"/>
        </w:rPr>
        <w:t xml:space="preserve"> de combustible </w:t>
      </w:r>
      <w:proofErr w:type="spellStart"/>
      <w:r w:rsidRPr="00A179B7">
        <w:rPr>
          <w:i/>
          <w:sz w:val="20"/>
          <w:szCs w:val="20"/>
        </w:rPr>
        <w:t>dans</w:t>
      </w:r>
      <w:proofErr w:type="spellEnd"/>
      <w:r w:rsidRPr="00A179B7">
        <w:rPr>
          <w:i/>
          <w:sz w:val="20"/>
          <w:szCs w:val="20"/>
        </w:rPr>
        <w:t xml:space="preserve"> </w:t>
      </w:r>
      <w:proofErr w:type="spellStart"/>
      <w:r w:rsidRPr="00A179B7">
        <w:rPr>
          <w:i/>
          <w:sz w:val="20"/>
          <w:szCs w:val="20"/>
        </w:rPr>
        <w:t>l’Industrie</w:t>
      </w:r>
      <w:proofErr w:type="spellEnd"/>
      <w:r w:rsidRPr="00A179B7">
        <w:rPr>
          <w:i/>
          <w:sz w:val="20"/>
          <w:szCs w:val="20"/>
        </w:rPr>
        <w:t xml:space="preserve"> Polonaise au </w:t>
      </w:r>
      <w:proofErr w:type="spellStart"/>
      <w:r w:rsidRPr="00A179B7">
        <w:rPr>
          <w:i/>
          <w:sz w:val="20"/>
          <w:szCs w:val="20"/>
        </w:rPr>
        <w:t>Tournant</w:t>
      </w:r>
      <w:proofErr w:type="spellEnd"/>
      <w:r w:rsidRPr="00A179B7">
        <w:rPr>
          <w:i/>
          <w:sz w:val="20"/>
          <w:szCs w:val="20"/>
        </w:rPr>
        <w:t xml:space="preserve"> du </w:t>
      </w:r>
      <w:proofErr w:type="spellStart"/>
      <w:r w:rsidRPr="00A179B7">
        <w:rPr>
          <w:i/>
          <w:sz w:val="20"/>
          <w:szCs w:val="20"/>
        </w:rPr>
        <w:t>XVIe</w:t>
      </w:r>
      <w:proofErr w:type="spellEnd"/>
      <w:r w:rsidRPr="00A179B7">
        <w:rPr>
          <w:i/>
          <w:sz w:val="20"/>
          <w:szCs w:val="20"/>
        </w:rPr>
        <w:t xml:space="preserve"> </w:t>
      </w:r>
      <w:proofErr w:type="gramStart"/>
      <w:r w:rsidRPr="00A179B7">
        <w:rPr>
          <w:i/>
          <w:sz w:val="20"/>
          <w:szCs w:val="20"/>
        </w:rPr>
        <w:t>et</w:t>
      </w:r>
      <w:proofErr w:type="gramEnd"/>
      <w:r w:rsidRPr="00A179B7">
        <w:rPr>
          <w:i/>
          <w:sz w:val="20"/>
          <w:szCs w:val="20"/>
        </w:rPr>
        <w:t xml:space="preserve"> </w:t>
      </w:r>
      <w:proofErr w:type="spellStart"/>
      <w:r w:rsidRPr="00A179B7">
        <w:rPr>
          <w:i/>
          <w:sz w:val="20"/>
          <w:szCs w:val="20"/>
        </w:rPr>
        <w:t>XVIIe</w:t>
      </w:r>
      <w:proofErr w:type="spellEnd"/>
      <w:r w:rsidRPr="00A179B7">
        <w:rPr>
          <w:i/>
          <w:sz w:val="20"/>
          <w:szCs w:val="20"/>
        </w:rPr>
        <w:t xml:space="preserve"> s., </w:t>
      </w:r>
      <w:proofErr w:type="spellStart"/>
      <w:r w:rsidRPr="00A179B7">
        <w:rPr>
          <w:sz w:val="20"/>
          <w:szCs w:val="20"/>
        </w:rPr>
        <w:t>Studiae</w:t>
      </w:r>
      <w:proofErr w:type="spellEnd"/>
      <w:r w:rsidRPr="00A179B7">
        <w:rPr>
          <w:sz w:val="20"/>
          <w:szCs w:val="20"/>
        </w:rPr>
        <w:t xml:space="preserve"> </w:t>
      </w:r>
      <w:proofErr w:type="spellStart"/>
      <w:r w:rsidRPr="00A179B7">
        <w:rPr>
          <w:sz w:val="20"/>
          <w:szCs w:val="20"/>
        </w:rPr>
        <w:t>Historiae</w:t>
      </w:r>
      <w:proofErr w:type="spellEnd"/>
      <w:r w:rsidRPr="00A179B7">
        <w:rPr>
          <w:sz w:val="20"/>
          <w:szCs w:val="20"/>
        </w:rPr>
        <w:t xml:space="preserve"> </w:t>
      </w:r>
      <w:proofErr w:type="spellStart"/>
      <w:r w:rsidRPr="00A179B7">
        <w:rPr>
          <w:sz w:val="20"/>
          <w:szCs w:val="20"/>
        </w:rPr>
        <w:t>Oeconomica</w:t>
      </w:r>
      <w:proofErr w:type="spellEnd"/>
      <w:r w:rsidRPr="00A179B7">
        <w:rPr>
          <w:sz w:val="20"/>
          <w:szCs w:val="20"/>
        </w:rPr>
        <w:t xml:space="preserve"> 8 (</w:t>
      </w:r>
      <w:r w:rsidR="00415108" w:rsidRPr="00A179B7">
        <w:rPr>
          <w:sz w:val="20"/>
          <w:szCs w:val="20"/>
        </w:rPr>
        <w:t xml:space="preserve">1973), </w:t>
      </w:r>
      <w:r w:rsidRPr="00A179B7">
        <w:rPr>
          <w:sz w:val="20"/>
          <w:szCs w:val="20"/>
        </w:rPr>
        <w:t xml:space="preserve">265. </w:t>
      </w:r>
    </w:p>
  </w:footnote>
  <w:footnote w:id="94">
    <w:p w:rsidR="00907B0D" w:rsidRPr="00371FC0" w:rsidRDefault="00907B0D">
      <w:pPr>
        <w:pStyle w:val="FootnoteText"/>
        <w:rPr>
          <w:rFonts w:cs="Times New Roman"/>
        </w:rPr>
      </w:pPr>
      <w:r w:rsidRPr="00371FC0">
        <w:rPr>
          <w:rStyle w:val="FootnoteReference"/>
          <w:rFonts w:cs="Times New Roman"/>
        </w:rPr>
        <w:footnoteRef/>
      </w:r>
      <w:r w:rsidR="00A179B7">
        <w:rPr>
          <w:rFonts w:cs="Times New Roman"/>
        </w:rPr>
        <w:t xml:space="preserve"> </w:t>
      </w:r>
      <w:proofErr w:type="gramStart"/>
      <w:r w:rsidR="00A179B7">
        <w:rPr>
          <w:rFonts w:cs="Times New Roman"/>
        </w:rPr>
        <w:t xml:space="preserve">Paul Warde, </w:t>
      </w:r>
      <w:r w:rsidR="00A179B7">
        <w:rPr>
          <w:rFonts w:cs="Times New Roman"/>
          <w:i/>
        </w:rPr>
        <w:t xml:space="preserve">Energy consumption in England and wales 1560-2000 </w:t>
      </w:r>
      <w:r w:rsidR="00A179B7">
        <w:rPr>
          <w:rFonts w:cs="Times New Roman"/>
        </w:rPr>
        <w:t>(Naples, 2007), 32-40</w:t>
      </w:r>
      <w:r w:rsidR="00A157B0">
        <w:rPr>
          <w:rFonts w:cs="Times New Roman"/>
        </w:rPr>
        <w:t xml:space="preserve">; </w:t>
      </w:r>
      <w:proofErr w:type="spellStart"/>
      <w:r w:rsidR="00BA5C10">
        <w:rPr>
          <w:rFonts w:cs="Times New Roman"/>
        </w:rPr>
        <w:t>Jaap</w:t>
      </w:r>
      <w:proofErr w:type="spellEnd"/>
      <w:r w:rsidR="00BA5C10">
        <w:rPr>
          <w:rFonts w:cs="Times New Roman"/>
        </w:rPr>
        <w:t xml:space="preserve"> </w:t>
      </w:r>
      <w:proofErr w:type="spellStart"/>
      <w:r w:rsidRPr="00371FC0">
        <w:rPr>
          <w:rFonts w:cs="Times New Roman"/>
        </w:rPr>
        <w:t>Buis</w:t>
      </w:r>
      <w:proofErr w:type="spellEnd"/>
      <w:r w:rsidR="00BA5C10">
        <w:rPr>
          <w:rFonts w:cs="Times New Roman"/>
        </w:rPr>
        <w:t xml:space="preserve">, </w:t>
      </w:r>
      <w:proofErr w:type="spellStart"/>
      <w:r w:rsidR="00BA5C10">
        <w:rPr>
          <w:rFonts w:cs="Times New Roman"/>
          <w:i/>
        </w:rPr>
        <w:t>Historia</w:t>
      </w:r>
      <w:proofErr w:type="spellEnd"/>
      <w:r w:rsidR="00BA5C10">
        <w:rPr>
          <w:rFonts w:cs="Times New Roman"/>
          <w:i/>
        </w:rPr>
        <w:t xml:space="preserve"> </w:t>
      </w:r>
      <w:proofErr w:type="spellStart"/>
      <w:r w:rsidR="00BA5C10">
        <w:rPr>
          <w:rFonts w:cs="Times New Roman"/>
          <w:i/>
        </w:rPr>
        <w:t>Forestis</w:t>
      </w:r>
      <w:proofErr w:type="spellEnd"/>
      <w:r w:rsidR="00BA5C10">
        <w:rPr>
          <w:rFonts w:cs="Times New Roman"/>
          <w:i/>
        </w:rPr>
        <w:t>.</w:t>
      </w:r>
      <w:proofErr w:type="gramEnd"/>
      <w:r w:rsidR="00BA5C10">
        <w:rPr>
          <w:rFonts w:cs="Times New Roman"/>
          <w:i/>
        </w:rPr>
        <w:t xml:space="preserve"> </w:t>
      </w:r>
      <w:proofErr w:type="spellStart"/>
      <w:proofErr w:type="gramStart"/>
      <w:r w:rsidR="00BA5C10">
        <w:rPr>
          <w:rFonts w:cs="Times New Roman"/>
          <w:i/>
        </w:rPr>
        <w:t>Nederlandse</w:t>
      </w:r>
      <w:proofErr w:type="spellEnd"/>
      <w:r w:rsidR="00BA5C10">
        <w:rPr>
          <w:rFonts w:cs="Times New Roman"/>
          <w:i/>
        </w:rPr>
        <w:t xml:space="preserve"> </w:t>
      </w:r>
      <w:proofErr w:type="spellStart"/>
      <w:r w:rsidR="00BA5C10">
        <w:rPr>
          <w:rFonts w:cs="Times New Roman"/>
          <w:i/>
        </w:rPr>
        <w:t>bosgeschiedenis</w:t>
      </w:r>
      <w:proofErr w:type="spellEnd"/>
      <w:r w:rsidR="00BA5C10">
        <w:rPr>
          <w:rFonts w:cs="Times New Roman"/>
          <w:i/>
        </w:rPr>
        <w:t xml:space="preserve"> </w:t>
      </w:r>
      <w:r w:rsidR="00BA5C10">
        <w:rPr>
          <w:rFonts w:cs="Times New Roman"/>
        </w:rPr>
        <w:t>(Utrecht, 1985).</w:t>
      </w:r>
      <w:proofErr w:type="gramEnd"/>
      <w:r w:rsidR="00BA5C10">
        <w:rPr>
          <w:rFonts w:cs="Times New Roman"/>
        </w:rPr>
        <w:t xml:space="preserve"> </w:t>
      </w:r>
    </w:p>
  </w:footnote>
  <w:footnote w:id="95">
    <w:p w:rsidR="00907B0D" w:rsidRPr="00371FC0" w:rsidRDefault="00907B0D" w:rsidP="00BF2F9C">
      <w:pPr>
        <w:pStyle w:val="FootnoteText"/>
        <w:rPr>
          <w:rFonts w:cs="Times New Roman"/>
        </w:rPr>
      </w:pPr>
      <w:r w:rsidRPr="00371FC0">
        <w:rPr>
          <w:rStyle w:val="FootnoteReference"/>
          <w:rFonts w:cs="Times New Roman"/>
        </w:rPr>
        <w:footnoteRef/>
      </w:r>
      <w:r w:rsidRPr="00371FC0">
        <w:rPr>
          <w:rFonts w:cs="Times New Roman"/>
        </w:rPr>
        <w:t xml:space="preserve"> </w:t>
      </w:r>
      <w:proofErr w:type="gramStart"/>
      <w:r w:rsidRPr="00371FC0">
        <w:rPr>
          <w:rFonts w:cs="Times New Roman"/>
        </w:rPr>
        <w:t xml:space="preserve">Cited in </w:t>
      </w:r>
      <w:proofErr w:type="spellStart"/>
      <w:r w:rsidRPr="00371FC0">
        <w:rPr>
          <w:rFonts w:cs="Times New Roman"/>
        </w:rPr>
        <w:t>Clow</w:t>
      </w:r>
      <w:proofErr w:type="spellEnd"/>
      <w:r w:rsidRPr="00371FC0">
        <w:rPr>
          <w:rFonts w:cs="Times New Roman"/>
        </w:rPr>
        <w:t xml:space="preserve"> &amp; </w:t>
      </w:r>
      <w:proofErr w:type="spellStart"/>
      <w:r w:rsidRPr="00371FC0">
        <w:rPr>
          <w:rFonts w:cs="Times New Roman"/>
        </w:rPr>
        <w:t>Clow</w:t>
      </w:r>
      <w:proofErr w:type="spellEnd"/>
      <w:r w:rsidR="00415108">
        <w:rPr>
          <w:rFonts w:cs="Times New Roman"/>
        </w:rPr>
        <w:t xml:space="preserve">, </w:t>
      </w:r>
      <w:r w:rsidR="00415108">
        <w:rPr>
          <w:rFonts w:cs="Times New Roman"/>
          <w:i/>
        </w:rPr>
        <w:t xml:space="preserve">Chemical revolution, </w:t>
      </w:r>
      <w:r w:rsidRPr="00371FC0">
        <w:rPr>
          <w:rFonts w:cs="Times New Roman"/>
        </w:rPr>
        <w:t>66.</w:t>
      </w:r>
      <w:proofErr w:type="gramEnd"/>
    </w:p>
  </w:footnote>
  <w:footnote w:id="96">
    <w:p w:rsidR="00907B0D" w:rsidRPr="00371FC0" w:rsidRDefault="00907B0D">
      <w:pPr>
        <w:pStyle w:val="FootnoteText"/>
        <w:rPr>
          <w:rFonts w:cs="Times New Roman"/>
        </w:rPr>
      </w:pPr>
      <w:r w:rsidRPr="00371FC0">
        <w:rPr>
          <w:rStyle w:val="FootnoteReference"/>
          <w:rFonts w:cs="Times New Roman"/>
        </w:rPr>
        <w:footnoteRef/>
      </w:r>
      <w:r w:rsidR="00415108">
        <w:rPr>
          <w:rFonts w:cs="Times New Roman"/>
        </w:rPr>
        <w:t xml:space="preserve"> </w:t>
      </w:r>
      <w:r w:rsidR="00BA5C10">
        <w:rPr>
          <w:rFonts w:cs="Times New Roman"/>
        </w:rPr>
        <w:t xml:space="preserve">Kenneth </w:t>
      </w:r>
      <w:r w:rsidR="00415108">
        <w:rPr>
          <w:rFonts w:cs="Times New Roman"/>
        </w:rPr>
        <w:t>Pomeranz</w:t>
      </w:r>
      <w:r w:rsidR="00BA5C10">
        <w:rPr>
          <w:rFonts w:cs="Times New Roman"/>
        </w:rPr>
        <w:t xml:space="preserve">, </w:t>
      </w:r>
      <w:r w:rsidR="00BA5C10">
        <w:rPr>
          <w:rFonts w:cs="Times New Roman"/>
          <w:i/>
        </w:rPr>
        <w:t xml:space="preserve">The great divergence. </w:t>
      </w:r>
      <w:proofErr w:type="gramStart"/>
      <w:r w:rsidR="00BA5C10">
        <w:rPr>
          <w:rFonts w:cs="Times New Roman"/>
          <w:i/>
        </w:rPr>
        <w:t xml:space="preserve">China, Europe, and the making of the modern world economy </w:t>
      </w:r>
      <w:r w:rsidR="00BA5C10">
        <w:rPr>
          <w:rFonts w:cs="Times New Roman"/>
        </w:rPr>
        <w:t>(Princeton, 2000), 275-6.</w:t>
      </w:r>
      <w:proofErr w:type="gramEnd"/>
    </w:p>
  </w:footnote>
  <w:footnote w:id="97">
    <w:p w:rsidR="00907B0D" w:rsidRPr="00BA5C10" w:rsidRDefault="00907B0D">
      <w:pPr>
        <w:pStyle w:val="FootnoteText"/>
        <w:rPr>
          <w:rFonts w:cs="Times New Roman"/>
          <w:i/>
        </w:rPr>
      </w:pPr>
      <w:r w:rsidRPr="00371FC0">
        <w:rPr>
          <w:rStyle w:val="FootnoteReference"/>
          <w:rFonts w:cs="Times New Roman"/>
        </w:rPr>
        <w:footnoteRef/>
      </w:r>
      <w:r w:rsidR="00415108">
        <w:rPr>
          <w:rFonts w:cs="Times New Roman"/>
        </w:rPr>
        <w:t xml:space="preserve"> </w:t>
      </w:r>
      <w:r w:rsidR="00BA5C10">
        <w:rPr>
          <w:rFonts w:cs="Times New Roman"/>
        </w:rPr>
        <w:t xml:space="preserve">E.A. Wrigley, </w:t>
      </w:r>
      <w:r w:rsidR="00BA5C10">
        <w:rPr>
          <w:rFonts w:cs="Times New Roman"/>
          <w:i/>
        </w:rPr>
        <w:t xml:space="preserve">The path to sustained growth. </w:t>
      </w:r>
      <w:proofErr w:type="gramStart"/>
      <w:r w:rsidR="00BA5C10">
        <w:rPr>
          <w:rFonts w:cs="Times New Roman"/>
          <w:i/>
        </w:rPr>
        <w:t xml:space="preserve">England’s transition from an organic economy to an industrial revolution </w:t>
      </w:r>
      <w:r w:rsidR="00BA5C10">
        <w:rPr>
          <w:rFonts w:cs="Times New Roman"/>
        </w:rPr>
        <w:t>(Cambridge, 2016).</w:t>
      </w:r>
      <w:proofErr w:type="gramEnd"/>
      <w:r w:rsidR="00BA5C10">
        <w:rPr>
          <w:rFonts w:cs="Times New Roman"/>
          <w:i/>
        </w:rPr>
        <w:t xml:space="preserve"> </w:t>
      </w:r>
    </w:p>
  </w:footnote>
  <w:footnote w:id="98">
    <w:p w:rsidR="00907B0D" w:rsidRPr="00371FC0" w:rsidRDefault="00907B0D">
      <w:pPr>
        <w:pStyle w:val="FootnoteText"/>
        <w:rPr>
          <w:rFonts w:cs="Times New Roman"/>
        </w:rPr>
      </w:pPr>
      <w:r w:rsidRPr="00371FC0">
        <w:rPr>
          <w:rStyle w:val="FootnoteReference"/>
          <w:rFonts w:cs="Times New Roman"/>
        </w:rPr>
        <w:footnoteRef/>
      </w:r>
      <w:r w:rsidR="00A179B7">
        <w:rPr>
          <w:rFonts w:cs="Times New Roman"/>
        </w:rPr>
        <w:t xml:space="preserve"> Dimitrios Theodoridis, Paul Warde and Astrid Kander, ‘Trade and overcoming land constraints in the British Industrial Revolution – the role of cotton and coal revisited’, ****</w:t>
      </w:r>
    </w:p>
  </w:footnote>
  <w:footnote w:id="99">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w:t>
      </w:r>
      <w:r w:rsidRPr="00371FC0">
        <w:rPr>
          <w:rStyle w:val="definition"/>
          <w:rFonts w:cs="Times New Roman"/>
        </w:rPr>
        <w:t>SP 14/155 f.62</w:t>
      </w:r>
      <w:r w:rsidRPr="00371FC0">
        <w:rPr>
          <w:rFonts w:cs="Times New Roman"/>
        </w:rPr>
        <w:t>  </w:t>
      </w:r>
    </w:p>
  </w:footnote>
  <w:footnote w:id="100">
    <w:p w:rsidR="00907B0D" w:rsidRPr="00371FC0" w:rsidRDefault="00907B0D" w:rsidP="00D523A7">
      <w:pPr>
        <w:pStyle w:val="FootnoteText"/>
        <w:jc w:val="both"/>
        <w:rPr>
          <w:rFonts w:cs="Times New Roman"/>
        </w:rPr>
      </w:pPr>
      <w:r w:rsidRPr="00371FC0">
        <w:rPr>
          <w:rStyle w:val="FootnoteReference"/>
          <w:rFonts w:cs="Times New Roman"/>
        </w:rPr>
        <w:footnoteRef/>
      </w:r>
      <w:r w:rsidRPr="00371FC0">
        <w:rPr>
          <w:rFonts w:cs="Times New Roman"/>
        </w:rPr>
        <w:t xml:space="preserve"> </w:t>
      </w:r>
      <w:proofErr w:type="gramStart"/>
      <w:r w:rsidR="00415108">
        <w:rPr>
          <w:rFonts w:cs="Times New Roman"/>
        </w:rPr>
        <w:t xml:space="preserve">J.F. </w:t>
      </w:r>
      <w:r w:rsidRPr="00371FC0">
        <w:rPr>
          <w:rFonts w:cs="Times New Roman"/>
        </w:rPr>
        <w:t xml:space="preserve">Larkin, &amp; </w:t>
      </w:r>
      <w:r w:rsidR="00415108">
        <w:rPr>
          <w:rFonts w:cs="Times New Roman"/>
        </w:rPr>
        <w:t xml:space="preserve">P.L. </w:t>
      </w:r>
      <w:r w:rsidRPr="00371FC0">
        <w:rPr>
          <w:rFonts w:cs="Times New Roman"/>
        </w:rPr>
        <w:t xml:space="preserve">Hughes, </w:t>
      </w:r>
      <w:r w:rsidRPr="00371FC0">
        <w:rPr>
          <w:rFonts w:cs="Times New Roman"/>
          <w:i/>
        </w:rPr>
        <w:t>Stuart Royal Proclamations.</w:t>
      </w:r>
      <w:proofErr w:type="gramEnd"/>
      <w:r w:rsidRPr="00371FC0">
        <w:rPr>
          <w:rFonts w:cs="Times New Roman"/>
          <w:i/>
        </w:rPr>
        <w:t xml:space="preserve">  Vol I. Royal proclamations of King James 1603-1625 </w:t>
      </w:r>
      <w:r w:rsidRPr="00371FC0">
        <w:rPr>
          <w:rFonts w:cs="Times New Roman"/>
        </w:rPr>
        <w:t xml:space="preserve">(Oxford: </w:t>
      </w:r>
      <w:proofErr w:type="spellStart"/>
      <w:r w:rsidRPr="00371FC0">
        <w:rPr>
          <w:rFonts w:cs="Times New Roman"/>
        </w:rPr>
        <w:t>Clarendon</w:t>
      </w:r>
      <w:proofErr w:type="gramStart"/>
      <w:r w:rsidRPr="00371FC0">
        <w:rPr>
          <w:rFonts w:cs="Times New Roman"/>
        </w:rPr>
        <w:t>,l</w:t>
      </w:r>
      <w:proofErr w:type="spellEnd"/>
      <w:proofErr w:type="gramEnd"/>
      <w:r w:rsidRPr="00371FC0">
        <w:rPr>
          <w:rFonts w:cs="Times New Roman"/>
        </w:rPr>
        <w:t xml:space="preserve"> 1973),</w:t>
      </w:r>
      <w:r w:rsidR="00415108" w:rsidRPr="00371FC0">
        <w:rPr>
          <w:rFonts w:cs="Times New Roman"/>
        </w:rPr>
        <w:t xml:space="preserve"> </w:t>
      </w:r>
      <w:r w:rsidRPr="00371FC0">
        <w:rPr>
          <w:rFonts w:cs="Times New Roman"/>
        </w:rPr>
        <w:t>545-9.</w:t>
      </w:r>
    </w:p>
  </w:footnote>
  <w:footnote w:id="101">
    <w:p w:rsidR="00907B0D" w:rsidRPr="00371FC0" w:rsidRDefault="00907B0D" w:rsidP="00723CDE">
      <w:pPr>
        <w:pStyle w:val="FootnoteText"/>
        <w:rPr>
          <w:rFonts w:cs="Times New Roman"/>
        </w:rPr>
      </w:pPr>
      <w:r w:rsidRPr="00371FC0">
        <w:rPr>
          <w:rStyle w:val="FootnoteReference"/>
          <w:rFonts w:cs="Times New Roman"/>
        </w:rPr>
        <w:footnoteRef/>
      </w:r>
      <w:r w:rsidR="00415108">
        <w:rPr>
          <w:rFonts w:cs="Times New Roman"/>
        </w:rPr>
        <w:t xml:space="preserve"> </w:t>
      </w:r>
      <w:proofErr w:type="gramStart"/>
      <w:r w:rsidR="00415108">
        <w:rPr>
          <w:rFonts w:cs="Times New Roman"/>
        </w:rPr>
        <w:t xml:space="preserve">Stephens, </w:t>
      </w:r>
      <w:r w:rsidR="00415108">
        <w:rPr>
          <w:rFonts w:cs="Times New Roman"/>
          <w:i/>
        </w:rPr>
        <w:t xml:space="preserve">method, </w:t>
      </w:r>
      <w:r w:rsidRPr="00371FC0">
        <w:rPr>
          <w:rFonts w:cs="Times New Roman"/>
        </w:rPr>
        <w:t>.27.</w:t>
      </w:r>
      <w:proofErr w:type="gramEnd"/>
    </w:p>
  </w:footnote>
  <w:footnote w:id="102">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w:t>
      </w:r>
      <w:r w:rsidRPr="00371FC0">
        <w:rPr>
          <w:rStyle w:val="definition"/>
          <w:rFonts w:cs="Times New Roman"/>
        </w:rPr>
        <w:t>SP 14/155 f.62</w:t>
      </w:r>
      <w:r w:rsidRPr="00371FC0">
        <w:rPr>
          <w:rFonts w:cs="Times New Roman"/>
        </w:rPr>
        <w:t>  </w:t>
      </w:r>
    </w:p>
  </w:footnote>
  <w:footnote w:id="103">
    <w:p w:rsidR="00820795" w:rsidRPr="00820795" w:rsidRDefault="00820795" w:rsidP="00820795">
      <w:pPr>
        <w:pStyle w:val="Heading1"/>
        <w:shd w:val="clear" w:color="auto" w:fill="FFFFFF"/>
        <w:spacing w:after="101"/>
        <w:textAlignment w:val="baseline"/>
        <w:rPr>
          <w:b w:val="0"/>
          <w:color w:val="000000"/>
          <w:sz w:val="20"/>
          <w:szCs w:val="20"/>
        </w:rPr>
      </w:pPr>
      <w:r>
        <w:rPr>
          <w:rStyle w:val="FootnoteReference"/>
        </w:rPr>
        <w:footnoteRef/>
      </w:r>
      <w:r>
        <w:t xml:space="preserve"> </w:t>
      </w:r>
      <w:r w:rsidRPr="00820795">
        <w:rPr>
          <w:b w:val="0"/>
          <w:sz w:val="20"/>
          <w:szCs w:val="20"/>
        </w:rPr>
        <w:t xml:space="preserve">Craig Muldrew, </w:t>
      </w:r>
      <w:r w:rsidRPr="00820795">
        <w:rPr>
          <w:b w:val="0"/>
          <w:color w:val="000000"/>
          <w:sz w:val="20"/>
          <w:szCs w:val="20"/>
        </w:rPr>
        <w:t>‘</w:t>
      </w:r>
      <w:proofErr w:type="spellStart"/>
      <w:r w:rsidRPr="00820795">
        <w:rPr>
          <w:b w:val="0"/>
          <w:color w:val="000000"/>
          <w:sz w:val="20"/>
          <w:szCs w:val="20"/>
        </w:rPr>
        <w:t>Th'ancient</w:t>
      </w:r>
      <w:proofErr w:type="spellEnd"/>
      <w:r w:rsidRPr="00820795">
        <w:rPr>
          <w:b w:val="0"/>
          <w:color w:val="000000"/>
          <w:sz w:val="20"/>
          <w:szCs w:val="20"/>
        </w:rPr>
        <w:t xml:space="preserve"> Distaff’ and ‘Whirling Spindle’: measuring the contribution of spinning to household earnings and the national economy in England, 1550–1770</w:t>
      </w:r>
      <w:r>
        <w:rPr>
          <w:b w:val="0"/>
          <w:color w:val="000000"/>
          <w:sz w:val="20"/>
          <w:szCs w:val="20"/>
        </w:rPr>
        <w:t xml:space="preserve">’, </w:t>
      </w:r>
      <w:r>
        <w:rPr>
          <w:b w:val="0"/>
          <w:i/>
          <w:color w:val="000000"/>
          <w:sz w:val="20"/>
          <w:szCs w:val="20"/>
        </w:rPr>
        <w:t xml:space="preserve">Economic History Review </w:t>
      </w:r>
      <w:r>
        <w:rPr>
          <w:b w:val="0"/>
          <w:color w:val="000000"/>
          <w:sz w:val="20"/>
          <w:szCs w:val="20"/>
        </w:rPr>
        <w:t>65 (2012), 498-526.</w:t>
      </w:r>
    </w:p>
    <w:p w:rsidR="00820795" w:rsidRDefault="00820795">
      <w:pPr>
        <w:pStyle w:val="FootnoteText"/>
      </w:pPr>
    </w:p>
  </w:footnote>
  <w:footnote w:id="104">
    <w:p w:rsidR="00907B0D" w:rsidRPr="00371FC0" w:rsidRDefault="00907B0D" w:rsidP="00CB4A83">
      <w:pPr>
        <w:pStyle w:val="FootnoteText"/>
        <w:rPr>
          <w:rFonts w:cs="Times New Roman"/>
        </w:rPr>
      </w:pPr>
      <w:r w:rsidRPr="00371FC0">
        <w:rPr>
          <w:rStyle w:val="FootnoteReference"/>
          <w:rFonts w:cs="Times New Roman"/>
        </w:rPr>
        <w:footnoteRef/>
      </w:r>
      <w:r w:rsidRPr="00371FC0">
        <w:rPr>
          <w:rFonts w:cs="Times New Roman"/>
        </w:rPr>
        <w:t xml:space="preserve"> </w:t>
      </w:r>
      <w:r w:rsidR="00BA5C10">
        <w:rPr>
          <w:rFonts w:cs="Times New Roman"/>
        </w:rPr>
        <w:t xml:space="preserve">David </w:t>
      </w:r>
      <w:proofErr w:type="spellStart"/>
      <w:r w:rsidRPr="00371FC0">
        <w:rPr>
          <w:rFonts w:cs="Times New Roman"/>
        </w:rPr>
        <w:t>Ormrod</w:t>
      </w:r>
      <w:proofErr w:type="spellEnd"/>
      <w:r w:rsidR="00415108">
        <w:rPr>
          <w:rFonts w:cs="Times New Roman"/>
        </w:rPr>
        <w:t xml:space="preserve">, </w:t>
      </w:r>
      <w:r w:rsidR="00BA5C10">
        <w:rPr>
          <w:rFonts w:cs="Times New Roman"/>
          <w:i/>
        </w:rPr>
        <w:t xml:space="preserve">The rise of commercial empires. England and the Netherlands in the age of mercantilism 1650-1770 </w:t>
      </w:r>
      <w:r w:rsidR="00B01990">
        <w:rPr>
          <w:rFonts w:cs="Times New Roman"/>
        </w:rPr>
        <w:t>(Cambridge, 2003</w:t>
      </w:r>
      <w:proofErr w:type="gramStart"/>
      <w:r w:rsidR="00B01990">
        <w:rPr>
          <w:rFonts w:cs="Times New Roman"/>
        </w:rPr>
        <w:t>)</w:t>
      </w:r>
      <w:r w:rsidR="00415108">
        <w:rPr>
          <w:rFonts w:cs="Times New Roman"/>
          <w:i/>
        </w:rPr>
        <w:t xml:space="preserve"> </w:t>
      </w:r>
      <w:r w:rsidRPr="00371FC0">
        <w:rPr>
          <w:rFonts w:cs="Times New Roman"/>
        </w:rPr>
        <w:t>;</w:t>
      </w:r>
      <w:proofErr w:type="gramEnd"/>
      <w:r w:rsidRPr="00371FC0">
        <w:rPr>
          <w:rFonts w:cs="Times New Roman"/>
        </w:rPr>
        <w:t xml:space="preserve"> Evans, </w:t>
      </w:r>
      <w:r w:rsidRPr="00371FC0">
        <w:rPr>
          <w:rFonts w:cs="Times New Roman"/>
          <w:i/>
        </w:rPr>
        <w:t xml:space="preserve">East Anglian Linen industry, </w:t>
      </w:r>
      <w:r w:rsidRPr="00371FC0">
        <w:rPr>
          <w:rFonts w:cs="Times New Roman"/>
        </w:rPr>
        <w:t>95, 118-222.</w:t>
      </w:r>
    </w:p>
  </w:footnote>
  <w:footnote w:id="105">
    <w:p w:rsidR="00563091" w:rsidRDefault="00563091">
      <w:pPr>
        <w:pStyle w:val="FootnoteText"/>
      </w:pPr>
      <w:r>
        <w:rPr>
          <w:rStyle w:val="FootnoteReference"/>
        </w:rPr>
        <w:footnoteRef/>
      </w:r>
      <w:r>
        <w:t xml:space="preserve"> Sebastian Keibek, ‘The male occupational structure of England Wales, 1600-1850’, University of Cambridge PhD thesis, 2017.</w:t>
      </w:r>
    </w:p>
  </w:footnote>
  <w:footnote w:id="106">
    <w:p w:rsidR="00907B0D" w:rsidRPr="00371FC0" w:rsidRDefault="00907B0D">
      <w:pPr>
        <w:pStyle w:val="FootnoteText"/>
        <w:rPr>
          <w:rFonts w:cs="Times New Roman"/>
        </w:rPr>
      </w:pPr>
      <w:r w:rsidRPr="00371FC0">
        <w:rPr>
          <w:rStyle w:val="FootnoteReference"/>
          <w:rFonts w:cs="Times New Roman"/>
        </w:rPr>
        <w:footnoteRef/>
      </w:r>
      <w:r w:rsidRPr="00371FC0">
        <w:rPr>
          <w:rFonts w:cs="Times New Roman"/>
        </w:rPr>
        <w:t xml:space="preserve"> </w:t>
      </w:r>
      <w:proofErr w:type="spellStart"/>
      <w:r w:rsidR="00415108">
        <w:rPr>
          <w:rFonts w:cs="Times New Roman"/>
        </w:rPr>
        <w:t>Veluwenkamp</w:t>
      </w:r>
      <w:proofErr w:type="spellEnd"/>
      <w:r w:rsidR="00415108">
        <w:rPr>
          <w:rFonts w:cs="Times New Roman"/>
        </w:rPr>
        <w:t xml:space="preserve">, </w:t>
      </w:r>
      <w:r w:rsidR="00415108" w:rsidRPr="00371FC0">
        <w:rPr>
          <w:i/>
        </w:rPr>
        <w:t>Archangel.</w:t>
      </w:r>
    </w:p>
  </w:footnote>
  <w:footnote w:id="107">
    <w:p w:rsidR="00907B0D" w:rsidRPr="00371FC0" w:rsidRDefault="00907B0D" w:rsidP="00553CCA">
      <w:pPr>
        <w:pStyle w:val="FootnoteText"/>
        <w:rPr>
          <w:rFonts w:cs="Times New Roman"/>
        </w:rPr>
      </w:pPr>
      <w:r w:rsidRPr="00371FC0">
        <w:rPr>
          <w:rStyle w:val="FootnoteReference"/>
          <w:rFonts w:cs="Times New Roman"/>
        </w:rPr>
        <w:footnoteRef/>
      </w:r>
      <w:r w:rsidRPr="00371FC0">
        <w:rPr>
          <w:rFonts w:cs="Times New Roman"/>
        </w:rPr>
        <w:t xml:space="preserve"> Accounts generally ran from Christmas to Christmas.</w:t>
      </w:r>
    </w:p>
  </w:footnote>
  <w:footnote w:id="108">
    <w:p w:rsidR="00907B0D" w:rsidRPr="00371FC0" w:rsidRDefault="00907B0D" w:rsidP="00553CCA">
      <w:pPr>
        <w:pStyle w:val="FootnoteText"/>
        <w:rPr>
          <w:rFonts w:cs="Times New Roman"/>
        </w:rPr>
      </w:pPr>
      <w:r w:rsidRPr="00371FC0">
        <w:rPr>
          <w:rStyle w:val="FootnoteReference"/>
          <w:rFonts w:cs="Times New Roman"/>
        </w:rPr>
        <w:footnoteRef/>
      </w:r>
      <w:r w:rsidRPr="00371FC0">
        <w:rPr>
          <w:rFonts w:cs="Times New Roman"/>
        </w:rPr>
        <w:t xml:space="preserve"> Much of this potash arrived very late in 1671 and would have been recorded in the Sound Tolls under that year, rather than 1671-2 in the Port Book records.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71931"/>
      <w:docPartObj>
        <w:docPartGallery w:val="Page Numbers (Top of Page)"/>
        <w:docPartUnique/>
      </w:docPartObj>
    </w:sdtPr>
    <w:sdtEndPr/>
    <w:sdtContent>
      <w:p w:rsidR="00907B0D" w:rsidRDefault="00FE3EE6">
        <w:pPr>
          <w:pStyle w:val="Header"/>
          <w:jc w:val="right"/>
        </w:pPr>
        <w:r>
          <w:fldChar w:fldCharType="begin"/>
        </w:r>
        <w:r>
          <w:instrText xml:space="preserve"> PAGE   \* MERGEFORMAT </w:instrText>
        </w:r>
        <w:r>
          <w:fldChar w:fldCharType="separate"/>
        </w:r>
        <w:r w:rsidR="00B0403C">
          <w:rPr>
            <w:noProof/>
          </w:rPr>
          <w:t>1</w:t>
        </w:r>
        <w:r>
          <w:rPr>
            <w:noProof/>
          </w:rPr>
          <w:fldChar w:fldCharType="end"/>
        </w:r>
      </w:p>
    </w:sdtContent>
  </w:sdt>
  <w:p w:rsidR="00907B0D" w:rsidRDefault="00907B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5EFF"/>
    <w:multiLevelType w:val="hybridMultilevel"/>
    <w:tmpl w:val="B8D0A8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0852A98"/>
    <w:multiLevelType w:val="hybridMultilevel"/>
    <w:tmpl w:val="8C9A62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835"/>
    <w:rsid w:val="00012DC7"/>
    <w:rsid w:val="00014428"/>
    <w:rsid w:val="000168FE"/>
    <w:rsid w:val="0002022D"/>
    <w:rsid w:val="000719AD"/>
    <w:rsid w:val="000A386D"/>
    <w:rsid w:val="000B76B6"/>
    <w:rsid w:val="000C32B8"/>
    <w:rsid w:val="000E0DB3"/>
    <w:rsid w:val="00107692"/>
    <w:rsid w:val="00110962"/>
    <w:rsid w:val="0013753D"/>
    <w:rsid w:val="00153031"/>
    <w:rsid w:val="001845E4"/>
    <w:rsid w:val="00193BC2"/>
    <w:rsid w:val="00196358"/>
    <w:rsid w:val="00197786"/>
    <w:rsid w:val="001D4CD5"/>
    <w:rsid w:val="001E3D75"/>
    <w:rsid w:val="001F14A8"/>
    <w:rsid w:val="002113F8"/>
    <w:rsid w:val="00226DA6"/>
    <w:rsid w:val="00237592"/>
    <w:rsid w:val="00240254"/>
    <w:rsid w:val="00251557"/>
    <w:rsid w:val="0029679F"/>
    <w:rsid w:val="002B5A38"/>
    <w:rsid w:val="002C685E"/>
    <w:rsid w:val="002C7E6D"/>
    <w:rsid w:val="002C7E83"/>
    <w:rsid w:val="002E46E8"/>
    <w:rsid w:val="00313C6E"/>
    <w:rsid w:val="00323302"/>
    <w:rsid w:val="003416F0"/>
    <w:rsid w:val="00343412"/>
    <w:rsid w:val="00357C65"/>
    <w:rsid w:val="00371FC0"/>
    <w:rsid w:val="003869F5"/>
    <w:rsid w:val="00386B29"/>
    <w:rsid w:val="003978CC"/>
    <w:rsid w:val="003A1F0D"/>
    <w:rsid w:val="003A4582"/>
    <w:rsid w:val="003B3B1C"/>
    <w:rsid w:val="003C25C4"/>
    <w:rsid w:val="003C33D1"/>
    <w:rsid w:val="003C526C"/>
    <w:rsid w:val="003F18F6"/>
    <w:rsid w:val="00415108"/>
    <w:rsid w:val="0043748F"/>
    <w:rsid w:val="0045287F"/>
    <w:rsid w:val="00467BAD"/>
    <w:rsid w:val="00474F1B"/>
    <w:rsid w:val="00476FAB"/>
    <w:rsid w:val="004777D4"/>
    <w:rsid w:val="004B33BB"/>
    <w:rsid w:val="004B3819"/>
    <w:rsid w:val="004C1416"/>
    <w:rsid w:val="004E0CAC"/>
    <w:rsid w:val="004E7F5A"/>
    <w:rsid w:val="004F4D7A"/>
    <w:rsid w:val="004F55CC"/>
    <w:rsid w:val="00514780"/>
    <w:rsid w:val="005171F3"/>
    <w:rsid w:val="00534690"/>
    <w:rsid w:val="005458F3"/>
    <w:rsid w:val="0054662C"/>
    <w:rsid w:val="00553CCA"/>
    <w:rsid w:val="005602C5"/>
    <w:rsid w:val="00560A4C"/>
    <w:rsid w:val="00563091"/>
    <w:rsid w:val="00577FF8"/>
    <w:rsid w:val="005864EB"/>
    <w:rsid w:val="005B2727"/>
    <w:rsid w:val="005B392B"/>
    <w:rsid w:val="005C447A"/>
    <w:rsid w:val="005D1F99"/>
    <w:rsid w:val="005E47CD"/>
    <w:rsid w:val="00614CB1"/>
    <w:rsid w:val="0062577E"/>
    <w:rsid w:val="00666A33"/>
    <w:rsid w:val="00675EB4"/>
    <w:rsid w:val="00690F6C"/>
    <w:rsid w:val="0069159C"/>
    <w:rsid w:val="00692FC8"/>
    <w:rsid w:val="006C6626"/>
    <w:rsid w:val="006D59E0"/>
    <w:rsid w:val="006D64B5"/>
    <w:rsid w:val="006E0075"/>
    <w:rsid w:val="006F1C79"/>
    <w:rsid w:val="00706CA1"/>
    <w:rsid w:val="007154E7"/>
    <w:rsid w:val="00723CDE"/>
    <w:rsid w:val="00726D68"/>
    <w:rsid w:val="007470B1"/>
    <w:rsid w:val="00762B35"/>
    <w:rsid w:val="0076657F"/>
    <w:rsid w:val="00773F20"/>
    <w:rsid w:val="00790B70"/>
    <w:rsid w:val="007A0A24"/>
    <w:rsid w:val="007B1070"/>
    <w:rsid w:val="007C0F07"/>
    <w:rsid w:val="007C5B49"/>
    <w:rsid w:val="007D3CD3"/>
    <w:rsid w:val="007F6DF8"/>
    <w:rsid w:val="0081180C"/>
    <w:rsid w:val="00820795"/>
    <w:rsid w:val="008325BC"/>
    <w:rsid w:val="008606BF"/>
    <w:rsid w:val="008670E6"/>
    <w:rsid w:val="00877B66"/>
    <w:rsid w:val="00882B55"/>
    <w:rsid w:val="00892C48"/>
    <w:rsid w:val="008C4BD4"/>
    <w:rsid w:val="008D0313"/>
    <w:rsid w:val="008D69BC"/>
    <w:rsid w:val="00907B0D"/>
    <w:rsid w:val="00913FB1"/>
    <w:rsid w:val="00936329"/>
    <w:rsid w:val="00941E8D"/>
    <w:rsid w:val="00947D68"/>
    <w:rsid w:val="0095114E"/>
    <w:rsid w:val="00957857"/>
    <w:rsid w:val="0096692E"/>
    <w:rsid w:val="0096715F"/>
    <w:rsid w:val="009A55FF"/>
    <w:rsid w:val="009B6D8E"/>
    <w:rsid w:val="00A13C8E"/>
    <w:rsid w:val="00A157B0"/>
    <w:rsid w:val="00A179B7"/>
    <w:rsid w:val="00A3319C"/>
    <w:rsid w:val="00A44307"/>
    <w:rsid w:val="00A751CA"/>
    <w:rsid w:val="00A85665"/>
    <w:rsid w:val="00A97A33"/>
    <w:rsid w:val="00AA5C90"/>
    <w:rsid w:val="00AB0E1E"/>
    <w:rsid w:val="00AE582E"/>
    <w:rsid w:val="00B01185"/>
    <w:rsid w:val="00B01990"/>
    <w:rsid w:val="00B0403C"/>
    <w:rsid w:val="00B04831"/>
    <w:rsid w:val="00B47C37"/>
    <w:rsid w:val="00B74835"/>
    <w:rsid w:val="00B947D0"/>
    <w:rsid w:val="00B96F9D"/>
    <w:rsid w:val="00BA5C10"/>
    <w:rsid w:val="00BE0DD2"/>
    <w:rsid w:val="00BE5DB5"/>
    <w:rsid w:val="00BF2F9C"/>
    <w:rsid w:val="00C10907"/>
    <w:rsid w:val="00C120D1"/>
    <w:rsid w:val="00C20E2A"/>
    <w:rsid w:val="00C2221E"/>
    <w:rsid w:val="00C227A6"/>
    <w:rsid w:val="00C37389"/>
    <w:rsid w:val="00C4626B"/>
    <w:rsid w:val="00C610E7"/>
    <w:rsid w:val="00CA5DC5"/>
    <w:rsid w:val="00CB4A83"/>
    <w:rsid w:val="00CC540B"/>
    <w:rsid w:val="00CD069B"/>
    <w:rsid w:val="00CD734B"/>
    <w:rsid w:val="00CE7DB1"/>
    <w:rsid w:val="00D0399F"/>
    <w:rsid w:val="00D04689"/>
    <w:rsid w:val="00D1157B"/>
    <w:rsid w:val="00D14B42"/>
    <w:rsid w:val="00D44EDE"/>
    <w:rsid w:val="00D523A7"/>
    <w:rsid w:val="00D63FB8"/>
    <w:rsid w:val="00D72213"/>
    <w:rsid w:val="00DB553D"/>
    <w:rsid w:val="00DD7C5B"/>
    <w:rsid w:val="00DE4DC5"/>
    <w:rsid w:val="00DF0A21"/>
    <w:rsid w:val="00E54973"/>
    <w:rsid w:val="00EC279B"/>
    <w:rsid w:val="00ED05BA"/>
    <w:rsid w:val="00F01221"/>
    <w:rsid w:val="00F03806"/>
    <w:rsid w:val="00F13035"/>
    <w:rsid w:val="00F30C1B"/>
    <w:rsid w:val="00F47B1D"/>
    <w:rsid w:val="00F64637"/>
    <w:rsid w:val="00F84888"/>
    <w:rsid w:val="00F8683D"/>
    <w:rsid w:val="00FA4028"/>
    <w:rsid w:val="00FB3C89"/>
    <w:rsid w:val="00FC4841"/>
    <w:rsid w:val="00FD560F"/>
    <w:rsid w:val="00FE3EE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6E8"/>
    <w:rPr>
      <w:sz w:val="24"/>
      <w:szCs w:val="24"/>
      <w:lang w:eastAsia="en-US"/>
    </w:rPr>
  </w:style>
  <w:style w:type="paragraph" w:styleId="Heading1">
    <w:name w:val="heading 1"/>
    <w:basedOn w:val="Normal"/>
    <w:next w:val="Normal"/>
    <w:link w:val="Heading1Char"/>
    <w:qFormat/>
    <w:rsid w:val="00BF2F9C"/>
    <w:pPr>
      <w:keepNext/>
      <w:autoSpaceDE w:val="0"/>
      <w:autoSpaceDN w:val="0"/>
      <w:adjustRightInd w:val="0"/>
      <w:outlineLvl w:val="0"/>
    </w:pPr>
    <w:rPr>
      <w:rFonts w:eastAsia="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835"/>
    <w:pPr>
      <w:ind w:left="720"/>
      <w:contextualSpacing/>
    </w:pPr>
  </w:style>
  <w:style w:type="character" w:customStyle="1" w:styleId="Heading1Char">
    <w:name w:val="Heading 1 Char"/>
    <w:basedOn w:val="DefaultParagraphFont"/>
    <w:link w:val="Heading1"/>
    <w:rsid w:val="00BF2F9C"/>
    <w:rPr>
      <w:rFonts w:eastAsia="Times New Roman"/>
      <w:b/>
      <w:bCs/>
      <w:sz w:val="24"/>
      <w:szCs w:val="24"/>
      <w:lang w:val="en-US" w:eastAsia="en-US"/>
    </w:rPr>
  </w:style>
  <w:style w:type="paragraph" w:styleId="Title">
    <w:name w:val="Title"/>
    <w:basedOn w:val="Normal"/>
    <w:link w:val="TitleChar"/>
    <w:qFormat/>
    <w:rsid w:val="00BF2F9C"/>
    <w:pPr>
      <w:jc w:val="center"/>
    </w:pPr>
    <w:rPr>
      <w:rFonts w:eastAsia="Times New Roman" w:cs="Arial"/>
      <w:b/>
      <w:bCs/>
      <w:szCs w:val="20"/>
    </w:rPr>
  </w:style>
  <w:style w:type="character" w:customStyle="1" w:styleId="TitleChar">
    <w:name w:val="Title Char"/>
    <w:basedOn w:val="DefaultParagraphFont"/>
    <w:link w:val="Title"/>
    <w:rsid w:val="00BF2F9C"/>
    <w:rPr>
      <w:rFonts w:eastAsia="Times New Roman" w:cs="Arial"/>
      <w:b/>
      <w:bCs/>
      <w:sz w:val="24"/>
      <w:lang w:eastAsia="en-US"/>
    </w:rPr>
  </w:style>
  <w:style w:type="paragraph" w:styleId="FootnoteText">
    <w:name w:val="footnote text"/>
    <w:basedOn w:val="Normal"/>
    <w:link w:val="FootnoteTextChar"/>
    <w:uiPriority w:val="99"/>
    <w:semiHidden/>
    <w:rsid w:val="00BF2F9C"/>
    <w:rPr>
      <w:rFonts w:eastAsia="Times New Roman" w:cs="Arial"/>
      <w:sz w:val="20"/>
      <w:szCs w:val="20"/>
    </w:rPr>
  </w:style>
  <w:style w:type="character" w:customStyle="1" w:styleId="FootnoteTextChar">
    <w:name w:val="Footnote Text Char"/>
    <w:basedOn w:val="DefaultParagraphFont"/>
    <w:link w:val="FootnoteText"/>
    <w:uiPriority w:val="99"/>
    <w:semiHidden/>
    <w:rsid w:val="00BF2F9C"/>
    <w:rPr>
      <w:rFonts w:eastAsia="Times New Roman" w:cs="Arial"/>
      <w:lang w:eastAsia="en-US"/>
    </w:rPr>
  </w:style>
  <w:style w:type="character" w:styleId="FootnoteReference">
    <w:name w:val="footnote reference"/>
    <w:basedOn w:val="DefaultParagraphFont"/>
    <w:uiPriority w:val="99"/>
    <w:semiHidden/>
    <w:rsid w:val="00BF2F9C"/>
    <w:rPr>
      <w:vertAlign w:val="superscript"/>
    </w:rPr>
  </w:style>
  <w:style w:type="character" w:customStyle="1" w:styleId="stnd">
    <w:name w:val="stnd"/>
    <w:basedOn w:val="DefaultParagraphFont"/>
    <w:rsid w:val="00BF2F9C"/>
  </w:style>
  <w:style w:type="character" w:styleId="Emphasis">
    <w:name w:val="Emphasis"/>
    <w:basedOn w:val="DefaultParagraphFont"/>
    <w:uiPriority w:val="20"/>
    <w:qFormat/>
    <w:rsid w:val="00BF2F9C"/>
    <w:rPr>
      <w:i/>
      <w:iCs/>
    </w:rPr>
  </w:style>
  <w:style w:type="paragraph" w:styleId="Header">
    <w:name w:val="header"/>
    <w:basedOn w:val="Normal"/>
    <w:link w:val="HeaderChar"/>
    <w:uiPriority w:val="99"/>
    <w:unhideWhenUsed/>
    <w:rsid w:val="00110962"/>
    <w:pPr>
      <w:tabs>
        <w:tab w:val="center" w:pos="4513"/>
        <w:tab w:val="right" w:pos="9026"/>
      </w:tabs>
    </w:pPr>
  </w:style>
  <w:style w:type="character" w:customStyle="1" w:styleId="HeaderChar">
    <w:name w:val="Header Char"/>
    <w:basedOn w:val="DefaultParagraphFont"/>
    <w:link w:val="Header"/>
    <w:uiPriority w:val="99"/>
    <w:rsid w:val="00110962"/>
    <w:rPr>
      <w:sz w:val="24"/>
      <w:szCs w:val="24"/>
      <w:lang w:eastAsia="en-US"/>
    </w:rPr>
  </w:style>
  <w:style w:type="paragraph" w:styleId="Footer">
    <w:name w:val="footer"/>
    <w:basedOn w:val="Normal"/>
    <w:link w:val="FooterChar"/>
    <w:uiPriority w:val="99"/>
    <w:semiHidden/>
    <w:unhideWhenUsed/>
    <w:rsid w:val="00110962"/>
    <w:pPr>
      <w:tabs>
        <w:tab w:val="center" w:pos="4513"/>
        <w:tab w:val="right" w:pos="9026"/>
      </w:tabs>
    </w:pPr>
  </w:style>
  <w:style w:type="character" w:customStyle="1" w:styleId="FooterChar">
    <w:name w:val="Footer Char"/>
    <w:basedOn w:val="DefaultParagraphFont"/>
    <w:link w:val="Footer"/>
    <w:uiPriority w:val="99"/>
    <w:semiHidden/>
    <w:rsid w:val="00110962"/>
    <w:rPr>
      <w:sz w:val="24"/>
      <w:szCs w:val="24"/>
      <w:lang w:eastAsia="en-US"/>
    </w:rPr>
  </w:style>
  <w:style w:type="character" w:customStyle="1" w:styleId="definition">
    <w:name w:val="definition"/>
    <w:basedOn w:val="DefaultParagraphFont"/>
    <w:rsid w:val="00CD734B"/>
  </w:style>
  <w:style w:type="paragraph" w:customStyle="1" w:styleId="Default">
    <w:name w:val="Default"/>
    <w:rsid w:val="00534690"/>
    <w:pPr>
      <w:autoSpaceDE w:val="0"/>
      <w:autoSpaceDN w:val="0"/>
      <w:adjustRightInd w:val="0"/>
    </w:pPr>
    <w:rPr>
      <w:rFonts w:ascii="Code" w:hAnsi="Code" w:cs="Code"/>
      <w:color w:val="000000"/>
      <w:sz w:val="24"/>
      <w:szCs w:val="24"/>
      <w:lang w:eastAsia="en-US"/>
    </w:rPr>
  </w:style>
  <w:style w:type="character" w:customStyle="1" w:styleId="ft">
    <w:name w:val="ft"/>
    <w:basedOn w:val="DefaultParagraphFont"/>
    <w:rsid w:val="002C7E6D"/>
  </w:style>
  <w:style w:type="character" w:styleId="Hyperlink">
    <w:name w:val="Hyperlink"/>
    <w:basedOn w:val="DefaultParagraphFont"/>
    <w:uiPriority w:val="99"/>
    <w:unhideWhenUsed/>
    <w:rsid w:val="00DE4DC5"/>
    <w:rPr>
      <w:color w:val="0000FF" w:themeColor="hyperlink"/>
      <w:u w:val="single"/>
    </w:rPr>
  </w:style>
  <w:style w:type="paragraph" w:styleId="BalloonText">
    <w:name w:val="Balloon Text"/>
    <w:basedOn w:val="Normal"/>
    <w:link w:val="BalloonTextChar"/>
    <w:uiPriority w:val="99"/>
    <w:semiHidden/>
    <w:unhideWhenUsed/>
    <w:rsid w:val="004B3819"/>
    <w:rPr>
      <w:rFonts w:ascii="Tahoma" w:hAnsi="Tahoma" w:cs="Tahoma"/>
      <w:sz w:val="16"/>
      <w:szCs w:val="16"/>
    </w:rPr>
  </w:style>
  <w:style w:type="character" w:customStyle="1" w:styleId="BalloonTextChar">
    <w:name w:val="Balloon Text Char"/>
    <w:basedOn w:val="DefaultParagraphFont"/>
    <w:link w:val="BalloonText"/>
    <w:uiPriority w:val="99"/>
    <w:semiHidden/>
    <w:rsid w:val="004B3819"/>
    <w:rPr>
      <w:rFonts w:ascii="Tahoma" w:hAnsi="Tahoma" w:cs="Tahoma"/>
      <w:sz w:val="16"/>
      <w:szCs w:val="16"/>
      <w:lang w:eastAsia="en-US"/>
    </w:rPr>
  </w:style>
  <w:style w:type="table" w:styleId="TableGrid">
    <w:name w:val="Table Grid"/>
    <w:basedOn w:val="TableNormal"/>
    <w:uiPriority w:val="59"/>
    <w:rsid w:val="003A4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6E8"/>
    <w:rPr>
      <w:sz w:val="24"/>
      <w:szCs w:val="24"/>
      <w:lang w:eastAsia="en-US"/>
    </w:rPr>
  </w:style>
  <w:style w:type="paragraph" w:styleId="Heading1">
    <w:name w:val="heading 1"/>
    <w:basedOn w:val="Normal"/>
    <w:next w:val="Normal"/>
    <w:link w:val="Heading1Char"/>
    <w:qFormat/>
    <w:rsid w:val="00BF2F9C"/>
    <w:pPr>
      <w:keepNext/>
      <w:autoSpaceDE w:val="0"/>
      <w:autoSpaceDN w:val="0"/>
      <w:adjustRightInd w:val="0"/>
      <w:outlineLvl w:val="0"/>
    </w:pPr>
    <w:rPr>
      <w:rFonts w:eastAsia="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835"/>
    <w:pPr>
      <w:ind w:left="720"/>
      <w:contextualSpacing/>
    </w:pPr>
  </w:style>
  <w:style w:type="character" w:customStyle="1" w:styleId="Heading1Char">
    <w:name w:val="Heading 1 Char"/>
    <w:basedOn w:val="DefaultParagraphFont"/>
    <w:link w:val="Heading1"/>
    <w:rsid w:val="00BF2F9C"/>
    <w:rPr>
      <w:rFonts w:eastAsia="Times New Roman"/>
      <w:b/>
      <w:bCs/>
      <w:sz w:val="24"/>
      <w:szCs w:val="24"/>
      <w:lang w:val="en-US" w:eastAsia="en-US"/>
    </w:rPr>
  </w:style>
  <w:style w:type="paragraph" w:styleId="Title">
    <w:name w:val="Title"/>
    <w:basedOn w:val="Normal"/>
    <w:link w:val="TitleChar"/>
    <w:qFormat/>
    <w:rsid w:val="00BF2F9C"/>
    <w:pPr>
      <w:jc w:val="center"/>
    </w:pPr>
    <w:rPr>
      <w:rFonts w:eastAsia="Times New Roman" w:cs="Arial"/>
      <w:b/>
      <w:bCs/>
      <w:szCs w:val="20"/>
    </w:rPr>
  </w:style>
  <w:style w:type="character" w:customStyle="1" w:styleId="TitleChar">
    <w:name w:val="Title Char"/>
    <w:basedOn w:val="DefaultParagraphFont"/>
    <w:link w:val="Title"/>
    <w:rsid w:val="00BF2F9C"/>
    <w:rPr>
      <w:rFonts w:eastAsia="Times New Roman" w:cs="Arial"/>
      <w:b/>
      <w:bCs/>
      <w:sz w:val="24"/>
      <w:lang w:eastAsia="en-US"/>
    </w:rPr>
  </w:style>
  <w:style w:type="paragraph" w:styleId="FootnoteText">
    <w:name w:val="footnote text"/>
    <w:basedOn w:val="Normal"/>
    <w:link w:val="FootnoteTextChar"/>
    <w:uiPriority w:val="99"/>
    <w:semiHidden/>
    <w:rsid w:val="00BF2F9C"/>
    <w:rPr>
      <w:rFonts w:eastAsia="Times New Roman" w:cs="Arial"/>
      <w:sz w:val="20"/>
      <w:szCs w:val="20"/>
    </w:rPr>
  </w:style>
  <w:style w:type="character" w:customStyle="1" w:styleId="FootnoteTextChar">
    <w:name w:val="Footnote Text Char"/>
    <w:basedOn w:val="DefaultParagraphFont"/>
    <w:link w:val="FootnoteText"/>
    <w:uiPriority w:val="99"/>
    <w:semiHidden/>
    <w:rsid w:val="00BF2F9C"/>
    <w:rPr>
      <w:rFonts w:eastAsia="Times New Roman" w:cs="Arial"/>
      <w:lang w:eastAsia="en-US"/>
    </w:rPr>
  </w:style>
  <w:style w:type="character" w:styleId="FootnoteReference">
    <w:name w:val="footnote reference"/>
    <w:basedOn w:val="DefaultParagraphFont"/>
    <w:uiPriority w:val="99"/>
    <w:semiHidden/>
    <w:rsid w:val="00BF2F9C"/>
    <w:rPr>
      <w:vertAlign w:val="superscript"/>
    </w:rPr>
  </w:style>
  <w:style w:type="character" w:customStyle="1" w:styleId="stnd">
    <w:name w:val="stnd"/>
    <w:basedOn w:val="DefaultParagraphFont"/>
    <w:rsid w:val="00BF2F9C"/>
  </w:style>
  <w:style w:type="character" w:styleId="Emphasis">
    <w:name w:val="Emphasis"/>
    <w:basedOn w:val="DefaultParagraphFont"/>
    <w:uiPriority w:val="20"/>
    <w:qFormat/>
    <w:rsid w:val="00BF2F9C"/>
    <w:rPr>
      <w:i/>
      <w:iCs/>
    </w:rPr>
  </w:style>
  <w:style w:type="paragraph" w:styleId="Header">
    <w:name w:val="header"/>
    <w:basedOn w:val="Normal"/>
    <w:link w:val="HeaderChar"/>
    <w:uiPriority w:val="99"/>
    <w:unhideWhenUsed/>
    <w:rsid w:val="00110962"/>
    <w:pPr>
      <w:tabs>
        <w:tab w:val="center" w:pos="4513"/>
        <w:tab w:val="right" w:pos="9026"/>
      </w:tabs>
    </w:pPr>
  </w:style>
  <w:style w:type="character" w:customStyle="1" w:styleId="HeaderChar">
    <w:name w:val="Header Char"/>
    <w:basedOn w:val="DefaultParagraphFont"/>
    <w:link w:val="Header"/>
    <w:uiPriority w:val="99"/>
    <w:rsid w:val="00110962"/>
    <w:rPr>
      <w:sz w:val="24"/>
      <w:szCs w:val="24"/>
      <w:lang w:eastAsia="en-US"/>
    </w:rPr>
  </w:style>
  <w:style w:type="paragraph" w:styleId="Footer">
    <w:name w:val="footer"/>
    <w:basedOn w:val="Normal"/>
    <w:link w:val="FooterChar"/>
    <w:uiPriority w:val="99"/>
    <w:semiHidden/>
    <w:unhideWhenUsed/>
    <w:rsid w:val="00110962"/>
    <w:pPr>
      <w:tabs>
        <w:tab w:val="center" w:pos="4513"/>
        <w:tab w:val="right" w:pos="9026"/>
      </w:tabs>
    </w:pPr>
  </w:style>
  <w:style w:type="character" w:customStyle="1" w:styleId="FooterChar">
    <w:name w:val="Footer Char"/>
    <w:basedOn w:val="DefaultParagraphFont"/>
    <w:link w:val="Footer"/>
    <w:uiPriority w:val="99"/>
    <w:semiHidden/>
    <w:rsid w:val="00110962"/>
    <w:rPr>
      <w:sz w:val="24"/>
      <w:szCs w:val="24"/>
      <w:lang w:eastAsia="en-US"/>
    </w:rPr>
  </w:style>
  <w:style w:type="character" w:customStyle="1" w:styleId="definition">
    <w:name w:val="definition"/>
    <w:basedOn w:val="DefaultParagraphFont"/>
    <w:rsid w:val="00CD734B"/>
  </w:style>
  <w:style w:type="paragraph" w:customStyle="1" w:styleId="Default">
    <w:name w:val="Default"/>
    <w:rsid w:val="00534690"/>
    <w:pPr>
      <w:autoSpaceDE w:val="0"/>
      <w:autoSpaceDN w:val="0"/>
      <w:adjustRightInd w:val="0"/>
    </w:pPr>
    <w:rPr>
      <w:rFonts w:ascii="Code" w:hAnsi="Code" w:cs="Code"/>
      <w:color w:val="000000"/>
      <w:sz w:val="24"/>
      <w:szCs w:val="24"/>
      <w:lang w:eastAsia="en-US"/>
    </w:rPr>
  </w:style>
  <w:style w:type="character" w:customStyle="1" w:styleId="ft">
    <w:name w:val="ft"/>
    <w:basedOn w:val="DefaultParagraphFont"/>
    <w:rsid w:val="002C7E6D"/>
  </w:style>
  <w:style w:type="character" w:styleId="Hyperlink">
    <w:name w:val="Hyperlink"/>
    <w:basedOn w:val="DefaultParagraphFont"/>
    <w:uiPriority w:val="99"/>
    <w:unhideWhenUsed/>
    <w:rsid w:val="00DE4DC5"/>
    <w:rPr>
      <w:color w:val="0000FF" w:themeColor="hyperlink"/>
      <w:u w:val="single"/>
    </w:rPr>
  </w:style>
  <w:style w:type="paragraph" w:styleId="BalloonText">
    <w:name w:val="Balloon Text"/>
    <w:basedOn w:val="Normal"/>
    <w:link w:val="BalloonTextChar"/>
    <w:uiPriority w:val="99"/>
    <w:semiHidden/>
    <w:unhideWhenUsed/>
    <w:rsid w:val="004B3819"/>
    <w:rPr>
      <w:rFonts w:ascii="Tahoma" w:hAnsi="Tahoma" w:cs="Tahoma"/>
      <w:sz w:val="16"/>
      <w:szCs w:val="16"/>
    </w:rPr>
  </w:style>
  <w:style w:type="character" w:customStyle="1" w:styleId="BalloonTextChar">
    <w:name w:val="Balloon Text Char"/>
    <w:basedOn w:val="DefaultParagraphFont"/>
    <w:link w:val="BalloonText"/>
    <w:uiPriority w:val="99"/>
    <w:semiHidden/>
    <w:rsid w:val="004B3819"/>
    <w:rPr>
      <w:rFonts w:ascii="Tahoma" w:hAnsi="Tahoma" w:cs="Tahoma"/>
      <w:sz w:val="16"/>
      <w:szCs w:val="16"/>
      <w:lang w:eastAsia="en-US"/>
    </w:rPr>
  </w:style>
  <w:style w:type="table" w:styleId="TableGrid">
    <w:name w:val="Table Grid"/>
    <w:basedOn w:val="TableNormal"/>
    <w:uiPriority w:val="59"/>
    <w:rsid w:val="003A4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859535">
      <w:bodyDiv w:val="1"/>
      <w:marLeft w:val="0"/>
      <w:marRight w:val="0"/>
      <w:marTop w:val="0"/>
      <w:marBottom w:val="0"/>
      <w:divBdr>
        <w:top w:val="none" w:sz="0" w:space="0" w:color="auto"/>
        <w:left w:val="none" w:sz="0" w:space="0" w:color="auto"/>
        <w:bottom w:val="none" w:sz="0" w:space="0" w:color="auto"/>
        <w:right w:val="none" w:sz="0" w:space="0" w:color="auto"/>
      </w:divBdr>
    </w:div>
    <w:div w:id="152439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rusnature.info/reg/10_6.h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Archive\Ash%20and%20timber\Potash_19_2_2017.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Archive\Ash%20and%20timber\Potash_19_2_2017.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Archive\Ash%20and%20timber\ash_main_workbook_23_Sept_201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Archive\Ash%20and%20timber\Potash_19_2_201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4031121678834206E-2"/>
          <c:y val="1.6887489063867001E-2"/>
          <c:w val="0.86367635080097804"/>
          <c:h val="0.87857540477465501"/>
        </c:manualLayout>
      </c:layout>
      <c:barChart>
        <c:barDir val="col"/>
        <c:grouping val="clustered"/>
        <c:varyColors val="0"/>
        <c:ser>
          <c:idx val="0"/>
          <c:order val="0"/>
          <c:tx>
            <c:strRef>
              <c:f>figure1!$B$3</c:f>
              <c:strCache>
                <c:ptCount val="1"/>
                <c:pt idx="0">
                  <c:v>Spot estimates</c:v>
                </c:pt>
              </c:strCache>
            </c:strRef>
          </c:tx>
          <c:spPr>
            <a:solidFill>
              <a:schemeClr val="bg1">
                <a:lumMod val="65000"/>
              </a:schemeClr>
            </a:solidFill>
            <a:ln>
              <a:noFill/>
            </a:ln>
          </c:spPr>
          <c:invertIfNegative val="0"/>
          <c:cat>
            <c:numRef>
              <c:f>figure1!$A$4:$A$214</c:f>
              <c:numCache>
                <c:formatCode>General</c:formatCode>
                <c:ptCount val="211"/>
                <c:pt idx="0">
                  <c:v>1560</c:v>
                </c:pt>
                <c:pt idx="1">
                  <c:v>1561</c:v>
                </c:pt>
                <c:pt idx="2">
                  <c:v>1562</c:v>
                </c:pt>
                <c:pt idx="3">
                  <c:v>1563</c:v>
                </c:pt>
                <c:pt idx="4">
                  <c:v>1564</c:v>
                </c:pt>
                <c:pt idx="5">
                  <c:v>1565</c:v>
                </c:pt>
                <c:pt idx="6">
                  <c:v>1566</c:v>
                </c:pt>
                <c:pt idx="7">
                  <c:v>1567</c:v>
                </c:pt>
                <c:pt idx="8">
                  <c:v>1568</c:v>
                </c:pt>
                <c:pt idx="9">
                  <c:v>1569</c:v>
                </c:pt>
                <c:pt idx="10">
                  <c:v>1570</c:v>
                </c:pt>
                <c:pt idx="11">
                  <c:v>1571</c:v>
                </c:pt>
                <c:pt idx="12">
                  <c:v>1572</c:v>
                </c:pt>
                <c:pt idx="13">
                  <c:v>1573</c:v>
                </c:pt>
                <c:pt idx="14">
                  <c:v>1574</c:v>
                </c:pt>
                <c:pt idx="15">
                  <c:v>1575</c:v>
                </c:pt>
                <c:pt idx="16">
                  <c:v>1576</c:v>
                </c:pt>
                <c:pt idx="17">
                  <c:v>1577</c:v>
                </c:pt>
                <c:pt idx="18">
                  <c:v>1578</c:v>
                </c:pt>
                <c:pt idx="19">
                  <c:v>1579</c:v>
                </c:pt>
                <c:pt idx="20">
                  <c:v>1580</c:v>
                </c:pt>
                <c:pt idx="21">
                  <c:v>1581</c:v>
                </c:pt>
                <c:pt idx="22">
                  <c:v>1582</c:v>
                </c:pt>
                <c:pt idx="23">
                  <c:v>1583</c:v>
                </c:pt>
                <c:pt idx="24">
                  <c:v>1584</c:v>
                </c:pt>
                <c:pt idx="25">
                  <c:v>1585</c:v>
                </c:pt>
                <c:pt idx="26">
                  <c:v>1586</c:v>
                </c:pt>
                <c:pt idx="27">
                  <c:v>1587</c:v>
                </c:pt>
                <c:pt idx="28">
                  <c:v>1588</c:v>
                </c:pt>
                <c:pt idx="29">
                  <c:v>1589</c:v>
                </c:pt>
                <c:pt idx="30">
                  <c:v>1590</c:v>
                </c:pt>
                <c:pt idx="31">
                  <c:v>1591</c:v>
                </c:pt>
                <c:pt idx="32">
                  <c:v>1592</c:v>
                </c:pt>
                <c:pt idx="33">
                  <c:v>1593</c:v>
                </c:pt>
                <c:pt idx="34">
                  <c:v>1594</c:v>
                </c:pt>
                <c:pt idx="35">
                  <c:v>1595</c:v>
                </c:pt>
                <c:pt idx="36">
                  <c:v>1596</c:v>
                </c:pt>
                <c:pt idx="37">
                  <c:v>1597</c:v>
                </c:pt>
                <c:pt idx="38">
                  <c:v>1598</c:v>
                </c:pt>
                <c:pt idx="39">
                  <c:v>1599</c:v>
                </c:pt>
                <c:pt idx="40">
                  <c:v>1600</c:v>
                </c:pt>
                <c:pt idx="41">
                  <c:v>1601</c:v>
                </c:pt>
                <c:pt idx="42">
                  <c:v>1602</c:v>
                </c:pt>
                <c:pt idx="43">
                  <c:v>1603</c:v>
                </c:pt>
                <c:pt idx="44">
                  <c:v>1604</c:v>
                </c:pt>
                <c:pt idx="45">
                  <c:v>1605</c:v>
                </c:pt>
                <c:pt idx="46">
                  <c:v>1606</c:v>
                </c:pt>
                <c:pt idx="47">
                  <c:v>1607</c:v>
                </c:pt>
                <c:pt idx="48">
                  <c:v>1608</c:v>
                </c:pt>
                <c:pt idx="49">
                  <c:v>1609</c:v>
                </c:pt>
                <c:pt idx="50">
                  <c:v>1610</c:v>
                </c:pt>
                <c:pt idx="51">
                  <c:v>1611</c:v>
                </c:pt>
                <c:pt idx="52">
                  <c:v>1612</c:v>
                </c:pt>
                <c:pt idx="53">
                  <c:v>1613</c:v>
                </c:pt>
                <c:pt idx="54">
                  <c:v>1614</c:v>
                </c:pt>
                <c:pt idx="55">
                  <c:v>1615</c:v>
                </c:pt>
                <c:pt idx="56">
                  <c:v>1616</c:v>
                </c:pt>
                <c:pt idx="57">
                  <c:v>1617</c:v>
                </c:pt>
                <c:pt idx="58">
                  <c:v>1618</c:v>
                </c:pt>
                <c:pt idx="59">
                  <c:v>1619</c:v>
                </c:pt>
                <c:pt idx="60">
                  <c:v>1620</c:v>
                </c:pt>
                <c:pt idx="61">
                  <c:v>1621</c:v>
                </c:pt>
                <c:pt idx="62">
                  <c:v>1622</c:v>
                </c:pt>
                <c:pt idx="63">
                  <c:v>1623</c:v>
                </c:pt>
                <c:pt idx="64">
                  <c:v>1624</c:v>
                </c:pt>
                <c:pt idx="65">
                  <c:v>1625</c:v>
                </c:pt>
                <c:pt idx="66">
                  <c:v>1626</c:v>
                </c:pt>
                <c:pt idx="67">
                  <c:v>1627</c:v>
                </c:pt>
                <c:pt idx="68">
                  <c:v>1628</c:v>
                </c:pt>
                <c:pt idx="69">
                  <c:v>1629</c:v>
                </c:pt>
                <c:pt idx="70">
                  <c:v>1630</c:v>
                </c:pt>
                <c:pt idx="71">
                  <c:v>1631</c:v>
                </c:pt>
                <c:pt idx="72">
                  <c:v>1632</c:v>
                </c:pt>
                <c:pt idx="73">
                  <c:v>1633</c:v>
                </c:pt>
                <c:pt idx="74">
                  <c:v>1634</c:v>
                </c:pt>
                <c:pt idx="75">
                  <c:v>1635</c:v>
                </c:pt>
                <c:pt idx="76">
                  <c:v>1636</c:v>
                </c:pt>
                <c:pt idx="77">
                  <c:v>1637</c:v>
                </c:pt>
                <c:pt idx="78">
                  <c:v>1638</c:v>
                </c:pt>
                <c:pt idx="79">
                  <c:v>1639</c:v>
                </c:pt>
                <c:pt idx="80">
                  <c:v>1640</c:v>
                </c:pt>
                <c:pt idx="81">
                  <c:v>1641</c:v>
                </c:pt>
                <c:pt idx="82">
                  <c:v>1642</c:v>
                </c:pt>
                <c:pt idx="83">
                  <c:v>1643</c:v>
                </c:pt>
                <c:pt idx="84">
                  <c:v>1644</c:v>
                </c:pt>
                <c:pt idx="85">
                  <c:v>1645</c:v>
                </c:pt>
                <c:pt idx="86">
                  <c:v>1646</c:v>
                </c:pt>
                <c:pt idx="87">
                  <c:v>1647</c:v>
                </c:pt>
                <c:pt idx="88">
                  <c:v>1648</c:v>
                </c:pt>
                <c:pt idx="89">
                  <c:v>1649</c:v>
                </c:pt>
                <c:pt idx="90">
                  <c:v>1650</c:v>
                </c:pt>
                <c:pt idx="91">
                  <c:v>1651</c:v>
                </c:pt>
                <c:pt idx="92">
                  <c:v>1652</c:v>
                </c:pt>
                <c:pt idx="93">
                  <c:v>1653</c:v>
                </c:pt>
                <c:pt idx="94">
                  <c:v>1654</c:v>
                </c:pt>
                <c:pt idx="95">
                  <c:v>1655</c:v>
                </c:pt>
                <c:pt idx="96">
                  <c:v>1656</c:v>
                </c:pt>
                <c:pt idx="97">
                  <c:v>1657</c:v>
                </c:pt>
                <c:pt idx="98">
                  <c:v>1658</c:v>
                </c:pt>
                <c:pt idx="99">
                  <c:v>1659</c:v>
                </c:pt>
                <c:pt idx="100">
                  <c:v>1660</c:v>
                </c:pt>
                <c:pt idx="101">
                  <c:v>1661</c:v>
                </c:pt>
                <c:pt idx="102">
                  <c:v>1662</c:v>
                </c:pt>
                <c:pt idx="103">
                  <c:v>1663</c:v>
                </c:pt>
                <c:pt idx="104">
                  <c:v>1664</c:v>
                </c:pt>
                <c:pt idx="105">
                  <c:v>1665</c:v>
                </c:pt>
                <c:pt idx="106">
                  <c:v>1666</c:v>
                </c:pt>
                <c:pt idx="107">
                  <c:v>1667</c:v>
                </c:pt>
                <c:pt idx="108">
                  <c:v>1668</c:v>
                </c:pt>
                <c:pt idx="109">
                  <c:v>1669</c:v>
                </c:pt>
                <c:pt idx="110">
                  <c:v>1670</c:v>
                </c:pt>
                <c:pt idx="111">
                  <c:v>1671</c:v>
                </c:pt>
                <c:pt idx="112">
                  <c:v>1672</c:v>
                </c:pt>
                <c:pt idx="113">
                  <c:v>1673</c:v>
                </c:pt>
                <c:pt idx="114">
                  <c:v>1674</c:v>
                </c:pt>
                <c:pt idx="115">
                  <c:v>1675</c:v>
                </c:pt>
                <c:pt idx="116">
                  <c:v>1676</c:v>
                </c:pt>
                <c:pt idx="117">
                  <c:v>1677</c:v>
                </c:pt>
                <c:pt idx="118">
                  <c:v>1678</c:v>
                </c:pt>
                <c:pt idx="119">
                  <c:v>1679</c:v>
                </c:pt>
                <c:pt idx="120">
                  <c:v>1680</c:v>
                </c:pt>
                <c:pt idx="121">
                  <c:v>1681</c:v>
                </c:pt>
                <c:pt idx="122">
                  <c:v>1682</c:v>
                </c:pt>
                <c:pt idx="123">
                  <c:v>1683</c:v>
                </c:pt>
                <c:pt idx="124">
                  <c:v>1684</c:v>
                </c:pt>
                <c:pt idx="125">
                  <c:v>1685</c:v>
                </c:pt>
                <c:pt idx="126">
                  <c:v>1686</c:v>
                </c:pt>
                <c:pt idx="127">
                  <c:v>1687</c:v>
                </c:pt>
                <c:pt idx="128">
                  <c:v>1688</c:v>
                </c:pt>
                <c:pt idx="129">
                  <c:v>1689</c:v>
                </c:pt>
                <c:pt idx="130">
                  <c:v>1690</c:v>
                </c:pt>
                <c:pt idx="131">
                  <c:v>1691</c:v>
                </c:pt>
                <c:pt idx="132">
                  <c:v>1692</c:v>
                </c:pt>
                <c:pt idx="133">
                  <c:v>1693</c:v>
                </c:pt>
                <c:pt idx="134">
                  <c:v>1694</c:v>
                </c:pt>
                <c:pt idx="135">
                  <c:v>1695</c:v>
                </c:pt>
                <c:pt idx="136">
                  <c:v>1696</c:v>
                </c:pt>
                <c:pt idx="137">
                  <c:v>1697</c:v>
                </c:pt>
                <c:pt idx="138">
                  <c:v>1698</c:v>
                </c:pt>
                <c:pt idx="139">
                  <c:v>1699</c:v>
                </c:pt>
                <c:pt idx="140">
                  <c:v>1700</c:v>
                </c:pt>
                <c:pt idx="141">
                  <c:v>1701</c:v>
                </c:pt>
                <c:pt idx="142">
                  <c:v>1702</c:v>
                </c:pt>
                <c:pt idx="143">
                  <c:v>1703</c:v>
                </c:pt>
                <c:pt idx="144">
                  <c:v>1704</c:v>
                </c:pt>
                <c:pt idx="145">
                  <c:v>1705</c:v>
                </c:pt>
                <c:pt idx="146">
                  <c:v>1706</c:v>
                </c:pt>
                <c:pt idx="147">
                  <c:v>1707</c:v>
                </c:pt>
                <c:pt idx="148">
                  <c:v>1708</c:v>
                </c:pt>
                <c:pt idx="149">
                  <c:v>1709</c:v>
                </c:pt>
                <c:pt idx="150">
                  <c:v>1710</c:v>
                </c:pt>
                <c:pt idx="151">
                  <c:v>1711</c:v>
                </c:pt>
                <c:pt idx="152">
                  <c:v>1712</c:v>
                </c:pt>
                <c:pt idx="153">
                  <c:v>1713</c:v>
                </c:pt>
                <c:pt idx="154">
                  <c:v>1714</c:v>
                </c:pt>
                <c:pt idx="155">
                  <c:v>1715</c:v>
                </c:pt>
                <c:pt idx="156">
                  <c:v>1716</c:v>
                </c:pt>
                <c:pt idx="157">
                  <c:v>1717</c:v>
                </c:pt>
                <c:pt idx="158">
                  <c:v>1718</c:v>
                </c:pt>
                <c:pt idx="159">
                  <c:v>1719</c:v>
                </c:pt>
                <c:pt idx="160">
                  <c:v>1720</c:v>
                </c:pt>
                <c:pt idx="161">
                  <c:v>1721</c:v>
                </c:pt>
                <c:pt idx="162">
                  <c:v>1722</c:v>
                </c:pt>
                <c:pt idx="163">
                  <c:v>1723</c:v>
                </c:pt>
                <c:pt idx="164">
                  <c:v>1724</c:v>
                </c:pt>
                <c:pt idx="165">
                  <c:v>1725</c:v>
                </c:pt>
                <c:pt idx="166">
                  <c:v>1726</c:v>
                </c:pt>
                <c:pt idx="167">
                  <c:v>1727</c:v>
                </c:pt>
                <c:pt idx="168">
                  <c:v>1728</c:v>
                </c:pt>
                <c:pt idx="169">
                  <c:v>1729</c:v>
                </c:pt>
                <c:pt idx="170">
                  <c:v>1730</c:v>
                </c:pt>
                <c:pt idx="171">
                  <c:v>1731</c:v>
                </c:pt>
                <c:pt idx="172">
                  <c:v>1732</c:v>
                </c:pt>
                <c:pt idx="173">
                  <c:v>1733</c:v>
                </c:pt>
                <c:pt idx="174">
                  <c:v>1734</c:v>
                </c:pt>
                <c:pt idx="175">
                  <c:v>1735</c:v>
                </c:pt>
                <c:pt idx="176">
                  <c:v>1736</c:v>
                </c:pt>
                <c:pt idx="177">
                  <c:v>1737</c:v>
                </c:pt>
                <c:pt idx="178">
                  <c:v>1738</c:v>
                </c:pt>
                <c:pt idx="179">
                  <c:v>1739</c:v>
                </c:pt>
                <c:pt idx="180">
                  <c:v>1740</c:v>
                </c:pt>
                <c:pt idx="181">
                  <c:v>1741</c:v>
                </c:pt>
                <c:pt idx="182">
                  <c:v>1742</c:v>
                </c:pt>
                <c:pt idx="183">
                  <c:v>1743</c:v>
                </c:pt>
                <c:pt idx="184">
                  <c:v>1744</c:v>
                </c:pt>
                <c:pt idx="185">
                  <c:v>1745</c:v>
                </c:pt>
                <c:pt idx="186">
                  <c:v>1746</c:v>
                </c:pt>
                <c:pt idx="187">
                  <c:v>1747</c:v>
                </c:pt>
                <c:pt idx="188">
                  <c:v>1748</c:v>
                </c:pt>
                <c:pt idx="189">
                  <c:v>1749</c:v>
                </c:pt>
                <c:pt idx="190">
                  <c:v>1750</c:v>
                </c:pt>
                <c:pt idx="191">
                  <c:v>1751</c:v>
                </c:pt>
                <c:pt idx="192">
                  <c:v>1752</c:v>
                </c:pt>
                <c:pt idx="193">
                  <c:v>1753</c:v>
                </c:pt>
                <c:pt idx="194">
                  <c:v>1754</c:v>
                </c:pt>
                <c:pt idx="195">
                  <c:v>1755</c:v>
                </c:pt>
                <c:pt idx="196">
                  <c:v>1756</c:v>
                </c:pt>
                <c:pt idx="197">
                  <c:v>1757</c:v>
                </c:pt>
                <c:pt idx="198">
                  <c:v>1758</c:v>
                </c:pt>
                <c:pt idx="199">
                  <c:v>1759</c:v>
                </c:pt>
                <c:pt idx="200">
                  <c:v>1760</c:v>
                </c:pt>
                <c:pt idx="201">
                  <c:v>1761</c:v>
                </c:pt>
                <c:pt idx="202">
                  <c:v>1762</c:v>
                </c:pt>
                <c:pt idx="203">
                  <c:v>1763</c:v>
                </c:pt>
                <c:pt idx="204">
                  <c:v>1764</c:v>
                </c:pt>
                <c:pt idx="205">
                  <c:v>1765</c:v>
                </c:pt>
                <c:pt idx="206">
                  <c:v>1766</c:v>
                </c:pt>
                <c:pt idx="207">
                  <c:v>1767</c:v>
                </c:pt>
                <c:pt idx="208">
                  <c:v>1768</c:v>
                </c:pt>
                <c:pt idx="209">
                  <c:v>1769</c:v>
                </c:pt>
                <c:pt idx="210">
                  <c:v>1770</c:v>
                </c:pt>
              </c:numCache>
            </c:numRef>
          </c:cat>
          <c:val>
            <c:numRef>
              <c:f>figure1!$B$4:$B$214</c:f>
              <c:numCache>
                <c:formatCode>General</c:formatCode>
                <c:ptCount val="211"/>
                <c:pt idx="0">
                  <c:v>1508136.98630137</c:v>
                </c:pt>
                <c:pt idx="5">
                  <c:v>840547.94520547951</c:v>
                </c:pt>
                <c:pt idx="29">
                  <c:v>387298.63013698632</c:v>
                </c:pt>
                <c:pt idx="49">
                  <c:v>268490.41095890419</c:v>
                </c:pt>
                <c:pt idx="58">
                  <c:v>3134400</c:v>
                </c:pt>
                <c:pt idx="59">
                  <c:v>1617600</c:v>
                </c:pt>
                <c:pt idx="60">
                  <c:v>1300800</c:v>
                </c:pt>
                <c:pt idx="61">
                  <c:v>2560000</c:v>
                </c:pt>
                <c:pt idx="62">
                  <c:v>2558400</c:v>
                </c:pt>
                <c:pt idx="63">
                  <c:v>2065600</c:v>
                </c:pt>
                <c:pt idx="64">
                  <c:v>2027200</c:v>
                </c:pt>
                <c:pt idx="65">
                  <c:v>2364800</c:v>
                </c:pt>
                <c:pt idx="66">
                  <c:v>1688000</c:v>
                </c:pt>
                <c:pt idx="67">
                  <c:v>2153600</c:v>
                </c:pt>
                <c:pt idx="73">
                  <c:v>1354515</c:v>
                </c:pt>
                <c:pt idx="80">
                  <c:v>2419508</c:v>
                </c:pt>
                <c:pt idx="103">
                  <c:v>1865500</c:v>
                </c:pt>
                <c:pt idx="107">
                  <c:v>1557920</c:v>
                </c:pt>
                <c:pt idx="109">
                  <c:v>2705600</c:v>
                </c:pt>
                <c:pt idx="125">
                  <c:v>3411849</c:v>
                </c:pt>
                <c:pt idx="137" formatCode="0">
                  <c:v>2142384.36363636</c:v>
                </c:pt>
                <c:pt idx="138" formatCode="0">
                  <c:v>6011792.8571428601</c:v>
                </c:pt>
                <c:pt idx="192">
                  <c:v>4624400</c:v>
                </c:pt>
                <c:pt idx="197">
                  <c:v>761200</c:v>
                </c:pt>
                <c:pt idx="207">
                  <c:v>5372400</c:v>
                </c:pt>
              </c:numCache>
            </c:numRef>
          </c:val>
        </c:ser>
        <c:ser>
          <c:idx val="1"/>
          <c:order val="1"/>
          <c:tx>
            <c:strRef>
              <c:f>figure1!$C$3</c:f>
              <c:strCache>
                <c:ptCount val="1"/>
                <c:pt idx="0">
                  <c:v>CUST 3</c:v>
                </c:pt>
              </c:strCache>
            </c:strRef>
          </c:tx>
          <c:spPr>
            <a:solidFill>
              <a:schemeClr val="tx1"/>
            </a:solidFill>
            <a:ln w="25400">
              <a:noFill/>
            </a:ln>
          </c:spPr>
          <c:invertIfNegative val="0"/>
          <c:cat>
            <c:numRef>
              <c:f>figure1!$A$4:$A$214</c:f>
              <c:numCache>
                <c:formatCode>General</c:formatCode>
                <c:ptCount val="211"/>
                <c:pt idx="0">
                  <c:v>1560</c:v>
                </c:pt>
                <c:pt idx="1">
                  <c:v>1561</c:v>
                </c:pt>
                <c:pt idx="2">
                  <c:v>1562</c:v>
                </c:pt>
                <c:pt idx="3">
                  <c:v>1563</c:v>
                </c:pt>
                <c:pt idx="4">
                  <c:v>1564</c:v>
                </c:pt>
                <c:pt idx="5">
                  <c:v>1565</c:v>
                </c:pt>
                <c:pt idx="6">
                  <c:v>1566</c:v>
                </c:pt>
                <c:pt idx="7">
                  <c:v>1567</c:v>
                </c:pt>
                <c:pt idx="8">
                  <c:v>1568</c:v>
                </c:pt>
                <c:pt idx="9">
                  <c:v>1569</c:v>
                </c:pt>
                <c:pt idx="10">
                  <c:v>1570</c:v>
                </c:pt>
                <c:pt idx="11">
                  <c:v>1571</c:v>
                </c:pt>
                <c:pt idx="12">
                  <c:v>1572</c:v>
                </c:pt>
                <c:pt idx="13">
                  <c:v>1573</c:v>
                </c:pt>
                <c:pt idx="14">
                  <c:v>1574</c:v>
                </c:pt>
                <c:pt idx="15">
                  <c:v>1575</c:v>
                </c:pt>
                <c:pt idx="16">
                  <c:v>1576</c:v>
                </c:pt>
                <c:pt idx="17">
                  <c:v>1577</c:v>
                </c:pt>
                <c:pt idx="18">
                  <c:v>1578</c:v>
                </c:pt>
                <c:pt idx="19">
                  <c:v>1579</c:v>
                </c:pt>
                <c:pt idx="20">
                  <c:v>1580</c:v>
                </c:pt>
                <c:pt idx="21">
                  <c:v>1581</c:v>
                </c:pt>
                <c:pt idx="22">
                  <c:v>1582</c:v>
                </c:pt>
                <c:pt idx="23">
                  <c:v>1583</c:v>
                </c:pt>
                <c:pt idx="24">
                  <c:v>1584</c:v>
                </c:pt>
                <c:pt idx="25">
                  <c:v>1585</c:v>
                </c:pt>
                <c:pt idx="26">
                  <c:v>1586</c:v>
                </c:pt>
                <c:pt idx="27">
                  <c:v>1587</c:v>
                </c:pt>
                <c:pt idx="28">
                  <c:v>1588</c:v>
                </c:pt>
                <c:pt idx="29">
                  <c:v>1589</c:v>
                </c:pt>
                <c:pt idx="30">
                  <c:v>1590</c:v>
                </c:pt>
                <c:pt idx="31">
                  <c:v>1591</c:v>
                </c:pt>
                <c:pt idx="32">
                  <c:v>1592</c:v>
                </c:pt>
                <c:pt idx="33">
                  <c:v>1593</c:v>
                </c:pt>
                <c:pt idx="34">
                  <c:v>1594</c:v>
                </c:pt>
                <c:pt idx="35">
                  <c:v>1595</c:v>
                </c:pt>
                <c:pt idx="36">
                  <c:v>1596</c:v>
                </c:pt>
                <c:pt idx="37">
                  <c:v>1597</c:v>
                </c:pt>
                <c:pt idx="38">
                  <c:v>1598</c:v>
                </c:pt>
                <c:pt idx="39">
                  <c:v>1599</c:v>
                </c:pt>
                <c:pt idx="40">
                  <c:v>1600</c:v>
                </c:pt>
                <c:pt idx="41">
                  <c:v>1601</c:v>
                </c:pt>
                <c:pt idx="42">
                  <c:v>1602</c:v>
                </c:pt>
                <c:pt idx="43">
                  <c:v>1603</c:v>
                </c:pt>
                <c:pt idx="44">
                  <c:v>1604</c:v>
                </c:pt>
                <c:pt idx="45">
                  <c:v>1605</c:v>
                </c:pt>
                <c:pt idx="46">
                  <c:v>1606</c:v>
                </c:pt>
                <c:pt idx="47">
                  <c:v>1607</c:v>
                </c:pt>
                <c:pt idx="48">
                  <c:v>1608</c:v>
                </c:pt>
                <c:pt idx="49">
                  <c:v>1609</c:v>
                </c:pt>
                <c:pt idx="50">
                  <c:v>1610</c:v>
                </c:pt>
                <c:pt idx="51">
                  <c:v>1611</c:v>
                </c:pt>
                <c:pt idx="52">
                  <c:v>1612</c:v>
                </c:pt>
                <c:pt idx="53">
                  <c:v>1613</c:v>
                </c:pt>
                <c:pt idx="54">
                  <c:v>1614</c:v>
                </c:pt>
                <c:pt idx="55">
                  <c:v>1615</c:v>
                </c:pt>
                <c:pt idx="56">
                  <c:v>1616</c:v>
                </c:pt>
                <c:pt idx="57">
                  <c:v>1617</c:v>
                </c:pt>
                <c:pt idx="58">
                  <c:v>1618</c:v>
                </c:pt>
                <c:pt idx="59">
                  <c:v>1619</c:v>
                </c:pt>
                <c:pt idx="60">
                  <c:v>1620</c:v>
                </c:pt>
                <c:pt idx="61">
                  <c:v>1621</c:v>
                </c:pt>
                <c:pt idx="62">
                  <c:v>1622</c:v>
                </c:pt>
                <c:pt idx="63">
                  <c:v>1623</c:v>
                </c:pt>
                <c:pt idx="64">
                  <c:v>1624</c:v>
                </c:pt>
                <c:pt idx="65">
                  <c:v>1625</c:v>
                </c:pt>
                <c:pt idx="66">
                  <c:v>1626</c:v>
                </c:pt>
                <c:pt idx="67">
                  <c:v>1627</c:v>
                </c:pt>
                <c:pt idx="68">
                  <c:v>1628</c:v>
                </c:pt>
                <c:pt idx="69">
                  <c:v>1629</c:v>
                </c:pt>
                <c:pt idx="70">
                  <c:v>1630</c:v>
                </c:pt>
                <c:pt idx="71">
                  <c:v>1631</c:v>
                </c:pt>
                <c:pt idx="72">
                  <c:v>1632</c:v>
                </c:pt>
                <c:pt idx="73">
                  <c:v>1633</c:v>
                </c:pt>
                <c:pt idx="74">
                  <c:v>1634</c:v>
                </c:pt>
                <c:pt idx="75">
                  <c:v>1635</c:v>
                </c:pt>
                <c:pt idx="76">
                  <c:v>1636</c:v>
                </c:pt>
                <c:pt idx="77">
                  <c:v>1637</c:v>
                </c:pt>
                <c:pt idx="78">
                  <c:v>1638</c:v>
                </c:pt>
                <c:pt idx="79">
                  <c:v>1639</c:v>
                </c:pt>
                <c:pt idx="80">
                  <c:v>1640</c:v>
                </c:pt>
                <c:pt idx="81">
                  <c:v>1641</c:v>
                </c:pt>
                <c:pt idx="82">
                  <c:v>1642</c:v>
                </c:pt>
                <c:pt idx="83">
                  <c:v>1643</c:v>
                </c:pt>
                <c:pt idx="84">
                  <c:v>1644</c:v>
                </c:pt>
                <c:pt idx="85">
                  <c:v>1645</c:v>
                </c:pt>
                <c:pt idx="86">
                  <c:v>1646</c:v>
                </c:pt>
                <c:pt idx="87">
                  <c:v>1647</c:v>
                </c:pt>
                <c:pt idx="88">
                  <c:v>1648</c:v>
                </c:pt>
                <c:pt idx="89">
                  <c:v>1649</c:v>
                </c:pt>
                <c:pt idx="90">
                  <c:v>1650</c:v>
                </c:pt>
                <c:pt idx="91">
                  <c:v>1651</c:v>
                </c:pt>
                <c:pt idx="92">
                  <c:v>1652</c:v>
                </c:pt>
                <c:pt idx="93">
                  <c:v>1653</c:v>
                </c:pt>
                <c:pt idx="94">
                  <c:v>1654</c:v>
                </c:pt>
                <c:pt idx="95">
                  <c:v>1655</c:v>
                </c:pt>
                <c:pt idx="96">
                  <c:v>1656</c:v>
                </c:pt>
                <c:pt idx="97">
                  <c:v>1657</c:v>
                </c:pt>
                <c:pt idx="98">
                  <c:v>1658</c:v>
                </c:pt>
                <c:pt idx="99">
                  <c:v>1659</c:v>
                </c:pt>
                <c:pt idx="100">
                  <c:v>1660</c:v>
                </c:pt>
                <c:pt idx="101">
                  <c:v>1661</c:v>
                </c:pt>
                <c:pt idx="102">
                  <c:v>1662</c:v>
                </c:pt>
                <c:pt idx="103">
                  <c:v>1663</c:v>
                </c:pt>
                <c:pt idx="104">
                  <c:v>1664</c:v>
                </c:pt>
                <c:pt idx="105">
                  <c:v>1665</c:v>
                </c:pt>
                <c:pt idx="106">
                  <c:v>1666</c:v>
                </c:pt>
                <c:pt idx="107">
                  <c:v>1667</c:v>
                </c:pt>
                <c:pt idx="108">
                  <c:v>1668</c:v>
                </c:pt>
                <c:pt idx="109">
                  <c:v>1669</c:v>
                </c:pt>
                <c:pt idx="110">
                  <c:v>1670</c:v>
                </c:pt>
                <c:pt idx="111">
                  <c:v>1671</c:v>
                </c:pt>
                <c:pt idx="112">
                  <c:v>1672</c:v>
                </c:pt>
                <c:pt idx="113">
                  <c:v>1673</c:v>
                </c:pt>
                <c:pt idx="114">
                  <c:v>1674</c:v>
                </c:pt>
                <c:pt idx="115">
                  <c:v>1675</c:v>
                </c:pt>
                <c:pt idx="116">
                  <c:v>1676</c:v>
                </c:pt>
                <c:pt idx="117">
                  <c:v>1677</c:v>
                </c:pt>
                <c:pt idx="118">
                  <c:v>1678</c:v>
                </c:pt>
                <c:pt idx="119">
                  <c:v>1679</c:v>
                </c:pt>
                <c:pt idx="120">
                  <c:v>1680</c:v>
                </c:pt>
                <c:pt idx="121">
                  <c:v>1681</c:v>
                </c:pt>
                <c:pt idx="122">
                  <c:v>1682</c:v>
                </c:pt>
                <c:pt idx="123">
                  <c:v>1683</c:v>
                </c:pt>
                <c:pt idx="124">
                  <c:v>1684</c:v>
                </c:pt>
                <c:pt idx="125">
                  <c:v>1685</c:v>
                </c:pt>
                <c:pt idx="126">
                  <c:v>1686</c:v>
                </c:pt>
                <c:pt idx="127">
                  <c:v>1687</c:v>
                </c:pt>
                <c:pt idx="128">
                  <c:v>1688</c:v>
                </c:pt>
                <c:pt idx="129">
                  <c:v>1689</c:v>
                </c:pt>
                <c:pt idx="130">
                  <c:v>1690</c:v>
                </c:pt>
                <c:pt idx="131">
                  <c:v>1691</c:v>
                </c:pt>
                <c:pt idx="132">
                  <c:v>1692</c:v>
                </c:pt>
                <c:pt idx="133">
                  <c:v>1693</c:v>
                </c:pt>
                <c:pt idx="134">
                  <c:v>1694</c:v>
                </c:pt>
                <c:pt idx="135">
                  <c:v>1695</c:v>
                </c:pt>
                <c:pt idx="136">
                  <c:v>1696</c:v>
                </c:pt>
                <c:pt idx="137">
                  <c:v>1697</c:v>
                </c:pt>
                <c:pt idx="138">
                  <c:v>1698</c:v>
                </c:pt>
                <c:pt idx="139">
                  <c:v>1699</c:v>
                </c:pt>
                <c:pt idx="140">
                  <c:v>1700</c:v>
                </c:pt>
                <c:pt idx="141">
                  <c:v>1701</c:v>
                </c:pt>
                <c:pt idx="142">
                  <c:v>1702</c:v>
                </c:pt>
                <c:pt idx="143">
                  <c:v>1703</c:v>
                </c:pt>
                <c:pt idx="144">
                  <c:v>1704</c:v>
                </c:pt>
                <c:pt idx="145">
                  <c:v>1705</c:v>
                </c:pt>
                <c:pt idx="146">
                  <c:v>1706</c:v>
                </c:pt>
                <c:pt idx="147">
                  <c:v>1707</c:v>
                </c:pt>
                <c:pt idx="148">
                  <c:v>1708</c:v>
                </c:pt>
                <c:pt idx="149">
                  <c:v>1709</c:v>
                </c:pt>
                <c:pt idx="150">
                  <c:v>1710</c:v>
                </c:pt>
                <c:pt idx="151">
                  <c:v>1711</c:v>
                </c:pt>
                <c:pt idx="152">
                  <c:v>1712</c:v>
                </c:pt>
                <c:pt idx="153">
                  <c:v>1713</c:v>
                </c:pt>
                <c:pt idx="154">
                  <c:v>1714</c:v>
                </c:pt>
                <c:pt idx="155">
                  <c:v>1715</c:v>
                </c:pt>
                <c:pt idx="156">
                  <c:v>1716</c:v>
                </c:pt>
                <c:pt idx="157">
                  <c:v>1717</c:v>
                </c:pt>
                <c:pt idx="158">
                  <c:v>1718</c:v>
                </c:pt>
                <c:pt idx="159">
                  <c:v>1719</c:v>
                </c:pt>
                <c:pt idx="160">
                  <c:v>1720</c:v>
                </c:pt>
                <c:pt idx="161">
                  <c:v>1721</c:v>
                </c:pt>
                <c:pt idx="162">
                  <c:v>1722</c:v>
                </c:pt>
                <c:pt idx="163">
                  <c:v>1723</c:v>
                </c:pt>
                <c:pt idx="164">
                  <c:v>1724</c:v>
                </c:pt>
                <c:pt idx="165">
                  <c:v>1725</c:v>
                </c:pt>
                <c:pt idx="166">
                  <c:v>1726</c:v>
                </c:pt>
                <c:pt idx="167">
                  <c:v>1727</c:v>
                </c:pt>
                <c:pt idx="168">
                  <c:v>1728</c:v>
                </c:pt>
                <c:pt idx="169">
                  <c:v>1729</c:v>
                </c:pt>
                <c:pt idx="170">
                  <c:v>1730</c:v>
                </c:pt>
                <c:pt idx="171">
                  <c:v>1731</c:v>
                </c:pt>
                <c:pt idx="172">
                  <c:v>1732</c:v>
                </c:pt>
                <c:pt idx="173">
                  <c:v>1733</c:v>
                </c:pt>
                <c:pt idx="174">
                  <c:v>1734</c:v>
                </c:pt>
                <c:pt idx="175">
                  <c:v>1735</c:v>
                </c:pt>
                <c:pt idx="176">
                  <c:v>1736</c:v>
                </c:pt>
                <c:pt idx="177">
                  <c:v>1737</c:v>
                </c:pt>
                <c:pt idx="178">
                  <c:v>1738</c:v>
                </c:pt>
                <c:pt idx="179">
                  <c:v>1739</c:v>
                </c:pt>
                <c:pt idx="180">
                  <c:v>1740</c:v>
                </c:pt>
                <c:pt idx="181">
                  <c:v>1741</c:v>
                </c:pt>
                <c:pt idx="182">
                  <c:v>1742</c:v>
                </c:pt>
                <c:pt idx="183">
                  <c:v>1743</c:v>
                </c:pt>
                <c:pt idx="184">
                  <c:v>1744</c:v>
                </c:pt>
                <c:pt idx="185">
                  <c:v>1745</c:v>
                </c:pt>
                <c:pt idx="186">
                  <c:v>1746</c:v>
                </c:pt>
                <c:pt idx="187">
                  <c:v>1747</c:v>
                </c:pt>
                <c:pt idx="188">
                  <c:v>1748</c:v>
                </c:pt>
                <c:pt idx="189">
                  <c:v>1749</c:v>
                </c:pt>
                <c:pt idx="190">
                  <c:v>1750</c:v>
                </c:pt>
                <c:pt idx="191">
                  <c:v>1751</c:v>
                </c:pt>
                <c:pt idx="192">
                  <c:v>1752</c:v>
                </c:pt>
                <c:pt idx="193">
                  <c:v>1753</c:v>
                </c:pt>
                <c:pt idx="194">
                  <c:v>1754</c:v>
                </c:pt>
                <c:pt idx="195">
                  <c:v>1755</c:v>
                </c:pt>
                <c:pt idx="196">
                  <c:v>1756</c:v>
                </c:pt>
                <c:pt idx="197">
                  <c:v>1757</c:v>
                </c:pt>
                <c:pt idx="198">
                  <c:v>1758</c:v>
                </c:pt>
                <c:pt idx="199">
                  <c:v>1759</c:v>
                </c:pt>
                <c:pt idx="200">
                  <c:v>1760</c:v>
                </c:pt>
                <c:pt idx="201">
                  <c:v>1761</c:v>
                </c:pt>
                <c:pt idx="202">
                  <c:v>1762</c:v>
                </c:pt>
                <c:pt idx="203">
                  <c:v>1763</c:v>
                </c:pt>
                <c:pt idx="204">
                  <c:v>1764</c:v>
                </c:pt>
                <c:pt idx="205">
                  <c:v>1765</c:v>
                </c:pt>
                <c:pt idx="206">
                  <c:v>1766</c:v>
                </c:pt>
                <c:pt idx="207">
                  <c:v>1767</c:v>
                </c:pt>
                <c:pt idx="208">
                  <c:v>1768</c:v>
                </c:pt>
                <c:pt idx="209">
                  <c:v>1769</c:v>
                </c:pt>
                <c:pt idx="210">
                  <c:v>1770</c:v>
                </c:pt>
              </c:numCache>
            </c:numRef>
          </c:cat>
          <c:val>
            <c:numRef>
              <c:f>figure1!$C$4:$C$214</c:f>
              <c:numCache>
                <c:formatCode>General</c:formatCode>
                <c:ptCount val="211"/>
                <c:pt idx="139">
                  <c:v>3366604</c:v>
                </c:pt>
                <c:pt idx="140">
                  <c:v>3161051</c:v>
                </c:pt>
                <c:pt idx="141">
                  <c:v>3617123</c:v>
                </c:pt>
                <c:pt idx="142">
                  <c:v>1632676</c:v>
                </c:pt>
                <c:pt idx="143">
                  <c:v>2140539</c:v>
                </c:pt>
                <c:pt idx="144">
                  <c:v>3393949</c:v>
                </c:pt>
                <c:pt idx="146">
                  <c:v>3200830</c:v>
                </c:pt>
                <c:pt idx="147">
                  <c:v>3826069</c:v>
                </c:pt>
                <c:pt idx="148">
                  <c:v>3559783</c:v>
                </c:pt>
                <c:pt idx="149">
                  <c:v>1507062</c:v>
                </c:pt>
                <c:pt idx="150">
                  <c:v>4091531</c:v>
                </c:pt>
                <c:pt idx="151">
                  <c:v>2537979.67</c:v>
                </c:pt>
                <c:pt idx="153">
                  <c:v>3630330</c:v>
                </c:pt>
                <c:pt idx="154">
                  <c:v>3169347</c:v>
                </c:pt>
                <c:pt idx="155">
                  <c:v>1252988</c:v>
                </c:pt>
                <c:pt idx="156">
                  <c:v>2469292</c:v>
                </c:pt>
                <c:pt idx="157">
                  <c:v>4183912</c:v>
                </c:pt>
                <c:pt idx="158">
                  <c:v>3451140</c:v>
                </c:pt>
                <c:pt idx="159">
                  <c:v>4355832</c:v>
                </c:pt>
                <c:pt idx="160">
                  <c:v>4007324</c:v>
                </c:pt>
                <c:pt idx="161">
                  <c:v>3417981</c:v>
                </c:pt>
                <c:pt idx="162">
                  <c:v>7086528</c:v>
                </c:pt>
                <c:pt idx="163">
                  <c:v>2263683</c:v>
                </c:pt>
                <c:pt idx="164">
                  <c:v>5123942</c:v>
                </c:pt>
                <c:pt idx="165">
                  <c:v>4236268</c:v>
                </c:pt>
                <c:pt idx="166">
                  <c:v>3628328</c:v>
                </c:pt>
                <c:pt idx="169">
                  <c:v>2703606</c:v>
                </c:pt>
                <c:pt idx="170">
                  <c:v>2989452</c:v>
                </c:pt>
                <c:pt idx="171">
                  <c:v>2282833</c:v>
                </c:pt>
                <c:pt idx="172">
                  <c:v>6454144</c:v>
                </c:pt>
                <c:pt idx="174">
                  <c:v>5101119</c:v>
                </c:pt>
                <c:pt idx="175">
                  <c:v>4184113</c:v>
                </c:pt>
                <c:pt idx="176">
                  <c:v>2870638</c:v>
                </c:pt>
                <c:pt idx="177">
                  <c:v>2787901</c:v>
                </c:pt>
                <c:pt idx="178">
                  <c:v>3197259</c:v>
                </c:pt>
                <c:pt idx="179">
                  <c:v>3716244</c:v>
                </c:pt>
                <c:pt idx="180">
                  <c:v>3795390</c:v>
                </c:pt>
                <c:pt idx="181">
                  <c:v>3569173</c:v>
                </c:pt>
                <c:pt idx="182">
                  <c:v>3622646</c:v>
                </c:pt>
                <c:pt idx="183">
                  <c:v>2774673</c:v>
                </c:pt>
                <c:pt idx="184">
                  <c:v>1391561</c:v>
                </c:pt>
                <c:pt idx="185">
                  <c:v>1766715</c:v>
                </c:pt>
                <c:pt idx="186">
                  <c:v>3169683</c:v>
                </c:pt>
                <c:pt idx="187">
                  <c:v>2298651</c:v>
                </c:pt>
                <c:pt idx="188">
                  <c:v>4987011</c:v>
                </c:pt>
                <c:pt idx="189">
                  <c:v>1900860</c:v>
                </c:pt>
                <c:pt idx="190">
                  <c:v>3303611</c:v>
                </c:pt>
              </c:numCache>
            </c:numRef>
          </c:val>
        </c:ser>
        <c:dLbls>
          <c:showLegendKey val="0"/>
          <c:showVal val="0"/>
          <c:showCatName val="0"/>
          <c:showSerName val="0"/>
          <c:showPercent val="0"/>
          <c:showBubbleSize val="0"/>
        </c:dLbls>
        <c:gapWidth val="0"/>
        <c:overlap val="100"/>
        <c:axId val="123061760"/>
        <c:axId val="123063296"/>
      </c:barChart>
      <c:catAx>
        <c:axId val="123061760"/>
        <c:scaling>
          <c:orientation val="minMax"/>
        </c:scaling>
        <c:delete val="0"/>
        <c:axPos val="b"/>
        <c:numFmt formatCode="General" sourceLinked="1"/>
        <c:majorTickMark val="out"/>
        <c:minorTickMark val="none"/>
        <c:tickLblPos val="nextTo"/>
        <c:txPr>
          <a:bodyPr rot="-5400000" vert="horz" anchor="t" anchorCtr="0"/>
          <a:lstStyle/>
          <a:p>
            <a:pPr>
              <a:defRPr lang="en-GB"/>
            </a:pPr>
            <a:endParaRPr lang="en-US"/>
          </a:p>
        </c:txPr>
        <c:crossAx val="123063296"/>
        <c:crosses val="autoZero"/>
        <c:auto val="1"/>
        <c:lblAlgn val="ctr"/>
        <c:lblOffset val="100"/>
        <c:tickLblSkip val="10"/>
        <c:noMultiLvlLbl val="0"/>
      </c:catAx>
      <c:valAx>
        <c:axId val="123063296"/>
        <c:scaling>
          <c:orientation val="minMax"/>
          <c:max val="8000000"/>
          <c:min val="0"/>
        </c:scaling>
        <c:delete val="0"/>
        <c:axPos val="l"/>
        <c:majorGridlines/>
        <c:numFmt formatCode="General" sourceLinked="1"/>
        <c:majorTickMark val="out"/>
        <c:minorTickMark val="none"/>
        <c:tickLblPos val="nextTo"/>
        <c:txPr>
          <a:bodyPr/>
          <a:lstStyle/>
          <a:p>
            <a:pPr>
              <a:defRPr lang="en-GB"/>
            </a:pPr>
            <a:endParaRPr lang="en-US"/>
          </a:p>
        </c:txPr>
        <c:crossAx val="12306176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'figure 2'!$B$3</c:f>
              <c:strCache>
                <c:ptCount val="1"/>
                <c:pt idx="0">
                  <c:v>Denmark &amp; Norway</c:v>
                </c:pt>
              </c:strCache>
            </c:strRef>
          </c:tx>
          <c:spPr>
            <a:ln w="25400">
              <a:noFill/>
            </a:ln>
          </c:spPr>
          <c:invertIfNegative val="0"/>
          <c:cat>
            <c:numRef>
              <c:f>'figure 2'!$A$4:$A$54</c:f>
              <c:numCache>
                <c:formatCode>General</c:formatCode>
                <c:ptCount val="51"/>
                <c:pt idx="0">
                  <c:v>1700</c:v>
                </c:pt>
                <c:pt idx="1">
                  <c:v>1701</c:v>
                </c:pt>
                <c:pt idx="2">
                  <c:v>1702</c:v>
                </c:pt>
                <c:pt idx="3">
                  <c:v>1703</c:v>
                </c:pt>
                <c:pt idx="4">
                  <c:v>1704</c:v>
                </c:pt>
                <c:pt idx="5">
                  <c:v>1705</c:v>
                </c:pt>
                <c:pt idx="6">
                  <c:v>1706</c:v>
                </c:pt>
                <c:pt idx="7">
                  <c:v>1707</c:v>
                </c:pt>
                <c:pt idx="8">
                  <c:v>1708</c:v>
                </c:pt>
                <c:pt idx="9">
                  <c:v>1709</c:v>
                </c:pt>
                <c:pt idx="10">
                  <c:v>1710</c:v>
                </c:pt>
                <c:pt idx="11">
                  <c:v>1711</c:v>
                </c:pt>
                <c:pt idx="12">
                  <c:v>1712</c:v>
                </c:pt>
                <c:pt idx="13">
                  <c:v>1713</c:v>
                </c:pt>
                <c:pt idx="14">
                  <c:v>1714</c:v>
                </c:pt>
                <c:pt idx="15">
                  <c:v>1715</c:v>
                </c:pt>
                <c:pt idx="16">
                  <c:v>1716</c:v>
                </c:pt>
                <c:pt idx="17">
                  <c:v>1717</c:v>
                </c:pt>
                <c:pt idx="18">
                  <c:v>1718</c:v>
                </c:pt>
                <c:pt idx="19">
                  <c:v>1719</c:v>
                </c:pt>
                <c:pt idx="20">
                  <c:v>1720</c:v>
                </c:pt>
                <c:pt idx="21">
                  <c:v>1721</c:v>
                </c:pt>
                <c:pt idx="22">
                  <c:v>1722</c:v>
                </c:pt>
                <c:pt idx="23">
                  <c:v>1723</c:v>
                </c:pt>
                <c:pt idx="24">
                  <c:v>1724</c:v>
                </c:pt>
                <c:pt idx="25">
                  <c:v>1725</c:v>
                </c:pt>
                <c:pt idx="26">
                  <c:v>1726</c:v>
                </c:pt>
                <c:pt idx="27">
                  <c:v>1727</c:v>
                </c:pt>
                <c:pt idx="28">
                  <c:v>1728</c:v>
                </c:pt>
                <c:pt idx="29">
                  <c:v>1729</c:v>
                </c:pt>
                <c:pt idx="30">
                  <c:v>1730</c:v>
                </c:pt>
                <c:pt idx="31">
                  <c:v>1731</c:v>
                </c:pt>
                <c:pt idx="32">
                  <c:v>1732</c:v>
                </c:pt>
                <c:pt idx="33">
                  <c:v>1733</c:v>
                </c:pt>
                <c:pt idx="34">
                  <c:v>1734</c:v>
                </c:pt>
                <c:pt idx="35">
                  <c:v>1735</c:v>
                </c:pt>
                <c:pt idx="36">
                  <c:v>1736</c:v>
                </c:pt>
                <c:pt idx="37">
                  <c:v>1737</c:v>
                </c:pt>
                <c:pt idx="38">
                  <c:v>1738</c:v>
                </c:pt>
                <c:pt idx="39">
                  <c:v>1739</c:v>
                </c:pt>
                <c:pt idx="40">
                  <c:v>1740</c:v>
                </c:pt>
                <c:pt idx="41">
                  <c:v>1741</c:v>
                </c:pt>
                <c:pt idx="42">
                  <c:v>1742</c:v>
                </c:pt>
                <c:pt idx="43">
                  <c:v>1743</c:v>
                </c:pt>
                <c:pt idx="44">
                  <c:v>1744</c:v>
                </c:pt>
                <c:pt idx="45">
                  <c:v>1745</c:v>
                </c:pt>
                <c:pt idx="46">
                  <c:v>1746</c:v>
                </c:pt>
                <c:pt idx="47">
                  <c:v>1747</c:v>
                </c:pt>
                <c:pt idx="48">
                  <c:v>1748</c:v>
                </c:pt>
                <c:pt idx="49">
                  <c:v>1749</c:v>
                </c:pt>
                <c:pt idx="50">
                  <c:v>1750</c:v>
                </c:pt>
              </c:numCache>
            </c:numRef>
          </c:cat>
          <c:val>
            <c:numRef>
              <c:f>'figure 2'!$B$4:$B$54</c:f>
              <c:numCache>
                <c:formatCode>General</c:formatCode>
                <c:ptCount val="51"/>
                <c:pt idx="0">
                  <c:v>0</c:v>
                </c:pt>
                <c:pt idx="1">
                  <c:v>0</c:v>
                </c:pt>
                <c:pt idx="3">
                  <c:v>0</c:v>
                </c:pt>
                <c:pt idx="6">
                  <c:v>0</c:v>
                </c:pt>
                <c:pt idx="7">
                  <c:v>0</c:v>
                </c:pt>
                <c:pt idx="8">
                  <c:v>0</c:v>
                </c:pt>
                <c:pt idx="9">
                  <c:v>0</c:v>
                </c:pt>
                <c:pt idx="10">
                  <c:v>0</c:v>
                </c:pt>
                <c:pt idx="11">
                  <c:v>0</c:v>
                </c:pt>
                <c:pt idx="13">
                  <c:v>0</c:v>
                </c:pt>
                <c:pt idx="14">
                  <c:v>8.1278572526138695E-2</c:v>
                </c:pt>
                <c:pt idx="15">
                  <c:v>0</c:v>
                </c:pt>
                <c:pt idx="16">
                  <c:v>0</c:v>
                </c:pt>
                <c:pt idx="17">
                  <c:v>4.3786771805907971</c:v>
                </c:pt>
                <c:pt idx="18">
                  <c:v>0</c:v>
                </c:pt>
                <c:pt idx="19">
                  <c:v>0</c:v>
                </c:pt>
                <c:pt idx="20">
                  <c:v>0</c:v>
                </c:pt>
                <c:pt idx="21">
                  <c:v>0</c:v>
                </c:pt>
                <c:pt idx="22">
                  <c:v>0</c:v>
                </c:pt>
                <c:pt idx="23">
                  <c:v>0</c:v>
                </c:pt>
                <c:pt idx="24">
                  <c:v>0</c:v>
                </c:pt>
                <c:pt idx="25">
                  <c:v>0</c:v>
                </c:pt>
                <c:pt idx="26">
                  <c:v>0</c:v>
                </c:pt>
                <c:pt idx="29">
                  <c:v>0</c:v>
                </c:pt>
              </c:numCache>
            </c:numRef>
          </c:val>
        </c:ser>
        <c:ser>
          <c:idx val="1"/>
          <c:order val="1"/>
          <c:tx>
            <c:strRef>
              <c:f>'figure 2'!$C$3</c:f>
              <c:strCache>
                <c:ptCount val="1"/>
                <c:pt idx="0">
                  <c:v>Southern Baltic</c:v>
                </c:pt>
              </c:strCache>
            </c:strRef>
          </c:tx>
          <c:spPr>
            <a:solidFill>
              <a:schemeClr val="tx1"/>
            </a:solidFill>
            <a:ln w="25400">
              <a:noFill/>
            </a:ln>
          </c:spPr>
          <c:invertIfNegative val="0"/>
          <c:cat>
            <c:numRef>
              <c:f>'figure 2'!$A$4:$A$54</c:f>
              <c:numCache>
                <c:formatCode>General</c:formatCode>
                <c:ptCount val="51"/>
                <c:pt idx="0">
                  <c:v>1700</c:v>
                </c:pt>
                <c:pt idx="1">
                  <c:v>1701</c:v>
                </c:pt>
                <c:pt idx="2">
                  <c:v>1702</c:v>
                </c:pt>
                <c:pt idx="3">
                  <c:v>1703</c:v>
                </c:pt>
                <c:pt idx="4">
                  <c:v>1704</c:v>
                </c:pt>
                <c:pt idx="5">
                  <c:v>1705</c:v>
                </c:pt>
                <c:pt idx="6">
                  <c:v>1706</c:v>
                </c:pt>
                <c:pt idx="7">
                  <c:v>1707</c:v>
                </c:pt>
                <c:pt idx="8">
                  <c:v>1708</c:v>
                </c:pt>
                <c:pt idx="9">
                  <c:v>1709</c:v>
                </c:pt>
                <c:pt idx="10">
                  <c:v>1710</c:v>
                </c:pt>
                <c:pt idx="11">
                  <c:v>1711</c:v>
                </c:pt>
                <c:pt idx="12">
                  <c:v>1712</c:v>
                </c:pt>
                <c:pt idx="13">
                  <c:v>1713</c:v>
                </c:pt>
                <c:pt idx="14">
                  <c:v>1714</c:v>
                </c:pt>
                <c:pt idx="15">
                  <c:v>1715</c:v>
                </c:pt>
                <c:pt idx="16">
                  <c:v>1716</c:v>
                </c:pt>
                <c:pt idx="17">
                  <c:v>1717</c:v>
                </c:pt>
                <c:pt idx="18">
                  <c:v>1718</c:v>
                </c:pt>
                <c:pt idx="19">
                  <c:v>1719</c:v>
                </c:pt>
                <c:pt idx="20">
                  <c:v>1720</c:v>
                </c:pt>
                <c:pt idx="21">
                  <c:v>1721</c:v>
                </c:pt>
                <c:pt idx="22">
                  <c:v>1722</c:v>
                </c:pt>
                <c:pt idx="23">
                  <c:v>1723</c:v>
                </c:pt>
                <c:pt idx="24">
                  <c:v>1724</c:v>
                </c:pt>
                <c:pt idx="25">
                  <c:v>1725</c:v>
                </c:pt>
                <c:pt idx="26">
                  <c:v>1726</c:v>
                </c:pt>
                <c:pt idx="27">
                  <c:v>1727</c:v>
                </c:pt>
                <c:pt idx="28">
                  <c:v>1728</c:v>
                </c:pt>
                <c:pt idx="29">
                  <c:v>1729</c:v>
                </c:pt>
                <c:pt idx="30">
                  <c:v>1730</c:v>
                </c:pt>
                <c:pt idx="31">
                  <c:v>1731</c:v>
                </c:pt>
                <c:pt idx="32">
                  <c:v>1732</c:v>
                </c:pt>
                <c:pt idx="33">
                  <c:v>1733</c:v>
                </c:pt>
                <c:pt idx="34">
                  <c:v>1734</c:v>
                </c:pt>
                <c:pt idx="35">
                  <c:v>1735</c:v>
                </c:pt>
                <c:pt idx="36">
                  <c:v>1736</c:v>
                </c:pt>
                <c:pt idx="37">
                  <c:v>1737</c:v>
                </c:pt>
                <c:pt idx="38">
                  <c:v>1738</c:v>
                </c:pt>
                <c:pt idx="39">
                  <c:v>1739</c:v>
                </c:pt>
                <c:pt idx="40">
                  <c:v>1740</c:v>
                </c:pt>
                <c:pt idx="41">
                  <c:v>1741</c:v>
                </c:pt>
                <c:pt idx="42">
                  <c:v>1742</c:v>
                </c:pt>
                <c:pt idx="43">
                  <c:v>1743</c:v>
                </c:pt>
                <c:pt idx="44">
                  <c:v>1744</c:v>
                </c:pt>
                <c:pt idx="45">
                  <c:v>1745</c:v>
                </c:pt>
                <c:pt idx="46">
                  <c:v>1746</c:v>
                </c:pt>
                <c:pt idx="47">
                  <c:v>1747</c:v>
                </c:pt>
                <c:pt idx="48">
                  <c:v>1748</c:v>
                </c:pt>
                <c:pt idx="49">
                  <c:v>1749</c:v>
                </c:pt>
                <c:pt idx="50">
                  <c:v>1750</c:v>
                </c:pt>
              </c:numCache>
            </c:numRef>
          </c:cat>
          <c:val>
            <c:numRef>
              <c:f>'figure 2'!$C$4:$C$54</c:f>
              <c:numCache>
                <c:formatCode>General</c:formatCode>
                <c:ptCount val="51"/>
                <c:pt idx="0">
                  <c:v>14.966035030754011</c:v>
                </c:pt>
                <c:pt idx="1">
                  <c:v>29.71190086707033</c:v>
                </c:pt>
                <c:pt idx="3">
                  <c:v>87.346364630590713</c:v>
                </c:pt>
                <c:pt idx="4">
                  <c:v>99.383373173845541</c:v>
                </c:pt>
                <c:pt idx="6">
                  <c:v>93.208167881455751</c:v>
                </c:pt>
                <c:pt idx="7">
                  <c:v>91.300758036512121</c:v>
                </c:pt>
                <c:pt idx="8">
                  <c:v>89.140068369336007</c:v>
                </c:pt>
                <c:pt idx="9">
                  <c:v>77.961291572609483</c:v>
                </c:pt>
                <c:pt idx="10">
                  <c:v>81.653322436026926</c:v>
                </c:pt>
                <c:pt idx="11">
                  <c:v>80.876258555688082</c:v>
                </c:pt>
                <c:pt idx="13">
                  <c:v>80.051951200028654</c:v>
                </c:pt>
                <c:pt idx="14">
                  <c:v>76.989771079026653</c:v>
                </c:pt>
                <c:pt idx="15">
                  <c:v>66.304545614163899</c:v>
                </c:pt>
                <c:pt idx="16">
                  <c:v>79.068534624499648</c:v>
                </c:pt>
                <c:pt idx="17">
                  <c:v>61.693888399182399</c:v>
                </c:pt>
                <c:pt idx="18">
                  <c:v>60.09686654264965</c:v>
                </c:pt>
                <c:pt idx="19">
                  <c:v>79.204983112296318</c:v>
                </c:pt>
                <c:pt idx="20">
                  <c:v>76.25530154287496</c:v>
                </c:pt>
                <c:pt idx="21">
                  <c:v>68.235663100526281</c:v>
                </c:pt>
                <c:pt idx="22">
                  <c:v>46.809636538513637</c:v>
                </c:pt>
                <c:pt idx="23">
                  <c:v>46.004851385993511</c:v>
                </c:pt>
                <c:pt idx="24">
                  <c:v>68.847227388600444</c:v>
                </c:pt>
                <c:pt idx="25">
                  <c:v>63.001490934945572</c:v>
                </c:pt>
                <c:pt idx="26">
                  <c:v>59.315172167455643</c:v>
                </c:pt>
                <c:pt idx="29">
                  <c:v>92.693314040581328</c:v>
                </c:pt>
                <c:pt idx="30">
                  <c:v>44.269785900559697</c:v>
                </c:pt>
                <c:pt idx="31">
                  <c:v>78.687227668427795</c:v>
                </c:pt>
                <c:pt idx="32">
                  <c:v>40.719141066576761</c:v>
                </c:pt>
                <c:pt idx="34">
                  <c:v>32.002644909871741</c:v>
                </c:pt>
                <c:pt idx="35">
                  <c:v>33.795167577931103</c:v>
                </c:pt>
                <c:pt idx="36">
                  <c:v>52.748796608976832</c:v>
                </c:pt>
                <c:pt idx="37">
                  <c:v>39.85618571104208</c:v>
                </c:pt>
                <c:pt idx="38">
                  <c:v>24.65045840828035</c:v>
                </c:pt>
                <c:pt idx="39">
                  <c:v>37.717491101230138</c:v>
                </c:pt>
                <c:pt idx="40">
                  <c:v>18.817539172522451</c:v>
                </c:pt>
                <c:pt idx="41">
                  <c:v>33.652557609283697</c:v>
                </c:pt>
                <c:pt idx="42">
                  <c:v>23.229539955049429</c:v>
                </c:pt>
                <c:pt idx="43">
                  <c:v>35.858675959293187</c:v>
                </c:pt>
                <c:pt idx="44">
                  <c:v>78.293585405167306</c:v>
                </c:pt>
                <c:pt idx="45">
                  <c:v>46.5535754210498</c:v>
                </c:pt>
                <c:pt idx="46">
                  <c:v>17.012426794729929</c:v>
                </c:pt>
                <c:pt idx="47">
                  <c:v>35.676664269608537</c:v>
                </c:pt>
                <c:pt idx="48">
                  <c:v>22.886614848052261</c:v>
                </c:pt>
                <c:pt idx="49">
                  <c:v>42.136506633839431</c:v>
                </c:pt>
                <c:pt idx="50">
                  <c:v>55.773122198709252</c:v>
                </c:pt>
              </c:numCache>
            </c:numRef>
          </c:val>
        </c:ser>
        <c:ser>
          <c:idx val="2"/>
          <c:order val="2"/>
          <c:tx>
            <c:strRef>
              <c:f>'figure 2'!$D$3</c:f>
              <c:strCache>
                <c:ptCount val="1"/>
                <c:pt idx="0">
                  <c:v>Germany</c:v>
                </c:pt>
              </c:strCache>
            </c:strRef>
          </c:tx>
          <c:spPr>
            <a:solidFill>
              <a:schemeClr val="bg1">
                <a:lumMod val="50000"/>
              </a:schemeClr>
            </a:solidFill>
            <a:ln w="25400">
              <a:noFill/>
            </a:ln>
          </c:spPr>
          <c:invertIfNegative val="0"/>
          <c:cat>
            <c:numRef>
              <c:f>'figure 2'!$A$4:$A$54</c:f>
              <c:numCache>
                <c:formatCode>General</c:formatCode>
                <c:ptCount val="51"/>
                <c:pt idx="0">
                  <c:v>1700</c:v>
                </c:pt>
                <c:pt idx="1">
                  <c:v>1701</c:v>
                </c:pt>
                <c:pt idx="2">
                  <c:v>1702</c:v>
                </c:pt>
                <c:pt idx="3">
                  <c:v>1703</c:v>
                </c:pt>
                <c:pt idx="4">
                  <c:v>1704</c:v>
                </c:pt>
                <c:pt idx="5">
                  <c:v>1705</c:v>
                </c:pt>
                <c:pt idx="6">
                  <c:v>1706</c:v>
                </c:pt>
                <c:pt idx="7">
                  <c:v>1707</c:v>
                </c:pt>
                <c:pt idx="8">
                  <c:v>1708</c:v>
                </c:pt>
                <c:pt idx="9">
                  <c:v>1709</c:v>
                </c:pt>
                <c:pt idx="10">
                  <c:v>1710</c:v>
                </c:pt>
                <c:pt idx="11">
                  <c:v>1711</c:v>
                </c:pt>
                <c:pt idx="12">
                  <c:v>1712</c:v>
                </c:pt>
                <c:pt idx="13">
                  <c:v>1713</c:v>
                </c:pt>
                <c:pt idx="14">
                  <c:v>1714</c:v>
                </c:pt>
                <c:pt idx="15">
                  <c:v>1715</c:v>
                </c:pt>
                <c:pt idx="16">
                  <c:v>1716</c:v>
                </c:pt>
                <c:pt idx="17">
                  <c:v>1717</c:v>
                </c:pt>
                <c:pt idx="18">
                  <c:v>1718</c:v>
                </c:pt>
                <c:pt idx="19">
                  <c:v>1719</c:v>
                </c:pt>
                <c:pt idx="20">
                  <c:v>1720</c:v>
                </c:pt>
                <c:pt idx="21">
                  <c:v>1721</c:v>
                </c:pt>
                <c:pt idx="22">
                  <c:v>1722</c:v>
                </c:pt>
                <c:pt idx="23">
                  <c:v>1723</c:v>
                </c:pt>
                <c:pt idx="24">
                  <c:v>1724</c:v>
                </c:pt>
                <c:pt idx="25">
                  <c:v>1725</c:v>
                </c:pt>
                <c:pt idx="26">
                  <c:v>1726</c:v>
                </c:pt>
                <c:pt idx="27">
                  <c:v>1727</c:v>
                </c:pt>
                <c:pt idx="28">
                  <c:v>1728</c:v>
                </c:pt>
                <c:pt idx="29">
                  <c:v>1729</c:v>
                </c:pt>
                <c:pt idx="30">
                  <c:v>1730</c:v>
                </c:pt>
                <c:pt idx="31">
                  <c:v>1731</c:v>
                </c:pt>
                <c:pt idx="32">
                  <c:v>1732</c:v>
                </c:pt>
                <c:pt idx="33">
                  <c:v>1733</c:v>
                </c:pt>
                <c:pt idx="34">
                  <c:v>1734</c:v>
                </c:pt>
                <c:pt idx="35">
                  <c:v>1735</c:v>
                </c:pt>
                <c:pt idx="36">
                  <c:v>1736</c:v>
                </c:pt>
                <c:pt idx="37">
                  <c:v>1737</c:v>
                </c:pt>
                <c:pt idx="38">
                  <c:v>1738</c:v>
                </c:pt>
                <c:pt idx="39">
                  <c:v>1739</c:v>
                </c:pt>
                <c:pt idx="40">
                  <c:v>1740</c:v>
                </c:pt>
                <c:pt idx="41">
                  <c:v>1741</c:v>
                </c:pt>
                <c:pt idx="42">
                  <c:v>1742</c:v>
                </c:pt>
                <c:pt idx="43">
                  <c:v>1743</c:v>
                </c:pt>
                <c:pt idx="44">
                  <c:v>1744</c:v>
                </c:pt>
                <c:pt idx="45">
                  <c:v>1745</c:v>
                </c:pt>
                <c:pt idx="46">
                  <c:v>1746</c:v>
                </c:pt>
                <c:pt idx="47">
                  <c:v>1747</c:v>
                </c:pt>
                <c:pt idx="48">
                  <c:v>1748</c:v>
                </c:pt>
                <c:pt idx="49">
                  <c:v>1749</c:v>
                </c:pt>
                <c:pt idx="50">
                  <c:v>1750</c:v>
                </c:pt>
              </c:numCache>
            </c:numRef>
          </c:cat>
          <c:val>
            <c:numRef>
              <c:f>'figure 2'!$D$4:$D$54</c:f>
              <c:numCache>
                <c:formatCode>0.0</c:formatCode>
                <c:ptCount val="51"/>
                <c:pt idx="0">
                  <c:v>0.140586153149696</c:v>
                </c:pt>
                <c:pt idx="1">
                  <c:v>4.2725392528813648</c:v>
                </c:pt>
                <c:pt idx="2">
                  <c:v>2.4171360392386481</c:v>
                </c:pt>
                <c:pt idx="3">
                  <c:v>0</c:v>
                </c:pt>
                <c:pt idx="4">
                  <c:v>0.61662682615442999</c:v>
                </c:pt>
                <c:pt idx="6">
                  <c:v>0</c:v>
                </c:pt>
                <c:pt idx="7">
                  <c:v>0</c:v>
                </c:pt>
                <c:pt idx="8">
                  <c:v>3.6022982299763782</c:v>
                </c:pt>
                <c:pt idx="9">
                  <c:v>2.5283631330363319</c:v>
                </c:pt>
                <c:pt idx="10">
                  <c:v>0.54392842190368396</c:v>
                </c:pt>
                <c:pt idx="11">
                  <c:v>3.072443838764082</c:v>
                </c:pt>
                <c:pt idx="13">
                  <c:v>0</c:v>
                </c:pt>
                <c:pt idx="14">
                  <c:v>0</c:v>
                </c:pt>
                <c:pt idx="15">
                  <c:v>11.00712855989044</c:v>
                </c:pt>
                <c:pt idx="16">
                  <c:v>3.411058716425599</c:v>
                </c:pt>
                <c:pt idx="17">
                  <c:v>1.594536405163397</c:v>
                </c:pt>
                <c:pt idx="18">
                  <c:v>4.8907897100668176</c:v>
                </c:pt>
                <c:pt idx="19">
                  <c:v>2.8701979323353148</c:v>
                </c:pt>
                <c:pt idx="20">
                  <c:v>0</c:v>
                </c:pt>
                <c:pt idx="21">
                  <c:v>6.9221859337427549</c:v>
                </c:pt>
                <c:pt idx="22">
                  <c:v>14.050209072764551</c:v>
                </c:pt>
                <c:pt idx="23">
                  <c:v>4.4188607680492371</c:v>
                </c:pt>
                <c:pt idx="24">
                  <c:v>0.42381432108326</c:v>
                </c:pt>
                <c:pt idx="25">
                  <c:v>5.4368609351438604</c:v>
                </c:pt>
                <c:pt idx="26">
                  <c:v>6.3930824335616849</c:v>
                </c:pt>
                <c:pt idx="29">
                  <c:v>3.658299323200199</c:v>
                </c:pt>
                <c:pt idx="30">
                  <c:v>1.2522027448508961</c:v>
                </c:pt>
                <c:pt idx="31" formatCode="General">
                  <c:v>15.37304743710995</c:v>
                </c:pt>
                <c:pt idx="32">
                  <c:v>3.5239839706086511</c:v>
                </c:pt>
                <c:pt idx="34">
                  <c:v>6.911561953367487</c:v>
                </c:pt>
                <c:pt idx="35">
                  <c:v>7.9817872987655916</c:v>
                </c:pt>
                <c:pt idx="36">
                  <c:v>4.9122877910764089</c:v>
                </c:pt>
                <c:pt idx="37">
                  <c:v>5.6990904626814221</c:v>
                </c:pt>
                <c:pt idx="38">
                  <c:v>16.616576886639461</c:v>
                </c:pt>
                <c:pt idx="39">
                  <c:v>7.188386984277674</c:v>
                </c:pt>
                <c:pt idx="40">
                  <c:v>4.7371416376182678</c:v>
                </c:pt>
                <c:pt idx="41">
                  <c:v>10.60623847597188</c:v>
                </c:pt>
                <c:pt idx="42">
                  <c:v>8.1413695955939378</c:v>
                </c:pt>
                <c:pt idx="43">
                  <c:v>7.8550157081573202</c:v>
                </c:pt>
                <c:pt idx="44">
                  <c:v>20.35038349019554</c:v>
                </c:pt>
                <c:pt idx="45">
                  <c:v>13.89443119009008</c:v>
                </c:pt>
                <c:pt idx="46">
                  <c:v>8.0463566861417988</c:v>
                </c:pt>
                <c:pt idx="47">
                  <c:v>19.414212944896811</c:v>
                </c:pt>
                <c:pt idx="48">
                  <c:v>10.40555154179528</c:v>
                </c:pt>
                <c:pt idx="49">
                  <c:v>19.161274370548071</c:v>
                </c:pt>
                <c:pt idx="50">
                  <c:v>7.4639841070876676</c:v>
                </c:pt>
              </c:numCache>
            </c:numRef>
          </c:val>
        </c:ser>
        <c:ser>
          <c:idx val="3"/>
          <c:order val="3"/>
          <c:tx>
            <c:strRef>
              <c:f>'figure 2'!$E$3</c:f>
              <c:strCache>
                <c:ptCount val="1"/>
                <c:pt idx="0">
                  <c:v>Holland</c:v>
                </c:pt>
              </c:strCache>
            </c:strRef>
          </c:tx>
          <c:spPr>
            <a:pattFill prst="pct10">
              <a:fgClr>
                <a:schemeClr val="tx1"/>
              </a:fgClr>
              <a:bgClr>
                <a:schemeClr val="bg1"/>
              </a:bgClr>
            </a:pattFill>
            <a:ln w="25400">
              <a:noFill/>
            </a:ln>
          </c:spPr>
          <c:invertIfNegative val="0"/>
          <c:cat>
            <c:numRef>
              <c:f>'figure 2'!$A$4:$A$54</c:f>
              <c:numCache>
                <c:formatCode>General</c:formatCode>
                <c:ptCount val="51"/>
                <c:pt idx="0">
                  <c:v>1700</c:v>
                </c:pt>
                <c:pt idx="1">
                  <c:v>1701</c:v>
                </c:pt>
                <c:pt idx="2">
                  <c:v>1702</c:v>
                </c:pt>
                <c:pt idx="3">
                  <c:v>1703</c:v>
                </c:pt>
                <c:pt idx="4">
                  <c:v>1704</c:v>
                </c:pt>
                <c:pt idx="5">
                  <c:v>1705</c:v>
                </c:pt>
                <c:pt idx="6">
                  <c:v>1706</c:v>
                </c:pt>
                <c:pt idx="7">
                  <c:v>1707</c:v>
                </c:pt>
                <c:pt idx="8">
                  <c:v>1708</c:v>
                </c:pt>
                <c:pt idx="9">
                  <c:v>1709</c:v>
                </c:pt>
                <c:pt idx="10">
                  <c:v>1710</c:v>
                </c:pt>
                <c:pt idx="11">
                  <c:v>1711</c:v>
                </c:pt>
                <c:pt idx="12">
                  <c:v>1712</c:v>
                </c:pt>
                <c:pt idx="13">
                  <c:v>1713</c:v>
                </c:pt>
                <c:pt idx="14">
                  <c:v>1714</c:v>
                </c:pt>
                <c:pt idx="15">
                  <c:v>1715</c:v>
                </c:pt>
                <c:pt idx="16">
                  <c:v>1716</c:v>
                </c:pt>
                <c:pt idx="17">
                  <c:v>1717</c:v>
                </c:pt>
                <c:pt idx="18">
                  <c:v>1718</c:v>
                </c:pt>
                <c:pt idx="19">
                  <c:v>1719</c:v>
                </c:pt>
                <c:pt idx="20">
                  <c:v>1720</c:v>
                </c:pt>
                <c:pt idx="21">
                  <c:v>1721</c:v>
                </c:pt>
                <c:pt idx="22">
                  <c:v>1722</c:v>
                </c:pt>
                <c:pt idx="23">
                  <c:v>1723</c:v>
                </c:pt>
                <c:pt idx="24">
                  <c:v>1724</c:v>
                </c:pt>
                <c:pt idx="25">
                  <c:v>1725</c:v>
                </c:pt>
                <c:pt idx="26">
                  <c:v>1726</c:v>
                </c:pt>
                <c:pt idx="27">
                  <c:v>1727</c:v>
                </c:pt>
                <c:pt idx="28">
                  <c:v>1728</c:v>
                </c:pt>
                <c:pt idx="29">
                  <c:v>1729</c:v>
                </c:pt>
                <c:pt idx="30">
                  <c:v>1730</c:v>
                </c:pt>
                <c:pt idx="31">
                  <c:v>1731</c:v>
                </c:pt>
                <c:pt idx="32">
                  <c:v>1732</c:v>
                </c:pt>
                <c:pt idx="33">
                  <c:v>1733</c:v>
                </c:pt>
                <c:pt idx="34">
                  <c:v>1734</c:v>
                </c:pt>
                <c:pt idx="35">
                  <c:v>1735</c:v>
                </c:pt>
                <c:pt idx="36">
                  <c:v>1736</c:v>
                </c:pt>
                <c:pt idx="37">
                  <c:v>1737</c:v>
                </c:pt>
                <c:pt idx="38">
                  <c:v>1738</c:v>
                </c:pt>
                <c:pt idx="39">
                  <c:v>1739</c:v>
                </c:pt>
                <c:pt idx="40">
                  <c:v>1740</c:v>
                </c:pt>
                <c:pt idx="41">
                  <c:v>1741</c:v>
                </c:pt>
                <c:pt idx="42">
                  <c:v>1742</c:v>
                </c:pt>
                <c:pt idx="43">
                  <c:v>1743</c:v>
                </c:pt>
                <c:pt idx="44">
                  <c:v>1744</c:v>
                </c:pt>
                <c:pt idx="45">
                  <c:v>1745</c:v>
                </c:pt>
                <c:pt idx="46">
                  <c:v>1746</c:v>
                </c:pt>
                <c:pt idx="47">
                  <c:v>1747</c:v>
                </c:pt>
                <c:pt idx="48">
                  <c:v>1748</c:v>
                </c:pt>
                <c:pt idx="49">
                  <c:v>1749</c:v>
                </c:pt>
                <c:pt idx="50">
                  <c:v>1750</c:v>
                </c:pt>
              </c:numCache>
            </c:numRef>
          </c:cat>
          <c:val>
            <c:numRef>
              <c:f>'figure 2'!$E$4:$E$54</c:f>
              <c:numCache>
                <c:formatCode>General</c:formatCode>
                <c:ptCount val="51"/>
                <c:pt idx="0">
                  <c:v>0</c:v>
                </c:pt>
                <c:pt idx="1">
                  <c:v>3.04109094437762E-2</c:v>
                </c:pt>
                <c:pt idx="2">
                  <c:v>3.1849552513787197E-2</c:v>
                </c:pt>
                <c:pt idx="3">
                  <c:v>0</c:v>
                </c:pt>
                <c:pt idx="4">
                  <c:v>0</c:v>
                </c:pt>
                <c:pt idx="6">
                  <c:v>0.101348712677649</c:v>
                </c:pt>
                <c:pt idx="7">
                  <c:v>0</c:v>
                </c:pt>
                <c:pt idx="8">
                  <c:v>0.32895263559604598</c:v>
                </c:pt>
                <c:pt idx="9">
                  <c:v>0.141998139426248</c:v>
                </c:pt>
                <c:pt idx="10">
                  <c:v>0</c:v>
                </c:pt>
                <c:pt idx="11">
                  <c:v>0</c:v>
                </c:pt>
                <c:pt idx="13">
                  <c:v>2.3606669366145801E-2</c:v>
                </c:pt>
                <c:pt idx="14">
                  <c:v>0</c:v>
                </c:pt>
                <c:pt idx="15">
                  <c:v>0</c:v>
                </c:pt>
                <c:pt idx="16">
                  <c:v>4.0497438132063799E-4</c:v>
                </c:pt>
                <c:pt idx="17">
                  <c:v>1.11857037146097E-2</c:v>
                </c:pt>
                <c:pt idx="18">
                  <c:v>3.2308164838285303E-2</c:v>
                </c:pt>
                <c:pt idx="19">
                  <c:v>0.26371540500184598</c:v>
                </c:pt>
                <c:pt idx="20">
                  <c:v>0</c:v>
                </c:pt>
                <c:pt idx="21">
                  <c:v>0</c:v>
                </c:pt>
                <c:pt idx="22">
                  <c:v>0</c:v>
                </c:pt>
                <c:pt idx="23">
                  <c:v>0</c:v>
                </c:pt>
                <c:pt idx="24">
                  <c:v>7.0570666100435997E-2</c:v>
                </c:pt>
                <c:pt idx="25">
                  <c:v>0</c:v>
                </c:pt>
                <c:pt idx="26">
                  <c:v>1.7642837141515331</c:v>
                </c:pt>
                <c:pt idx="29">
                  <c:v>1.4762506075219539</c:v>
                </c:pt>
                <c:pt idx="30">
                  <c:v>1.5077679788804099</c:v>
                </c:pt>
                <c:pt idx="31">
                  <c:v>0.89257514675843597</c:v>
                </c:pt>
                <c:pt idx="32">
                  <c:v>8.624877288142315</c:v>
                </c:pt>
                <c:pt idx="34">
                  <c:v>0.27552778125740701</c:v>
                </c:pt>
                <c:pt idx="35">
                  <c:v>5.0204906033847561</c:v>
                </c:pt>
                <c:pt idx="36">
                  <c:v>0.11624593557251001</c:v>
                </c:pt>
                <c:pt idx="37">
                  <c:v>0.168047574142697</c:v>
                </c:pt>
                <c:pt idx="38">
                  <c:v>2.202605419204386</c:v>
                </c:pt>
                <c:pt idx="39">
                  <c:v>0.36719870923437797</c:v>
                </c:pt>
                <c:pt idx="40">
                  <c:v>1.3160439375136681</c:v>
                </c:pt>
                <c:pt idx="41">
                  <c:v>2.0658847301601799</c:v>
                </c:pt>
                <c:pt idx="42">
                  <c:v>1.415843557443923</c:v>
                </c:pt>
                <c:pt idx="43">
                  <c:v>1.058503110096217</c:v>
                </c:pt>
                <c:pt idx="44">
                  <c:v>0.51172747727192702</c:v>
                </c:pt>
                <c:pt idx="45">
                  <c:v>1.060838901577221</c:v>
                </c:pt>
                <c:pt idx="46">
                  <c:v>1.536084207789864</c:v>
                </c:pt>
                <c:pt idx="47">
                  <c:v>3.3177720323789912</c:v>
                </c:pt>
                <c:pt idx="48">
                  <c:v>0.82095267084833001</c:v>
                </c:pt>
                <c:pt idx="49">
                  <c:v>13.70858453542081</c:v>
                </c:pt>
                <c:pt idx="50">
                  <c:v>1.667811373675653</c:v>
                </c:pt>
              </c:numCache>
            </c:numRef>
          </c:val>
        </c:ser>
        <c:ser>
          <c:idx val="4"/>
          <c:order val="4"/>
          <c:tx>
            <c:strRef>
              <c:f>'figure 2'!$F$3</c:f>
              <c:strCache>
                <c:ptCount val="1"/>
                <c:pt idx="0">
                  <c:v>Russia</c:v>
                </c:pt>
              </c:strCache>
            </c:strRef>
          </c:tx>
          <c:spPr>
            <a:pattFill prst="smGrid">
              <a:fgClr>
                <a:schemeClr val="tx1"/>
              </a:fgClr>
              <a:bgClr>
                <a:schemeClr val="bg1"/>
              </a:bgClr>
            </a:pattFill>
            <a:ln w="25400">
              <a:noFill/>
            </a:ln>
          </c:spPr>
          <c:invertIfNegative val="0"/>
          <c:cat>
            <c:numRef>
              <c:f>'figure 2'!$A$4:$A$54</c:f>
              <c:numCache>
                <c:formatCode>General</c:formatCode>
                <c:ptCount val="51"/>
                <c:pt idx="0">
                  <c:v>1700</c:v>
                </c:pt>
                <c:pt idx="1">
                  <c:v>1701</c:v>
                </c:pt>
                <c:pt idx="2">
                  <c:v>1702</c:v>
                </c:pt>
                <c:pt idx="3">
                  <c:v>1703</c:v>
                </c:pt>
                <c:pt idx="4">
                  <c:v>1704</c:v>
                </c:pt>
                <c:pt idx="5">
                  <c:v>1705</c:v>
                </c:pt>
                <c:pt idx="6">
                  <c:v>1706</c:v>
                </c:pt>
                <c:pt idx="7">
                  <c:v>1707</c:v>
                </c:pt>
                <c:pt idx="8">
                  <c:v>1708</c:v>
                </c:pt>
                <c:pt idx="9">
                  <c:v>1709</c:v>
                </c:pt>
                <c:pt idx="10">
                  <c:v>1710</c:v>
                </c:pt>
                <c:pt idx="11">
                  <c:v>1711</c:v>
                </c:pt>
                <c:pt idx="12">
                  <c:v>1712</c:v>
                </c:pt>
                <c:pt idx="13">
                  <c:v>1713</c:v>
                </c:pt>
                <c:pt idx="14">
                  <c:v>1714</c:v>
                </c:pt>
                <c:pt idx="15">
                  <c:v>1715</c:v>
                </c:pt>
                <c:pt idx="16">
                  <c:v>1716</c:v>
                </c:pt>
                <c:pt idx="17">
                  <c:v>1717</c:v>
                </c:pt>
                <c:pt idx="18">
                  <c:v>1718</c:v>
                </c:pt>
                <c:pt idx="19">
                  <c:v>1719</c:v>
                </c:pt>
                <c:pt idx="20">
                  <c:v>1720</c:v>
                </c:pt>
                <c:pt idx="21">
                  <c:v>1721</c:v>
                </c:pt>
                <c:pt idx="22">
                  <c:v>1722</c:v>
                </c:pt>
                <c:pt idx="23">
                  <c:v>1723</c:v>
                </c:pt>
                <c:pt idx="24">
                  <c:v>1724</c:v>
                </c:pt>
                <c:pt idx="25">
                  <c:v>1725</c:v>
                </c:pt>
                <c:pt idx="26">
                  <c:v>1726</c:v>
                </c:pt>
                <c:pt idx="27">
                  <c:v>1727</c:v>
                </c:pt>
                <c:pt idx="28">
                  <c:v>1728</c:v>
                </c:pt>
                <c:pt idx="29">
                  <c:v>1729</c:v>
                </c:pt>
                <c:pt idx="30">
                  <c:v>1730</c:v>
                </c:pt>
                <c:pt idx="31">
                  <c:v>1731</c:v>
                </c:pt>
                <c:pt idx="32">
                  <c:v>1732</c:v>
                </c:pt>
                <c:pt idx="33">
                  <c:v>1733</c:v>
                </c:pt>
                <c:pt idx="34">
                  <c:v>1734</c:v>
                </c:pt>
                <c:pt idx="35">
                  <c:v>1735</c:v>
                </c:pt>
                <c:pt idx="36">
                  <c:v>1736</c:v>
                </c:pt>
                <c:pt idx="37">
                  <c:v>1737</c:v>
                </c:pt>
                <c:pt idx="38">
                  <c:v>1738</c:v>
                </c:pt>
                <c:pt idx="39">
                  <c:v>1739</c:v>
                </c:pt>
                <c:pt idx="40">
                  <c:v>1740</c:v>
                </c:pt>
                <c:pt idx="41">
                  <c:v>1741</c:v>
                </c:pt>
                <c:pt idx="42">
                  <c:v>1742</c:v>
                </c:pt>
                <c:pt idx="43">
                  <c:v>1743</c:v>
                </c:pt>
                <c:pt idx="44">
                  <c:v>1744</c:v>
                </c:pt>
                <c:pt idx="45">
                  <c:v>1745</c:v>
                </c:pt>
                <c:pt idx="46">
                  <c:v>1746</c:v>
                </c:pt>
                <c:pt idx="47">
                  <c:v>1747</c:v>
                </c:pt>
                <c:pt idx="48">
                  <c:v>1748</c:v>
                </c:pt>
                <c:pt idx="49">
                  <c:v>1749</c:v>
                </c:pt>
                <c:pt idx="50">
                  <c:v>1750</c:v>
                </c:pt>
              </c:numCache>
            </c:numRef>
          </c:cat>
          <c:val>
            <c:numRef>
              <c:f>'figure 2'!$F$4:$F$54</c:f>
              <c:numCache>
                <c:formatCode>0.0</c:formatCode>
                <c:ptCount val="51"/>
                <c:pt idx="0">
                  <c:v>84.876770415915445</c:v>
                </c:pt>
                <c:pt idx="1">
                  <c:v>65.985148970604513</c:v>
                </c:pt>
                <c:pt idx="2">
                  <c:v>97.551014408247596</c:v>
                </c:pt>
                <c:pt idx="3">
                  <c:v>12.653635369409299</c:v>
                </c:pt>
                <c:pt idx="4">
                  <c:v>0</c:v>
                </c:pt>
                <c:pt idx="6">
                  <c:v>6.690483405866603</c:v>
                </c:pt>
                <c:pt idx="7">
                  <c:v>8.6120767816785282</c:v>
                </c:pt>
                <c:pt idx="8">
                  <c:v>6.8908694715380117</c:v>
                </c:pt>
                <c:pt idx="9">
                  <c:v>19.167094651713072</c:v>
                </c:pt>
                <c:pt idx="10">
                  <c:v>17.70799243608322</c:v>
                </c:pt>
                <c:pt idx="11">
                  <c:v>16.026999932588112</c:v>
                </c:pt>
                <c:pt idx="13">
                  <c:v>19.89689642539383</c:v>
                </c:pt>
                <c:pt idx="14">
                  <c:v>22.89140318179108</c:v>
                </c:pt>
                <c:pt idx="15">
                  <c:v>22.688325825945661</c:v>
                </c:pt>
                <c:pt idx="16">
                  <c:v>16.097731657495341</c:v>
                </c:pt>
                <c:pt idx="17">
                  <c:v>31.17063647610178</c:v>
                </c:pt>
                <c:pt idx="18">
                  <c:v>34.980035582445232</c:v>
                </c:pt>
                <c:pt idx="19">
                  <c:v>17.292218799990451</c:v>
                </c:pt>
                <c:pt idx="20">
                  <c:v>22.501075530703279</c:v>
                </c:pt>
                <c:pt idx="21">
                  <c:v>24.84215096573093</c:v>
                </c:pt>
                <c:pt idx="22">
                  <c:v>37.869828497114511</c:v>
                </c:pt>
                <c:pt idx="23">
                  <c:v>49.576287845957218</c:v>
                </c:pt>
                <c:pt idx="24">
                  <c:v>30.658387624215901</c:v>
                </c:pt>
                <c:pt idx="25">
                  <c:v>31.56164812991058</c:v>
                </c:pt>
                <c:pt idx="26">
                  <c:v>32.456575039522328</c:v>
                </c:pt>
                <c:pt idx="29">
                  <c:v>2.1721360286964901</c:v>
                </c:pt>
                <c:pt idx="30">
                  <c:v>52.970243375708968</c:v>
                </c:pt>
                <c:pt idx="31" formatCode="General">
                  <c:v>5.0471497477038403</c:v>
                </c:pt>
                <c:pt idx="32" formatCode="General">
                  <c:v>47.129844019594223</c:v>
                </c:pt>
                <c:pt idx="34" formatCode="General">
                  <c:v>60.808697072152192</c:v>
                </c:pt>
                <c:pt idx="35" formatCode="General">
                  <c:v>53.202554519918557</c:v>
                </c:pt>
                <c:pt idx="36" formatCode="General">
                  <c:v>42.222669664374273</c:v>
                </c:pt>
                <c:pt idx="37" formatCode="General">
                  <c:v>54.276676252133768</c:v>
                </c:pt>
                <c:pt idx="38" formatCode="General">
                  <c:v>56.530359285875811</c:v>
                </c:pt>
                <c:pt idx="39" formatCode="General">
                  <c:v>54.726923205257783</c:v>
                </c:pt>
                <c:pt idx="40" formatCode="General">
                  <c:v>75.005967766158406</c:v>
                </c:pt>
                <c:pt idx="41" formatCode="General">
                  <c:v>53.631051226712742</c:v>
                </c:pt>
                <c:pt idx="42" formatCode="General">
                  <c:v>67.107357439838182</c:v>
                </c:pt>
                <c:pt idx="43" formatCode="General">
                  <c:v>55.227805222453242</c:v>
                </c:pt>
                <c:pt idx="44" formatCode="General">
                  <c:v>1.4372348750791399E-3</c:v>
                </c:pt>
                <c:pt idx="45" formatCode="General">
                  <c:v>38.297065457643107</c:v>
                </c:pt>
                <c:pt idx="46" formatCode="General">
                  <c:v>73.405132311338377</c:v>
                </c:pt>
                <c:pt idx="47" formatCode="General">
                  <c:v>41.582649997759553</c:v>
                </c:pt>
                <c:pt idx="48" formatCode="General">
                  <c:v>65.762297295915346</c:v>
                </c:pt>
                <c:pt idx="49" formatCode="General">
                  <c:v>24.854539524215351</c:v>
                </c:pt>
                <c:pt idx="50" formatCode="General">
                  <c:v>34.719947354576547</c:v>
                </c:pt>
              </c:numCache>
            </c:numRef>
          </c:val>
        </c:ser>
        <c:ser>
          <c:idx val="5"/>
          <c:order val="5"/>
          <c:tx>
            <c:strRef>
              <c:f>'figure 2'!$G$3</c:f>
              <c:strCache>
                <c:ptCount val="1"/>
                <c:pt idx="0">
                  <c:v>Sweden</c:v>
                </c:pt>
              </c:strCache>
            </c:strRef>
          </c:tx>
          <c:spPr>
            <a:solidFill>
              <a:schemeClr val="bg1">
                <a:lumMod val="85000"/>
              </a:schemeClr>
            </a:solidFill>
            <a:ln w="25400">
              <a:noFill/>
            </a:ln>
          </c:spPr>
          <c:invertIfNegative val="0"/>
          <c:cat>
            <c:numRef>
              <c:f>'figure 2'!$A$4:$A$54</c:f>
              <c:numCache>
                <c:formatCode>General</c:formatCode>
                <c:ptCount val="51"/>
                <c:pt idx="0">
                  <c:v>1700</c:v>
                </c:pt>
                <c:pt idx="1">
                  <c:v>1701</c:v>
                </c:pt>
                <c:pt idx="2">
                  <c:v>1702</c:v>
                </c:pt>
                <c:pt idx="3">
                  <c:v>1703</c:v>
                </c:pt>
                <c:pt idx="4">
                  <c:v>1704</c:v>
                </c:pt>
                <c:pt idx="5">
                  <c:v>1705</c:v>
                </c:pt>
                <c:pt idx="6">
                  <c:v>1706</c:v>
                </c:pt>
                <c:pt idx="7">
                  <c:v>1707</c:v>
                </c:pt>
                <c:pt idx="8">
                  <c:v>1708</c:v>
                </c:pt>
                <c:pt idx="9">
                  <c:v>1709</c:v>
                </c:pt>
                <c:pt idx="10">
                  <c:v>1710</c:v>
                </c:pt>
                <c:pt idx="11">
                  <c:v>1711</c:v>
                </c:pt>
                <c:pt idx="12">
                  <c:v>1712</c:v>
                </c:pt>
                <c:pt idx="13">
                  <c:v>1713</c:v>
                </c:pt>
                <c:pt idx="14">
                  <c:v>1714</c:v>
                </c:pt>
                <c:pt idx="15">
                  <c:v>1715</c:v>
                </c:pt>
                <c:pt idx="16">
                  <c:v>1716</c:v>
                </c:pt>
                <c:pt idx="17">
                  <c:v>1717</c:v>
                </c:pt>
                <c:pt idx="18">
                  <c:v>1718</c:v>
                </c:pt>
                <c:pt idx="19">
                  <c:v>1719</c:v>
                </c:pt>
                <c:pt idx="20">
                  <c:v>1720</c:v>
                </c:pt>
                <c:pt idx="21">
                  <c:v>1721</c:v>
                </c:pt>
                <c:pt idx="22">
                  <c:v>1722</c:v>
                </c:pt>
                <c:pt idx="23">
                  <c:v>1723</c:v>
                </c:pt>
                <c:pt idx="24">
                  <c:v>1724</c:v>
                </c:pt>
                <c:pt idx="25">
                  <c:v>1725</c:v>
                </c:pt>
                <c:pt idx="26">
                  <c:v>1726</c:v>
                </c:pt>
                <c:pt idx="27">
                  <c:v>1727</c:v>
                </c:pt>
                <c:pt idx="28">
                  <c:v>1728</c:v>
                </c:pt>
                <c:pt idx="29">
                  <c:v>1729</c:v>
                </c:pt>
                <c:pt idx="30">
                  <c:v>1730</c:v>
                </c:pt>
                <c:pt idx="31">
                  <c:v>1731</c:v>
                </c:pt>
                <c:pt idx="32">
                  <c:v>1732</c:v>
                </c:pt>
                <c:pt idx="33">
                  <c:v>1733</c:v>
                </c:pt>
                <c:pt idx="34">
                  <c:v>1734</c:v>
                </c:pt>
                <c:pt idx="35">
                  <c:v>1735</c:v>
                </c:pt>
                <c:pt idx="36">
                  <c:v>1736</c:v>
                </c:pt>
                <c:pt idx="37">
                  <c:v>1737</c:v>
                </c:pt>
                <c:pt idx="38">
                  <c:v>1738</c:v>
                </c:pt>
                <c:pt idx="39">
                  <c:v>1739</c:v>
                </c:pt>
                <c:pt idx="40">
                  <c:v>1740</c:v>
                </c:pt>
                <c:pt idx="41">
                  <c:v>1741</c:v>
                </c:pt>
                <c:pt idx="42">
                  <c:v>1742</c:v>
                </c:pt>
                <c:pt idx="43">
                  <c:v>1743</c:v>
                </c:pt>
                <c:pt idx="44">
                  <c:v>1744</c:v>
                </c:pt>
                <c:pt idx="45">
                  <c:v>1745</c:v>
                </c:pt>
                <c:pt idx="46">
                  <c:v>1746</c:v>
                </c:pt>
                <c:pt idx="47">
                  <c:v>1747</c:v>
                </c:pt>
                <c:pt idx="48">
                  <c:v>1748</c:v>
                </c:pt>
                <c:pt idx="49">
                  <c:v>1749</c:v>
                </c:pt>
                <c:pt idx="50">
                  <c:v>1750</c:v>
                </c:pt>
              </c:numCache>
            </c:numRef>
          </c:cat>
          <c:val>
            <c:numRef>
              <c:f>'figure 2'!$G$4:$G$54</c:f>
              <c:numCache>
                <c:formatCode>0.0</c:formatCode>
                <c:ptCount val="51"/>
                <c:pt idx="0">
                  <c:v>1.6608400180825902E-2</c:v>
                </c:pt>
                <c:pt idx="1">
                  <c:v>0</c:v>
                </c:pt>
                <c:pt idx="2">
                  <c:v>0</c:v>
                </c:pt>
                <c:pt idx="3">
                  <c:v>0</c:v>
                </c:pt>
                <c:pt idx="4">
                  <c:v>0</c:v>
                </c:pt>
                <c:pt idx="6">
                  <c:v>0</c:v>
                </c:pt>
                <c:pt idx="7">
                  <c:v>8.6459496679228698E-2</c:v>
                </c:pt>
                <c:pt idx="8">
                  <c:v>3.7811293553567701E-2</c:v>
                </c:pt>
                <c:pt idx="9">
                  <c:v>0.20125250321486399</c:v>
                </c:pt>
                <c:pt idx="10">
                  <c:v>9.4756705986096701E-2</c:v>
                </c:pt>
                <c:pt idx="11">
                  <c:v>0</c:v>
                </c:pt>
                <c:pt idx="13">
                  <c:v>2.7545705211372E-2</c:v>
                </c:pt>
                <c:pt idx="14">
                  <c:v>0</c:v>
                </c:pt>
                <c:pt idx="15">
                  <c:v>0</c:v>
                </c:pt>
                <c:pt idx="16">
                  <c:v>1.4222700271980799</c:v>
                </c:pt>
                <c:pt idx="17">
                  <c:v>1.151075835247013</c:v>
                </c:pt>
                <c:pt idx="18">
                  <c:v>0</c:v>
                </c:pt>
                <c:pt idx="19">
                  <c:v>0.36888475037604801</c:v>
                </c:pt>
                <c:pt idx="20">
                  <c:v>1.243622926421722</c:v>
                </c:pt>
                <c:pt idx="21">
                  <c:v>0</c:v>
                </c:pt>
                <c:pt idx="22">
                  <c:v>1.2703258916072859</c:v>
                </c:pt>
                <c:pt idx="23">
                  <c:v>0</c:v>
                </c:pt>
                <c:pt idx="24">
                  <c:v>0</c:v>
                </c:pt>
                <c:pt idx="25">
                  <c:v>0</c:v>
                </c:pt>
                <c:pt idx="26">
                  <c:v>7.0886645308803398E-2</c:v>
                </c:pt>
                <c:pt idx="29">
                  <c:v>0</c:v>
                </c:pt>
                <c:pt idx="30">
                  <c:v>0</c:v>
                </c:pt>
                <c:pt idx="31">
                  <c:v>0</c:v>
                </c:pt>
                <c:pt idx="32">
                  <c:v>2.1536550780397799E-3</c:v>
                </c:pt>
                <c:pt idx="34">
                  <c:v>1.5682833511627501E-3</c:v>
                </c:pt>
                <c:pt idx="35">
                  <c:v>0</c:v>
                </c:pt>
                <c:pt idx="36">
                  <c:v>0</c:v>
                </c:pt>
                <c:pt idx="37">
                  <c:v>0</c:v>
                </c:pt>
                <c:pt idx="38">
                  <c:v>0</c:v>
                </c:pt>
                <c:pt idx="39">
                  <c:v>0</c:v>
                </c:pt>
                <c:pt idx="40">
                  <c:v>0</c:v>
                </c:pt>
                <c:pt idx="41">
                  <c:v>4.42679578714733E-2</c:v>
                </c:pt>
                <c:pt idx="42">
                  <c:v>5.7803053348298501E-2</c:v>
                </c:pt>
                <c:pt idx="43">
                  <c:v>0</c:v>
                </c:pt>
                <c:pt idx="44">
                  <c:v>7.5598554429162704E-2</c:v>
                </c:pt>
                <c:pt idx="45">
                  <c:v>0</c:v>
                </c:pt>
                <c:pt idx="46">
                  <c:v>0</c:v>
                </c:pt>
                <c:pt idx="47">
                  <c:v>8.7007553560762407E-3</c:v>
                </c:pt>
                <c:pt idx="48">
                  <c:v>0.10980525208386301</c:v>
                </c:pt>
                <c:pt idx="49">
                  <c:v>0</c:v>
                </c:pt>
                <c:pt idx="50">
                  <c:v>0.37513496595089402</c:v>
                </c:pt>
              </c:numCache>
            </c:numRef>
          </c:val>
        </c:ser>
        <c:ser>
          <c:idx val="6"/>
          <c:order val="6"/>
          <c:tx>
            <c:strRef>
              <c:f>'figure 2'!$H$3</c:f>
              <c:strCache>
                <c:ptCount val="1"/>
                <c:pt idx="0">
                  <c:v>New England</c:v>
                </c:pt>
              </c:strCache>
            </c:strRef>
          </c:tx>
          <c:spPr>
            <a:ln w="25400">
              <a:noFill/>
            </a:ln>
          </c:spPr>
          <c:invertIfNegative val="0"/>
          <c:cat>
            <c:numRef>
              <c:f>'figure 2'!$A$4:$A$54</c:f>
              <c:numCache>
                <c:formatCode>General</c:formatCode>
                <c:ptCount val="51"/>
                <c:pt idx="0">
                  <c:v>1700</c:v>
                </c:pt>
                <c:pt idx="1">
                  <c:v>1701</c:v>
                </c:pt>
                <c:pt idx="2">
                  <c:v>1702</c:v>
                </c:pt>
                <c:pt idx="3">
                  <c:v>1703</c:v>
                </c:pt>
                <c:pt idx="4">
                  <c:v>1704</c:v>
                </c:pt>
                <c:pt idx="5">
                  <c:v>1705</c:v>
                </c:pt>
                <c:pt idx="6">
                  <c:v>1706</c:v>
                </c:pt>
                <c:pt idx="7">
                  <c:v>1707</c:v>
                </c:pt>
                <c:pt idx="8">
                  <c:v>1708</c:v>
                </c:pt>
                <c:pt idx="9">
                  <c:v>1709</c:v>
                </c:pt>
                <c:pt idx="10">
                  <c:v>1710</c:v>
                </c:pt>
                <c:pt idx="11">
                  <c:v>1711</c:v>
                </c:pt>
                <c:pt idx="12">
                  <c:v>1712</c:v>
                </c:pt>
                <c:pt idx="13">
                  <c:v>1713</c:v>
                </c:pt>
                <c:pt idx="14">
                  <c:v>1714</c:v>
                </c:pt>
                <c:pt idx="15">
                  <c:v>1715</c:v>
                </c:pt>
                <c:pt idx="16">
                  <c:v>1716</c:v>
                </c:pt>
                <c:pt idx="17">
                  <c:v>1717</c:v>
                </c:pt>
                <c:pt idx="18">
                  <c:v>1718</c:v>
                </c:pt>
                <c:pt idx="19">
                  <c:v>1719</c:v>
                </c:pt>
                <c:pt idx="20">
                  <c:v>1720</c:v>
                </c:pt>
                <c:pt idx="21">
                  <c:v>1721</c:v>
                </c:pt>
                <c:pt idx="22">
                  <c:v>1722</c:v>
                </c:pt>
                <c:pt idx="23">
                  <c:v>1723</c:v>
                </c:pt>
                <c:pt idx="24">
                  <c:v>1724</c:v>
                </c:pt>
                <c:pt idx="25">
                  <c:v>1725</c:v>
                </c:pt>
                <c:pt idx="26">
                  <c:v>1726</c:v>
                </c:pt>
                <c:pt idx="27">
                  <c:v>1727</c:v>
                </c:pt>
                <c:pt idx="28">
                  <c:v>1728</c:v>
                </c:pt>
                <c:pt idx="29">
                  <c:v>1729</c:v>
                </c:pt>
                <c:pt idx="30">
                  <c:v>1730</c:v>
                </c:pt>
                <c:pt idx="31">
                  <c:v>1731</c:v>
                </c:pt>
                <c:pt idx="32">
                  <c:v>1732</c:v>
                </c:pt>
                <c:pt idx="33">
                  <c:v>1733</c:v>
                </c:pt>
                <c:pt idx="34">
                  <c:v>1734</c:v>
                </c:pt>
                <c:pt idx="35">
                  <c:v>1735</c:v>
                </c:pt>
                <c:pt idx="36">
                  <c:v>1736</c:v>
                </c:pt>
                <c:pt idx="37">
                  <c:v>1737</c:v>
                </c:pt>
                <c:pt idx="38">
                  <c:v>1738</c:v>
                </c:pt>
                <c:pt idx="39">
                  <c:v>1739</c:v>
                </c:pt>
                <c:pt idx="40">
                  <c:v>1740</c:v>
                </c:pt>
                <c:pt idx="41">
                  <c:v>1741</c:v>
                </c:pt>
                <c:pt idx="42">
                  <c:v>1742</c:v>
                </c:pt>
                <c:pt idx="43">
                  <c:v>1743</c:v>
                </c:pt>
                <c:pt idx="44">
                  <c:v>1744</c:v>
                </c:pt>
                <c:pt idx="45">
                  <c:v>1745</c:v>
                </c:pt>
                <c:pt idx="46">
                  <c:v>1746</c:v>
                </c:pt>
                <c:pt idx="47">
                  <c:v>1747</c:v>
                </c:pt>
                <c:pt idx="48">
                  <c:v>1748</c:v>
                </c:pt>
                <c:pt idx="49">
                  <c:v>1749</c:v>
                </c:pt>
                <c:pt idx="50">
                  <c:v>1750</c:v>
                </c:pt>
              </c:numCache>
            </c:numRef>
          </c:cat>
          <c:val>
            <c:numRef>
              <c:f>'figure 2'!$H$4:$H$54</c:f>
              <c:numCache>
                <c:formatCode>0.0</c:formatCode>
                <c:ptCount val="51"/>
                <c:pt idx="0">
                  <c:v>0</c:v>
                </c:pt>
                <c:pt idx="1">
                  <c:v>0</c:v>
                </c:pt>
                <c:pt idx="2">
                  <c:v>0</c:v>
                </c:pt>
                <c:pt idx="3">
                  <c:v>0</c:v>
                </c:pt>
                <c:pt idx="4">
                  <c:v>0</c:v>
                </c:pt>
                <c:pt idx="6">
                  <c:v>0</c:v>
                </c:pt>
                <c:pt idx="7">
                  <c:v>0</c:v>
                </c:pt>
                <c:pt idx="8">
                  <c:v>0</c:v>
                </c:pt>
                <c:pt idx="9">
                  <c:v>0</c:v>
                </c:pt>
                <c:pt idx="10">
                  <c:v>0</c:v>
                </c:pt>
                <c:pt idx="11">
                  <c:v>1.23326440987607E-2</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9">
                  <c:v>0</c:v>
                </c:pt>
                <c:pt idx="30">
                  <c:v>0</c:v>
                </c:pt>
                <c:pt idx="31">
                  <c:v>0</c:v>
                </c:pt>
                <c:pt idx="32">
                  <c:v>0</c:v>
                </c:pt>
                <c:pt idx="34">
                  <c:v>0</c:v>
                </c:pt>
                <c:pt idx="35">
                  <c:v>0</c:v>
                </c:pt>
                <c:pt idx="36">
                  <c:v>0</c:v>
                </c:pt>
                <c:pt idx="37">
                  <c:v>0</c:v>
                </c:pt>
                <c:pt idx="38">
                  <c:v>0</c:v>
                </c:pt>
                <c:pt idx="39">
                  <c:v>0</c:v>
                </c:pt>
                <c:pt idx="40">
                  <c:v>0</c:v>
                </c:pt>
                <c:pt idx="41">
                  <c:v>0</c:v>
                </c:pt>
                <c:pt idx="42">
                  <c:v>3.9473909402133099E-2</c:v>
                </c:pt>
                <c:pt idx="43">
                  <c:v>0</c:v>
                </c:pt>
                <c:pt idx="44">
                  <c:v>0.106139795524594</c:v>
                </c:pt>
                <c:pt idx="45">
                  <c:v>8.1450601823157595E-2</c:v>
                </c:pt>
                <c:pt idx="46">
                  <c:v>0</c:v>
                </c:pt>
                <c:pt idx="47">
                  <c:v>0</c:v>
                </c:pt>
                <c:pt idx="48">
                  <c:v>0</c:v>
                </c:pt>
                <c:pt idx="49">
                  <c:v>0</c:v>
                </c:pt>
                <c:pt idx="50">
                  <c:v>0</c:v>
                </c:pt>
              </c:numCache>
            </c:numRef>
          </c:val>
        </c:ser>
        <c:ser>
          <c:idx val="7"/>
          <c:order val="7"/>
          <c:tx>
            <c:strRef>
              <c:f>'figure 2'!$I$3</c:f>
              <c:strCache>
                <c:ptCount val="1"/>
                <c:pt idx="0">
                  <c:v>New York</c:v>
                </c:pt>
              </c:strCache>
            </c:strRef>
          </c:tx>
          <c:spPr>
            <a:ln w="25400">
              <a:noFill/>
            </a:ln>
          </c:spPr>
          <c:invertIfNegative val="0"/>
          <c:cat>
            <c:numRef>
              <c:f>'figure 2'!$A$4:$A$54</c:f>
              <c:numCache>
                <c:formatCode>General</c:formatCode>
                <c:ptCount val="51"/>
                <c:pt idx="0">
                  <c:v>1700</c:v>
                </c:pt>
                <c:pt idx="1">
                  <c:v>1701</c:v>
                </c:pt>
                <c:pt idx="2">
                  <c:v>1702</c:v>
                </c:pt>
                <c:pt idx="3">
                  <c:v>1703</c:v>
                </c:pt>
                <c:pt idx="4">
                  <c:v>1704</c:v>
                </c:pt>
                <c:pt idx="5">
                  <c:v>1705</c:v>
                </c:pt>
                <c:pt idx="6">
                  <c:v>1706</c:v>
                </c:pt>
                <c:pt idx="7">
                  <c:v>1707</c:v>
                </c:pt>
                <c:pt idx="8">
                  <c:v>1708</c:v>
                </c:pt>
                <c:pt idx="9">
                  <c:v>1709</c:v>
                </c:pt>
                <c:pt idx="10">
                  <c:v>1710</c:v>
                </c:pt>
                <c:pt idx="11">
                  <c:v>1711</c:v>
                </c:pt>
                <c:pt idx="12">
                  <c:v>1712</c:v>
                </c:pt>
                <c:pt idx="13">
                  <c:v>1713</c:v>
                </c:pt>
                <c:pt idx="14">
                  <c:v>1714</c:v>
                </c:pt>
                <c:pt idx="15">
                  <c:v>1715</c:v>
                </c:pt>
                <c:pt idx="16">
                  <c:v>1716</c:v>
                </c:pt>
                <c:pt idx="17">
                  <c:v>1717</c:v>
                </c:pt>
                <c:pt idx="18">
                  <c:v>1718</c:v>
                </c:pt>
                <c:pt idx="19">
                  <c:v>1719</c:v>
                </c:pt>
                <c:pt idx="20">
                  <c:v>1720</c:v>
                </c:pt>
                <c:pt idx="21">
                  <c:v>1721</c:v>
                </c:pt>
                <c:pt idx="22">
                  <c:v>1722</c:v>
                </c:pt>
                <c:pt idx="23">
                  <c:v>1723</c:v>
                </c:pt>
                <c:pt idx="24">
                  <c:v>1724</c:v>
                </c:pt>
                <c:pt idx="25">
                  <c:v>1725</c:v>
                </c:pt>
                <c:pt idx="26">
                  <c:v>1726</c:v>
                </c:pt>
                <c:pt idx="27">
                  <c:v>1727</c:v>
                </c:pt>
                <c:pt idx="28">
                  <c:v>1728</c:v>
                </c:pt>
                <c:pt idx="29">
                  <c:v>1729</c:v>
                </c:pt>
                <c:pt idx="30">
                  <c:v>1730</c:v>
                </c:pt>
                <c:pt idx="31">
                  <c:v>1731</c:v>
                </c:pt>
                <c:pt idx="32">
                  <c:v>1732</c:v>
                </c:pt>
                <c:pt idx="33">
                  <c:v>1733</c:v>
                </c:pt>
                <c:pt idx="34">
                  <c:v>1734</c:v>
                </c:pt>
                <c:pt idx="35">
                  <c:v>1735</c:v>
                </c:pt>
                <c:pt idx="36">
                  <c:v>1736</c:v>
                </c:pt>
                <c:pt idx="37">
                  <c:v>1737</c:v>
                </c:pt>
                <c:pt idx="38">
                  <c:v>1738</c:v>
                </c:pt>
                <c:pt idx="39">
                  <c:v>1739</c:v>
                </c:pt>
                <c:pt idx="40">
                  <c:v>1740</c:v>
                </c:pt>
                <c:pt idx="41">
                  <c:v>1741</c:v>
                </c:pt>
                <c:pt idx="42">
                  <c:v>1742</c:v>
                </c:pt>
                <c:pt idx="43">
                  <c:v>1743</c:v>
                </c:pt>
                <c:pt idx="44">
                  <c:v>1744</c:v>
                </c:pt>
                <c:pt idx="45">
                  <c:v>1745</c:v>
                </c:pt>
                <c:pt idx="46">
                  <c:v>1746</c:v>
                </c:pt>
                <c:pt idx="47">
                  <c:v>1747</c:v>
                </c:pt>
                <c:pt idx="48">
                  <c:v>1748</c:v>
                </c:pt>
                <c:pt idx="49">
                  <c:v>1749</c:v>
                </c:pt>
                <c:pt idx="50">
                  <c:v>1750</c:v>
                </c:pt>
              </c:numCache>
            </c:numRef>
          </c:cat>
          <c:val>
            <c:numRef>
              <c:f>'figure 2'!$I$4:$I$54</c:f>
              <c:numCache>
                <c:formatCode>0.0</c:formatCode>
                <c:ptCount val="51"/>
                <c:pt idx="0">
                  <c:v>0</c:v>
                </c:pt>
                <c:pt idx="1">
                  <c:v>0</c:v>
                </c:pt>
                <c:pt idx="2">
                  <c:v>0</c:v>
                </c:pt>
                <c:pt idx="3">
                  <c:v>0</c:v>
                </c:pt>
                <c:pt idx="4">
                  <c:v>0</c:v>
                </c:pt>
                <c:pt idx="6">
                  <c:v>0</c:v>
                </c:pt>
                <c:pt idx="7">
                  <c:v>0</c:v>
                </c:pt>
                <c:pt idx="8">
                  <c:v>0</c:v>
                </c:pt>
                <c:pt idx="9">
                  <c:v>0</c:v>
                </c:pt>
                <c:pt idx="10">
                  <c:v>0</c:v>
                </c:pt>
                <c:pt idx="11">
                  <c:v>9.5745447795490008E-3</c:v>
                </c:pt>
                <c:pt idx="13">
                  <c:v>0</c:v>
                </c:pt>
                <c:pt idx="14">
                  <c:v>3.7547166656096698E-2</c:v>
                </c:pt>
                <c:pt idx="15">
                  <c:v>0</c:v>
                </c:pt>
                <c:pt idx="16">
                  <c:v>0</c:v>
                </c:pt>
                <c:pt idx="17">
                  <c:v>0</c:v>
                </c:pt>
                <c:pt idx="18">
                  <c:v>0</c:v>
                </c:pt>
                <c:pt idx="19">
                  <c:v>0</c:v>
                </c:pt>
                <c:pt idx="20">
                  <c:v>0</c:v>
                </c:pt>
                <c:pt idx="21">
                  <c:v>0</c:v>
                </c:pt>
                <c:pt idx="22">
                  <c:v>0</c:v>
                </c:pt>
                <c:pt idx="23">
                  <c:v>0</c:v>
                </c:pt>
                <c:pt idx="24">
                  <c:v>0</c:v>
                </c:pt>
                <c:pt idx="25">
                  <c:v>0</c:v>
                </c:pt>
                <c:pt idx="26">
                  <c:v>0</c:v>
                </c:pt>
                <c:pt idx="29">
                  <c:v>0</c:v>
                </c:pt>
                <c:pt idx="30">
                  <c:v>0</c:v>
                </c:pt>
                <c:pt idx="31">
                  <c:v>0</c:v>
                </c:pt>
                <c:pt idx="32">
                  <c:v>0</c:v>
                </c:pt>
                <c:pt idx="34">
                  <c:v>0</c:v>
                </c:pt>
                <c:pt idx="35">
                  <c:v>0</c:v>
                </c:pt>
                <c:pt idx="36">
                  <c:v>0</c:v>
                </c:pt>
                <c:pt idx="37">
                  <c:v>0</c:v>
                </c:pt>
                <c:pt idx="38">
                  <c:v>0</c:v>
                </c:pt>
                <c:pt idx="39">
                  <c:v>0</c:v>
                </c:pt>
                <c:pt idx="40">
                  <c:v>0.12330748618718999</c:v>
                </c:pt>
                <c:pt idx="41">
                  <c:v>0</c:v>
                </c:pt>
                <c:pt idx="42">
                  <c:v>8.6124893241017794E-3</c:v>
                </c:pt>
                <c:pt idx="43">
                  <c:v>0</c:v>
                </c:pt>
                <c:pt idx="44">
                  <c:v>0</c:v>
                </c:pt>
                <c:pt idx="45">
                  <c:v>0.112638427816597</c:v>
                </c:pt>
                <c:pt idx="46">
                  <c:v>0</c:v>
                </c:pt>
                <c:pt idx="47">
                  <c:v>0</c:v>
                </c:pt>
                <c:pt idx="48">
                  <c:v>0</c:v>
                </c:pt>
                <c:pt idx="49">
                  <c:v>0</c:v>
                </c:pt>
                <c:pt idx="50">
                  <c:v>0</c:v>
                </c:pt>
              </c:numCache>
            </c:numRef>
          </c:val>
        </c:ser>
        <c:dLbls>
          <c:showLegendKey val="0"/>
          <c:showVal val="0"/>
          <c:showCatName val="0"/>
          <c:showSerName val="0"/>
          <c:showPercent val="0"/>
          <c:showBubbleSize val="0"/>
        </c:dLbls>
        <c:gapWidth val="0"/>
        <c:overlap val="100"/>
        <c:axId val="153554944"/>
        <c:axId val="153556480"/>
      </c:barChart>
      <c:catAx>
        <c:axId val="153554944"/>
        <c:scaling>
          <c:orientation val="minMax"/>
        </c:scaling>
        <c:delete val="0"/>
        <c:axPos val="b"/>
        <c:numFmt formatCode="General" sourceLinked="1"/>
        <c:majorTickMark val="out"/>
        <c:minorTickMark val="none"/>
        <c:tickLblPos val="nextTo"/>
        <c:txPr>
          <a:bodyPr rot="-5400000" vert="horz"/>
          <a:lstStyle/>
          <a:p>
            <a:pPr>
              <a:defRPr lang="en-GB"/>
            </a:pPr>
            <a:endParaRPr lang="en-US"/>
          </a:p>
        </c:txPr>
        <c:crossAx val="153556480"/>
        <c:crosses val="autoZero"/>
        <c:auto val="0"/>
        <c:lblAlgn val="ctr"/>
        <c:lblOffset val="100"/>
        <c:tickLblSkip val="5"/>
        <c:noMultiLvlLbl val="0"/>
      </c:catAx>
      <c:valAx>
        <c:axId val="153556480"/>
        <c:scaling>
          <c:orientation val="minMax"/>
          <c:max val="100"/>
        </c:scaling>
        <c:delete val="0"/>
        <c:axPos val="l"/>
        <c:majorGridlines>
          <c:spPr>
            <a:ln>
              <a:noFill/>
            </a:ln>
          </c:spPr>
        </c:majorGridlines>
        <c:numFmt formatCode="General" sourceLinked="1"/>
        <c:majorTickMark val="out"/>
        <c:minorTickMark val="none"/>
        <c:tickLblPos val="nextTo"/>
        <c:txPr>
          <a:bodyPr/>
          <a:lstStyle/>
          <a:p>
            <a:pPr>
              <a:defRPr lang="en-GB"/>
            </a:pPr>
            <a:endParaRPr lang="en-US"/>
          </a:p>
        </c:txPr>
        <c:crossAx val="153554944"/>
        <c:crosses val="autoZero"/>
        <c:crossBetween val="between"/>
      </c:valAx>
    </c:plotArea>
    <c:legend>
      <c:legendPos val="r"/>
      <c:overlay val="0"/>
      <c:txPr>
        <a:bodyPr/>
        <a:lstStyle/>
        <a:p>
          <a:pPr>
            <a:defRPr lang="en-GB"/>
          </a:pPr>
          <a:endParaRPr lang="en-US"/>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15507436570401"/>
          <c:y val="5.1400554097404502E-2"/>
          <c:w val="0.66814501312336105"/>
          <c:h val="0.83261956838728501"/>
        </c:manualLayout>
      </c:layout>
      <c:scatterChart>
        <c:scatterStyle val="smoothMarker"/>
        <c:varyColors val="0"/>
        <c:ser>
          <c:idx val="0"/>
          <c:order val="0"/>
          <c:tx>
            <c:v>Bears Foot Ashes, fl. Per Last</c:v>
          </c:tx>
          <c:spPr>
            <a:ln>
              <a:noFill/>
              <a:prstDash val="sysDot"/>
            </a:ln>
          </c:spPr>
          <c:marker>
            <c:symbol val="diamond"/>
            <c:size val="4"/>
            <c:spPr>
              <a:solidFill>
                <a:schemeClr val="bg1">
                  <a:lumMod val="50000"/>
                </a:schemeClr>
              </a:solidFill>
              <a:ln>
                <a:noFill/>
              </a:ln>
            </c:spPr>
          </c:marker>
          <c:xVal>
            <c:numRef>
              <c:f>Prices!$A$26:$A$216</c:f>
              <c:numCache>
                <c:formatCode>General</c:formatCode>
                <c:ptCount val="191"/>
                <c:pt idx="0">
                  <c:v>1570</c:v>
                </c:pt>
                <c:pt idx="1">
                  <c:v>1571</c:v>
                </c:pt>
                <c:pt idx="2">
                  <c:v>1572</c:v>
                </c:pt>
                <c:pt idx="3">
                  <c:v>1573</c:v>
                </c:pt>
                <c:pt idx="4">
                  <c:v>1574</c:v>
                </c:pt>
                <c:pt idx="5">
                  <c:v>1575</c:v>
                </c:pt>
                <c:pt idx="6">
                  <c:v>1576</c:v>
                </c:pt>
                <c:pt idx="7">
                  <c:v>1577</c:v>
                </c:pt>
                <c:pt idx="8">
                  <c:v>1578</c:v>
                </c:pt>
                <c:pt idx="9">
                  <c:v>1579</c:v>
                </c:pt>
                <c:pt idx="10">
                  <c:v>1580</c:v>
                </c:pt>
                <c:pt idx="11">
                  <c:v>1581</c:v>
                </c:pt>
                <c:pt idx="12">
                  <c:v>1582</c:v>
                </c:pt>
                <c:pt idx="13">
                  <c:v>1583</c:v>
                </c:pt>
                <c:pt idx="14">
                  <c:v>1584</c:v>
                </c:pt>
                <c:pt idx="15">
                  <c:v>1585</c:v>
                </c:pt>
                <c:pt idx="16">
                  <c:v>1586</c:v>
                </c:pt>
                <c:pt idx="17">
                  <c:v>1587</c:v>
                </c:pt>
                <c:pt idx="18">
                  <c:v>1588</c:v>
                </c:pt>
                <c:pt idx="19">
                  <c:v>1589</c:v>
                </c:pt>
                <c:pt idx="20">
                  <c:v>1590</c:v>
                </c:pt>
                <c:pt idx="21">
                  <c:v>1591</c:v>
                </c:pt>
                <c:pt idx="22">
                  <c:v>1592</c:v>
                </c:pt>
                <c:pt idx="23">
                  <c:v>1593</c:v>
                </c:pt>
                <c:pt idx="24">
                  <c:v>1594</c:v>
                </c:pt>
                <c:pt idx="25">
                  <c:v>1595</c:v>
                </c:pt>
                <c:pt idx="26">
                  <c:v>1596</c:v>
                </c:pt>
                <c:pt idx="27">
                  <c:v>1597</c:v>
                </c:pt>
                <c:pt idx="28">
                  <c:v>1598</c:v>
                </c:pt>
                <c:pt idx="29">
                  <c:v>1599</c:v>
                </c:pt>
                <c:pt idx="30">
                  <c:v>1600</c:v>
                </c:pt>
                <c:pt idx="31">
                  <c:v>1601</c:v>
                </c:pt>
                <c:pt idx="32">
                  <c:v>1602</c:v>
                </c:pt>
                <c:pt idx="33">
                  <c:v>1603</c:v>
                </c:pt>
                <c:pt idx="34">
                  <c:v>1604</c:v>
                </c:pt>
                <c:pt idx="35">
                  <c:v>1605</c:v>
                </c:pt>
                <c:pt idx="36">
                  <c:v>1606</c:v>
                </c:pt>
                <c:pt idx="37">
                  <c:v>1607</c:v>
                </c:pt>
                <c:pt idx="38">
                  <c:v>1608</c:v>
                </c:pt>
                <c:pt idx="39">
                  <c:v>1609</c:v>
                </c:pt>
                <c:pt idx="40">
                  <c:v>1610</c:v>
                </c:pt>
                <c:pt idx="41">
                  <c:v>1611</c:v>
                </c:pt>
                <c:pt idx="42">
                  <c:v>1612</c:v>
                </c:pt>
                <c:pt idx="43">
                  <c:v>1613</c:v>
                </c:pt>
                <c:pt idx="44">
                  <c:v>1614</c:v>
                </c:pt>
                <c:pt idx="45">
                  <c:v>1615</c:v>
                </c:pt>
                <c:pt idx="46">
                  <c:v>1616</c:v>
                </c:pt>
                <c:pt idx="47">
                  <c:v>1617</c:v>
                </c:pt>
                <c:pt idx="48">
                  <c:v>1618</c:v>
                </c:pt>
                <c:pt idx="49">
                  <c:v>1619</c:v>
                </c:pt>
                <c:pt idx="50">
                  <c:v>1620</c:v>
                </c:pt>
                <c:pt idx="51">
                  <c:v>1621</c:v>
                </c:pt>
                <c:pt idx="52">
                  <c:v>1622</c:v>
                </c:pt>
                <c:pt idx="53">
                  <c:v>1623</c:v>
                </c:pt>
                <c:pt idx="54">
                  <c:v>1624</c:v>
                </c:pt>
                <c:pt idx="55">
                  <c:v>1625</c:v>
                </c:pt>
                <c:pt idx="56">
                  <c:v>1626</c:v>
                </c:pt>
                <c:pt idx="57">
                  <c:v>1627</c:v>
                </c:pt>
                <c:pt idx="58">
                  <c:v>1628</c:v>
                </c:pt>
                <c:pt idx="59">
                  <c:v>1629</c:v>
                </c:pt>
                <c:pt idx="60">
                  <c:v>1630</c:v>
                </c:pt>
                <c:pt idx="61">
                  <c:v>1631</c:v>
                </c:pt>
                <c:pt idx="62">
                  <c:v>1632</c:v>
                </c:pt>
                <c:pt idx="63">
                  <c:v>1633</c:v>
                </c:pt>
                <c:pt idx="64">
                  <c:v>1634</c:v>
                </c:pt>
                <c:pt idx="65">
                  <c:v>1635</c:v>
                </c:pt>
                <c:pt idx="66">
                  <c:v>1636</c:v>
                </c:pt>
                <c:pt idx="67">
                  <c:v>1637</c:v>
                </c:pt>
                <c:pt idx="68">
                  <c:v>1638</c:v>
                </c:pt>
                <c:pt idx="69">
                  <c:v>1639</c:v>
                </c:pt>
                <c:pt idx="70">
                  <c:v>1640</c:v>
                </c:pt>
                <c:pt idx="71">
                  <c:v>1641</c:v>
                </c:pt>
                <c:pt idx="72">
                  <c:v>1642</c:v>
                </c:pt>
                <c:pt idx="73">
                  <c:v>1643</c:v>
                </c:pt>
                <c:pt idx="74">
                  <c:v>1644</c:v>
                </c:pt>
                <c:pt idx="75">
                  <c:v>1645</c:v>
                </c:pt>
                <c:pt idx="76">
                  <c:v>1646</c:v>
                </c:pt>
                <c:pt idx="77">
                  <c:v>1647</c:v>
                </c:pt>
                <c:pt idx="78">
                  <c:v>1648</c:v>
                </c:pt>
                <c:pt idx="79">
                  <c:v>1649</c:v>
                </c:pt>
                <c:pt idx="80">
                  <c:v>1650</c:v>
                </c:pt>
                <c:pt idx="81">
                  <c:v>1651</c:v>
                </c:pt>
                <c:pt idx="82">
                  <c:v>1652</c:v>
                </c:pt>
                <c:pt idx="83">
                  <c:v>1653</c:v>
                </c:pt>
                <c:pt idx="84">
                  <c:v>1654</c:v>
                </c:pt>
                <c:pt idx="85">
                  <c:v>1655</c:v>
                </c:pt>
                <c:pt idx="86">
                  <c:v>1656</c:v>
                </c:pt>
                <c:pt idx="87">
                  <c:v>1657</c:v>
                </c:pt>
                <c:pt idx="88">
                  <c:v>1658</c:v>
                </c:pt>
                <c:pt idx="89">
                  <c:v>1659</c:v>
                </c:pt>
                <c:pt idx="90">
                  <c:v>1660</c:v>
                </c:pt>
                <c:pt idx="91">
                  <c:v>1661</c:v>
                </c:pt>
                <c:pt idx="92">
                  <c:v>1662</c:v>
                </c:pt>
                <c:pt idx="93">
                  <c:v>1663</c:v>
                </c:pt>
                <c:pt idx="94">
                  <c:v>1664</c:v>
                </c:pt>
                <c:pt idx="95">
                  <c:v>1665</c:v>
                </c:pt>
                <c:pt idx="96">
                  <c:v>1666</c:v>
                </c:pt>
                <c:pt idx="97">
                  <c:v>1667</c:v>
                </c:pt>
                <c:pt idx="98">
                  <c:v>1668</c:v>
                </c:pt>
                <c:pt idx="99">
                  <c:v>1669</c:v>
                </c:pt>
                <c:pt idx="100">
                  <c:v>1670</c:v>
                </c:pt>
                <c:pt idx="101">
                  <c:v>1671</c:v>
                </c:pt>
                <c:pt idx="102">
                  <c:v>1672</c:v>
                </c:pt>
                <c:pt idx="103">
                  <c:v>1673</c:v>
                </c:pt>
                <c:pt idx="104">
                  <c:v>1674</c:v>
                </c:pt>
                <c:pt idx="105">
                  <c:v>1675</c:v>
                </c:pt>
                <c:pt idx="106">
                  <c:v>1676</c:v>
                </c:pt>
                <c:pt idx="107">
                  <c:v>1677</c:v>
                </c:pt>
                <c:pt idx="108">
                  <c:v>1678</c:v>
                </c:pt>
                <c:pt idx="109">
                  <c:v>1679</c:v>
                </c:pt>
                <c:pt idx="110">
                  <c:v>1680</c:v>
                </c:pt>
                <c:pt idx="111">
                  <c:v>1681</c:v>
                </c:pt>
                <c:pt idx="112">
                  <c:v>1682</c:v>
                </c:pt>
                <c:pt idx="113">
                  <c:v>1683</c:v>
                </c:pt>
                <c:pt idx="114">
                  <c:v>1684</c:v>
                </c:pt>
                <c:pt idx="115">
                  <c:v>1685</c:v>
                </c:pt>
                <c:pt idx="116">
                  <c:v>1686</c:v>
                </c:pt>
                <c:pt idx="117">
                  <c:v>1687</c:v>
                </c:pt>
                <c:pt idx="118">
                  <c:v>1688</c:v>
                </c:pt>
                <c:pt idx="119">
                  <c:v>1689</c:v>
                </c:pt>
                <c:pt idx="120">
                  <c:v>1690</c:v>
                </c:pt>
                <c:pt idx="121">
                  <c:v>1691</c:v>
                </c:pt>
                <c:pt idx="122">
                  <c:v>1692</c:v>
                </c:pt>
                <c:pt idx="123">
                  <c:v>1693</c:v>
                </c:pt>
                <c:pt idx="124">
                  <c:v>1694</c:v>
                </c:pt>
                <c:pt idx="125">
                  <c:v>1695</c:v>
                </c:pt>
                <c:pt idx="126">
                  <c:v>1696</c:v>
                </c:pt>
                <c:pt idx="127">
                  <c:v>1697</c:v>
                </c:pt>
                <c:pt idx="128">
                  <c:v>1698</c:v>
                </c:pt>
                <c:pt idx="129">
                  <c:v>1699</c:v>
                </c:pt>
                <c:pt idx="130">
                  <c:v>1700</c:v>
                </c:pt>
                <c:pt idx="131">
                  <c:v>1701</c:v>
                </c:pt>
                <c:pt idx="132">
                  <c:v>1702</c:v>
                </c:pt>
                <c:pt idx="133">
                  <c:v>1703</c:v>
                </c:pt>
                <c:pt idx="134">
                  <c:v>1704</c:v>
                </c:pt>
                <c:pt idx="135">
                  <c:v>1705</c:v>
                </c:pt>
                <c:pt idx="136">
                  <c:v>1706</c:v>
                </c:pt>
                <c:pt idx="137">
                  <c:v>1707</c:v>
                </c:pt>
                <c:pt idx="138">
                  <c:v>1708</c:v>
                </c:pt>
                <c:pt idx="139">
                  <c:v>1709</c:v>
                </c:pt>
                <c:pt idx="140">
                  <c:v>1710</c:v>
                </c:pt>
                <c:pt idx="141">
                  <c:v>1711</c:v>
                </c:pt>
                <c:pt idx="142">
                  <c:v>1712</c:v>
                </c:pt>
                <c:pt idx="143">
                  <c:v>1713</c:v>
                </c:pt>
                <c:pt idx="144">
                  <c:v>1714</c:v>
                </c:pt>
                <c:pt idx="145">
                  <c:v>1715</c:v>
                </c:pt>
                <c:pt idx="146">
                  <c:v>1716</c:v>
                </c:pt>
                <c:pt idx="147">
                  <c:v>1717</c:v>
                </c:pt>
                <c:pt idx="148">
                  <c:v>1718</c:v>
                </c:pt>
                <c:pt idx="149">
                  <c:v>1719</c:v>
                </c:pt>
                <c:pt idx="150">
                  <c:v>1720</c:v>
                </c:pt>
                <c:pt idx="151">
                  <c:v>1721</c:v>
                </c:pt>
                <c:pt idx="152">
                  <c:v>1722</c:v>
                </c:pt>
                <c:pt idx="153">
                  <c:v>1723</c:v>
                </c:pt>
                <c:pt idx="154">
                  <c:v>1724</c:v>
                </c:pt>
                <c:pt idx="155">
                  <c:v>1725</c:v>
                </c:pt>
                <c:pt idx="156">
                  <c:v>1726</c:v>
                </c:pt>
                <c:pt idx="157">
                  <c:v>1727</c:v>
                </c:pt>
                <c:pt idx="158">
                  <c:v>1728</c:v>
                </c:pt>
                <c:pt idx="159">
                  <c:v>1729</c:v>
                </c:pt>
                <c:pt idx="160">
                  <c:v>1730</c:v>
                </c:pt>
                <c:pt idx="161">
                  <c:v>1731</c:v>
                </c:pt>
                <c:pt idx="162">
                  <c:v>1732</c:v>
                </c:pt>
                <c:pt idx="163">
                  <c:v>1733</c:v>
                </c:pt>
                <c:pt idx="164">
                  <c:v>1734</c:v>
                </c:pt>
                <c:pt idx="165">
                  <c:v>1735</c:v>
                </c:pt>
                <c:pt idx="166">
                  <c:v>1736</c:v>
                </c:pt>
                <c:pt idx="167">
                  <c:v>1737</c:v>
                </c:pt>
                <c:pt idx="168">
                  <c:v>1738</c:v>
                </c:pt>
                <c:pt idx="169">
                  <c:v>1739</c:v>
                </c:pt>
                <c:pt idx="170">
                  <c:v>1740</c:v>
                </c:pt>
                <c:pt idx="171">
                  <c:v>1741</c:v>
                </c:pt>
                <c:pt idx="172">
                  <c:v>1742</c:v>
                </c:pt>
                <c:pt idx="173">
                  <c:v>1743</c:v>
                </c:pt>
                <c:pt idx="174">
                  <c:v>1744</c:v>
                </c:pt>
                <c:pt idx="175">
                  <c:v>1745</c:v>
                </c:pt>
                <c:pt idx="176">
                  <c:v>1746</c:v>
                </c:pt>
                <c:pt idx="177">
                  <c:v>1747</c:v>
                </c:pt>
                <c:pt idx="178">
                  <c:v>1748</c:v>
                </c:pt>
                <c:pt idx="179">
                  <c:v>1749</c:v>
                </c:pt>
                <c:pt idx="180">
                  <c:v>1750</c:v>
                </c:pt>
                <c:pt idx="181">
                  <c:v>1751</c:v>
                </c:pt>
                <c:pt idx="182">
                  <c:v>1752</c:v>
                </c:pt>
                <c:pt idx="183">
                  <c:v>1753</c:v>
                </c:pt>
                <c:pt idx="184">
                  <c:v>1754</c:v>
                </c:pt>
                <c:pt idx="185">
                  <c:v>1755</c:v>
                </c:pt>
                <c:pt idx="186">
                  <c:v>1756</c:v>
                </c:pt>
                <c:pt idx="187">
                  <c:v>1757</c:v>
                </c:pt>
                <c:pt idx="188">
                  <c:v>1758</c:v>
                </c:pt>
                <c:pt idx="189">
                  <c:v>1759</c:v>
                </c:pt>
                <c:pt idx="190">
                  <c:v>1760</c:v>
                </c:pt>
              </c:numCache>
            </c:numRef>
          </c:xVal>
          <c:yVal>
            <c:numRef>
              <c:f>Prices!$B$26:$B$216</c:f>
              <c:numCache>
                <c:formatCode>General</c:formatCode>
                <c:ptCount val="191"/>
                <c:pt idx="9">
                  <c:v>78</c:v>
                </c:pt>
                <c:pt idx="24">
                  <c:v>198</c:v>
                </c:pt>
                <c:pt idx="39">
                  <c:v>204</c:v>
                </c:pt>
                <c:pt idx="54">
                  <c:v>252</c:v>
                </c:pt>
                <c:pt idx="55">
                  <c:v>250.33</c:v>
                </c:pt>
                <c:pt idx="56">
                  <c:v>278</c:v>
                </c:pt>
                <c:pt idx="58">
                  <c:v>540</c:v>
                </c:pt>
                <c:pt idx="60">
                  <c:v>391.07</c:v>
                </c:pt>
                <c:pt idx="61">
                  <c:v>270</c:v>
                </c:pt>
                <c:pt idx="62">
                  <c:v>345</c:v>
                </c:pt>
                <c:pt idx="63">
                  <c:v>558</c:v>
                </c:pt>
                <c:pt idx="64">
                  <c:v>600</c:v>
                </c:pt>
                <c:pt idx="65">
                  <c:v>804</c:v>
                </c:pt>
                <c:pt idx="66">
                  <c:v>386.25</c:v>
                </c:pt>
                <c:pt idx="67">
                  <c:v>420</c:v>
                </c:pt>
                <c:pt idx="68">
                  <c:v>420</c:v>
                </c:pt>
                <c:pt idx="70">
                  <c:v>300</c:v>
                </c:pt>
                <c:pt idx="71">
                  <c:v>410</c:v>
                </c:pt>
                <c:pt idx="72">
                  <c:v>390</c:v>
                </c:pt>
                <c:pt idx="73">
                  <c:v>390</c:v>
                </c:pt>
                <c:pt idx="75">
                  <c:v>420</c:v>
                </c:pt>
                <c:pt idx="76">
                  <c:v>367.5</c:v>
                </c:pt>
                <c:pt idx="78">
                  <c:v>862.5</c:v>
                </c:pt>
                <c:pt idx="79">
                  <c:v>1162.5</c:v>
                </c:pt>
                <c:pt idx="80">
                  <c:v>1008</c:v>
                </c:pt>
                <c:pt idx="81">
                  <c:v>1350</c:v>
                </c:pt>
                <c:pt idx="82">
                  <c:v>630</c:v>
                </c:pt>
                <c:pt idx="83">
                  <c:v>540</c:v>
                </c:pt>
                <c:pt idx="84">
                  <c:v>540</c:v>
                </c:pt>
                <c:pt idx="94">
                  <c:v>600</c:v>
                </c:pt>
                <c:pt idx="99">
                  <c:v>375.5</c:v>
                </c:pt>
                <c:pt idx="101">
                  <c:v>303</c:v>
                </c:pt>
                <c:pt idx="102">
                  <c:v>275.63</c:v>
                </c:pt>
                <c:pt idx="104">
                  <c:v>487</c:v>
                </c:pt>
                <c:pt idx="105">
                  <c:v>390</c:v>
                </c:pt>
                <c:pt idx="106">
                  <c:v>324</c:v>
                </c:pt>
                <c:pt idx="107">
                  <c:v>285.5</c:v>
                </c:pt>
                <c:pt idx="109">
                  <c:v>297</c:v>
                </c:pt>
                <c:pt idx="111">
                  <c:v>291</c:v>
                </c:pt>
                <c:pt idx="113">
                  <c:v>300</c:v>
                </c:pt>
                <c:pt idx="116">
                  <c:v>255</c:v>
                </c:pt>
                <c:pt idx="117">
                  <c:v>255</c:v>
                </c:pt>
                <c:pt idx="118">
                  <c:v>255</c:v>
                </c:pt>
                <c:pt idx="119">
                  <c:v>264</c:v>
                </c:pt>
                <c:pt idx="121">
                  <c:v>315</c:v>
                </c:pt>
                <c:pt idx="122">
                  <c:v>315</c:v>
                </c:pt>
                <c:pt idx="124">
                  <c:v>288</c:v>
                </c:pt>
                <c:pt idx="131">
                  <c:v>144</c:v>
                </c:pt>
                <c:pt idx="133">
                  <c:v>246</c:v>
                </c:pt>
                <c:pt idx="135">
                  <c:v>270</c:v>
                </c:pt>
                <c:pt idx="136">
                  <c:v>180</c:v>
                </c:pt>
                <c:pt idx="138">
                  <c:v>165</c:v>
                </c:pt>
                <c:pt idx="139">
                  <c:v>127.5</c:v>
                </c:pt>
                <c:pt idx="140">
                  <c:v>105</c:v>
                </c:pt>
                <c:pt idx="148">
                  <c:v>272.42999999999978</c:v>
                </c:pt>
                <c:pt idx="149">
                  <c:v>284</c:v>
                </c:pt>
                <c:pt idx="152">
                  <c:v>345</c:v>
                </c:pt>
                <c:pt idx="158">
                  <c:v>594</c:v>
                </c:pt>
                <c:pt idx="161">
                  <c:v>435</c:v>
                </c:pt>
                <c:pt idx="162">
                  <c:v>390</c:v>
                </c:pt>
                <c:pt idx="163">
                  <c:v>327</c:v>
                </c:pt>
                <c:pt idx="164">
                  <c:v>348</c:v>
                </c:pt>
                <c:pt idx="165">
                  <c:v>390</c:v>
                </c:pt>
                <c:pt idx="166">
                  <c:v>390</c:v>
                </c:pt>
                <c:pt idx="167">
                  <c:v>361.25</c:v>
                </c:pt>
                <c:pt idx="168">
                  <c:v>397.5</c:v>
                </c:pt>
                <c:pt idx="170">
                  <c:v>510</c:v>
                </c:pt>
                <c:pt idx="171">
                  <c:v>510</c:v>
                </c:pt>
                <c:pt idx="172">
                  <c:v>510</c:v>
                </c:pt>
                <c:pt idx="173">
                  <c:v>420</c:v>
                </c:pt>
                <c:pt idx="174">
                  <c:v>420</c:v>
                </c:pt>
                <c:pt idx="175">
                  <c:v>360</c:v>
                </c:pt>
                <c:pt idx="176">
                  <c:v>510</c:v>
                </c:pt>
                <c:pt idx="177">
                  <c:v>487.5</c:v>
                </c:pt>
                <c:pt idx="178">
                  <c:v>550</c:v>
                </c:pt>
                <c:pt idx="179">
                  <c:v>540</c:v>
                </c:pt>
                <c:pt idx="180">
                  <c:v>540</c:v>
                </c:pt>
                <c:pt idx="181">
                  <c:v>540</c:v>
                </c:pt>
                <c:pt idx="182">
                  <c:v>540</c:v>
                </c:pt>
                <c:pt idx="183">
                  <c:v>525</c:v>
                </c:pt>
                <c:pt idx="184">
                  <c:v>390</c:v>
                </c:pt>
                <c:pt idx="185">
                  <c:v>372.5</c:v>
                </c:pt>
                <c:pt idx="186">
                  <c:v>356.4</c:v>
                </c:pt>
                <c:pt idx="187">
                  <c:v>408</c:v>
                </c:pt>
                <c:pt idx="188">
                  <c:v>530</c:v>
                </c:pt>
                <c:pt idx="190">
                  <c:v>560</c:v>
                </c:pt>
              </c:numCache>
            </c:numRef>
          </c:yVal>
          <c:smooth val="1"/>
        </c:ser>
        <c:ser>
          <c:idx val="1"/>
          <c:order val="1"/>
          <c:tx>
            <c:v>Danzig Potash, fl. Per 100lbs</c:v>
          </c:tx>
          <c:spPr>
            <a:ln>
              <a:noFill/>
            </a:ln>
          </c:spPr>
          <c:marker>
            <c:symbol val="square"/>
            <c:size val="3"/>
            <c:spPr>
              <a:solidFill>
                <a:schemeClr val="tx1"/>
              </a:solidFill>
              <a:ln>
                <a:noFill/>
              </a:ln>
            </c:spPr>
          </c:marker>
          <c:xVal>
            <c:numRef>
              <c:f>Prices!$A$26:$A$216</c:f>
              <c:numCache>
                <c:formatCode>General</c:formatCode>
                <c:ptCount val="191"/>
                <c:pt idx="0">
                  <c:v>1570</c:v>
                </c:pt>
                <c:pt idx="1">
                  <c:v>1571</c:v>
                </c:pt>
                <c:pt idx="2">
                  <c:v>1572</c:v>
                </c:pt>
                <c:pt idx="3">
                  <c:v>1573</c:v>
                </c:pt>
                <c:pt idx="4">
                  <c:v>1574</c:v>
                </c:pt>
                <c:pt idx="5">
                  <c:v>1575</c:v>
                </c:pt>
                <c:pt idx="6">
                  <c:v>1576</c:v>
                </c:pt>
                <c:pt idx="7">
                  <c:v>1577</c:v>
                </c:pt>
                <c:pt idx="8">
                  <c:v>1578</c:v>
                </c:pt>
                <c:pt idx="9">
                  <c:v>1579</c:v>
                </c:pt>
                <c:pt idx="10">
                  <c:v>1580</c:v>
                </c:pt>
                <c:pt idx="11">
                  <c:v>1581</c:v>
                </c:pt>
                <c:pt idx="12">
                  <c:v>1582</c:v>
                </c:pt>
                <c:pt idx="13">
                  <c:v>1583</c:v>
                </c:pt>
                <c:pt idx="14">
                  <c:v>1584</c:v>
                </c:pt>
                <c:pt idx="15">
                  <c:v>1585</c:v>
                </c:pt>
                <c:pt idx="16">
                  <c:v>1586</c:v>
                </c:pt>
                <c:pt idx="17">
                  <c:v>1587</c:v>
                </c:pt>
                <c:pt idx="18">
                  <c:v>1588</c:v>
                </c:pt>
                <c:pt idx="19">
                  <c:v>1589</c:v>
                </c:pt>
                <c:pt idx="20">
                  <c:v>1590</c:v>
                </c:pt>
                <c:pt idx="21">
                  <c:v>1591</c:v>
                </c:pt>
                <c:pt idx="22">
                  <c:v>1592</c:v>
                </c:pt>
                <c:pt idx="23">
                  <c:v>1593</c:v>
                </c:pt>
                <c:pt idx="24">
                  <c:v>1594</c:v>
                </c:pt>
                <c:pt idx="25">
                  <c:v>1595</c:v>
                </c:pt>
                <c:pt idx="26">
                  <c:v>1596</c:v>
                </c:pt>
                <c:pt idx="27">
                  <c:v>1597</c:v>
                </c:pt>
                <c:pt idx="28">
                  <c:v>1598</c:v>
                </c:pt>
                <c:pt idx="29">
                  <c:v>1599</c:v>
                </c:pt>
                <c:pt idx="30">
                  <c:v>1600</c:v>
                </c:pt>
                <c:pt idx="31">
                  <c:v>1601</c:v>
                </c:pt>
                <c:pt idx="32">
                  <c:v>1602</c:v>
                </c:pt>
                <c:pt idx="33">
                  <c:v>1603</c:v>
                </c:pt>
                <c:pt idx="34">
                  <c:v>1604</c:v>
                </c:pt>
                <c:pt idx="35">
                  <c:v>1605</c:v>
                </c:pt>
                <c:pt idx="36">
                  <c:v>1606</c:v>
                </c:pt>
                <c:pt idx="37">
                  <c:v>1607</c:v>
                </c:pt>
                <c:pt idx="38">
                  <c:v>1608</c:v>
                </c:pt>
                <c:pt idx="39">
                  <c:v>1609</c:v>
                </c:pt>
                <c:pt idx="40">
                  <c:v>1610</c:v>
                </c:pt>
                <c:pt idx="41">
                  <c:v>1611</c:v>
                </c:pt>
                <c:pt idx="42">
                  <c:v>1612</c:v>
                </c:pt>
                <c:pt idx="43">
                  <c:v>1613</c:v>
                </c:pt>
                <c:pt idx="44">
                  <c:v>1614</c:v>
                </c:pt>
                <c:pt idx="45">
                  <c:v>1615</c:v>
                </c:pt>
                <c:pt idx="46">
                  <c:v>1616</c:v>
                </c:pt>
                <c:pt idx="47">
                  <c:v>1617</c:v>
                </c:pt>
                <c:pt idx="48">
                  <c:v>1618</c:v>
                </c:pt>
                <c:pt idx="49">
                  <c:v>1619</c:v>
                </c:pt>
                <c:pt idx="50">
                  <c:v>1620</c:v>
                </c:pt>
                <c:pt idx="51">
                  <c:v>1621</c:v>
                </c:pt>
                <c:pt idx="52">
                  <c:v>1622</c:v>
                </c:pt>
                <c:pt idx="53">
                  <c:v>1623</c:v>
                </c:pt>
                <c:pt idx="54">
                  <c:v>1624</c:v>
                </c:pt>
                <c:pt idx="55">
                  <c:v>1625</c:v>
                </c:pt>
                <c:pt idx="56">
                  <c:v>1626</c:v>
                </c:pt>
                <c:pt idx="57">
                  <c:v>1627</c:v>
                </c:pt>
                <c:pt idx="58">
                  <c:v>1628</c:v>
                </c:pt>
                <c:pt idx="59">
                  <c:v>1629</c:v>
                </c:pt>
                <c:pt idx="60">
                  <c:v>1630</c:v>
                </c:pt>
                <c:pt idx="61">
                  <c:v>1631</c:v>
                </c:pt>
                <c:pt idx="62">
                  <c:v>1632</c:v>
                </c:pt>
                <c:pt idx="63">
                  <c:v>1633</c:v>
                </c:pt>
                <c:pt idx="64">
                  <c:v>1634</c:v>
                </c:pt>
                <c:pt idx="65">
                  <c:v>1635</c:v>
                </c:pt>
                <c:pt idx="66">
                  <c:v>1636</c:v>
                </c:pt>
                <c:pt idx="67">
                  <c:v>1637</c:v>
                </c:pt>
                <c:pt idx="68">
                  <c:v>1638</c:v>
                </c:pt>
                <c:pt idx="69">
                  <c:v>1639</c:v>
                </c:pt>
                <c:pt idx="70">
                  <c:v>1640</c:v>
                </c:pt>
                <c:pt idx="71">
                  <c:v>1641</c:v>
                </c:pt>
                <c:pt idx="72">
                  <c:v>1642</c:v>
                </c:pt>
                <c:pt idx="73">
                  <c:v>1643</c:v>
                </c:pt>
                <c:pt idx="74">
                  <c:v>1644</c:v>
                </c:pt>
                <c:pt idx="75">
                  <c:v>1645</c:v>
                </c:pt>
                <c:pt idx="76">
                  <c:v>1646</c:v>
                </c:pt>
                <c:pt idx="77">
                  <c:v>1647</c:v>
                </c:pt>
                <c:pt idx="78">
                  <c:v>1648</c:v>
                </c:pt>
                <c:pt idx="79">
                  <c:v>1649</c:v>
                </c:pt>
                <c:pt idx="80">
                  <c:v>1650</c:v>
                </c:pt>
                <c:pt idx="81">
                  <c:v>1651</c:v>
                </c:pt>
                <c:pt idx="82">
                  <c:v>1652</c:v>
                </c:pt>
                <c:pt idx="83">
                  <c:v>1653</c:v>
                </c:pt>
                <c:pt idx="84">
                  <c:v>1654</c:v>
                </c:pt>
                <c:pt idx="85">
                  <c:v>1655</c:v>
                </c:pt>
                <c:pt idx="86">
                  <c:v>1656</c:v>
                </c:pt>
                <c:pt idx="87">
                  <c:v>1657</c:v>
                </c:pt>
                <c:pt idx="88">
                  <c:v>1658</c:v>
                </c:pt>
                <c:pt idx="89">
                  <c:v>1659</c:v>
                </c:pt>
                <c:pt idx="90">
                  <c:v>1660</c:v>
                </c:pt>
                <c:pt idx="91">
                  <c:v>1661</c:v>
                </c:pt>
                <c:pt idx="92">
                  <c:v>1662</c:v>
                </c:pt>
                <c:pt idx="93">
                  <c:v>1663</c:v>
                </c:pt>
                <c:pt idx="94">
                  <c:v>1664</c:v>
                </c:pt>
                <c:pt idx="95">
                  <c:v>1665</c:v>
                </c:pt>
                <c:pt idx="96">
                  <c:v>1666</c:v>
                </c:pt>
                <c:pt idx="97">
                  <c:v>1667</c:v>
                </c:pt>
                <c:pt idx="98">
                  <c:v>1668</c:v>
                </c:pt>
                <c:pt idx="99">
                  <c:v>1669</c:v>
                </c:pt>
                <c:pt idx="100">
                  <c:v>1670</c:v>
                </c:pt>
                <c:pt idx="101">
                  <c:v>1671</c:v>
                </c:pt>
                <c:pt idx="102">
                  <c:v>1672</c:v>
                </c:pt>
                <c:pt idx="103">
                  <c:v>1673</c:v>
                </c:pt>
                <c:pt idx="104">
                  <c:v>1674</c:v>
                </c:pt>
                <c:pt idx="105">
                  <c:v>1675</c:v>
                </c:pt>
                <c:pt idx="106">
                  <c:v>1676</c:v>
                </c:pt>
                <c:pt idx="107">
                  <c:v>1677</c:v>
                </c:pt>
                <c:pt idx="108">
                  <c:v>1678</c:v>
                </c:pt>
                <c:pt idx="109">
                  <c:v>1679</c:v>
                </c:pt>
                <c:pt idx="110">
                  <c:v>1680</c:v>
                </c:pt>
                <c:pt idx="111">
                  <c:v>1681</c:v>
                </c:pt>
                <c:pt idx="112">
                  <c:v>1682</c:v>
                </c:pt>
                <c:pt idx="113">
                  <c:v>1683</c:v>
                </c:pt>
                <c:pt idx="114">
                  <c:v>1684</c:v>
                </c:pt>
                <c:pt idx="115">
                  <c:v>1685</c:v>
                </c:pt>
                <c:pt idx="116">
                  <c:v>1686</c:v>
                </c:pt>
                <c:pt idx="117">
                  <c:v>1687</c:v>
                </c:pt>
                <c:pt idx="118">
                  <c:v>1688</c:v>
                </c:pt>
                <c:pt idx="119">
                  <c:v>1689</c:v>
                </c:pt>
                <c:pt idx="120">
                  <c:v>1690</c:v>
                </c:pt>
                <c:pt idx="121">
                  <c:v>1691</c:v>
                </c:pt>
                <c:pt idx="122">
                  <c:v>1692</c:v>
                </c:pt>
                <c:pt idx="123">
                  <c:v>1693</c:v>
                </c:pt>
                <c:pt idx="124">
                  <c:v>1694</c:v>
                </c:pt>
                <c:pt idx="125">
                  <c:v>1695</c:v>
                </c:pt>
                <c:pt idx="126">
                  <c:v>1696</c:v>
                </c:pt>
                <c:pt idx="127">
                  <c:v>1697</c:v>
                </c:pt>
                <c:pt idx="128">
                  <c:v>1698</c:v>
                </c:pt>
                <c:pt idx="129">
                  <c:v>1699</c:v>
                </c:pt>
                <c:pt idx="130">
                  <c:v>1700</c:v>
                </c:pt>
                <c:pt idx="131">
                  <c:v>1701</c:v>
                </c:pt>
                <c:pt idx="132">
                  <c:v>1702</c:v>
                </c:pt>
                <c:pt idx="133">
                  <c:v>1703</c:v>
                </c:pt>
                <c:pt idx="134">
                  <c:v>1704</c:v>
                </c:pt>
                <c:pt idx="135">
                  <c:v>1705</c:v>
                </c:pt>
                <c:pt idx="136">
                  <c:v>1706</c:v>
                </c:pt>
                <c:pt idx="137">
                  <c:v>1707</c:v>
                </c:pt>
                <c:pt idx="138">
                  <c:v>1708</c:v>
                </c:pt>
                <c:pt idx="139">
                  <c:v>1709</c:v>
                </c:pt>
                <c:pt idx="140">
                  <c:v>1710</c:v>
                </c:pt>
                <c:pt idx="141">
                  <c:v>1711</c:v>
                </c:pt>
                <c:pt idx="142">
                  <c:v>1712</c:v>
                </c:pt>
                <c:pt idx="143">
                  <c:v>1713</c:v>
                </c:pt>
                <c:pt idx="144">
                  <c:v>1714</c:v>
                </c:pt>
                <c:pt idx="145">
                  <c:v>1715</c:v>
                </c:pt>
                <c:pt idx="146">
                  <c:v>1716</c:v>
                </c:pt>
                <c:pt idx="147">
                  <c:v>1717</c:v>
                </c:pt>
                <c:pt idx="148">
                  <c:v>1718</c:v>
                </c:pt>
                <c:pt idx="149">
                  <c:v>1719</c:v>
                </c:pt>
                <c:pt idx="150">
                  <c:v>1720</c:v>
                </c:pt>
                <c:pt idx="151">
                  <c:v>1721</c:v>
                </c:pt>
                <c:pt idx="152">
                  <c:v>1722</c:v>
                </c:pt>
                <c:pt idx="153">
                  <c:v>1723</c:v>
                </c:pt>
                <c:pt idx="154">
                  <c:v>1724</c:v>
                </c:pt>
                <c:pt idx="155">
                  <c:v>1725</c:v>
                </c:pt>
                <c:pt idx="156">
                  <c:v>1726</c:v>
                </c:pt>
                <c:pt idx="157">
                  <c:v>1727</c:v>
                </c:pt>
                <c:pt idx="158">
                  <c:v>1728</c:v>
                </c:pt>
                <c:pt idx="159">
                  <c:v>1729</c:v>
                </c:pt>
                <c:pt idx="160">
                  <c:v>1730</c:v>
                </c:pt>
                <c:pt idx="161">
                  <c:v>1731</c:v>
                </c:pt>
                <c:pt idx="162">
                  <c:v>1732</c:v>
                </c:pt>
                <c:pt idx="163">
                  <c:v>1733</c:v>
                </c:pt>
                <c:pt idx="164">
                  <c:v>1734</c:v>
                </c:pt>
                <c:pt idx="165">
                  <c:v>1735</c:v>
                </c:pt>
                <c:pt idx="166">
                  <c:v>1736</c:v>
                </c:pt>
                <c:pt idx="167">
                  <c:v>1737</c:v>
                </c:pt>
                <c:pt idx="168">
                  <c:v>1738</c:v>
                </c:pt>
                <c:pt idx="169">
                  <c:v>1739</c:v>
                </c:pt>
                <c:pt idx="170">
                  <c:v>1740</c:v>
                </c:pt>
                <c:pt idx="171">
                  <c:v>1741</c:v>
                </c:pt>
                <c:pt idx="172">
                  <c:v>1742</c:v>
                </c:pt>
                <c:pt idx="173">
                  <c:v>1743</c:v>
                </c:pt>
                <c:pt idx="174">
                  <c:v>1744</c:v>
                </c:pt>
                <c:pt idx="175">
                  <c:v>1745</c:v>
                </c:pt>
                <c:pt idx="176">
                  <c:v>1746</c:v>
                </c:pt>
                <c:pt idx="177">
                  <c:v>1747</c:v>
                </c:pt>
                <c:pt idx="178">
                  <c:v>1748</c:v>
                </c:pt>
                <c:pt idx="179">
                  <c:v>1749</c:v>
                </c:pt>
                <c:pt idx="180">
                  <c:v>1750</c:v>
                </c:pt>
                <c:pt idx="181">
                  <c:v>1751</c:v>
                </c:pt>
                <c:pt idx="182">
                  <c:v>1752</c:v>
                </c:pt>
                <c:pt idx="183">
                  <c:v>1753</c:v>
                </c:pt>
                <c:pt idx="184">
                  <c:v>1754</c:v>
                </c:pt>
                <c:pt idx="185">
                  <c:v>1755</c:v>
                </c:pt>
                <c:pt idx="186">
                  <c:v>1756</c:v>
                </c:pt>
                <c:pt idx="187">
                  <c:v>1757</c:v>
                </c:pt>
                <c:pt idx="188">
                  <c:v>1758</c:v>
                </c:pt>
                <c:pt idx="189">
                  <c:v>1759</c:v>
                </c:pt>
                <c:pt idx="190">
                  <c:v>1760</c:v>
                </c:pt>
              </c:numCache>
            </c:numRef>
          </c:xVal>
          <c:yVal>
            <c:numRef>
              <c:f>Prices!$D$26:$D$216</c:f>
              <c:numCache>
                <c:formatCode>General</c:formatCode>
                <c:ptCount val="191"/>
                <c:pt idx="39">
                  <c:v>694.51200000000006</c:v>
                </c:pt>
                <c:pt idx="54">
                  <c:v>476.98559999999981</c:v>
                </c:pt>
                <c:pt idx="55">
                  <c:v>440.2944</c:v>
                </c:pt>
                <c:pt idx="56">
                  <c:v>502.32</c:v>
                </c:pt>
                <c:pt idx="58">
                  <c:v>1092</c:v>
                </c:pt>
                <c:pt idx="60">
                  <c:v>875.34719999999948</c:v>
                </c:pt>
                <c:pt idx="61">
                  <c:v>593.17439999999999</c:v>
                </c:pt>
                <c:pt idx="62">
                  <c:v>657.38400000000001</c:v>
                </c:pt>
                <c:pt idx="63">
                  <c:v>819</c:v>
                </c:pt>
                <c:pt idx="64">
                  <c:v>884.52</c:v>
                </c:pt>
                <c:pt idx="65">
                  <c:v>753.48</c:v>
                </c:pt>
                <c:pt idx="66">
                  <c:v>671.79840000000002</c:v>
                </c:pt>
                <c:pt idx="67">
                  <c:v>720.72</c:v>
                </c:pt>
                <c:pt idx="68">
                  <c:v>715.9151999999998</c:v>
                </c:pt>
                <c:pt idx="70">
                  <c:v>602.78399999999999</c:v>
                </c:pt>
                <c:pt idx="71">
                  <c:v>570.024</c:v>
                </c:pt>
                <c:pt idx="72">
                  <c:v>549.05759999999975</c:v>
                </c:pt>
                <c:pt idx="73">
                  <c:v>458.64</c:v>
                </c:pt>
                <c:pt idx="75">
                  <c:v>543.81599999999969</c:v>
                </c:pt>
                <c:pt idx="76">
                  <c:v>646.46400000000006</c:v>
                </c:pt>
                <c:pt idx="78">
                  <c:v>2446.08</c:v>
                </c:pt>
                <c:pt idx="79">
                  <c:v>1943.76</c:v>
                </c:pt>
                <c:pt idx="80">
                  <c:v>1913.184</c:v>
                </c:pt>
                <c:pt idx="81">
                  <c:v>1048.32</c:v>
                </c:pt>
                <c:pt idx="82">
                  <c:v>982.8</c:v>
                </c:pt>
                <c:pt idx="83">
                  <c:v>977.12160000000006</c:v>
                </c:pt>
                <c:pt idx="84">
                  <c:v>943.48800000000006</c:v>
                </c:pt>
                <c:pt idx="95">
                  <c:v>897.62400000000002</c:v>
                </c:pt>
                <c:pt idx="99">
                  <c:v>532.89599999999996</c:v>
                </c:pt>
                <c:pt idx="101">
                  <c:v>524.16</c:v>
                </c:pt>
                <c:pt idx="102">
                  <c:v>612.83039999999971</c:v>
                </c:pt>
                <c:pt idx="104">
                  <c:v>733.82400000000007</c:v>
                </c:pt>
                <c:pt idx="105">
                  <c:v>635.54399999999998</c:v>
                </c:pt>
                <c:pt idx="106">
                  <c:v>550.36799999999948</c:v>
                </c:pt>
                <c:pt idx="107">
                  <c:v>566.96639999999979</c:v>
                </c:pt>
                <c:pt idx="109">
                  <c:v>599.72640000000001</c:v>
                </c:pt>
                <c:pt idx="112">
                  <c:v>425.88</c:v>
                </c:pt>
                <c:pt idx="113">
                  <c:v>445.53599999999977</c:v>
                </c:pt>
                <c:pt idx="131">
                  <c:v>727.27200000000005</c:v>
                </c:pt>
                <c:pt idx="133">
                  <c:v>690.14400000000001</c:v>
                </c:pt>
                <c:pt idx="135">
                  <c:v>642.096</c:v>
                </c:pt>
                <c:pt idx="136">
                  <c:v>589.67999999999995</c:v>
                </c:pt>
                <c:pt idx="138">
                  <c:v>576.57600000000002</c:v>
                </c:pt>
                <c:pt idx="139">
                  <c:v>591.86399999999981</c:v>
                </c:pt>
                <c:pt idx="148">
                  <c:v>643.8431999999998</c:v>
                </c:pt>
                <c:pt idx="149">
                  <c:v>628.99199999999996</c:v>
                </c:pt>
                <c:pt idx="151">
                  <c:v>445.53599999999977</c:v>
                </c:pt>
                <c:pt idx="158">
                  <c:v>576.57600000000002</c:v>
                </c:pt>
                <c:pt idx="161">
                  <c:v>432.43200000000002</c:v>
                </c:pt>
                <c:pt idx="162">
                  <c:v>438.98399999999998</c:v>
                </c:pt>
                <c:pt idx="163">
                  <c:v>460.38719999999978</c:v>
                </c:pt>
                <c:pt idx="164">
                  <c:v>567.40319999999997</c:v>
                </c:pt>
                <c:pt idx="165">
                  <c:v>632.92319999999972</c:v>
                </c:pt>
                <c:pt idx="166">
                  <c:v>513.24</c:v>
                </c:pt>
                <c:pt idx="167">
                  <c:v>523.28640000000007</c:v>
                </c:pt>
                <c:pt idx="168">
                  <c:v>521.10239999999999</c:v>
                </c:pt>
                <c:pt idx="169">
                  <c:v>497.952</c:v>
                </c:pt>
                <c:pt idx="170">
                  <c:v>530.71199999999999</c:v>
                </c:pt>
                <c:pt idx="171">
                  <c:v>527.21760000000006</c:v>
                </c:pt>
                <c:pt idx="172">
                  <c:v>482.6640000000001</c:v>
                </c:pt>
                <c:pt idx="173">
                  <c:v>484.84800000000001</c:v>
                </c:pt>
                <c:pt idx="174">
                  <c:v>549.05759999999975</c:v>
                </c:pt>
                <c:pt idx="175">
                  <c:v>884.52</c:v>
                </c:pt>
                <c:pt idx="176">
                  <c:v>805.89599999999996</c:v>
                </c:pt>
                <c:pt idx="177">
                  <c:v>805.89599999999996</c:v>
                </c:pt>
                <c:pt idx="178">
                  <c:v>770.07839999999999</c:v>
                </c:pt>
                <c:pt idx="180">
                  <c:v>667.86719999999946</c:v>
                </c:pt>
                <c:pt idx="181">
                  <c:v>674.85599999999977</c:v>
                </c:pt>
                <c:pt idx="182">
                  <c:v>687.95999999999981</c:v>
                </c:pt>
                <c:pt idx="183">
                  <c:v>714.16800000000001</c:v>
                </c:pt>
                <c:pt idx="184">
                  <c:v>542.06880000000001</c:v>
                </c:pt>
                <c:pt idx="185">
                  <c:v>482.22719999999981</c:v>
                </c:pt>
                <c:pt idx="186">
                  <c:v>488.7792</c:v>
                </c:pt>
                <c:pt idx="187">
                  <c:v>465.19200000000001</c:v>
                </c:pt>
                <c:pt idx="188">
                  <c:v>458.64</c:v>
                </c:pt>
                <c:pt idx="190">
                  <c:v>598.41599999999971</c:v>
                </c:pt>
              </c:numCache>
            </c:numRef>
          </c:yVal>
          <c:smooth val="1"/>
        </c:ser>
        <c:ser>
          <c:idx val="2"/>
          <c:order val="2"/>
          <c:tx>
            <c:v>Danzig Potash, grams silver per 100 lbs</c:v>
          </c:tx>
          <c:spPr>
            <a:ln>
              <a:noFill/>
            </a:ln>
          </c:spPr>
          <c:marker>
            <c:symbol val="triangle"/>
            <c:size val="3"/>
            <c:spPr>
              <a:solidFill>
                <a:schemeClr val="tx1"/>
              </a:solidFill>
              <a:ln>
                <a:noFill/>
              </a:ln>
            </c:spPr>
          </c:marker>
          <c:xVal>
            <c:numRef>
              <c:f>Prices!$A$26:$A$216</c:f>
              <c:numCache>
                <c:formatCode>General</c:formatCode>
                <c:ptCount val="191"/>
                <c:pt idx="0">
                  <c:v>1570</c:v>
                </c:pt>
                <c:pt idx="1">
                  <c:v>1571</c:v>
                </c:pt>
                <c:pt idx="2">
                  <c:v>1572</c:v>
                </c:pt>
                <c:pt idx="3">
                  <c:v>1573</c:v>
                </c:pt>
                <c:pt idx="4">
                  <c:v>1574</c:v>
                </c:pt>
                <c:pt idx="5">
                  <c:v>1575</c:v>
                </c:pt>
                <c:pt idx="6">
                  <c:v>1576</c:v>
                </c:pt>
                <c:pt idx="7">
                  <c:v>1577</c:v>
                </c:pt>
                <c:pt idx="8">
                  <c:v>1578</c:v>
                </c:pt>
                <c:pt idx="9">
                  <c:v>1579</c:v>
                </c:pt>
                <c:pt idx="10">
                  <c:v>1580</c:v>
                </c:pt>
                <c:pt idx="11">
                  <c:v>1581</c:v>
                </c:pt>
                <c:pt idx="12">
                  <c:v>1582</c:v>
                </c:pt>
                <c:pt idx="13">
                  <c:v>1583</c:v>
                </c:pt>
                <c:pt idx="14">
                  <c:v>1584</c:v>
                </c:pt>
                <c:pt idx="15">
                  <c:v>1585</c:v>
                </c:pt>
                <c:pt idx="16">
                  <c:v>1586</c:v>
                </c:pt>
                <c:pt idx="17">
                  <c:v>1587</c:v>
                </c:pt>
                <c:pt idx="18">
                  <c:v>1588</c:v>
                </c:pt>
                <c:pt idx="19">
                  <c:v>1589</c:v>
                </c:pt>
                <c:pt idx="20">
                  <c:v>1590</c:v>
                </c:pt>
                <c:pt idx="21">
                  <c:v>1591</c:v>
                </c:pt>
                <c:pt idx="22">
                  <c:v>1592</c:v>
                </c:pt>
                <c:pt idx="23">
                  <c:v>1593</c:v>
                </c:pt>
                <c:pt idx="24">
                  <c:v>1594</c:v>
                </c:pt>
                <c:pt idx="25">
                  <c:v>1595</c:v>
                </c:pt>
                <c:pt idx="26">
                  <c:v>1596</c:v>
                </c:pt>
                <c:pt idx="27">
                  <c:v>1597</c:v>
                </c:pt>
                <c:pt idx="28">
                  <c:v>1598</c:v>
                </c:pt>
                <c:pt idx="29">
                  <c:v>1599</c:v>
                </c:pt>
                <c:pt idx="30">
                  <c:v>1600</c:v>
                </c:pt>
                <c:pt idx="31">
                  <c:v>1601</c:v>
                </c:pt>
                <c:pt idx="32">
                  <c:v>1602</c:v>
                </c:pt>
                <c:pt idx="33">
                  <c:v>1603</c:v>
                </c:pt>
                <c:pt idx="34">
                  <c:v>1604</c:v>
                </c:pt>
                <c:pt idx="35">
                  <c:v>1605</c:v>
                </c:pt>
                <c:pt idx="36">
                  <c:v>1606</c:v>
                </c:pt>
                <c:pt idx="37">
                  <c:v>1607</c:v>
                </c:pt>
                <c:pt idx="38">
                  <c:v>1608</c:v>
                </c:pt>
                <c:pt idx="39">
                  <c:v>1609</c:v>
                </c:pt>
                <c:pt idx="40">
                  <c:v>1610</c:v>
                </c:pt>
                <c:pt idx="41">
                  <c:v>1611</c:v>
                </c:pt>
                <c:pt idx="42">
                  <c:v>1612</c:v>
                </c:pt>
                <c:pt idx="43">
                  <c:v>1613</c:v>
                </c:pt>
                <c:pt idx="44">
                  <c:v>1614</c:v>
                </c:pt>
                <c:pt idx="45">
                  <c:v>1615</c:v>
                </c:pt>
                <c:pt idx="46">
                  <c:v>1616</c:v>
                </c:pt>
                <c:pt idx="47">
                  <c:v>1617</c:v>
                </c:pt>
                <c:pt idx="48">
                  <c:v>1618</c:v>
                </c:pt>
                <c:pt idx="49">
                  <c:v>1619</c:v>
                </c:pt>
                <c:pt idx="50">
                  <c:v>1620</c:v>
                </c:pt>
                <c:pt idx="51">
                  <c:v>1621</c:v>
                </c:pt>
                <c:pt idx="52">
                  <c:v>1622</c:v>
                </c:pt>
                <c:pt idx="53">
                  <c:v>1623</c:v>
                </c:pt>
                <c:pt idx="54">
                  <c:v>1624</c:v>
                </c:pt>
                <c:pt idx="55">
                  <c:v>1625</c:v>
                </c:pt>
                <c:pt idx="56">
                  <c:v>1626</c:v>
                </c:pt>
                <c:pt idx="57">
                  <c:v>1627</c:v>
                </c:pt>
                <c:pt idx="58">
                  <c:v>1628</c:v>
                </c:pt>
                <c:pt idx="59">
                  <c:v>1629</c:v>
                </c:pt>
                <c:pt idx="60">
                  <c:v>1630</c:v>
                </c:pt>
                <c:pt idx="61">
                  <c:v>1631</c:v>
                </c:pt>
                <c:pt idx="62">
                  <c:v>1632</c:v>
                </c:pt>
                <c:pt idx="63">
                  <c:v>1633</c:v>
                </c:pt>
                <c:pt idx="64">
                  <c:v>1634</c:v>
                </c:pt>
                <c:pt idx="65">
                  <c:v>1635</c:v>
                </c:pt>
                <c:pt idx="66">
                  <c:v>1636</c:v>
                </c:pt>
                <c:pt idx="67">
                  <c:v>1637</c:v>
                </c:pt>
                <c:pt idx="68">
                  <c:v>1638</c:v>
                </c:pt>
                <c:pt idx="69">
                  <c:v>1639</c:v>
                </c:pt>
                <c:pt idx="70">
                  <c:v>1640</c:v>
                </c:pt>
                <c:pt idx="71">
                  <c:v>1641</c:v>
                </c:pt>
                <c:pt idx="72">
                  <c:v>1642</c:v>
                </c:pt>
                <c:pt idx="73">
                  <c:v>1643</c:v>
                </c:pt>
                <c:pt idx="74">
                  <c:v>1644</c:v>
                </c:pt>
                <c:pt idx="75">
                  <c:v>1645</c:v>
                </c:pt>
                <c:pt idx="76">
                  <c:v>1646</c:v>
                </c:pt>
                <c:pt idx="77">
                  <c:v>1647</c:v>
                </c:pt>
                <c:pt idx="78">
                  <c:v>1648</c:v>
                </c:pt>
                <c:pt idx="79">
                  <c:v>1649</c:v>
                </c:pt>
                <c:pt idx="80">
                  <c:v>1650</c:v>
                </c:pt>
                <c:pt idx="81">
                  <c:v>1651</c:v>
                </c:pt>
                <c:pt idx="82">
                  <c:v>1652</c:v>
                </c:pt>
                <c:pt idx="83">
                  <c:v>1653</c:v>
                </c:pt>
                <c:pt idx="84">
                  <c:v>1654</c:v>
                </c:pt>
                <c:pt idx="85">
                  <c:v>1655</c:v>
                </c:pt>
                <c:pt idx="86">
                  <c:v>1656</c:v>
                </c:pt>
                <c:pt idx="87">
                  <c:v>1657</c:v>
                </c:pt>
                <c:pt idx="88">
                  <c:v>1658</c:v>
                </c:pt>
                <c:pt idx="89">
                  <c:v>1659</c:v>
                </c:pt>
                <c:pt idx="90">
                  <c:v>1660</c:v>
                </c:pt>
                <c:pt idx="91">
                  <c:v>1661</c:v>
                </c:pt>
                <c:pt idx="92">
                  <c:v>1662</c:v>
                </c:pt>
                <c:pt idx="93">
                  <c:v>1663</c:v>
                </c:pt>
                <c:pt idx="94">
                  <c:v>1664</c:v>
                </c:pt>
                <c:pt idx="95">
                  <c:v>1665</c:v>
                </c:pt>
                <c:pt idx="96">
                  <c:v>1666</c:v>
                </c:pt>
                <c:pt idx="97">
                  <c:v>1667</c:v>
                </c:pt>
                <c:pt idx="98">
                  <c:v>1668</c:v>
                </c:pt>
                <c:pt idx="99">
                  <c:v>1669</c:v>
                </c:pt>
                <c:pt idx="100">
                  <c:v>1670</c:v>
                </c:pt>
                <c:pt idx="101">
                  <c:v>1671</c:v>
                </c:pt>
                <c:pt idx="102">
                  <c:v>1672</c:v>
                </c:pt>
                <c:pt idx="103">
                  <c:v>1673</c:v>
                </c:pt>
                <c:pt idx="104">
                  <c:v>1674</c:v>
                </c:pt>
                <c:pt idx="105">
                  <c:v>1675</c:v>
                </c:pt>
                <c:pt idx="106">
                  <c:v>1676</c:v>
                </c:pt>
                <c:pt idx="107">
                  <c:v>1677</c:v>
                </c:pt>
                <c:pt idx="108">
                  <c:v>1678</c:v>
                </c:pt>
                <c:pt idx="109">
                  <c:v>1679</c:v>
                </c:pt>
                <c:pt idx="110">
                  <c:v>1680</c:v>
                </c:pt>
                <c:pt idx="111">
                  <c:v>1681</c:v>
                </c:pt>
                <c:pt idx="112">
                  <c:v>1682</c:v>
                </c:pt>
                <c:pt idx="113">
                  <c:v>1683</c:v>
                </c:pt>
                <c:pt idx="114">
                  <c:v>1684</c:v>
                </c:pt>
                <c:pt idx="115">
                  <c:v>1685</c:v>
                </c:pt>
                <c:pt idx="116">
                  <c:v>1686</c:v>
                </c:pt>
                <c:pt idx="117">
                  <c:v>1687</c:v>
                </c:pt>
                <c:pt idx="118">
                  <c:v>1688</c:v>
                </c:pt>
                <c:pt idx="119">
                  <c:v>1689</c:v>
                </c:pt>
                <c:pt idx="120">
                  <c:v>1690</c:v>
                </c:pt>
                <c:pt idx="121">
                  <c:v>1691</c:v>
                </c:pt>
                <c:pt idx="122">
                  <c:v>1692</c:v>
                </c:pt>
                <c:pt idx="123">
                  <c:v>1693</c:v>
                </c:pt>
                <c:pt idx="124">
                  <c:v>1694</c:v>
                </c:pt>
                <c:pt idx="125">
                  <c:v>1695</c:v>
                </c:pt>
                <c:pt idx="126">
                  <c:v>1696</c:v>
                </c:pt>
                <c:pt idx="127">
                  <c:v>1697</c:v>
                </c:pt>
                <c:pt idx="128">
                  <c:v>1698</c:v>
                </c:pt>
                <c:pt idx="129">
                  <c:v>1699</c:v>
                </c:pt>
                <c:pt idx="130">
                  <c:v>1700</c:v>
                </c:pt>
                <c:pt idx="131">
                  <c:v>1701</c:v>
                </c:pt>
                <c:pt idx="132">
                  <c:v>1702</c:v>
                </c:pt>
                <c:pt idx="133">
                  <c:v>1703</c:v>
                </c:pt>
                <c:pt idx="134">
                  <c:v>1704</c:v>
                </c:pt>
                <c:pt idx="135">
                  <c:v>1705</c:v>
                </c:pt>
                <c:pt idx="136">
                  <c:v>1706</c:v>
                </c:pt>
                <c:pt idx="137">
                  <c:v>1707</c:v>
                </c:pt>
                <c:pt idx="138">
                  <c:v>1708</c:v>
                </c:pt>
                <c:pt idx="139">
                  <c:v>1709</c:v>
                </c:pt>
                <c:pt idx="140">
                  <c:v>1710</c:v>
                </c:pt>
                <c:pt idx="141">
                  <c:v>1711</c:v>
                </c:pt>
                <c:pt idx="142">
                  <c:v>1712</c:v>
                </c:pt>
                <c:pt idx="143">
                  <c:v>1713</c:v>
                </c:pt>
                <c:pt idx="144">
                  <c:v>1714</c:v>
                </c:pt>
                <c:pt idx="145">
                  <c:v>1715</c:v>
                </c:pt>
                <c:pt idx="146">
                  <c:v>1716</c:v>
                </c:pt>
                <c:pt idx="147">
                  <c:v>1717</c:v>
                </c:pt>
                <c:pt idx="148">
                  <c:v>1718</c:v>
                </c:pt>
                <c:pt idx="149">
                  <c:v>1719</c:v>
                </c:pt>
                <c:pt idx="150">
                  <c:v>1720</c:v>
                </c:pt>
                <c:pt idx="151">
                  <c:v>1721</c:v>
                </c:pt>
                <c:pt idx="152">
                  <c:v>1722</c:v>
                </c:pt>
                <c:pt idx="153">
                  <c:v>1723</c:v>
                </c:pt>
                <c:pt idx="154">
                  <c:v>1724</c:v>
                </c:pt>
                <c:pt idx="155">
                  <c:v>1725</c:v>
                </c:pt>
                <c:pt idx="156">
                  <c:v>1726</c:v>
                </c:pt>
                <c:pt idx="157">
                  <c:v>1727</c:v>
                </c:pt>
                <c:pt idx="158">
                  <c:v>1728</c:v>
                </c:pt>
                <c:pt idx="159">
                  <c:v>1729</c:v>
                </c:pt>
                <c:pt idx="160">
                  <c:v>1730</c:v>
                </c:pt>
                <c:pt idx="161">
                  <c:v>1731</c:v>
                </c:pt>
                <c:pt idx="162">
                  <c:v>1732</c:v>
                </c:pt>
                <c:pt idx="163">
                  <c:v>1733</c:v>
                </c:pt>
                <c:pt idx="164">
                  <c:v>1734</c:v>
                </c:pt>
                <c:pt idx="165">
                  <c:v>1735</c:v>
                </c:pt>
                <c:pt idx="166">
                  <c:v>1736</c:v>
                </c:pt>
                <c:pt idx="167">
                  <c:v>1737</c:v>
                </c:pt>
                <c:pt idx="168">
                  <c:v>1738</c:v>
                </c:pt>
                <c:pt idx="169">
                  <c:v>1739</c:v>
                </c:pt>
                <c:pt idx="170">
                  <c:v>1740</c:v>
                </c:pt>
                <c:pt idx="171">
                  <c:v>1741</c:v>
                </c:pt>
                <c:pt idx="172">
                  <c:v>1742</c:v>
                </c:pt>
                <c:pt idx="173">
                  <c:v>1743</c:v>
                </c:pt>
                <c:pt idx="174">
                  <c:v>1744</c:v>
                </c:pt>
                <c:pt idx="175">
                  <c:v>1745</c:v>
                </c:pt>
                <c:pt idx="176">
                  <c:v>1746</c:v>
                </c:pt>
                <c:pt idx="177">
                  <c:v>1747</c:v>
                </c:pt>
                <c:pt idx="178">
                  <c:v>1748</c:v>
                </c:pt>
                <c:pt idx="179">
                  <c:v>1749</c:v>
                </c:pt>
                <c:pt idx="180">
                  <c:v>1750</c:v>
                </c:pt>
                <c:pt idx="181">
                  <c:v>1751</c:v>
                </c:pt>
                <c:pt idx="182">
                  <c:v>1752</c:v>
                </c:pt>
                <c:pt idx="183">
                  <c:v>1753</c:v>
                </c:pt>
                <c:pt idx="184">
                  <c:v>1754</c:v>
                </c:pt>
                <c:pt idx="185">
                  <c:v>1755</c:v>
                </c:pt>
                <c:pt idx="186">
                  <c:v>1756</c:v>
                </c:pt>
                <c:pt idx="187">
                  <c:v>1757</c:v>
                </c:pt>
                <c:pt idx="188">
                  <c:v>1758</c:v>
                </c:pt>
                <c:pt idx="189">
                  <c:v>1759</c:v>
                </c:pt>
                <c:pt idx="190">
                  <c:v>1760</c:v>
                </c:pt>
              </c:numCache>
            </c:numRef>
          </c:xVal>
          <c:yVal>
            <c:numRef>
              <c:f>Prices!$F$26:$F$216</c:f>
              <c:numCache>
                <c:formatCode>General</c:formatCode>
                <c:ptCount val="191"/>
                <c:pt idx="39">
                  <c:v>173.5</c:v>
                </c:pt>
                <c:pt idx="54">
                  <c:v>112.3</c:v>
                </c:pt>
                <c:pt idx="59">
                  <c:v>159.4</c:v>
                </c:pt>
                <c:pt idx="64">
                  <c:v>180.2</c:v>
                </c:pt>
                <c:pt idx="69">
                  <c:v>168.2</c:v>
                </c:pt>
                <c:pt idx="74">
                  <c:v>128.30000000000001</c:v>
                </c:pt>
                <c:pt idx="79">
                  <c:v>328.3</c:v>
                </c:pt>
                <c:pt idx="84">
                  <c:v>276</c:v>
                </c:pt>
                <c:pt idx="99">
                  <c:v>159.5</c:v>
                </c:pt>
                <c:pt idx="104">
                  <c:v>139.1</c:v>
                </c:pt>
                <c:pt idx="109">
                  <c:v>131.19999999999999</c:v>
                </c:pt>
                <c:pt idx="114">
                  <c:v>96.4</c:v>
                </c:pt>
                <c:pt idx="134">
                  <c:v>156</c:v>
                </c:pt>
                <c:pt idx="139">
                  <c:v>132.30000000000001</c:v>
                </c:pt>
                <c:pt idx="144">
                  <c:v>132.6</c:v>
                </c:pt>
                <c:pt idx="149">
                  <c:v>140</c:v>
                </c:pt>
                <c:pt idx="154">
                  <c:v>98</c:v>
                </c:pt>
                <c:pt idx="159">
                  <c:v>126.9</c:v>
                </c:pt>
                <c:pt idx="164">
                  <c:v>104.5</c:v>
                </c:pt>
                <c:pt idx="169">
                  <c:v>118.3</c:v>
                </c:pt>
                <c:pt idx="174">
                  <c:v>113.3</c:v>
                </c:pt>
                <c:pt idx="179">
                  <c:v>179.7</c:v>
                </c:pt>
                <c:pt idx="184">
                  <c:v>144.6</c:v>
                </c:pt>
                <c:pt idx="189">
                  <c:v>104.3</c:v>
                </c:pt>
              </c:numCache>
            </c:numRef>
          </c:yVal>
          <c:smooth val="1"/>
        </c:ser>
        <c:dLbls>
          <c:showLegendKey val="0"/>
          <c:showVal val="0"/>
          <c:showCatName val="0"/>
          <c:showSerName val="0"/>
          <c:showPercent val="0"/>
          <c:showBubbleSize val="0"/>
        </c:dLbls>
        <c:axId val="153585920"/>
        <c:axId val="153588096"/>
      </c:scatterChart>
      <c:valAx>
        <c:axId val="153585920"/>
        <c:scaling>
          <c:orientation val="minMax"/>
        </c:scaling>
        <c:delete val="0"/>
        <c:axPos val="b"/>
        <c:numFmt formatCode="General" sourceLinked="1"/>
        <c:majorTickMark val="out"/>
        <c:minorTickMark val="none"/>
        <c:tickLblPos val="nextTo"/>
        <c:txPr>
          <a:bodyPr rot="-5400000" vert="horz"/>
          <a:lstStyle/>
          <a:p>
            <a:pPr>
              <a:defRPr lang="en-GB" sz="1000" b="0" i="0" u="none" strike="noStrike" baseline="0">
                <a:solidFill>
                  <a:srgbClr val="333333"/>
                </a:solidFill>
                <a:latin typeface="Calibri"/>
                <a:ea typeface="Calibri"/>
                <a:cs typeface="Calibri"/>
              </a:defRPr>
            </a:pPr>
            <a:endParaRPr lang="en-US"/>
          </a:p>
        </c:txPr>
        <c:crossAx val="153588096"/>
        <c:crosses val="autoZero"/>
        <c:crossBetween val="midCat"/>
        <c:majorUnit val="10"/>
      </c:valAx>
      <c:valAx>
        <c:axId val="153588096"/>
        <c:scaling>
          <c:logBase val="10"/>
          <c:orientation val="minMax"/>
          <c:min val="10"/>
        </c:scaling>
        <c:delete val="0"/>
        <c:axPos val="l"/>
        <c:majorGridlines/>
        <c:numFmt formatCode="General" sourceLinked="1"/>
        <c:majorTickMark val="out"/>
        <c:minorTickMark val="none"/>
        <c:tickLblPos val="nextTo"/>
        <c:txPr>
          <a:bodyPr rot="0" vert="horz"/>
          <a:lstStyle/>
          <a:p>
            <a:pPr>
              <a:defRPr lang="en-GB" sz="1000" b="0" i="0" u="none" strike="noStrike" baseline="0">
                <a:solidFill>
                  <a:srgbClr val="333333"/>
                </a:solidFill>
                <a:latin typeface="Calibri"/>
                <a:ea typeface="Calibri"/>
                <a:cs typeface="Calibri"/>
              </a:defRPr>
            </a:pPr>
            <a:endParaRPr lang="en-US"/>
          </a:p>
        </c:txPr>
        <c:crossAx val="153585920"/>
        <c:crosses val="autoZero"/>
        <c:crossBetween val="midCat"/>
      </c:valAx>
    </c:plotArea>
    <c:legend>
      <c:legendPos val="r"/>
      <c:layout>
        <c:manualLayout>
          <c:xMode val="edge"/>
          <c:yMode val="edge"/>
          <c:x val="0.81312642169728799"/>
          <c:y val="0.10572469486090399"/>
          <c:w val="0.17020691163604501"/>
          <c:h val="0.78431554264672099"/>
        </c:manualLayout>
      </c:layout>
      <c:overlay val="0"/>
      <c:txPr>
        <a:bodyPr/>
        <a:lstStyle/>
        <a:p>
          <a:pPr>
            <a:defRPr lang="en-GB" sz="1400" b="0" i="0" u="none" strike="noStrike" baseline="0">
              <a:solidFill>
                <a:schemeClr val="tx1"/>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333333"/>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5'!$B$3:$B$4</c:f>
              <c:strCache>
                <c:ptCount val="1"/>
                <c:pt idx="0">
                  <c:v>English demand for wood in ash imports million cubic metres</c:v>
                </c:pt>
              </c:strCache>
            </c:strRef>
          </c:tx>
          <c:spPr>
            <a:solidFill>
              <a:schemeClr val="tx1"/>
            </a:solidFill>
          </c:spPr>
          <c:invertIfNegative val="0"/>
          <c:cat>
            <c:strRef>
              <c:f>'figure 5'!$A$5:$A$18</c:f>
              <c:strCache>
                <c:ptCount val="14"/>
                <c:pt idx="0">
                  <c:v>1560s</c:v>
                </c:pt>
                <c:pt idx="1">
                  <c:v>1620s</c:v>
                </c:pt>
                <c:pt idx="2">
                  <c:v>1640</c:v>
                </c:pt>
                <c:pt idx="3">
                  <c:v>1662</c:v>
                </c:pt>
                <c:pt idx="4">
                  <c:v>1669</c:v>
                </c:pt>
                <c:pt idx="5">
                  <c:v>1685</c:v>
                </c:pt>
                <c:pt idx="6">
                  <c:v>1699-1726</c:v>
                </c:pt>
                <c:pt idx="7">
                  <c:v>1729-1750</c:v>
                </c:pt>
                <c:pt idx="8">
                  <c:v>1767</c:v>
                </c:pt>
                <c:pt idx="9">
                  <c:v>1772</c:v>
                </c:pt>
                <c:pt idx="10">
                  <c:v>1792 (GB)</c:v>
                </c:pt>
                <c:pt idx="11">
                  <c:v>1796-1802 (GB)</c:v>
                </c:pt>
                <c:pt idx="12">
                  <c:v>1810 (GB)</c:v>
                </c:pt>
                <c:pt idx="13">
                  <c:v>1819 (GB)</c:v>
                </c:pt>
              </c:strCache>
            </c:strRef>
          </c:cat>
          <c:val>
            <c:numRef>
              <c:f>'figure 5'!$B$5:$B$18</c:f>
              <c:numCache>
                <c:formatCode>General</c:formatCode>
                <c:ptCount val="14"/>
                <c:pt idx="0">
                  <c:v>1</c:v>
                </c:pt>
                <c:pt idx="1">
                  <c:v>1.75</c:v>
                </c:pt>
                <c:pt idx="2">
                  <c:v>1.75</c:v>
                </c:pt>
                <c:pt idx="3">
                  <c:v>1.45</c:v>
                </c:pt>
                <c:pt idx="4">
                  <c:v>2.2000000000000002</c:v>
                </c:pt>
                <c:pt idx="5">
                  <c:v>2.5</c:v>
                </c:pt>
                <c:pt idx="6">
                  <c:v>2.8</c:v>
                </c:pt>
                <c:pt idx="7">
                  <c:v>2.4</c:v>
                </c:pt>
                <c:pt idx="8">
                  <c:v>3.9</c:v>
                </c:pt>
                <c:pt idx="9">
                  <c:v>4</c:v>
                </c:pt>
                <c:pt idx="10">
                  <c:v>10.4</c:v>
                </c:pt>
                <c:pt idx="11">
                  <c:v>10.6</c:v>
                </c:pt>
                <c:pt idx="12">
                  <c:v>26.4</c:v>
                </c:pt>
                <c:pt idx="13">
                  <c:v>14.1</c:v>
                </c:pt>
              </c:numCache>
            </c:numRef>
          </c:val>
        </c:ser>
        <c:dLbls>
          <c:showLegendKey val="0"/>
          <c:showVal val="0"/>
          <c:showCatName val="0"/>
          <c:showSerName val="0"/>
          <c:showPercent val="0"/>
          <c:showBubbleSize val="0"/>
        </c:dLbls>
        <c:gapWidth val="150"/>
        <c:axId val="154083328"/>
        <c:axId val="154084864"/>
      </c:barChart>
      <c:catAx>
        <c:axId val="154083328"/>
        <c:scaling>
          <c:orientation val="minMax"/>
        </c:scaling>
        <c:delete val="0"/>
        <c:axPos val="b"/>
        <c:numFmt formatCode="General" sourceLinked="1"/>
        <c:majorTickMark val="out"/>
        <c:minorTickMark val="none"/>
        <c:tickLblPos val="nextTo"/>
        <c:txPr>
          <a:bodyPr/>
          <a:lstStyle/>
          <a:p>
            <a:pPr>
              <a:defRPr lang="en-GB"/>
            </a:pPr>
            <a:endParaRPr lang="en-US"/>
          </a:p>
        </c:txPr>
        <c:crossAx val="154084864"/>
        <c:crosses val="autoZero"/>
        <c:auto val="1"/>
        <c:lblAlgn val="ctr"/>
        <c:lblOffset val="100"/>
        <c:noMultiLvlLbl val="0"/>
      </c:catAx>
      <c:valAx>
        <c:axId val="154084864"/>
        <c:scaling>
          <c:orientation val="minMax"/>
        </c:scaling>
        <c:delete val="0"/>
        <c:axPos val="l"/>
        <c:majorGridlines/>
        <c:numFmt formatCode="General" sourceLinked="1"/>
        <c:majorTickMark val="out"/>
        <c:minorTickMark val="none"/>
        <c:tickLblPos val="nextTo"/>
        <c:txPr>
          <a:bodyPr/>
          <a:lstStyle/>
          <a:p>
            <a:pPr>
              <a:defRPr lang="en-GB"/>
            </a:pPr>
            <a:endParaRPr lang="en-US"/>
          </a:p>
        </c:txPr>
        <c:crossAx val="15408332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F227D-2802-47AA-B44F-0BE21B527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9212</Words>
  <Characters>48183</Characters>
  <Application>Microsoft Office Word</Application>
  <DocSecurity>0</DocSecurity>
  <Lines>698</Lines>
  <Paragraphs>49</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57346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Faculty Staff</cp:lastModifiedBy>
  <cp:revision>2</cp:revision>
  <dcterms:created xsi:type="dcterms:W3CDTF">2017-07-28T14:53:00Z</dcterms:created>
  <dcterms:modified xsi:type="dcterms:W3CDTF">2017-07-28T14:53:00Z</dcterms:modified>
</cp:coreProperties>
</file>